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2.xml" ContentType="application/vnd.openxmlformats-officedocument.wordprocessingml.head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26824"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94" w:right="3696"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1353" w:right="1353"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26752"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spacing w:before="1"/>
        <w:ind w:left="1270" w:right="1279" w:firstLine="0"/>
        <w:jc w:val="left"/>
        <w:rPr>
          <w:rFonts w:ascii="Trebuchet MS" w:hAnsi="Trebuchet MS"/>
          <w:b/>
          <w:sz w:val="22"/>
        </w:rPr>
      </w:pPr>
      <w:r>
        <w:rPr>
          <w:rFonts w:ascii="Trebuchet MS" w:hAnsi="Trebuchet MS"/>
          <w:b/>
          <w:color w:val="010202"/>
          <w:sz w:val="22"/>
        </w:rPr>
        <w:t>J. Martín González Elías, Orsohe Ramírez 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96" w:right="3696"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26416"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spacing w:line="247" w:lineRule="auto" w:before="69"/>
        <w:ind w:left="1355" w:right="1353" w:firstLine="0"/>
        <w:jc w:val="center"/>
        <w:rPr>
          <w:rFonts w:ascii="Trebuchet MS" w:hAnsi="Trebuchet MS"/>
          <w:i/>
          <w:sz w:val="14"/>
        </w:rPr>
      </w:pPr>
      <w:r>
        <w:rPr>
          <w:rFonts w:ascii="Trebuchet MS" w:hAnsi="Trebuchet MS"/>
          <w:i/>
          <w:color w:val="010202"/>
          <w:spacing w:val="-3"/>
          <w:sz w:val="24"/>
        </w:rPr>
        <w:t>Esther Figueroa Hernández</w:t>
      </w:r>
      <w:r>
        <w:rPr>
          <w:rFonts w:ascii="Trebuchet MS" w:hAnsi="Trebuchet MS"/>
          <w:i/>
          <w:color w:val="010202"/>
          <w:spacing w:val="-3"/>
          <w:position w:val="8"/>
          <w:sz w:val="14"/>
        </w:rPr>
        <w:t>1</w:t>
      </w:r>
      <w:r>
        <w:rPr>
          <w:rFonts w:ascii="Trebuchet MS" w:hAnsi="Trebuchet MS"/>
          <w:i/>
          <w:color w:val="010202"/>
          <w:spacing w:val="-3"/>
          <w:sz w:val="24"/>
        </w:rPr>
        <w:t>, Francisco Pérez Soto</w:t>
      </w:r>
      <w:r>
        <w:rPr>
          <w:rFonts w:ascii="Trebuchet MS" w:hAnsi="Trebuchet MS"/>
          <w:i/>
          <w:color w:val="010202"/>
          <w:spacing w:val="-3"/>
          <w:position w:val="8"/>
          <w:sz w:val="14"/>
        </w:rPr>
        <w:t>2</w:t>
      </w:r>
      <w:r>
        <w:rPr>
          <w:rFonts w:ascii="Trebuchet MS" w:hAnsi="Trebuchet MS"/>
          <w:i/>
          <w:color w:val="010202"/>
          <w:spacing w:val="-3"/>
          <w:sz w:val="24"/>
        </w:rPr>
        <w:t>, </w:t>
      </w:r>
      <w:r>
        <w:rPr>
          <w:rFonts w:ascii="Trebuchet MS" w:hAnsi="Trebuchet MS"/>
          <w:i/>
          <w:color w:val="010202"/>
          <w:sz w:val="24"/>
        </w:rPr>
        <w:t>J. </w:t>
      </w:r>
      <w:r>
        <w:rPr>
          <w:rFonts w:ascii="Trebuchet MS" w:hAnsi="Trebuchet MS"/>
          <w:i/>
          <w:color w:val="010202"/>
          <w:spacing w:val="-3"/>
          <w:sz w:val="24"/>
        </w:rPr>
        <w:t>Martín González Elías</w:t>
      </w:r>
      <w:r>
        <w:rPr>
          <w:rFonts w:ascii="Trebuchet MS" w:hAnsi="Trebuchet MS"/>
          <w:i/>
          <w:color w:val="010202"/>
          <w:spacing w:val="-3"/>
          <w:position w:val="8"/>
          <w:sz w:val="14"/>
        </w:rPr>
        <w:t>3</w:t>
      </w:r>
      <w:r>
        <w:rPr>
          <w:rFonts w:ascii="Trebuchet MS" w:hAnsi="Trebuchet MS"/>
          <w:i/>
          <w:color w:val="010202"/>
          <w:spacing w:val="-3"/>
          <w:sz w:val="24"/>
        </w:rPr>
        <w:t>, </w:t>
      </w:r>
      <w:r>
        <w:rPr>
          <w:rFonts w:ascii="Trebuchet MS" w:hAnsi="Trebuchet MS"/>
          <w:i/>
          <w:color w:val="010202"/>
          <w:spacing w:val="-3"/>
          <w:sz w:val="24"/>
        </w:rPr>
        <w:t>Lucila Godínez Montoya</w:t>
      </w:r>
      <w:r>
        <w:rPr>
          <w:rFonts w:ascii="Trebuchet MS" w:hAnsi="Trebuchet MS"/>
          <w:i/>
          <w:color w:val="010202"/>
          <w:spacing w:val="-3"/>
          <w:position w:val="8"/>
          <w:sz w:val="14"/>
        </w:rPr>
        <w:t>1  </w:t>
      </w:r>
      <w:r>
        <w:rPr>
          <w:rFonts w:ascii="Trebuchet MS" w:hAnsi="Trebuchet MS"/>
          <w:i/>
          <w:color w:val="010202"/>
          <w:sz w:val="24"/>
        </w:rPr>
        <w:t>y </w:t>
      </w:r>
      <w:r>
        <w:rPr>
          <w:rFonts w:ascii="Trebuchet MS" w:hAnsi="Trebuchet MS"/>
          <w:i/>
          <w:color w:val="010202"/>
          <w:spacing w:val="-3"/>
          <w:sz w:val="24"/>
        </w:rPr>
        <w:t>Orsohe Ramírez Abarca</w:t>
      </w:r>
      <w:r>
        <w:rPr>
          <w:rFonts w:ascii="Trebuchet MS" w:hAnsi="Trebuchet MS"/>
          <w:i/>
          <w:color w:val="010202"/>
          <w:spacing w:val="-3"/>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before="0"/>
        <w:ind w:left="1352" w:right="1353" w:firstLine="0"/>
        <w:jc w:val="center"/>
        <w:rPr>
          <w:rFonts w:ascii="Trebuchet MS" w:hAnsi="Trebuchet MS"/>
          <w:b/>
          <w:sz w:val="36"/>
        </w:rPr>
      </w:pPr>
      <w:r>
        <w:rPr>
          <w:rFonts w:ascii="Trebuchet MS" w:hAnsi="Trebuchet MS"/>
          <w:b/>
          <w:color w:val="010202"/>
          <w:sz w:val="36"/>
        </w:rPr>
        <w:t>LA POBREZA EN MÉXICO DE</w:t>
      </w:r>
      <w:r>
        <w:rPr>
          <w:rFonts w:ascii="Trebuchet MS" w:hAnsi="Trebuchet MS"/>
          <w:b/>
          <w:color w:val="010202"/>
          <w:spacing w:val="-75"/>
          <w:sz w:val="36"/>
        </w:rPr>
        <w:t> </w:t>
      </w:r>
      <w:r>
        <w:rPr>
          <w:rFonts w:ascii="Trebuchet MS" w:hAnsi="Trebuchet MS"/>
          <w:b/>
          <w:color w:val="010202"/>
          <w:sz w:val="36"/>
        </w:rPr>
        <w:t>ACUERDO</w:t>
      </w:r>
    </w:p>
    <w:p>
      <w:pPr>
        <w:spacing w:before="14"/>
        <w:ind w:left="1353" w:right="1353" w:firstLine="0"/>
        <w:jc w:val="center"/>
        <w:rPr>
          <w:rFonts w:ascii="Trebuchet MS" w:hAnsi="Trebuchet MS"/>
          <w:b/>
          <w:sz w:val="36"/>
        </w:rPr>
      </w:pPr>
      <w:r>
        <w:rPr>
          <w:rFonts w:ascii="Trebuchet MS" w:hAnsi="Trebuchet MS"/>
          <w:b/>
          <w:color w:val="010202"/>
          <w:sz w:val="36"/>
        </w:rPr>
        <w:t>A LAS NECESIDADES BÁSICAS INSATISFECHAS</w:t>
      </w:r>
    </w:p>
    <w:p>
      <w:pPr>
        <w:pStyle w:val="BodyText"/>
        <w:rPr>
          <w:rFonts w:ascii="Trebuchet MS"/>
          <w:b/>
          <w:sz w:val="36"/>
        </w:rPr>
      </w:pPr>
    </w:p>
    <w:p>
      <w:pPr>
        <w:pStyle w:val="BodyText"/>
        <w:rPr>
          <w:rFonts w:ascii="Trebuchet MS"/>
          <w:b/>
          <w:sz w:val="36"/>
        </w:rPr>
      </w:pPr>
    </w:p>
    <w:p>
      <w:pPr>
        <w:pStyle w:val="BodyText"/>
        <w:spacing w:before="3"/>
        <w:rPr>
          <w:rFonts w:ascii="Trebuchet MS"/>
          <w:b/>
          <w:sz w:val="29"/>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drawing>
          <wp:anchor distT="0" distB="0" distL="0" distR="0" allowOverlap="1" layoutInCell="1" locked="0" behindDoc="0" simplePos="0" relativeHeight="1528">
            <wp:simplePos x="0" y="0"/>
            <wp:positionH relativeFrom="page">
              <wp:posOffset>17462</wp:posOffset>
            </wp:positionH>
            <wp:positionV relativeFrom="paragraph">
              <wp:posOffset>194442</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6761162</wp:posOffset>
            </wp:positionH>
            <wp:positionV relativeFrom="paragraph">
              <wp:posOffset>194442</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De acuerdo con las últimas estimaciones de pobreza en el mundo (Figura 1), tanto el porcentaje de personas que viven con menos de 1.25 dólares al día y de pobres se redujo entre 2005 y 2008; las estimaciones preliminares indican que la proporción de personas que viven en pobreza extrema dis- minuyó</w:t>
      </w:r>
      <w:r>
        <w:rPr>
          <w:color w:val="231F20"/>
          <w:spacing w:val="-12"/>
        </w:rPr>
        <w:t> </w:t>
      </w:r>
      <w:r>
        <w:rPr>
          <w:color w:val="231F20"/>
        </w:rPr>
        <w:t>entre</w:t>
      </w:r>
      <w:r>
        <w:rPr>
          <w:color w:val="231F20"/>
          <w:spacing w:val="-12"/>
        </w:rPr>
        <w:t> </w:t>
      </w:r>
      <w:r>
        <w:rPr>
          <w:color w:val="231F20"/>
        </w:rPr>
        <w:t>2008</w:t>
      </w:r>
      <w:r>
        <w:rPr>
          <w:color w:val="231F20"/>
          <w:spacing w:val="-12"/>
        </w:rPr>
        <w:t> </w:t>
      </w:r>
      <w:r>
        <w:rPr>
          <w:color w:val="231F20"/>
        </w:rPr>
        <w:t>y</w:t>
      </w:r>
      <w:r>
        <w:rPr>
          <w:color w:val="231F20"/>
          <w:spacing w:val="-12"/>
        </w:rPr>
        <w:t> </w:t>
      </w:r>
      <w:r>
        <w:rPr>
          <w:color w:val="231F20"/>
        </w:rPr>
        <w:t>2010,</w:t>
      </w:r>
      <w:r>
        <w:rPr>
          <w:color w:val="231F20"/>
          <w:spacing w:val="-12"/>
        </w:rPr>
        <w:t> </w:t>
      </w:r>
      <w:r>
        <w:rPr>
          <w:color w:val="231F20"/>
        </w:rPr>
        <w:t>incluso</w:t>
      </w:r>
      <w:r>
        <w:rPr>
          <w:color w:val="231F20"/>
          <w:spacing w:val="-12"/>
        </w:rPr>
        <w:t> </w:t>
      </w:r>
      <w:r>
        <w:rPr>
          <w:color w:val="231F20"/>
        </w:rPr>
        <w:t>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crisis</w:t>
      </w:r>
      <w:r>
        <w:rPr>
          <w:color w:val="231F20"/>
          <w:spacing w:val="-12"/>
        </w:rPr>
        <w:t> </w:t>
      </w:r>
      <w:r>
        <w:rPr>
          <w:color w:val="231F20"/>
        </w:rPr>
        <w:t>financieras</w:t>
      </w:r>
      <w:r>
        <w:rPr>
          <w:color w:val="231F20"/>
          <w:spacing w:val="-12"/>
        </w:rPr>
        <w:t> </w:t>
      </w:r>
      <w:r>
        <w:rPr>
          <w:color w:val="231F20"/>
        </w:rPr>
        <w:t>mundiales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aumento</w:t>
      </w:r>
      <w:r>
        <w:rPr>
          <w:color w:val="231F20"/>
          <w:spacing w:val="-12"/>
        </w:rPr>
        <w:t> </w:t>
      </w:r>
      <w:r>
        <w:rPr>
          <w:color w:val="231F20"/>
        </w:rPr>
        <w:t>del</w:t>
      </w:r>
      <w:r>
        <w:rPr>
          <w:color w:val="231F20"/>
          <w:spacing w:val="-12"/>
        </w:rPr>
        <w:t> </w:t>
      </w:r>
      <w:r>
        <w:rPr>
          <w:color w:val="231F20"/>
          <w:spacing w:val="-2"/>
        </w:rPr>
        <w:t>precio </w:t>
      </w:r>
      <w:r>
        <w:rPr>
          <w:color w:val="231F20"/>
        </w:rPr>
        <w:t>de</w:t>
      </w:r>
      <w:r>
        <w:rPr>
          <w:color w:val="231F20"/>
          <w:spacing w:val="-11"/>
        </w:rPr>
        <w:t> </w:t>
      </w:r>
      <w:r>
        <w:rPr>
          <w:color w:val="231F20"/>
        </w:rPr>
        <w:t>los</w:t>
      </w:r>
      <w:r>
        <w:rPr>
          <w:color w:val="231F20"/>
          <w:spacing w:val="-11"/>
        </w:rPr>
        <w:t> </w:t>
      </w:r>
      <w:r>
        <w:rPr>
          <w:color w:val="231F20"/>
        </w:rPr>
        <w:t>alimentos</w:t>
      </w:r>
      <w:r>
        <w:rPr>
          <w:color w:val="231F20"/>
          <w:spacing w:val="-11"/>
        </w:rPr>
        <w:t> </w:t>
      </w:r>
      <w:r>
        <w:rPr>
          <w:color w:val="231F20"/>
        </w:rPr>
        <w:t>(Banco</w:t>
      </w:r>
      <w:r>
        <w:rPr>
          <w:color w:val="231F20"/>
          <w:spacing w:val="-10"/>
        </w:rPr>
        <w:t> </w:t>
      </w:r>
      <w:r>
        <w:rPr>
          <w:color w:val="231F20"/>
        </w:rPr>
        <w:t>Mundial,</w:t>
      </w:r>
      <w:r>
        <w:rPr>
          <w:color w:val="231F20"/>
          <w:spacing w:val="-10"/>
        </w:rPr>
        <w:t> </w:t>
      </w:r>
      <w:r>
        <w:rPr>
          <w:color w:val="231F20"/>
          <w:spacing w:val="-2"/>
        </w:rPr>
        <w:t>2010).</w:t>
      </w:r>
    </w:p>
    <w:p>
      <w:pPr>
        <w:spacing w:before="50"/>
        <w:ind w:left="1353" w:right="1353" w:firstLine="0"/>
        <w:jc w:val="center"/>
        <w:rPr>
          <w:b/>
          <w:sz w:val="18"/>
        </w:rPr>
      </w:pPr>
      <w:r>
        <w:rPr>
          <w:b/>
          <w:color w:val="010202"/>
          <w:sz w:val="18"/>
        </w:rPr>
        <w:t>Figura 1. Número de personas que viven en pobreza extrema</w:t>
      </w:r>
    </w:p>
    <w:p>
      <w:pPr>
        <w:pStyle w:val="BodyText"/>
        <w:spacing w:before="10"/>
        <w:rPr>
          <w:b/>
          <w:sz w:val="11"/>
        </w:rPr>
      </w:pPr>
      <w:r>
        <w:rPr/>
        <w:drawing>
          <wp:anchor distT="0" distB="0" distL="0" distR="0" allowOverlap="1" layoutInCell="1" locked="0" behindDoc="0" simplePos="0" relativeHeight="1504">
            <wp:simplePos x="0" y="0"/>
            <wp:positionH relativeFrom="page">
              <wp:posOffset>1455214</wp:posOffset>
            </wp:positionH>
            <wp:positionV relativeFrom="paragraph">
              <wp:posOffset>112050</wp:posOffset>
            </wp:positionV>
            <wp:extent cx="4041560" cy="1817369"/>
            <wp:effectExtent l="0" t="0" r="0" b="0"/>
            <wp:wrapTopAndBottom/>
            <wp:docPr id="51" name="image3.jpeg" descr=""/>
            <wp:cNvGraphicFramePr>
              <a:graphicFrameLocks noChangeAspect="1"/>
            </wp:cNvGraphicFramePr>
            <a:graphic>
              <a:graphicData uri="http://schemas.openxmlformats.org/drawingml/2006/picture">
                <pic:pic>
                  <pic:nvPicPr>
                    <pic:cNvPr id="52" name="image3.jpeg"/>
                    <pic:cNvPicPr/>
                  </pic:nvPicPr>
                  <pic:blipFill>
                    <a:blip r:embed="rId13" cstate="print"/>
                    <a:stretch>
                      <a:fillRect/>
                    </a:stretch>
                  </pic:blipFill>
                  <pic:spPr>
                    <a:xfrm>
                      <a:off x="0" y="0"/>
                      <a:ext cx="4041560" cy="1817369"/>
                    </a:xfrm>
                    <a:prstGeom prst="rect">
                      <a:avLst/>
                    </a:prstGeom>
                  </pic:spPr>
                </pic:pic>
              </a:graphicData>
            </a:graphic>
          </wp:anchor>
        </w:drawing>
      </w:r>
    </w:p>
    <w:p>
      <w:pPr>
        <w:spacing w:line="247" w:lineRule="auto" w:before="151"/>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Centro</w:t>
      </w:r>
      <w:r>
        <w:rPr>
          <w:rFonts w:ascii="Trebuchet MS" w:hAnsi="Trebuchet MS"/>
          <w:color w:val="231F20"/>
          <w:spacing w:val="-16"/>
          <w:sz w:val="16"/>
        </w:rPr>
        <w:t> </w:t>
      </w:r>
      <w:r>
        <w:rPr>
          <w:rFonts w:ascii="Trebuchet MS" w:hAnsi="Trebuchet MS"/>
          <w:color w:val="231F20"/>
          <w:sz w:val="16"/>
        </w:rPr>
        <w:t>Universitario</w:t>
      </w:r>
      <w:r>
        <w:rPr>
          <w:rFonts w:ascii="Trebuchet MS" w:hAnsi="Trebuchet MS"/>
          <w:color w:val="231F20"/>
          <w:spacing w:val="-16"/>
          <w:sz w:val="16"/>
        </w:rPr>
        <w:t> </w:t>
      </w:r>
      <w:r>
        <w:rPr>
          <w:rFonts w:ascii="Trebuchet MS" w:hAnsi="Trebuchet MS"/>
          <w:color w:val="231F20"/>
          <w:sz w:val="16"/>
        </w:rPr>
        <w:t>UAEM</w:t>
      </w:r>
      <w:r>
        <w:rPr>
          <w:rFonts w:ascii="Trebuchet MS" w:hAnsi="Trebuchet MS"/>
          <w:color w:val="231F20"/>
          <w:spacing w:val="-18"/>
          <w:sz w:val="16"/>
        </w:rPr>
        <w:t> </w:t>
      </w:r>
      <w:r>
        <w:rPr>
          <w:rFonts w:ascii="Trebuchet MS" w:hAnsi="Trebuchet MS"/>
          <w:color w:val="231F20"/>
          <w:spacing w:val="-5"/>
          <w:sz w:val="16"/>
        </w:rPr>
        <w:t>Texcoco,</w:t>
      </w:r>
      <w:r>
        <w:rPr>
          <w:rFonts w:ascii="Trebuchet MS" w:hAnsi="Trebuchet MS"/>
          <w:color w:val="231F20"/>
          <w:spacing w:val="-16"/>
          <w:sz w:val="16"/>
        </w:rPr>
        <w:t> </w:t>
      </w:r>
      <w:r>
        <w:rPr>
          <w:rFonts w:ascii="Trebuchet MS" w:hAnsi="Trebuchet MS"/>
          <w:color w:val="231F20"/>
          <w:sz w:val="16"/>
        </w:rPr>
        <w:t>Universidad</w:t>
      </w:r>
      <w:r>
        <w:rPr>
          <w:rFonts w:ascii="Trebuchet MS" w:hAnsi="Trebuchet MS"/>
          <w:color w:val="231F20"/>
          <w:spacing w:val="-23"/>
          <w:sz w:val="16"/>
        </w:rPr>
        <w:t> </w:t>
      </w:r>
      <w:r>
        <w:rPr>
          <w:rFonts w:ascii="Trebuchet MS" w:hAnsi="Trebuchet MS"/>
          <w:color w:val="231F20"/>
          <w:sz w:val="16"/>
        </w:rPr>
        <w:t>Autónoma</w:t>
      </w:r>
      <w:r>
        <w:rPr>
          <w:rFonts w:ascii="Trebuchet MS" w:hAnsi="Trebuchet MS"/>
          <w:color w:val="231F20"/>
          <w:spacing w:val="-16"/>
          <w:sz w:val="16"/>
        </w:rPr>
        <w:t> </w:t>
      </w:r>
      <w:r>
        <w:rPr>
          <w:rFonts w:ascii="Trebuchet MS" w:hAnsi="Trebuchet MS"/>
          <w:color w:val="231F20"/>
          <w:sz w:val="16"/>
        </w:rPr>
        <w:t>del</w:t>
      </w:r>
      <w:r>
        <w:rPr>
          <w:rFonts w:ascii="Trebuchet MS" w:hAnsi="Trebuchet MS"/>
          <w:color w:val="231F20"/>
          <w:spacing w:val="-16"/>
          <w:sz w:val="16"/>
        </w:rPr>
        <w:t> </w:t>
      </w:r>
      <w:r>
        <w:rPr>
          <w:rFonts w:ascii="Trebuchet MS" w:hAnsi="Trebuchet MS"/>
          <w:color w:val="231F20"/>
          <w:sz w:val="16"/>
        </w:rPr>
        <w:t>Estado</w:t>
      </w:r>
      <w:r>
        <w:rPr>
          <w:rFonts w:ascii="Trebuchet MS" w:hAnsi="Trebuchet MS"/>
          <w:color w:val="231F20"/>
          <w:spacing w:val="-16"/>
          <w:sz w:val="16"/>
        </w:rPr>
        <w:t> </w:t>
      </w:r>
      <w:r>
        <w:rPr>
          <w:rFonts w:ascii="Trebuchet MS" w:hAnsi="Trebuchet MS"/>
          <w:color w:val="231F20"/>
          <w:sz w:val="16"/>
        </w:rPr>
        <w:t>de</w:t>
      </w:r>
      <w:r>
        <w:rPr>
          <w:rFonts w:ascii="Trebuchet MS" w:hAnsi="Trebuchet MS"/>
          <w:color w:val="231F20"/>
          <w:spacing w:val="-16"/>
          <w:sz w:val="16"/>
        </w:rPr>
        <w:t> </w:t>
      </w:r>
      <w:r>
        <w:rPr>
          <w:rFonts w:ascii="Trebuchet MS" w:hAnsi="Trebuchet MS"/>
          <w:color w:val="231F20"/>
          <w:sz w:val="16"/>
        </w:rPr>
        <w:t>México</w:t>
      </w:r>
      <w:r>
        <w:rPr>
          <w:rFonts w:ascii="Trebuchet MS" w:hAnsi="Trebuchet MS"/>
          <w:color w:val="231F20"/>
          <w:spacing w:val="-16"/>
          <w:sz w:val="16"/>
        </w:rPr>
        <w:t> </w:t>
      </w:r>
      <w:r>
        <w:rPr>
          <w:rFonts w:ascii="Trebuchet MS" w:hAnsi="Trebuchet MS"/>
          <w:color w:val="231F20"/>
          <w:sz w:val="16"/>
        </w:rPr>
        <w:t>(UAEM).</w:t>
      </w:r>
      <w:r>
        <w:rPr>
          <w:rFonts w:ascii="Trebuchet MS" w:hAnsi="Trebuchet MS"/>
          <w:color w:val="231F20"/>
          <w:spacing w:val="-16"/>
          <w:sz w:val="16"/>
        </w:rPr>
        <w:t> </w:t>
      </w:r>
      <w:hyperlink r:id="rId14">
        <w:r>
          <w:rPr>
            <w:rFonts w:ascii="Trebuchet MS" w:hAnsi="Trebuchet MS"/>
            <w:color w:val="231F20"/>
            <w:sz w:val="16"/>
          </w:rPr>
          <w:t>esfigue_3@yahoo.com.</w:t>
        </w:r>
      </w:hyperlink>
      <w:r>
        <w:rPr>
          <w:rFonts w:ascii="Trebuchet MS" w:hAnsi="Trebuchet MS"/>
          <w:color w:val="231F20"/>
          <w:sz w:val="16"/>
        </w:rPr>
        <w:t> mx, lucilagm76@hotmail.com; </w:t>
      </w:r>
      <w:r>
        <w:rPr>
          <w:rFonts w:ascii="Trebuchet MS" w:hAnsi="Trebuchet MS"/>
          <w:color w:val="231F20"/>
          <w:position w:val="5"/>
          <w:sz w:val="9"/>
        </w:rPr>
        <w:t>2</w:t>
      </w:r>
      <w:r>
        <w:rPr>
          <w:rFonts w:ascii="Trebuchet MS" w:hAnsi="Trebuchet MS"/>
          <w:color w:val="231F20"/>
          <w:sz w:val="16"/>
        </w:rPr>
        <w:t>División de Ciencias Económico-Administrativas (DICEA), Universidad Autónoma Chapingo</w:t>
      </w:r>
      <w:r>
        <w:rPr>
          <w:rFonts w:ascii="Trebuchet MS" w:hAnsi="Trebuchet MS"/>
          <w:color w:val="231F20"/>
          <w:spacing w:val="-18"/>
          <w:sz w:val="16"/>
        </w:rPr>
        <w:t> </w:t>
      </w:r>
      <w:r>
        <w:rPr>
          <w:rFonts w:ascii="Trebuchet MS" w:hAnsi="Trebuchet MS"/>
          <w:color w:val="231F20"/>
          <w:sz w:val="16"/>
        </w:rPr>
        <w:t>(UACh).</w:t>
      </w:r>
      <w:r>
        <w:rPr>
          <w:rFonts w:ascii="Trebuchet MS" w:hAnsi="Trebuchet MS"/>
          <w:color w:val="231F20"/>
          <w:spacing w:val="-18"/>
          <w:sz w:val="16"/>
        </w:rPr>
        <w:t> </w:t>
      </w:r>
      <w:r>
        <w:rPr>
          <w:rFonts w:ascii="Trebuchet MS" w:hAnsi="Trebuchet MS"/>
          <w:color w:val="231F20"/>
          <w:sz w:val="16"/>
        </w:rPr>
        <w:t>perezsotof@hotmail.com;</w:t>
      </w:r>
      <w:r>
        <w:rPr>
          <w:rFonts w:ascii="Trebuchet MS" w:hAnsi="Trebuchet MS"/>
          <w:color w:val="231F20"/>
          <w:spacing w:val="-17"/>
          <w:sz w:val="16"/>
        </w:rPr>
        <w:t> </w:t>
      </w:r>
      <w:r>
        <w:rPr>
          <w:rFonts w:ascii="Trebuchet MS" w:hAnsi="Trebuchet MS"/>
          <w:color w:val="231F20"/>
          <w:position w:val="5"/>
          <w:sz w:val="9"/>
        </w:rPr>
        <w:t>3</w:t>
      </w:r>
      <w:r>
        <w:rPr>
          <w:rFonts w:ascii="Trebuchet MS" w:hAnsi="Trebuchet MS"/>
          <w:color w:val="231F20"/>
          <w:sz w:val="16"/>
        </w:rPr>
        <w:t>División</w:t>
      </w:r>
      <w:r>
        <w:rPr>
          <w:rFonts w:ascii="Trebuchet MS" w:hAnsi="Trebuchet MS"/>
          <w:color w:val="231F20"/>
          <w:spacing w:val="-18"/>
          <w:sz w:val="16"/>
        </w:rPr>
        <w:t> </w:t>
      </w:r>
      <w:r>
        <w:rPr>
          <w:rFonts w:ascii="Trebuchet MS" w:hAnsi="Trebuchet MS"/>
          <w:color w:val="231F20"/>
          <w:sz w:val="16"/>
        </w:rPr>
        <w:t>de</w:t>
      </w:r>
      <w:r>
        <w:rPr>
          <w:rFonts w:ascii="Trebuchet MS" w:hAnsi="Trebuchet MS"/>
          <w:color w:val="231F20"/>
          <w:spacing w:val="-18"/>
          <w:sz w:val="16"/>
        </w:rPr>
        <w:t> </w:t>
      </w:r>
      <w:r>
        <w:rPr>
          <w:rFonts w:ascii="Trebuchet MS" w:hAnsi="Trebuchet MS"/>
          <w:color w:val="231F20"/>
          <w:sz w:val="16"/>
        </w:rPr>
        <w:t>Ciencias</w:t>
      </w:r>
      <w:r>
        <w:rPr>
          <w:rFonts w:ascii="Trebuchet MS" w:hAnsi="Trebuchet MS"/>
          <w:color w:val="231F20"/>
          <w:spacing w:val="-18"/>
          <w:sz w:val="16"/>
        </w:rPr>
        <w:t> </w:t>
      </w:r>
      <w:r>
        <w:rPr>
          <w:rFonts w:ascii="Trebuchet MS" w:hAnsi="Trebuchet MS"/>
          <w:color w:val="231F20"/>
          <w:sz w:val="16"/>
        </w:rPr>
        <w:t>de</w:t>
      </w:r>
      <w:r>
        <w:rPr>
          <w:rFonts w:ascii="Trebuchet MS" w:hAnsi="Trebuchet MS"/>
          <w:color w:val="231F20"/>
          <w:spacing w:val="-18"/>
          <w:sz w:val="16"/>
        </w:rPr>
        <w:t> </w:t>
      </w:r>
      <w:r>
        <w:rPr>
          <w:rFonts w:ascii="Trebuchet MS" w:hAnsi="Trebuchet MS"/>
          <w:color w:val="231F20"/>
          <w:sz w:val="16"/>
        </w:rPr>
        <w:t>la</w:t>
      </w:r>
      <w:r>
        <w:rPr>
          <w:rFonts w:ascii="Trebuchet MS" w:hAnsi="Trebuchet MS"/>
          <w:color w:val="231F20"/>
          <w:spacing w:val="-18"/>
          <w:sz w:val="16"/>
        </w:rPr>
        <w:t> </w:t>
      </w:r>
      <w:r>
        <w:rPr>
          <w:rFonts w:ascii="Trebuchet MS" w:hAnsi="Trebuchet MS"/>
          <w:color w:val="231F20"/>
          <w:spacing w:val="-3"/>
          <w:sz w:val="16"/>
        </w:rPr>
        <w:t>Vida.</w:t>
      </w:r>
      <w:r>
        <w:rPr>
          <w:rFonts w:ascii="Trebuchet MS" w:hAnsi="Trebuchet MS"/>
          <w:color w:val="231F20"/>
          <w:spacing w:val="-18"/>
          <w:sz w:val="16"/>
        </w:rPr>
        <w:t> </w:t>
      </w:r>
      <w:r>
        <w:rPr>
          <w:rFonts w:ascii="Trebuchet MS" w:hAnsi="Trebuchet MS"/>
          <w:color w:val="231F20"/>
          <w:sz w:val="16"/>
        </w:rPr>
        <w:t>Campus</w:t>
      </w:r>
      <w:r>
        <w:rPr>
          <w:rFonts w:ascii="Trebuchet MS" w:hAnsi="Trebuchet MS"/>
          <w:color w:val="231F20"/>
          <w:spacing w:val="-18"/>
          <w:sz w:val="16"/>
        </w:rPr>
        <w:t> </w:t>
      </w:r>
      <w:r>
        <w:rPr>
          <w:rFonts w:ascii="Trebuchet MS" w:hAnsi="Trebuchet MS"/>
          <w:color w:val="231F20"/>
          <w:sz w:val="16"/>
        </w:rPr>
        <w:t>Irapuato-Salamanca.</w:t>
      </w:r>
      <w:r>
        <w:rPr>
          <w:rFonts w:ascii="Trebuchet MS" w:hAnsi="Trebuchet MS"/>
          <w:color w:val="231F20"/>
          <w:spacing w:val="-18"/>
          <w:sz w:val="16"/>
        </w:rPr>
        <w:t> </w:t>
      </w:r>
      <w:r>
        <w:rPr>
          <w:rFonts w:ascii="Trebuchet MS" w:hAnsi="Trebuchet MS"/>
          <w:color w:val="231F20"/>
          <w:sz w:val="16"/>
        </w:rPr>
        <w:t>Univer- sidad</w:t>
      </w:r>
      <w:r>
        <w:rPr>
          <w:rFonts w:ascii="Trebuchet MS" w:hAnsi="Trebuchet MS"/>
          <w:color w:val="231F20"/>
          <w:spacing w:val="-15"/>
          <w:sz w:val="16"/>
        </w:rPr>
        <w:t> </w:t>
      </w:r>
      <w:r>
        <w:rPr>
          <w:rFonts w:ascii="Trebuchet MS" w:hAnsi="Trebuchet MS"/>
          <w:color w:val="231F20"/>
          <w:sz w:val="16"/>
        </w:rPr>
        <w:t>de</w:t>
      </w:r>
      <w:r>
        <w:rPr>
          <w:rFonts w:ascii="Trebuchet MS" w:hAnsi="Trebuchet MS"/>
          <w:color w:val="231F20"/>
          <w:spacing w:val="-15"/>
          <w:sz w:val="16"/>
        </w:rPr>
        <w:t> </w:t>
      </w:r>
      <w:r>
        <w:rPr>
          <w:rFonts w:ascii="Trebuchet MS" w:hAnsi="Trebuchet MS"/>
          <w:color w:val="231F20"/>
          <w:sz w:val="16"/>
        </w:rPr>
        <w:t>Guanajuato.</w:t>
      </w:r>
      <w:r>
        <w:rPr>
          <w:rFonts w:ascii="Trebuchet MS" w:hAnsi="Trebuchet MS"/>
          <w:color w:val="231F20"/>
          <w:spacing w:val="-15"/>
          <w:sz w:val="16"/>
        </w:rPr>
        <w:t> </w:t>
      </w:r>
      <w:hyperlink r:id="rId15">
        <w:r>
          <w:rPr>
            <w:rFonts w:ascii="Trebuchet MS" w:hAnsi="Trebuchet MS"/>
            <w:color w:val="231F20"/>
            <w:spacing w:val="-2"/>
            <w:sz w:val="16"/>
          </w:rPr>
          <w:t>mgleze@hotmail.com.</w:t>
        </w:r>
      </w:hyperlink>
    </w:p>
    <w:p>
      <w:pPr>
        <w:pStyle w:val="BodyText"/>
        <w:spacing w:before="1"/>
        <w:rPr>
          <w:rFonts w:ascii="Trebuchet MS"/>
          <w:sz w:val="13"/>
        </w:rPr>
      </w:pPr>
    </w:p>
    <w:p>
      <w:pPr>
        <w:spacing w:before="72"/>
        <w:ind w:left="4027" w:right="4005" w:firstLine="0"/>
        <w:jc w:val="center"/>
        <w:rPr>
          <w:rFonts w:ascii="Trebuchet MS"/>
          <w:b/>
          <w:i/>
          <w:sz w:val="22"/>
        </w:rPr>
      </w:pPr>
      <w:r>
        <w:rPr>
          <w:rFonts w:ascii="Trebuchet MS"/>
          <w:b/>
          <w:i/>
          <w:color w:val="231F20"/>
          <w:sz w:val="22"/>
        </w:rPr>
        <w:t>38</w:t>
      </w:r>
    </w:p>
    <w:p>
      <w:pPr>
        <w:spacing w:after="0"/>
        <w:jc w:val="center"/>
        <w:rPr>
          <w:rFonts w:ascii="Trebuchet MS"/>
          <w:sz w:val="22"/>
        </w:rPr>
        <w:sectPr>
          <w:footerReference w:type="default" r:id="rId12"/>
          <w:pgSz w:w="10920" w:h="13080"/>
          <w:pgMar w:footer="223" w:header="0" w:top="420" w:bottom="420" w:left="0" w:right="0"/>
          <w:pgNumType w:start="38"/>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En</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2010,</w:t>
      </w:r>
      <w:r>
        <w:rPr>
          <w:color w:val="231F20"/>
          <w:spacing w:val="-5"/>
        </w:rPr>
        <w:t> </w:t>
      </w:r>
      <w:r>
        <w:rPr>
          <w:color w:val="231F20"/>
        </w:rPr>
        <w:t>parece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índice</w:t>
      </w:r>
      <w:r>
        <w:rPr>
          <w:color w:val="231F20"/>
          <w:spacing w:val="-5"/>
        </w:rPr>
        <w:t> </w:t>
      </w:r>
      <w:r>
        <w:rPr>
          <w:color w:val="231F20"/>
        </w:rPr>
        <w:t>de</w:t>
      </w:r>
      <w:r>
        <w:rPr>
          <w:color w:val="231F20"/>
          <w:spacing w:val="-5"/>
        </w:rPr>
        <w:t> </w:t>
      </w:r>
      <w:r>
        <w:rPr>
          <w:color w:val="231F20"/>
        </w:rPr>
        <w:t>pobreza</w:t>
      </w:r>
      <w:r>
        <w:rPr>
          <w:color w:val="231F20"/>
          <w:spacing w:val="-5"/>
        </w:rPr>
        <w:t> </w:t>
      </w:r>
      <w:r>
        <w:rPr>
          <w:color w:val="231F20"/>
        </w:rPr>
        <w:t>situada</w:t>
      </w:r>
      <w:r>
        <w:rPr>
          <w:color w:val="231F20"/>
          <w:spacing w:val="-4"/>
        </w:rPr>
        <w:t> </w:t>
      </w:r>
      <w:r>
        <w:rPr>
          <w:color w:val="231F20"/>
        </w:rPr>
        <w:t>en</w:t>
      </w:r>
      <w:r>
        <w:rPr>
          <w:color w:val="231F20"/>
          <w:spacing w:val="-5"/>
        </w:rPr>
        <w:t> </w:t>
      </w:r>
      <w:r>
        <w:rPr>
          <w:color w:val="231F20"/>
        </w:rPr>
        <w:t>1.25</w:t>
      </w:r>
      <w:r>
        <w:rPr>
          <w:color w:val="231F20"/>
          <w:spacing w:val="-5"/>
        </w:rPr>
        <w:t> </w:t>
      </w:r>
      <w:r>
        <w:rPr>
          <w:color w:val="231F20"/>
        </w:rPr>
        <w:t>dólares</w:t>
      </w:r>
      <w:r>
        <w:rPr>
          <w:color w:val="231F20"/>
          <w:spacing w:val="-5"/>
        </w:rPr>
        <w:t> </w:t>
      </w:r>
      <w:r>
        <w:rPr>
          <w:color w:val="231F20"/>
        </w:rPr>
        <w:t>por</w:t>
      </w:r>
      <w:r>
        <w:rPr>
          <w:color w:val="231F20"/>
          <w:spacing w:val="-5"/>
        </w:rPr>
        <w:t> </w:t>
      </w:r>
      <w:r>
        <w:rPr>
          <w:color w:val="231F20"/>
        </w:rPr>
        <w:t>día</w:t>
      </w:r>
      <w:r>
        <w:rPr>
          <w:color w:val="231F20"/>
          <w:spacing w:val="-5"/>
        </w:rPr>
        <w:t> </w:t>
      </w:r>
      <w:r>
        <w:rPr>
          <w:color w:val="231F20"/>
        </w:rPr>
        <w:t>se</w:t>
      </w:r>
      <w:r>
        <w:rPr>
          <w:color w:val="231F20"/>
          <w:spacing w:val="-5"/>
        </w:rPr>
        <w:t> </w:t>
      </w:r>
      <w:r>
        <w:rPr>
          <w:color w:val="231F20"/>
        </w:rPr>
        <w:t>redujo</w:t>
      </w:r>
      <w:r>
        <w:rPr>
          <w:color w:val="231F20"/>
          <w:spacing w:val="-5"/>
        </w:rPr>
        <w:t> </w:t>
      </w:r>
      <w:r>
        <w:rPr>
          <w:color w:val="231F20"/>
        </w:rPr>
        <w:t>a</w:t>
      </w:r>
      <w:r>
        <w:rPr>
          <w:color w:val="231F20"/>
          <w:spacing w:val="-5"/>
        </w:rPr>
        <w:t> </w:t>
      </w:r>
      <w:r>
        <w:rPr>
          <w:color w:val="231F20"/>
        </w:rPr>
        <w:t>menos</w:t>
      </w:r>
      <w:r>
        <w:rPr>
          <w:color w:val="231F20"/>
          <w:spacing w:val="-5"/>
        </w:rPr>
        <w:t> </w:t>
      </w:r>
      <w:r>
        <w:rPr>
          <w:color w:val="231F20"/>
        </w:rPr>
        <w:t>de la mitad de la tasa de 1990, lo que significa que las Naciones Unidas (ONU) han cumplido con las metas</w:t>
      </w:r>
      <w:r>
        <w:rPr>
          <w:color w:val="231F20"/>
          <w:spacing w:val="-6"/>
        </w:rPr>
        <w:t> </w:t>
      </w:r>
      <w:r>
        <w:rPr>
          <w:color w:val="231F20"/>
        </w:rPr>
        <w:t>del</w:t>
      </w:r>
      <w:r>
        <w:rPr>
          <w:color w:val="231F20"/>
          <w:spacing w:val="-6"/>
        </w:rPr>
        <w:t> </w:t>
      </w:r>
      <w:r>
        <w:rPr>
          <w:color w:val="231F20"/>
        </w:rPr>
        <w:t>Milenio</w:t>
      </w:r>
      <w:r>
        <w:rPr>
          <w:color w:val="231F20"/>
          <w:spacing w:val="-6"/>
        </w:rPr>
        <w:t> </w:t>
      </w:r>
      <w:r>
        <w:rPr>
          <w:color w:val="231F20"/>
        </w:rPr>
        <w:t>(ODM)</w:t>
      </w:r>
      <w:r>
        <w:rPr>
          <w:color w:val="231F20"/>
          <w:spacing w:val="-6"/>
        </w:rPr>
        <w:t> </w:t>
      </w:r>
      <w:r>
        <w:rPr>
          <w:color w:val="231F20"/>
        </w:rPr>
        <w:t>para</w:t>
      </w:r>
      <w:r>
        <w:rPr>
          <w:color w:val="231F20"/>
          <w:spacing w:val="-6"/>
        </w:rPr>
        <w:t> </w:t>
      </w:r>
      <w:r>
        <w:rPr>
          <w:color w:val="231F20"/>
        </w:rPr>
        <w:t>reducir</w:t>
      </w:r>
      <w:r>
        <w:rPr>
          <w:color w:val="231F20"/>
          <w:spacing w:val="-6"/>
        </w:rPr>
        <w:t> </w:t>
      </w:r>
      <w:r>
        <w:rPr>
          <w:color w:val="231F20"/>
        </w:rPr>
        <w:t>la</w:t>
      </w:r>
      <w:r>
        <w:rPr>
          <w:color w:val="231F20"/>
          <w:spacing w:val="-6"/>
        </w:rPr>
        <w:t> </w:t>
      </w:r>
      <w:r>
        <w:rPr>
          <w:color w:val="231F20"/>
        </w:rPr>
        <w:t>pobreza</w:t>
      </w:r>
      <w:r>
        <w:rPr>
          <w:color w:val="231F20"/>
          <w:spacing w:val="-6"/>
        </w:rPr>
        <w:t> </w:t>
      </w:r>
      <w:r>
        <w:rPr>
          <w:color w:val="231F20"/>
        </w:rPr>
        <w:t>extrema</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mitad,</w:t>
      </w:r>
      <w:r>
        <w:rPr>
          <w:color w:val="231F20"/>
          <w:spacing w:val="-7"/>
        </w:rPr>
        <w:t> </w:t>
      </w:r>
      <w:r>
        <w:rPr>
          <w:color w:val="231F20"/>
        </w:rPr>
        <w:t>lo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conseguido,</w:t>
      </w:r>
      <w:r>
        <w:rPr>
          <w:color w:val="231F20"/>
          <w:spacing w:val="-7"/>
        </w:rPr>
        <w:t> </w:t>
      </w:r>
      <w:r>
        <w:rPr>
          <w:color w:val="231F20"/>
        </w:rPr>
        <w:t>cinco años antes de lo previsto (Parsons,</w:t>
      </w:r>
      <w:r>
        <w:rPr>
          <w:color w:val="231F20"/>
          <w:spacing w:val="-4"/>
        </w:rPr>
        <w:t> </w:t>
      </w:r>
      <w:r>
        <w:rPr>
          <w:color w:val="231F20"/>
        </w:rPr>
        <w:t>2012).</w:t>
      </w:r>
    </w:p>
    <w:p>
      <w:pPr>
        <w:pStyle w:val="BodyText"/>
        <w:spacing w:before="10"/>
      </w:pPr>
    </w:p>
    <w:p>
      <w:pPr>
        <w:pStyle w:val="BodyText"/>
        <w:spacing w:line="247" w:lineRule="auto"/>
        <w:ind w:left="1270" w:right="1267"/>
        <w:jc w:val="both"/>
      </w:pPr>
      <w:r>
        <w:rPr>
          <w:color w:val="231F20"/>
        </w:rPr>
        <w:t>Gran parte de la reducción de la pobreza se debe a China, un país que en la década de los 80 era el que más pobreza tenía en el mundo, con el 77.0% de la población viviendo con un 1.25 dólares al día,</w:t>
      </w:r>
      <w:r>
        <w:rPr>
          <w:color w:val="231F20"/>
          <w:spacing w:val="-8"/>
        </w:rPr>
        <w:t> </w:t>
      </w:r>
      <w:r>
        <w:rPr>
          <w:color w:val="231F20"/>
        </w:rPr>
        <w:t>pero</w:t>
      </w:r>
      <w:r>
        <w:rPr>
          <w:color w:val="231F20"/>
          <w:spacing w:val="-8"/>
        </w:rPr>
        <w:t> </w:t>
      </w:r>
      <w:r>
        <w:rPr>
          <w:color w:val="231F20"/>
        </w:rPr>
        <w:t>en</w:t>
      </w:r>
      <w:r>
        <w:rPr>
          <w:color w:val="231F20"/>
          <w:spacing w:val="-8"/>
        </w:rPr>
        <w:t> </w:t>
      </w:r>
      <w:r>
        <w:rPr>
          <w:color w:val="231F20"/>
        </w:rPr>
        <w:t>2008</w:t>
      </w:r>
      <w:r>
        <w:rPr>
          <w:color w:val="231F20"/>
          <w:spacing w:val="-8"/>
        </w:rPr>
        <w:t> </w:t>
      </w:r>
      <w:r>
        <w:rPr>
          <w:color w:val="231F20"/>
        </w:rPr>
        <w:t>esta</w:t>
      </w:r>
      <w:r>
        <w:rPr>
          <w:color w:val="231F20"/>
          <w:spacing w:val="-8"/>
        </w:rPr>
        <w:t> </w:t>
      </w:r>
      <w:r>
        <w:rPr>
          <w:color w:val="231F20"/>
        </w:rPr>
        <w:t>proporción</w:t>
      </w:r>
      <w:r>
        <w:rPr>
          <w:color w:val="231F20"/>
          <w:spacing w:val="-8"/>
        </w:rPr>
        <w:t> </w:t>
      </w:r>
      <w:r>
        <w:rPr>
          <w:color w:val="231F20"/>
        </w:rPr>
        <w:t>bajó</w:t>
      </w:r>
      <w:r>
        <w:rPr>
          <w:color w:val="231F20"/>
          <w:spacing w:val="-8"/>
        </w:rPr>
        <w:t> </w:t>
      </w:r>
      <w:r>
        <w:rPr>
          <w:color w:val="231F20"/>
        </w:rPr>
        <w:t>al</w:t>
      </w:r>
      <w:r>
        <w:rPr>
          <w:color w:val="231F20"/>
          <w:spacing w:val="-8"/>
        </w:rPr>
        <w:t> </w:t>
      </w:r>
      <w:r>
        <w:rPr>
          <w:color w:val="231F20"/>
        </w:rPr>
        <w:t>14.0%,</w:t>
      </w:r>
      <w:r>
        <w:rPr>
          <w:color w:val="231F20"/>
          <w:spacing w:val="-8"/>
        </w:rPr>
        <w:t> </w:t>
      </w:r>
      <w:r>
        <w:rPr>
          <w:color w:val="231F20"/>
        </w:rPr>
        <w:t>pero</w:t>
      </w:r>
      <w:r>
        <w:rPr>
          <w:color w:val="231F20"/>
          <w:spacing w:val="-8"/>
        </w:rPr>
        <w:t> </w:t>
      </w:r>
      <w:r>
        <w:rPr>
          <w:color w:val="231F20"/>
        </w:rPr>
        <w:t>si</w:t>
      </w:r>
      <w:r>
        <w:rPr>
          <w:color w:val="231F20"/>
          <w:spacing w:val="-8"/>
        </w:rPr>
        <w:t> </w:t>
      </w:r>
      <w:r>
        <w:rPr>
          <w:color w:val="231F20"/>
        </w:rPr>
        <w:t>se</w:t>
      </w:r>
      <w:r>
        <w:rPr>
          <w:color w:val="231F20"/>
          <w:spacing w:val="-8"/>
        </w:rPr>
        <w:t> </w:t>
      </w:r>
      <w:r>
        <w:rPr>
          <w:color w:val="231F20"/>
        </w:rPr>
        <w:t>excluye</w:t>
      </w:r>
      <w:r>
        <w:rPr>
          <w:color w:val="231F20"/>
          <w:spacing w:val="-8"/>
        </w:rPr>
        <w:t> </w:t>
      </w:r>
      <w:r>
        <w:rPr>
          <w:color w:val="231F20"/>
        </w:rPr>
        <w:t>a</w:t>
      </w:r>
      <w:r>
        <w:rPr>
          <w:color w:val="231F20"/>
          <w:spacing w:val="-8"/>
        </w:rPr>
        <w:t> </w:t>
      </w:r>
      <w:r>
        <w:rPr>
          <w:color w:val="231F20"/>
        </w:rPr>
        <w:t>China,</w:t>
      </w:r>
      <w:r>
        <w:rPr>
          <w:color w:val="231F20"/>
          <w:spacing w:val="-8"/>
        </w:rPr>
        <w:t> </w:t>
      </w:r>
      <w:r>
        <w:rPr>
          <w:color w:val="231F20"/>
        </w:rPr>
        <w:t>las</w:t>
      </w:r>
      <w:r>
        <w:rPr>
          <w:color w:val="231F20"/>
          <w:spacing w:val="-8"/>
        </w:rPr>
        <w:t> </w:t>
      </w:r>
      <w:r>
        <w:rPr>
          <w:color w:val="231F20"/>
        </w:rPr>
        <w:t>cifras</w:t>
      </w:r>
      <w:r>
        <w:rPr>
          <w:color w:val="231F20"/>
          <w:spacing w:val="-8"/>
        </w:rPr>
        <w:t> </w:t>
      </w:r>
      <w:r>
        <w:rPr>
          <w:color w:val="231F20"/>
        </w:rPr>
        <w:t>son</w:t>
      </w:r>
      <w:r>
        <w:rPr>
          <w:color w:val="231F20"/>
          <w:spacing w:val="-8"/>
        </w:rPr>
        <w:t> </w:t>
      </w:r>
      <w:r>
        <w:rPr>
          <w:color w:val="231F20"/>
        </w:rPr>
        <w:t>menos</w:t>
      </w:r>
      <w:r>
        <w:rPr>
          <w:color w:val="231F20"/>
          <w:spacing w:val="-8"/>
        </w:rPr>
        <w:t> </w:t>
      </w:r>
      <w:r>
        <w:rPr>
          <w:color w:val="231F20"/>
        </w:rPr>
        <w:t>sor- prendentes de los 1,300 millones de personas que vivían con menos de 1.25 dólares al día en 2008, y de 1,100 millones vivían fuera de China, unas cifras que preocupan la noticia negativa las pone África, un continente que en lugar de reducir la pobreza la ha aumentado, el número de pobres casi se duplicó de 1981 a 2005 (205 millones a 395 millones de pobres), pero en 2008 la cifra se redujo en 12 millones de personas o lo que es lo mismo, en un 5.1% (Idealista,</w:t>
      </w:r>
      <w:r>
        <w:rPr>
          <w:color w:val="231F20"/>
          <w:spacing w:val="-7"/>
        </w:rPr>
        <w:t> </w:t>
      </w:r>
      <w:r>
        <w:rPr>
          <w:color w:val="231F20"/>
        </w:rPr>
        <w:t>2012).</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576">
            <wp:simplePos x="0" y="0"/>
            <wp:positionH relativeFrom="page">
              <wp:posOffset>17462</wp:posOffset>
            </wp:positionH>
            <wp:positionV relativeFrom="paragraph">
              <wp:posOffset>1078570</wp:posOffset>
            </wp:positionV>
            <wp:extent cx="155575" cy="155575"/>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6761162</wp:posOffset>
            </wp:positionH>
            <wp:positionV relativeFrom="paragraph">
              <wp:posOffset>1078570</wp:posOffset>
            </wp:positionV>
            <wp:extent cx="155575" cy="155575"/>
            <wp:effectExtent l="0" t="0" r="0" b="0"/>
            <wp:wrapNone/>
            <wp:docPr id="55" name="image2.png" descr=""/>
            <wp:cNvGraphicFramePr>
              <a:graphicFrameLocks noChangeAspect="1"/>
            </wp:cNvGraphicFramePr>
            <a:graphic>
              <a:graphicData uri="http://schemas.openxmlformats.org/drawingml/2006/picture">
                <pic:pic>
                  <pic:nvPicPr>
                    <pic:cNvPr id="5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Ciento cincuenta y seis millones de niños menores de cinco años en países en desarrollo sufren de malnutrición proteico-energética. El 90.0% de la totalidad de niños en edad prescolar y mujeres</w:t>
      </w:r>
      <w:r>
        <w:rPr>
          <w:color w:val="231F20"/>
          <w:spacing w:val="-35"/>
        </w:rPr>
        <w:t> </w:t>
      </w:r>
      <w:r>
        <w:rPr>
          <w:color w:val="231F20"/>
        </w:rPr>
        <w:t>em- barazadas que padecen anemia viven en países en desarrollo. La carencia de vitamina A es la causa principal de trastornos visuales evitables, así como de ceguera en los niños. Cerca del 17.0% de los niños</w:t>
      </w:r>
      <w:r>
        <w:rPr>
          <w:color w:val="231F20"/>
          <w:spacing w:val="-3"/>
        </w:rPr>
        <w:t> </w:t>
      </w:r>
      <w:r>
        <w:rPr>
          <w:color w:val="231F20"/>
        </w:rPr>
        <w:t>de</w:t>
      </w:r>
      <w:r>
        <w:rPr>
          <w:color w:val="231F20"/>
          <w:spacing w:val="-3"/>
        </w:rPr>
        <w:t> </w:t>
      </w:r>
      <w:r>
        <w:rPr>
          <w:color w:val="231F20"/>
        </w:rPr>
        <w:t>pecho</w:t>
      </w:r>
      <w:r>
        <w:rPr>
          <w:color w:val="231F20"/>
          <w:spacing w:val="-3"/>
        </w:rPr>
        <w:t> </w:t>
      </w:r>
      <w:r>
        <w:rPr>
          <w:color w:val="231F20"/>
        </w:rPr>
        <w:t>sufre</w:t>
      </w:r>
      <w:r>
        <w:rPr>
          <w:color w:val="231F20"/>
          <w:spacing w:val="-3"/>
        </w:rPr>
        <w:t> </w:t>
      </w:r>
      <w:r>
        <w:rPr>
          <w:color w:val="231F20"/>
        </w:rPr>
        <w:t>de</w:t>
      </w:r>
      <w:r>
        <w:rPr>
          <w:color w:val="231F20"/>
          <w:spacing w:val="-3"/>
        </w:rPr>
        <w:t> </w:t>
      </w:r>
      <w:r>
        <w:rPr>
          <w:color w:val="231F20"/>
        </w:rPr>
        <w:t>retraso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crecimiento</w:t>
      </w:r>
      <w:r>
        <w:rPr>
          <w:color w:val="231F20"/>
          <w:spacing w:val="-4"/>
        </w:rPr>
        <w:t> </w:t>
      </w:r>
      <w:r>
        <w:rPr>
          <w:color w:val="231F20"/>
        </w:rPr>
        <w:t>intrauterino,</w:t>
      </w:r>
      <w:r>
        <w:rPr>
          <w:color w:val="231F20"/>
          <w:spacing w:val="-4"/>
        </w:rPr>
        <w:t> </w:t>
      </w:r>
      <w:r>
        <w:rPr>
          <w:color w:val="231F20"/>
        </w:rPr>
        <w:t>un</w:t>
      </w:r>
      <w:r>
        <w:rPr>
          <w:color w:val="231F20"/>
          <w:spacing w:val="-3"/>
        </w:rPr>
        <w:t> </w:t>
      </w:r>
      <w:r>
        <w:rPr>
          <w:color w:val="231F20"/>
        </w:rPr>
        <w:t>indicio</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mala</w:t>
      </w:r>
      <w:r>
        <w:rPr>
          <w:color w:val="231F20"/>
          <w:spacing w:val="-4"/>
        </w:rPr>
        <w:t> </w:t>
      </w:r>
      <w:r>
        <w:rPr>
          <w:color w:val="231F20"/>
        </w:rPr>
        <w:t>nutrición</w:t>
      </w:r>
      <w:r>
        <w:rPr>
          <w:color w:val="231F20"/>
          <w:spacing w:val="-3"/>
        </w:rPr>
        <w:t> </w:t>
      </w:r>
      <w:r>
        <w:rPr>
          <w:color w:val="231F20"/>
        </w:rPr>
        <w:t>mater- na. Un peso bajo al nacer supone un elevado riesgo de enfermedad y mortalidad durante la</w:t>
      </w:r>
      <w:r>
        <w:rPr>
          <w:color w:val="231F20"/>
          <w:spacing w:val="-22"/>
        </w:rPr>
        <w:t> </w:t>
      </w:r>
      <w:r>
        <w:rPr>
          <w:color w:val="231F20"/>
        </w:rPr>
        <w:t>infancia, y una reducción de la fuerza y la capacidad de trabajo en la edad adulta. En el mundo en desarrollo, 12 millones de fallecimientos anuales entre los niños menores de cinco años (Un abrumador</w:t>
      </w:r>
      <w:r>
        <w:rPr>
          <w:color w:val="231F20"/>
          <w:spacing w:val="-32"/>
        </w:rPr>
        <w:t> </w:t>
      </w:r>
      <w:r>
        <w:rPr>
          <w:color w:val="231F20"/>
        </w:rPr>
        <w:t>55.0%) están asociados con la malnutrición </w:t>
      </w:r>
      <w:r>
        <w:rPr>
          <w:color w:val="231F20"/>
          <w:spacing w:val="-4"/>
        </w:rPr>
        <w:t>(FAO,</w:t>
      </w:r>
      <w:r>
        <w:rPr>
          <w:color w:val="231F20"/>
          <w:spacing w:val="-3"/>
        </w:rPr>
        <w:t> </w:t>
      </w:r>
      <w:r>
        <w:rPr>
          <w:color w:val="231F20"/>
        </w:rPr>
        <w:t>2001).</w:t>
      </w:r>
    </w:p>
    <w:p>
      <w:pPr>
        <w:pStyle w:val="BodyText"/>
        <w:spacing w:before="10"/>
      </w:pPr>
    </w:p>
    <w:p>
      <w:pPr>
        <w:pStyle w:val="BodyText"/>
        <w:spacing w:line="247" w:lineRule="auto"/>
        <w:ind w:left="1270" w:right="1267"/>
        <w:jc w:val="both"/>
      </w:pPr>
      <w:r>
        <w:rPr>
          <w:color w:val="231F20"/>
        </w:rPr>
        <w:t>Un estudio de la agricultura en Sierra Leona mostró que, en promedio, un incremento del 50.0% en las calorías por equivalente de consumidor aumentaría la producción en un 16.5%, o sea, en 379 kg de comida. Los resultados indican que, cuanto menor es la ingesta calórica, más importante es la reacción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cuando</w:t>
      </w:r>
      <w:r>
        <w:rPr>
          <w:color w:val="231F20"/>
          <w:spacing w:val="-8"/>
        </w:rPr>
        <w:t> </w:t>
      </w:r>
      <w:r>
        <w:rPr>
          <w:color w:val="231F20"/>
        </w:rPr>
        <w:t>tal</w:t>
      </w:r>
      <w:r>
        <w:rPr>
          <w:color w:val="231F20"/>
          <w:spacing w:val="-8"/>
        </w:rPr>
        <w:t> </w:t>
      </w:r>
      <w:r>
        <w:rPr>
          <w:color w:val="231F20"/>
        </w:rPr>
        <w:t>ingesta</w:t>
      </w:r>
      <w:r>
        <w:rPr>
          <w:color w:val="231F20"/>
          <w:spacing w:val="-8"/>
        </w:rPr>
        <w:t> </w:t>
      </w:r>
      <w:r>
        <w:rPr>
          <w:color w:val="231F20"/>
        </w:rPr>
        <w:t>aumenta.</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basándose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ingesta</w:t>
      </w:r>
      <w:r>
        <w:rPr>
          <w:color w:val="231F20"/>
          <w:spacing w:val="-8"/>
        </w:rPr>
        <w:t> </w:t>
      </w:r>
      <w:r>
        <w:rPr>
          <w:color w:val="231F20"/>
        </w:rPr>
        <w:t>diaria</w:t>
      </w:r>
      <w:r>
        <w:rPr>
          <w:color w:val="231F20"/>
          <w:spacing w:val="-8"/>
        </w:rPr>
        <w:t> </w:t>
      </w:r>
      <w:r>
        <w:rPr>
          <w:color w:val="231F20"/>
        </w:rPr>
        <w:t>de 1,500 calorías por equivalente de consumidor, un aumento de apenas el 10.0% en el aporte calórico incrementaría la producción en casi el 5.0%. Un estudio en Etiopía ha mostrado que un aumento</w:t>
      </w:r>
      <w:r>
        <w:rPr>
          <w:color w:val="231F20"/>
          <w:spacing w:val="-32"/>
        </w:rPr>
        <w:t> </w:t>
      </w:r>
      <w:r>
        <w:rPr>
          <w:color w:val="231F20"/>
        </w:rPr>
        <w:t>del 10.0%</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indicador</w:t>
      </w:r>
      <w:r>
        <w:rPr>
          <w:color w:val="231F20"/>
          <w:spacing w:val="-9"/>
        </w:rPr>
        <w:t> </w:t>
      </w:r>
      <w:r>
        <w:rPr>
          <w:color w:val="231F20"/>
        </w:rPr>
        <w:t>de</w:t>
      </w:r>
      <w:r>
        <w:rPr>
          <w:color w:val="231F20"/>
          <w:spacing w:val="-8"/>
        </w:rPr>
        <w:t> </w:t>
      </w:r>
      <w:r>
        <w:rPr>
          <w:color w:val="231F20"/>
        </w:rPr>
        <w:t>peso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talla</w:t>
      </w:r>
      <w:r>
        <w:rPr>
          <w:color w:val="231F20"/>
          <w:spacing w:val="-9"/>
        </w:rPr>
        <w:t> </w:t>
      </w:r>
      <w:r>
        <w:rPr>
          <w:color w:val="231F20"/>
        </w:rPr>
        <w:t>y</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índice</w:t>
      </w:r>
      <w:r>
        <w:rPr>
          <w:color w:val="231F20"/>
          <w:spacing w:val="-9"/>
        </w:rPr>
        <w:t> </w:t>
      </w:r>
      <w:r>
        <w:rPr>
          <w:color w:val="231F20"/>
        </w:rPr>
        <w:t>de</w:t>
      </w:r>
      <w:r>
        <w:rPr>
          <w:color w:val="231F20"/>
          <w:spacing w:val="-8"/>
        </w:rPr>
        <w:t> </w:t>
      </w:r>
      <w:r>
        <w:rPr>
          <w:color w:val="231F20"/>
        </w:rPr>
        <w:t>masa</w:t>
      </w:r>
      <w:r>
        <w:rPr>
          <w:color w:val="231F20"/>
          <w:spacing w:val="-8"/>
        </w:rPr>
        <w:t> </w:t>
      </w:r>
      <w:r>
        <w:rPr>
          <w:color w:val="231F20"/>
        </w:rPr>
        <w:t>corporal</w:t>
      </w:r>
      <w:r>
        <w:rPr>
          <w:color w:val="231F20"/>
          <w:spacing w:val="-9"/>
        </w:rPr>
        <w:t> </w:t>
      </w:r>
      <w:r>
        <w:rPr>
          <w:color w:val="231F20"/>
        </w:rPr>
        <w:t>aumentarían</w:t>
      </w:r>
      <w:r>
        <w:rPr>
          <w:color w:val="231F20"/>
          <w:spacing w:val="-9"/>
        </w:rPr>
        <w:t> </w:t>
      </w:r>
      <w:r>
        <w:rPr>
          <w:color w:val="231F20"/>
        </w:rPr>
        <w:t>la</w:t>
      </w:r>
      <w:r>
        <w:rPr>
          <w:color w:val="231F20"/>
          <w:spacing w:val="-8"/>
        </w:rPr>
        <w:t> </w:t>
      </w:r>
      <w:r>
        <w:rPr>
          <w:color w:val="231F20"/>
        </w:rPr>
        <w:t>producción y los salarios en aproximadamente el 23.0% y el 27.0%, respectivamente </w:t>
      </w:r>
      <w:r>
        <w:rPr>
          <w:color w:val="231F20"/>
          <w:spacing w:val="-4"/>
        </w:rPr>
        <w:t>(FAO,</w:t>
      </w:r>
      <w:r>
        <w:rPr>
          <w:color w:val="231F20"/>
          <w:spacing w:val="-9"/>
        </w:rPr>
        <w:t> </w:t>
      </w:r>
      <w:r>
        <w:rPr>
          <w:color w:val="231F20"/>
        </w:rPr>
        <w:t>2001).</w:t>
      </w:r>
    </w:p>
    <w:p>
      <w:pPr>
        <w:pStyle w:val="BodyText"/>
        <w:spacing w:before="10"/>
      </w:pPr>
    </w:p>
    <w:p>
      <w:pPr>
        <w:pStyle w:val="BodyText"/>
        <w:spacing w:line="247" w:lineRule="auto"/>
        <w:ind w:left="1270" w:right="1267"/>
        <w:jc w:val="both"/>
      </w:pPr>
      <w:r>
        <w:rPr>
          <w:color w:val="231F20"/>
        </w:rPr>
        <w:t>En el mismo estudio, la estatura, un indicador de la nutrición de la persona en el pasado, se revela como un factor determinante y significativo de los salarios, ya que una persona que mide 7.1 cm más que la estatura media gana un salario superior, aproximadamente el 15.0% más. Un estudio de la </w:t>
      </w:r>
      <w:r>
        <w:rPr>
          <w:color w:val="231F20"/>
          <w:spacing w:val="-6"/>
        </w:rPr>
        <w:t>FAO </w:t>
      </w:r>
      <w:r>
        <w:rPr>
          <w:color w:val="231F20"/>
        </w:rPr>
        <w:t>reveló que un aumento del suministro de energía alimentaría per-cápita a 2,770 kcal/día, en países donde el promedio estaba por debajo de ese valor, incrementaría su tasa de crecimiento del Producto</w:t>
      </w:r>
      <w:r>
        <w:rPr>
          <w:color w:val="231F20"/>
          <w:spacing w:val="-6"/>
        </w:rPr>
        <w:t> </w:t>
      </w:r>
      <w:r>
        <w:rPr>
          <w:color w:val="231F20"/>
        </w:rPr>
        <w:t>Interno</w:t>
      </w:r>
      <w:r>
        <w:rPr>
          <w:color w:val="231F20"/>
          <w:spacing w:val="-6"/>
        </w:rPr>
        <w:t> </w:t>
      </w:r>
      <w:r>
        <w:rPr>
          <w:color w:val="231F20"/>
        </w:rPr>
        <w:t>Bruto</w:t>
      </w:r>
      <w:r>
        <w:rPr>
          <w:color w:val="231F20"/>
          <w:spacing w:val="-6"/>
        </w:rPr>
        <w:t> </w:t>
      </w:r>
      <w:r>
        <w:rPr>
          <w:color w:val="231F20"/>
        </w:rPr>
        <w:t>(PIB)</w:t>
      </w:r>
      <w:r>
        <w:rPr>
          <w:color w:val="231F20"/>
          <w:spacing w:val="-6"/>
        </w:rPr>
        <w:t> </w:t>
      </w:r>
      <w:r>
        <w:rPr>
          <w:color w:val="231F20"/>
        </w:rPr>
        <w:t>per-cápita</w:t>
      </w:r>
      <w:r>
        <w:rPr>
          <w:color w:val="231F20"/>
          <w:spacing w:val="-6"/>
        </w:rPr>
        <w:t> </w:t>
      </w:r>
      <w:r>
        <w:rPr>
          <w:color w:val="231F20"/>
        </w:rPr>
        <w:t>entre</w:t>
      </w:r>
      <w:r>
        <w:rPr>
          <w:color w:val="231F20"/>
          <w:spacing w:val="-7"/>
        </w:rPr>
        <w:t> </w:t>
      </w:r>
      <w:r>
        <w:rPr>
          <w:color w:val="231F20"/>
        </w:rPr>
        <w:t>0.3</w:t>
      </w:r>
      <w:r>
        <w:rPr>
          <w:color w:val="231F20"/>
          <w:spacing w:val="-6"/>
        </w:rPr>
        <w:t> </w:t>
      </w:r>
      <w:r>
        <w:rPr>
          <w:color w:val="231F20"/>
        </w:rPr>
        <w:t>y</w:t>
      </w:r>
      <w:r>
        <w:rPr>
          <w:color w:val="231F20"/>
          <w:spacing w:val="-6"/>
        </w:rPr>
        <w:t> </w:t>
      </w:r>
      <w:r>
        <w:rPr>
          <w:color w:val="231F20"/>
        </w:rPr>
        <w:t>1.4%</w:t>
      </w:r>
      <w:r>
        <w:rPr>
          <w:color w:val="231F20"/>
          <w:spacing w:val="-6"/>
        </w:rPr>
        <w:t> </w:t>
      </w:r>
      <w:r>
        <w:rPr>
          <w:color w:val="231F20"/>
        </w:rPr>
        <w:t>por</w:t>
      </w:r>
      <w:r>
        <w:rPr>
          <w:color w:val="231F20"/>
          <w:spacing w:val="-6"/>
        </w:rPr>
        <w:t> </w:t>
      </w:r>
      <w:r>
        <w:rPr>
          <w:color w:val="231F20"/>
        </w:rPr>
        <w:t>año.</w:t>
      </w:r>
      <w:r>
        <w:rPr>
          <w:color w:val="231F20"/>
          <w:spacing w:val="-6"/>
        </w:rPr>
        <w:t> </w:t>
      </w:r>
      <w:r>
        <w:rPr>
          <w:color w:val="231F20"/>
        </w:rPr>
        <w:t>La</w:t>
      </w:r>
      <w:r>
        <w:rPr>
          <w:color w:val="231F20"/>
          <w:spacing w:val="-6"/>
        </w:rPr>
        <w:t> </w:t>
      </w:r>
      <w:r>
        <w:rPr>
          <w:color w:val="231F20"/>
        </w:rPr>
        <w:t>mejora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nutrición</w:t>
      </w:r>
      <w:r>
        <w:rPr>
          <w:color w:val="231F20"/>
          <w:spacing w:val="-6"/>
        </w:rPr>
        <w:t> </w:t>
      </w:r>
      <w:r>
        <w:rPr>
          <w:color w:val="231F20"/>
        </w:rPr>
        <w:t>repercu- te en el crecimiento económico por el aumento de la productividad del trabajo y de la esperanza de vida.</w:t>
      </w:r>
      <w:r>
        <w:rPr>
          <w:color w:val="231F20"/>
          <w:spacing w:val="-8"/>
        </w:rPr>
        <w:t> </w:t>
      </w:r>
      <w:r>
        <w:rPr>
          <w:color w:val="231F20"/>
        </w:rPr>
        <w:t>En</w:t>
      </w:r>
      <w:r>
        <w:rPr>
          <w:color w:val="231F20"/>
          <w:spacing w:val="-8"/>
        </w:rPr>
        <w:t> </w:t>
      </w:r>
      <w:r>
        <w:rPr>
          <w:color w:val="231F20"/>
        </w:rPr>
        <w:t>ciertos</w:t>
      </w:r>
      <w:r>
        <w:rPr>
          <w:color w:val="231F20"/>
          <w:spacing w:val="-8"/>
        </w:rPr>
        <w:t> </w:t>
      </w:r>
      <w:r>
        <w:rPr>
          <w:color w:val="231F20"/>
        </w:rPr>
        <w:t>países</w:t>
      </w:r>
      <w:r>
        <w:rPr>
          <w:color w:val="231F20"/>
          <w:spacing w:val="-8"/>
        </w:rPr>
        <w:t> </w:t>
      </w:r>
      <w:r>
        <w:rPr>
          <w:color w:val="231F20"/>
        </w:rPr>
        <w:t>asiáticos</w:t>
      </w:r>
      <w:r>
        <w:rPr>
          <w:color w:val="231F20"/>
          <w:spacing w:val="-8"/>
        </w:rPr>
        <w:t> </w:t>
      </w:r>
      <w:r>
        <w:rPr>
          <w:color w:val="231F20"/>
        </w:rPr>
        <w:t>se</w:t>
      </w:r>
      <w:r>
        <w:rPr>
          <w:color w:val="231F20"/>
          <w:spacing w:val="-8"/>
        </w:rPr>
        <w:t> </w:t>
      </w:r>
      <w:r>
        <w:rPr>
          <w:color w:val="231F20"/>
        </w:rPr>
        <w:t>pierde</w:t>
      </w:r>
      <w:r>
        <w:rPr>
          <w:color w:val="231F20"/>
          <w:spacing w:val="-8"/>
        </w:rPr>
        <w:t> </w:t>
      </w:r>
      <w:r>
        <w:rPr>
          <w:color w:val="231F20"/>
        </w:rPr>
        <w:t>el</w:t>
      </w:r>
      <w:r>
        <w:rPr>
          <w:color w:val="231F20"/>
          <w:spacing w:val="-8"/>
        </w:rPr>
        <w:t> </w:t>
      </w:r>
      <w:r>
        <w:rPr>
          <w:color w:val="231F20"/>
        </w:rPr>
        <w:t>3.0%</w:t>
      </w:r>
      <w:r>
        <w:rPr>
          <w:color w:val="231F20"/>
          <w:spacing w:val="-8"/>
        </w:rPr>
        <w:t> </w:t>
      </w:r>
      <w:r>
        <w:rPr>
          <w:color w:val="231F20"/>
        </w:rPr>
        <w:t>del</w:t>
      </w:r>
      <w:r>
        <w:rPr>
          <w:color w:val="231F20"/>
          <w:spacing w:val="-8"/>
        </w:rPr>
        <w:t> </w:t>
      </w:r>
      <w:r>
        <w:rPr>
          <w:color w:val="231F20"/>
        </w:rPr>
        <w:t>PIB</w:t>
      </w:r>
      <w:r>
        <w:rPr>
          <w:color w:val="231F20"/>
          <w:spacing w:val="-8"/>
        </w:rPr>
        <w:t> </w:t>
      </w:r>
      <w:r>
        <w:rPr>
          <w:color w:val="231F20"/>
        </w:rPr>
        <w:t>cada</w:t>
      </w:r>
      <w:r>
        <w:rPr>
          <w:color w:val="231F20"/>
          <w:spacing w:val="-8"/>
        </w:rPr>
        <w:t> </w:t>
      </w:r>
      <w:r>
        <w:rPr>
          <w:color w:val="231F20"/>
        </w:rPr>
        <w:t>año</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pérdidas</w:t>
      </w:r>
      <w:r>
        <w:rPr>
          <w:color w:val="231F20"/>
          <w:spacing w:val="-8"/>
        </w:rPr>
        <w:t> </w:t>
      </w:r>
      <w:r>
        <w:rPr>
          <w:color w:val="231F20"/>
        </w:rPr>
        <w:t>de</w:t>
      </w:r>
      <w:r>
        <w:rPr>
          <w:color w:val="231F20"/>
          <w:spacing w:val="-8"/>
        </w:rPr>
        <w:t> </w:t>
      </w:r>
      <w:r>
        <w:rPr>
          <w:color w:val="231F20"/>
        </w:rPr>
        <w:t>productividad</w:t>
      </w:r>
    </w:p>
    <w:p>
      <w:pPr>
        <w:pStyle w:val="BodyText"/>
        <w:spacing w:before="7"/>
        <w:rPr>
          <w:sz w:val="24"/>
        </w:rPr>
      </w:pPr>
    </w:p>
    <w:p>
      <w:pPr>
        <w:spacing w:before="72"/>
        <w:ind w:left="4027" w:right="4005" w:firstLine="0"/>
        <w:jc w:val="center"/>
        <w:rPr>
          <w:rFonts w:ascii="Trebuchet MS"/>
          <w:b/>
          <w:i/>
          <w:sz w:val="22"/>
        </w:rPr>
      </w:pPr>
      <w:r>
        <w:rPr>
          <w:rFonts w:ascii="Trebuchet MS"/>
          <w:b/>
          <w:i/>
          <w:color w:val="231F20"/>
          <w:sz w:val="22"/>
        </w:rPr>
        <w:t>39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debidas a retrasos en el crecimiento y a las carencias de hierro y yodo. Si se tiene en cuenta que las tasas</w:t>
      </w:r>
      <w:r>
        <w:rPr>
          <w:color w:val="231F20"/>
          <w:spacing w:val="-7"/>
        </w:rPr>
        <w:t> </w:t>
      </w:r>
      <w:r>
        <w:rPr>
          <w:color w:val="231F20"/>
        </w:rPr>
        <w:t>de</w:t>
      </w:r>
      <w:r>
        <w:rPr>
          <w:color w:val="231F20"/>
          <w:spacing w:val="-7"/>
        </w:rPr>
        <w:t> </w:t>
      </w:r>
      <w:r>
        <w:rPr>
          <w:color w:val="231F20"/>
        </w:rPr>
        <w:t>crecimiento</w:t>
      </w:r>
      <w:r>
        <w:rPr>
          <w:color w:val="231F20"/>
          <w:spacing w:val="-8"/>
        </w:rPr>
        <w:t> </w:t>
      </w:r>
      <w:r>
        <w:rPr>
          <w:color w:val="231F20"/>
        </w:rPr>
        <w:t>del</w:t>
      </w:r>
      <w:r>
        <w:rPr>
          <w:color w:val="231F20"/>
          <w:spacing w:val="-7"/>
        </w:rPr>
        <w:t> </w:t>
      </w:r>
      <w:r>
        <w:rPr>
          <w:color w:val="231F20"/>
        </w:rPr>
        <w:t>PIB</w:t>
      </w:r>
      <w:r>
        <w:rPr>
          <w:color w:val="231F20"/>
          <w:spacing w:val="-7"/>
        </w:rPr>
        <w:t> </w:t>
      </w:r>
      <w:r>
        <w:rPr>
          <w:color w:val="231F20"/>
        </w:rPr>
        <w:t>en</w:t>
      </w:r>
      <w:r>
        <w:rPr>
          <w:color w:val="231F20"/>
          <w:spacing w:val="-7"/>
        </w:rPr>
        <w:t> </w:t>
      </w:r>
      <w:r>
        <w:rPr>
          <w:color w:val="231F20"/>
        </w:rPr>
        <w:t>estos</w:t>
      </w:r>
      <w:r>
        <w:rPr>
          <w:color w:val="231F20"/>
          <w:spacing w:val="-7"/>
        </w:rPr>
        <w:t> </w:t>
      </w:r>
      <w:r>
        <w:rPr>
          <w:color w:val="231F20"/>
        </w:rPr>
        <w:t>países</w:t>
      </w:r>
      <w:r>
        <w:rPr>
          <w:color w:val="231F20"/>
          <w:spacing w:val="-7"/>
        </w:rPr>
        <w:t> </w:t>
      </w:r>
      <w:r>
        <w:rPr>
          <w:color w:val="231F20"/>
        </w:rPr>
        <w:t>alcanzaron</w:t>
      </w:r>
      <w:r>
        <w:rPr>
          <w:color w:val="231F20"/>
          <w:spacing w:val="-8"/>
        </w:rPr>
        <w:t> </w:t>
      </w:r>
      <w:r>
        <w:rPr>
          <w:color w:val="231F20"/>
        </w:rPr>
        <w:t>el</w:t>
      </w:r>
      <w:r>
        <w:rPr>
          <w:color w:val="231F20"/>
          <w:spacing w:val="-7"/>
        </w:rPr>
        <w:t> </w:t>
      </w:r>
      <w:r>
        <w:rPr>
          <w:color w:val="231F20"/>
        </w:rPr>
        <w:t>7.0%</w:t>
      </w:r>
      <w:r>
        <w:rPr>
          <w:color w:val="231F20"/>
          <w:spacing w:val="-7"/>
        </w:rPr>
        <w:t> </w:t>
      </w:r>
      <w:r>
        <w:rPr>
          <w:color w:val="231F20"/>
        </w:rPr>
        <w:t>anual</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años</w:t>
      </w:r>
      <w:r>
        <w:rPr>
          <w:color w:val="231F20"/>
          <w:spacing w:val="-7"/>
        </w:rPr>
        <w:t> </w:t>
      </w:r>
      <w:r>
        <w:rPr>
          <w:color w:val="231F20"/>
        </w:rPr>
        <w:t>noventa,</w:t>
      </w:r>
      <w:r>
        <w:rPr>
          <w:color w:val="231F20"/>
          <w:spacing w:val="-7"/>
        </w:rPr>
        <w:t> </w:t>
      </w:r>
      <w:r>
        <w:rPr>
          <w:color w:val="231F20"/>
        </w:rPr>
        <w:t>se</w:t>
      </w:r>
      <w:r>
        <w:rPr>
          <w:color w:val="231F20"/>
          <w:spacing w:val="-7"/>
        </w:rPr>
        <w:t> </w:t>
      </w:r>
      <w:r>
        <w:rPr>
          <w:color w:val="231F20"/>
        </w:rPr>
        <w:t>deduce que el PIB sufrió caídas importantes </w:t>
      </w:r>
      <w:r>
        <w:rPr>
          <w:color w:val="231F20"/>
          <w:spacing w:val="-4"/>
        </w:rPr>
        <w:t>(FAO,</w:t>
      </w:r>
      <w:r>
        <w:rPr>
          <w:color w:val="231F20"/>
          <w:spacing w:val="-7"/>
        </w:rPr>
        <w:t> </w:t>
      </w:r>
      <w:r>
        <w:rPr>
          <w:color w:val="231F20"/>
        </w:rPr>
        <w:t>2001).</w:t>
      </w:r>
    </w:p>
    <w:p>
      <w:pPr>
        <w:pStyle w:val="BodyText"/>
        <w:spacing w:before="10"/>
      </w:pPr>
    </w:p>
    <w:p>
      <w:pPr>
        <w:pStyle w:val="BodyText"/>
        <w:spacing w:line="247" w:lineRule="auto"/>
        <w:ind w:left="1270" w:right="1267"/>
        <w:jc w:val="both"/>
      </w:pPr>
      <w:r>
        <w:rPr>
          <w:color w:val="231F20"/>
        </w:rPr>
        <w:t>La pobreza en sus distintas formas ha sido objeto de un interés creciente por parte de la comunidad internacional en el último decenio. Se han celebrado diversas cumbres en las que se han adoptado compromisos para una reducción drástica de la miseria que tantos seres humanos padecen a lo</w:t>
      </w:r>
      <w:r>
        <w:rPr>
          <w:color w:val="231F20"/>
          <w:spacing w:val="-24"/>
        </w:rPr>
        <w:t> </w:t>
      </w:r>
      <w:r>
        <w:rPr>
          <w:color w:val="231F20"/>
        </w:rPr>
        <w:t>largo de sus vidas. Este interés constituye en sí mismo un avance alentador, pero el progreso actual sigue siendo dolorosamente lento, pese a que las medidas para mejorar los medios de subsistencia de los pobres</w:t>
      </w:r>
      <w:r>
        <w:rPr>
          <w:color w:val="231F20"/>
          <w:spacing w:val="-6"/>
        </w:rPr>
        <w:t> </w:t>
      </w:r>
      <w:r>
        <w:rPr>
          <w:color w:val="231F20"/>
        </w:rPr>
        <w:t>son</w:t>
      </w:r>
      <w:r>
        <w:rPr>
          <w:color w:val="231F20"/>
          <w:spacing w:val="-6"/>
        </w:rPr>
        <w:t> </w:t>
      </w:r>
      <w:r>
        <w:rPr>
          <w:color w:val="231F20"/>
        </w:rPr>
        <w:t>asequibles.</w:t>
      </w:r>
      <w:r>
        <w:rPr>
          <w:color w:val="231F20"/>
          <w:spacing w:val="-6"/>
        </w:rPr>
        <w:t> </w:t>
      </w:r>
      <w:r>
        <w:rPr>
          <w:color w:val="231F20"/>
        </w:rPr>
        <w:t>El</w:t>
      </w:r>
      <w:r>
        <w:rPr>
          <w:color w:val="231F20"/>
          <w:spacing w:val="-6"/>
        </w:rPr>
        <w:t> </w:t>
      </w:r>
      <w:r>
        <w:rPr>
          <w:color w:val="231F20"/>
        </w:rPr>
        <w:t>hambre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inseguridad</w:t>
      </w:r>
      <w:r>
        <w:rPr>
          <w:color w:val="231F20"/>
          <w:spacing w:val="-6"/>
        </w:rPr>
        <w:t> </w:t>
      </w:r>
      <w:r>
        <w:rPr>
          <w:color w:val="231F20"/>
        </w:rPr>
        <w:t>alimentaria</w:t>
      </w:r>
      <w:r>
        <w:rPr>
          <w:color w:val="231F20"/>
          <w:spacing w:val="-6"/>
        </w:rPr>
        <w:t> </w:t>
      </w:r>
      <w:r>
        <w:rPr>
          <w:color w:val="231F20"/>
        </w:rPr>
        <w:t>(Los</w:t>
      </w:r>
      <w:r>
        <w:rPr>
          <w:color w:val="231F20"/>
          <w:spacing w:val="-6"/>
        </w:rPr>
        <w:t> </w:t>
      </w:r>
      <w:r>
        <w:rPr>
          <w:color w:val="231F20"/>
        </w:rPr>
        <w:t>aspectos</w:t>
      </w:r>
      <w:r>
        <w:rPr>
          <w:color w:val="231F20"/>
          <w:spacing w:val="-6"/>
        </w:rPr>
        <w:t> </w:t>
      </w:r>
      <w:r>
        <w:rPr>
          <w:color w:val="231F20"/>
        </w:rPr>
        <w:t>más</w:t>
      </w:r>
      <w:r>
        <w:rPr>
          <w:color w:val="231F20"/>
          <w:spacing w:val="-6"/>
        </w:rPr>
        <w:t> </w:t>
      </w:r>
      <w:r>
        <w:rPr>
          <w:color w:val="231F20"/>
        </w:rPr>
        <w:t>graves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pobre- za extrema) han pasado a ser prioridades internacionales, y los participantes en la Cumbre Mundial sobre la Alimentación de 1996 declararon solemnemente su compromiso de reducir a la mitad para 2015 el hambre en el mundo </w:t>
      </w:r>
      <w:r>
        <w:rPr>
          <w:color w:val="231F20"/>
          <w:spacing w:val="-4"/>
        </w:rPr>
        <w:t>(FAO,</w:t>
      </w:r>
      <w:r>
        <w:rPr>
          <w:color w:val="231F20"/>
        </w:rPr>
        <w:t> 2002).</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624">
            <wp:simplePos x="0" y="0"/>
            <wp:positionH relativeFrom="page">
              <wp:posOffset>17462</wp:posOffset>
            </wp:positionH>
            <wp:positionV relativeFrom="paragraph">
              <wp:posOffset>1078570</wp:posOffset>
            </wp:positionV>
            <wp:extent cx="155575" cy="155575"/>
            <wp:effectExtent l="0" t="0" r="0" b="0"/>
            <wp:wrapNone/>
            <wp:docPr id="59" name="image2.png" descr=""/>
            <wp:cNvGraphicFramePr>
              <a:graphicFrameLocks noChangeAspect="1"/>
            </wp:cNvGraphicFramePr>
            <a:graphic>
              <a:graphicData uri="http://schemas.openxmlformats.org/drawingml/2006/picture">
                <pic:pic>
                  <pic:nvPicPr>
                    <pic:cNvPr id="6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6761162</wp:posOffset>
            </wp:positionH>
            <wp:positionV relativeFrom="paragraph">
              <wp:posOffset>1078570</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 recesión económica iniciada en Estados Unidos a finales de 2007 impactó de la forma más cruel en México al sumar 3.2 millones de personas a las filas de la pobreza, revelan las estadísticas del Consejo Nacional de Evaluación de la Política de Desarrollo Social </w:t>
      </w:r>
      <w:r>
        <w:rPr>
          <w:color w:val="231F20"/>
          <w:spacing w:val="-4"/>
        </w:rPr>
        <w:t>(CONEVAL). </w:t>
      </w:r>
      <w:r>
        <w:rPr>
          <w:color w:val="231F20"/>
        </w:rPr>
        <w:t>De acuerdo con el estudio más reciente, el número de personas en situación de pobreza en México subió de 48.8 millones</w:t>
      </w:r>
      <w:r>
        <w:rPr>
          <w:color w:val="231F20"/>
          <w:spacing w:val="-6"/>
        </w:rPr>
        <w:t> </w:t>
      </w:r>
      <w:r>
        <w:rPr>
          <w:color w:val="231F20"/>
        </w:rPr>
        <w:t>a</w:t>
      </w:r>
      <w:r>
        <w:rPr>
          <w:color w:val="231F20"/>
          <w:spacing w:val="-6"/>
        </w:rPr>
        <w:t> </w:t>
      </w:r>
      <w:r>
        <w:rPr>
          <w:color w:val="231F20"/>
        </w:rPr>
        <w:t>52</w:t>
      </w:r>
      <w:r>
        <w:rPr>
          <w:color w:val="231F20"/>
          <w:spacing w:val="-6"/>
        </w:rPr>
        <w:t> </w:t>
      </w:r>
      <w:r>
        <w:rPr>
          <w:color w:val="231F20"/>
        </w:rPr>
        <w:t>millones</w:t>
      </w:r>
      <w:r>
        <w:rPr>
          <w:color w:val="231F20"/>
          <w:spacing w:val="-6"/>
        </w:rPr>
        <w:t> </w:t>
      </w:r>
      <w:r>
        <w:rPr>
          <w:color w:val="231F20"/>
        </w:rPr>
        <w:t>entre</w:t>
      </w:r>
      <w:r>
        <w:rPr>
          <w:color w:val="231F20"/>
          <w:spacing w:val="-6"/>
        </w:rPr>
        <w:t> </w:t>
      </w:r>
      <w:r>
        <w:rPr>
          <w:color w:val="231F20"/>
        </w:rPr>
        <w:t>2008</w:t>
      </w:r>
      <w:r>
        <w:rPr>
          <w:color w:val="231F20"/>
          <w:spacing w:val="-6"/>
        </w:rPr>
        <w:t> </w:t>
      </w:r>
      <w:r>
        <w:rPr>
          <w:color w:val="231F20"/>
        </w:rPr>
        <w:t>y</w:t>
      </w:r>
      <w:r>
        <w:rPr>
          <w:color w:val="231F20"/>
          <w:spacing w:val="-6"/>
        </w:rPr>
        <w:t> </w:t>
      </w:r>
      <w:r>
        <w:rPr>
          <w:color w:val="231F20"/>
        </w:rPr>
        <w:t>2010,</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significa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46.2%</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se</w:t>
      </w:r>
      <w:r>
        <w:rPr>
          <w:color w:val="231F20"/>
          <w:spacing w:val="-6"/>
        </w:rPr>
        <w:t> </w:t>
      </w:r>
      <w:r>
        <w:rPr>
          <w:color w:val="231F20"/>
        </w:rPr>
        <w:t>encuentra en</w:t>
      </w:r>
      <w:r>
        <w:rPr>
          <w:color w:val="231F20"/>
          <w:spacing w:val="-8"/>
        </w:rPr>
        <w:t> </w:t>
      </w:r>
      <w:r>
        <w:rPr>
          <w:color w:val="231F20"/>
        </w:rPr>
        <w:t>esa</w:t>
      </w:r>
      <w:r>
        <w:rPr>
          <w:color w:val="231F20"/>
          <w:spacing w:val="-8"/>
        </w:rPr>
        <w:t> </w:t>
      </w:r>
      <w:r>
        <w:rPr>
          <w:color w:val="231F20"/>
        </w:rPr>
        <w:t>situación,</w:t>
      </w:r>
      <w:r>
        <w:rPr>
          <w:color w:val="231F20"/>
          <w:spacing w:val="-8"/>
        </w:rPr>
        <w:t> </w:t>
      </w:r>
      <w:r>
        <w:rPr>
          <w:color w:val="231F20"/>
        </w:rPr>
        <w:t>contra</w:t>
      </w:r>
      <w:r>
        <w:rPr>
          <w:color w:val="231F20"/>
          <w:spacing w:val="-8"/>
        </w:rPr>
        <w:t> </w:t>
      </w:r>
      <w:r>
        <w:rPr>
          <w:color w:val="231F20"/>
        </w:rPr>
        <w:t>el</w:t>
      </w:r>
      <w:r>
        <w:rPr>
          <w:color w:val="231F20"/>
          <w:spacing w:val="-8"/>
        </w:rPr>
        <w:t> </w:t>
      </w:r>
      <w:r>
        <w:rPr>
          <w:color w:val="231F20"/>
        </w:rPr>
        <w:t>44.5%</w:t>
      </w:r>
      <w:r>
        <w:rPr>
          <w:color w:val="231F20"/>
          <w:spacing w:val="-8"/>
        </w:rPr>
        <w:t> </w:t>
      </w:r>
      <w:r>
        <w:rPr>
          <w:color w:val="231F20"/>
        </w:rPr>
        <w:t>de</w:t>
      </w:r>
      <w:r>
        <w:rPr>
          <w:color w:val="231F20"/>
          <w:spacing w:val="-8"/>
        </w:rPr>
        <w:t> </w:t>
      </w:r>
      <w:r>
        <w:rPr>
          <w:color w:val="231F20"/>
        </w:rPr>
        <w:t>2008,</w:t>
      </w:r>
      <w:r>
        <w:rPr>
          <w:color w:val="231F20"/>
          <w:spacing w:val="-8"/>
        </w:rPr>
        <w:t> </w:t>
      </w:r>
      <w:r>
        <w:rPr>
          <w:color w:val="231F20"/>
        </w:rPr>
        <w:t>precisó</w:t>
      </w:r>
      <w:r>
        <w:rPr>
          <w:color w:val="231F20"/>
          <w:spacing w:val="-8"/>
        </w:rPr>
        <w:t> </w:t>
      </w:r>
      <w:r>
        <w:rPr>
          <w:color w:val="231F20"/>
        </w:rPr>
        <w:t>el</w:t>
      </w:r>
      <w:r>
        <w:rPr>
          <w:color w:val="231F20"/>
          <w:spacing w:val="-8"/>
        </w:rPr>
        <w:t> </w:t>
      </w:r>
      <w:r>
        <w:rPr>
          <w:color w:val="231F20"/>
        </w:rPr>
        <w:t>secretario</w:t>
      </w:r>
      <w:r>
        <w:rPr>
          <w:color w:val="231F20"/>
          <w:spacing w:val="-8"/>
        </w:rPr>
        <w:t> </w:t>
      </w:r>
      <w:r>
        <w:rPr>
          <w:color w:val="231F20"/>
        </w:rPr>
        <w:t>Ejecutivo</w:t>
      </w:r>
      <w:r>
        <w:rPr>
          <w:color w:val="231F20"/>
          <w:spacing w:val="-8"/>
        </w:rPr>
        <w:t> </w:t>
      </w:r>
      <w:r>
        <w:rPr>
          <w:color w:val="231F20"/>
        </w:rPr>
        <w:t>del</w:t>
      </w:r>
      <w:r>
        <w:rPr>
          <w:color w:val="231F20"/>
          <w:spacing w:val="-8"/>
        </w:rPr>
        <w:t> </w:t>
      </w:r>
      <w:r>
        <w:rPr>
          <w:color w:val="231F20"/>
          <w:spacing w:val="-4"/>
        </w:rPr>
        <w:t>CONEVAL</w:t>
      </w:r>
      <w:r>
        <w:rPr>
          <w:color w:val="231F20"/>
          <w:spacing w:val="-16"/>
        </w:rPr>
        <w:t> </w:t>
      </w:r>
      <w:r>
        <w:rPr>
          <w:color w:val="231F20"/>
        </w:rPr>
        <w:t>(Hernández Licona). Por su parte la pobreza extrema, la que tiene tres o más carencias sociales, pasó de 10.6% a10.4%</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total,</w:t>
      </w:r>
      <w:r>
        <w:rPr>
          <w:color w:val="231F20"/>
          <w:spacing w:val="-5"/>
        </w:rPr>
        <w:t> </w:t>
      </w:r>
      <w:r>
        <w:rPr>
          <w:color w:val="231F20"/>
        </w:rPr>
        <w:t>con</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mantiene</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11.7</w:t>
      </w:r>
      <w:r>
        <w:rPr>
          <w:color w:val="231F20"/>
          <w:spacing w:val="-4"/>
        </w:rPr>
        <w:t> </w:t>
      </w:r>
      <w:r>
        <w:rPr>
          <w:color w:val="231F20"/>
        </w:rPr>
        <w:t>millones</w:t>
      </w:r>
      <w:r>
        <w:rPr>
          <w:color w:val="231F20"/>
          <w:spacing w:val="-5"/>
        </w:rPr>
        <w:t> </w:t>
      </w:r>
      <w:r>
        <w:rPr>
          <w:color w:val="231F20"/>
        </w:rPr>
        <w:t>de</w:t>
      </w:r>
      <w:r>
        <w:rPr>
          <w:color w:val="231F20"/>
          <w:spacing w:val="-4"/>
        </w:rPr>
        <w:t> </w:t>
      </w:r>
      <w:r>
        <w:rPr>
          <w:color w:val="231F20"/>
        </w:rPr>
        <w:t>personas;</w:t>
      </w:r>
      <w:r>
        <w:rPr>
          <w:color w:val="231F20"/>
          <w:spacing w:val="-4"/>
        </w:rPr>
        <w:t> </w:t>
      </w:r>
      <w:r>
        <w:rPr>
          <w:color w:val="231F20"/>
        </w:rPr>
        <w:t>mien- tras que el número de personas vulnerables por ingreso pasó de 4.9 millones en 2008 a 6.5 millones en 2010. Destacó que 28 millones de personas tienen carencia por acceso a alimentación, lo que representa un aumento de 4.2 millones en dicho periodo. Un elemento fundamental que explica      el aumento en la pobreza fue la reducción del ingreso en el contexto de la crisis internacional, y el sector que más se vio afectado fue el urbano, y un segundo factor fue la carencia por acceso a la</w:t>
      </w:r>
      <w:r>
        <w:rPr>
          <w:color w:val="231F20"/>
          <w:spacing w:val="-32"/>
        </w:rPr>
        <w:t> </w:t>
      </w:r>
      <w:r>
        <w:rPr>
          <w:color w:val="231F20"/>
        </w:rPr>
        <w:t>ali- mentación</w:t>
      </w:r>
      <w:r>
        <w:rPr>
          <w:color w:val="231F20"/>
          <w:spacing w:val="-5"/>
        </w:rPr>
        <w:t> </w:t>
      </w:r>
      <w:r>
        <w:rPr>
          <w:color w:val="231F20"/>
        </w:rPr>
        <w:t>(por</w:t>
      </w:r>
      <w:r>
        <w:rPr>
          <w:color w:val="231F20"/>
          <w:spacing w:val="-4"/>
        </w:rPr>
        <w:t> </w:t>
      </w:r>
      <w:r>
        <w:rPr>
          <w:color w:val="231F20"/>
        </w:rPr>
        <w:t>el</w:t>
      </w:r>
      <w:r>
        <w:rPr>
          <w:color w:val="231F20"/>
          <w:spacing w:val="-4"/>
        </w:rPr>
        <w:t> </w:t>
      </w:r>
      <w:r>
        <w:rPr>
          <w:color w:val="231F20"/>
        </w:rPr>
        <w:t>aumento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precios</w:t>
      </w:r>
      <w:r>
        <w:rPr>
          <w:color w:val="231F20"/>
          <w:spacing w:val="-4"/>
        </w:rPr>
        <w:t> </w:t>
      </w:r>
      <w:r>
        <w:rPr>
          <w:color w:val="231F20"/>
        </w:rPr>
        <w:t>de</w:t>
      </w:r>
      <w:r>
        <w:rPr>
          <w:color w:val="231F20"/>
          <w:spacing w:val="-4"/>
        </w:rPr>
        <w:t> </w:t>
      </w:r>
      <w:r>
        <w:rPr>
          <w:color w:val="231F20"/>
        </w:rPr>
        <w:t>los</w:t>
      </w:r>
      <w:r>
        <w:rPr>
          <w:color w:val="231F20"/>
          <w:spacing w:val="-5"/>
        </w:rPr>
        <w:t> </w:t>
      </w:r>
      <w:r>
        <w:rPr>
          <w:color w:val="231F20"/>
        </w:rPr>
        <w:t>alimentos)</w:t>
      </w:r>
      <w:r>
        <w:rPr>
          <w:color w:val="231F20"/>
          <w:spacing w:val="-5"/>
        </w:rPr>
        <w:t> </w:t>
      </w:r>
      <w:r>
        <w:rPr>
          <w:color w:val="231F20"/>
        </w:rPr>
        <w:t>(CNNEXPANSION,</w:t>
      </w:r>
      <w:r>
        <w:rPr>
          <w:color w:val="231F20"/>
          <w:spacing w:val="-4"/>
        </w:rPr>
        <w:t> </w:t>
      </w:r>
      <w:r>
        <w:rPr>
          <w:color w:val="231F20"/>
        </w:rPr>
        <w:t>2011).</w:t>
      </w:r>
    </w:p>
    <w:p>
      <w:pPr>
        <w:pStyle w:val="BodyText"/>
        <w:spacing w:before="10"/>
      </w:pPr>
    </w:p>
    <w:p>
      <w:pPr>
        <w:pStyle w:val="BodyText"/>
        <w:spacing w:line="247" w:lineRule="auto"/>
        <w:ind w:left="1270" w:right="1267"/>
        <w:jc w:val="both"/>
      </w:pPr>
      <w:r>
        <w:rPr>
          <w:color w:val="231F20"/>
        </w:rPr>
        <w:t>El ingreso es uno de los factores principales relacionados con el comportamiento de la pobreza y lo que</w:t>
      </w:r>
      <w:r>
        <w:rPr>
          <w:color w:val="231F20"/>
          <w:spacing w:val="-4"/>
        </w:rPr>
        <w:t> </w:t>
      </w:r>
      <w:r>
        <w:rPr>
          <w:color w:val="231F20"/>
        </w:rPr>
        <w:t>se</w:t>
      </w:r>
      <w:r>
        <w:rPr>
          <w:color w:val="231F20"/>
          <w:spacing w:val="-4"/>
        </w:rPr>
        <w:t> </w:t>
      </w:r>
      <w:r>
        <w:rPr>
          <w:color w:val="231F20"/>
        </w:rPr>
        <w:t>buscaría</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crecimiento</w:t>
      </w:r>
      <w:r>
        <w:rPr>
          <w:color w:val="231F20"/>
          <w:spacing w:val="-4"/>
        </w:rPr>
        <w:t> </w:t>
      </w:r>
      <w:r>
        <w:rPr>
          <w:color w:val="231F20"/>
        </w:rPr>
        <w:t>económico</w:t>
      </w:r>
      <w:r>
        <w:rPr>
          <w:color w:val="231F20"/>
          <w:spacing w:val="-5"/>
        </w:rPr>
        <w:t> </w:t>
      </w:r>
      <w:r>
        <w:rPr>
          <w:color w:val="231F20"/>
        </w:rPr>
        <w:t>más</w:t>
      </w:r>
      <w:r>
        <w:rPr>
          <w:color w:val="231F20"/>
          <w:spacing w:val="-4"/>
        </w:rPr>
        <w:t> </w:t>
      </w:r>
      <w:r>
        <w:rPr>
          <w:color w:val="231F20"/>
        </w:rPr>
        <w:t>acelerado</w:t>
      </w:r>
      <w:r>
        <w:rPr>
          <w:color w:val="231F20"/>
          <w:spacing w:val="-5"/>
        </w:rPr>
        <w:t> </w:t>
      </w:r>
      <w:r>
        <w:rPr>
          <w:color w:val="231F20"/>
        </w:rPr>
        <w:t>que</w:t>
      </w:r>
      <w:r>
        <w:rPr>
          <w:color w:val="231F20"/>
          <w:spacing w:val="-4"/>
        </w:rPr>
        <w:t> </w:t>
      </w:r>
      <w:r>
        <w:rPr>
          <w:color w:val="231F20"/>
        </w:rPr>
        <w:t>aumente</w:t>
      </w:r>
      <w:r>
        <w:rPr>
          <w:color w:val="231F20"/>
          <w:spacing w:val="-5"/>
        </w:rPr>
        <w:t> </w:t>
      </w:r>
      <w:r>
        <w:rPr>
          <w:color w:val="231F20"/>
        </w:rPr>
        <w:t>el</w:t>
      </w:r>
      <w:r>
        <w:rPr>
          <w:color w:val="231F20"/>
          <w:spacing w:val="-4"/>
        </w:rPr>
        <w:t> </w:t>
      </w:r>
      <w:r>
        <w:rPr>
          <w:color w:val="231F20"/>
        </w:rPr>
        <w:t>ingreso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población. En 2009, después del pico de la crisis, el ingreso de los mexicanos se estabilizó; sin embargo, el </w:t>
      </w:r>
      <w:r>
        <w:rPr>
          <w:color w:val="231F20"/>
          <w:spacing w:val="-5"/>
        </w:rPr>
        <w:t>CONEVAL </w:t>
      </w:r>
      <w:r>
        <w:rPr>
          <w:color w:val="231F20"/>
        </w:rPr>
        <w:t>resaltó la necesidad de que en México existan cambios estructurales que permitan a la economía mexicana tener un crecimiento más sostenido y es cierto que la crisis pegó, pero hay que hacer</w:t>
      </w:r>
      <w:r>
        <w:rPr>
          <w:color w:val="231F20"/>
          <w:spacing w:val="-5"/>
        </w:rPr>
        <w:t> </w:t>
      </w:r>
      <w:r>
        <w:rPr>
          <w:color w:val="231F20"/>
        </w:rPr>
        <w:t>cambios</w:t>
      </w:r>
      <w:r>
        <w:rPr>
          <w:color w:val="231F20"/>
          <w:spacing w:val="-6"/>
        </w:rPr>
        <w:t> </w:t>
      </w:r>
      <w:r>
        <w:rPr>
          <w:color w:val="231F20"/>
        </w:rPr>
        <w:t>que</w:t>
      </w:r>
      <w:r>
        <w:rPr>
          <w:color w:val="231F20"/>
          <w:spacing w:val="-5"/>
        </w:rPr>
        <w:t> </w:t>
      </w:r>
      <w:r>
        <w:rPr>
          <w:color w:val="231F20"/>
        </w:rPr>
        <w:t>permitan</w:t>
      </w:r>
      <w:r>
        <w:rPr>
          <w:color w:val="231F20"/>
          <w:spacing w:val="-5"/>
        </w:rPr>
        <w:t> </w:t>
      </w:r>
      <w:r>
        <w:rPr>
          <w:color w:val="231F20"/>
        </w:rPr>
        <w:t>mejorar</w:t>
      </w:r>
      <w:r>
        <w:rPr>
          <w:color w:val="231F20"/>
          <w:spacing w:val="-6"/>
        </w:rPr>
        <w:t> </w:t>
      </w:r>
      <w:r>
        <w:rPr>
          <w:color w:val="231F20"/>
        </w:rPr>
        <w:t>la</w:t>
      </w:r>
      <w:r>
        <w:rPr>
          <w:color w:val="231F20"/>
          <w:spacing w:val="-5"/>
        </w:rPr>
        <w:t> </w:t>
      </w:r>
      <w:r>
        <w:rPr>
          <w:color w:val="231F20"/>
        </w:rPr>
        <w:t>pobreza</w:t>
      </w:r>
      <w:r>
        <w:rPr>
          <w:color w:val="231F20"/>
          <w:spacing w:val="-5"/>
        </w:rPr>
        <w:t> </w:t>
      </w:r>
      <w:r>
        <w:rPr>
          <w:color w:val="231F20"/>
        </w:rPr>
        <w:t>en</w:t>
      </w:r>
      <w:r>
        <w:rPr>
          <w:color w:val="231F20"/>
          <w:spacing w:val="-6"/>
        </w:rPr>
        <w:t> </w:t>
      </w:r>
      <w:r>
        <w:rPr>
          <w:color w:val="231F20"/>
        </w:rPr>
        <w:t>el</w:t>
      </w:r>
      <w:r>
        <w:rPr>
          <w:color w:val="231F20"/>
          <w:spacing w:val="-5"/>
        </w:rPr>
        <w:t> </w:t>
      </w:r>
      <w:r>
        <w:rPr>
          <w:color w:val="231F20"/>
        </w:rPr>
        <w:t>país.</w:t>
      </w:r>
      <w:r>
        <w:rPr>
          <w:color w:val="231F20"/>
          <w:spacing w:val="-5"/>
        </w:rPr>
        <w:t> </w:t>
      </w:r>
      <w:r>
        <w:rPr>
          <w:color w:val="231F20"/>
        </w:rPr>
        <w:t>En</w:t>
      </w:r>
      <w:r>
        <w:rPr>
          <w:color w:val="231F20"/>
          <w:spacing w:val="-6"/>
        </w:rPr>
        <w:t> </w:t>
      </w:r>
      <w:r>
        <w:rPr>
          <w:color w:val="231F20"/>
        </w:rPr>
        <w:t>México,</w:t>
      </w:r>
      <w:r>
        <w:rPr>
          <w:color w:val="231F20"/>
          <w:spacing w:val="-5"/>
        </w:rPr>
        <w:t> </w:t>
      </w:r>
      <w:r>
        <w:rPr>
          <w:color w:val="231F20"/>
        </w:rPr>
        <w:t>el</w:t>
      </w:r>
      <w:r>
        <w:rPr>
          <w:color w:val="231F20"/>
          <w:spacing w:val="-5"/>
        </w:rPr>
        <w:t> </w:t>
      </w:r>
      <w:r>
        <w:rPr>
          <w:color w:val="231F20"/>
        </w:rPr>
        <w:t>porcentaje</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con carencia por acceso a la alimentación pasó de 21.7% (23.8 millones de personas) a 24.9% (28.0 mi- llones</w:t>
      </w:r>
      <w:r>
        <w:rPr>
          <w:color w:val="231F20"/>
          <w:spacing w:val="-4"/>
        </w:rPr>
        <w:t> </w:t>
      </w:r>
      <w:r>
        <w:rPr>
          <w:color w:val="231F20"/>
        </w:rPr>
        <w:t>de</w:t>
      </w:r>
      <w:r>
        <w:rPr>
          <w:color w:val="231F20"/>
          <w:spacing w:val="-4"/>
        </w:rPr>
        <w:t> </w:t>
      </w:r>
      <w:r>
        <w:rPr>
          <w:color w:val="231F20"/>
        </w:rPr>
        <w:t>personas)</w:t>
      </w:r>
      <w:r>
        <w:rPr>
          <w:color w:val="231F20"/>
          <w:spacing w:val="-4"/>
        </w:rPr>
        <w:t> </w:t>
      </w:r>
      <w:r>
        <w:rPr>
          <w:color w:val="231F20"/>
        </w:rPr>
        <w:t>entre</w:t>
      </w:r>
      <w:r>
        <w:rPr>
          <w:color w:val="231F20"/>
          <w:spacing w:val="-4"/>
        </w:rPr>
        <w:t> </w:t>
      </w:r>
      <w:r>
        <w:rPr>
          <w:color w:val="231F20"/>
        </w:rPr>
        <w:t>2008</w:t>
      </w:r>
      <w:r>
        <w:rPr>
          <w:color w:val="231F20"/>
          <w:spacing w:val="-4"/>
        </w:rPr>
        <w:t> </w:t>
      </w:r>
      <w:r>
        <w:rPr>
          <w:color w:val="231F20"/>
        </w:rPr>
        <w:t>y</w:t>
      </w:r>
      <w:r>
        <w:rPr>
          <w:color w:val="231F20"/>
          <w:spacing w:val="-4"/>
        </w:rPr>
        <w:t> </w:t>
      </w:r>
      <w:r>
        <w:rPr>
          <w:color w:val="231F20"/>
        </w:rPr>
        <w:t>2010.</w:t>
      </w:r>
      <w:r>
        <w:rPr>
          <w:color w:val="231F20"/>
          <w:spacing w:val="-4"/>
        </w:rPr>
        <w:t> </w:t>
      </w:r>
      <w:r>
        <w:rPr>
          <w:color w:val="231F20"/>
        </w:rPr>
        <w:t>El</w:t>
      </w:r>
      <w:r>
        <w:rPr>
          <w:color w:val="231F20"/>
          <w:spacing w:val="-4"/>
        </w:rPr>
        <w:t> </w:t>
      </w:r>
      <w:r>
        <w:rPr>
          <w:color w:val="231F20"/>
        </w:rPr>
        <w:t>organismo</w:t>
      </w:r>
      <w:r>
        <w:rPr>
          <w:color w:val="231F20"/>
          <w:spacing w:val="-4"/>
        </w:rPr>
        <w:t> </w:t>
      </w:r>
      <w:r>
        <w:rPr>
          <w:color w:val="231F20"/>
        </w:rPr>
        <w:t>puntualizó</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agosto</w:t>
      </w:r>
      <w:r>
        <w:rPr>
          <w:color w:val="231F20"/>
          <w:spacing w:val="-4"/>
        </w:rPr>
        <w:t> </w:t>
      </w:r>
      <w:r>
        <w:rPr>
          <w:color w:val="231F20"/>
        </w:rPr>
        <w:t>de</w:t>
      </w:r>
      <w:r>
        <w:rPr>
          <w:color w:val="231F20"/>
          <w:spacing w:val="-4"/>
        </w:rPr>
        <w:t> </w:t>
      </w:r>
      <w:r>
        <w:rPr>
          <w:color w:val="231F20"/>
        </w:rPr>
        <w:t>2010</w:t>
      </w:r>
      <w:r>
        <w:rPr>
          <w:color w:val="231F20"/>
          <w:spacing w:val="-4"/>
        </w:rPr>
        <w:t> </w:t>
      </w:r>
      <w:r>
        <w:rPr>
          <w:color w:val="231F20"/>
        </w:rPr>
        <w:t>el</w:t>
      </w:r>
      <w:r>
        <w:rPr>
          <w:color w:val="231F20"/>
          <w:spacing w:val="-4"/>
        </w:rPr>
        <w:t> </w:t>
      </w:r>
      <w:r>
        <w:rPr>
          <w:color w:val="231F20"/>
        </w:rPr>
        <w:t>valor</w:t>
      </w:r>
      <w:r>
        <w:rPr>
          <w:color w:val="231F20"/>
          <w:spacing w:val="-4"/>
        </w:rPr>
        <w:t> </w:t>
      </w:r>
      <w:r>
        <w:rPr>
          <w:color w:val="231F20"/>
        </w:rPr>
        <w:t>de</w:t>
      </w:r>
      <w:r>
        <w:rPr>
          <w:color w:val="231F20"/>
          <w:spacing w:val="-4"/>
        </w:rPr>
        <w:t> </w:t>
      </w:r>
      <w:r>
        <w:rPr>
          <w:color w:val="231F20"/>
        </w:rPr>
        <w:t>la línea</w:t>
      </w:r>
      <w:r>
        <w:rPr>
          <w:color w:val="231F20"/>
          <w:spacing w:val="-7"/>
        </w:rPr>
        <w:t> </w:t>
      </w:r>
      <w:r>
        <w:rPr>
          <w:color w:val="231F20"/>
        </w:rPr>
        <w:t>de</w:t>
      </w:r>
      <w:r>
        <w:rPr>
          <w:color w:val="231F20"/>
          <w:spacing w:val="-6"/>
        </w:rPr>
        <w:t> </w:t>
      </w:r>
      <w:r>
        <w:rPr>
          <w:color w:val="231F20"/>
        </w:rPr>
        <w:t>bienestar</w:t>
      </w:r>
      <w:r>
        <w:rPr>
          <w:color w:val="231F20"/>
          <w:spacing w:val="-7"/>
        </w:rPr>
        <w:t> </w:t>
      </w:r>
      <w:r>
        <w:rPr>
          <w:color w:val="231F20"/>
        </w:rPr>
        <w:t>fue</w:t>
      </w:r>
      <w:r>
        <w:rPr>
          <w:color w:val="231F20"/>
          <w:spacing w:val="-6"/>
        </w:rPr>
        <w:t> </w:t>
      </w:r>
      <w:r>
        <w:rPr>
          <w:color w:val="231F20"/>
        </w:rPr>
        <w:t>de</w:t>
      </w:r>
      <w:r>
        <w:rPr>
          <w:color w:val="231F20"/>
          <w:spacing w:val="-7"/>
        </w:rPr>
        <w:t> </w:t>
      </w:r>
      <w:r>
        <w:rPr>
          <w:color w:val="231F20"/>
        </w:rPr>
        <w:t>2,114</w:t>
      </w:r>
      <w:r>
        <w:rPr>
          <w:color w:val="231F20"/>
          <w:spacing w:val="-7"/>
        </w:rPr>
        <w:t> </w:t>
      </w:r>
      <w:r>
        <w:rPr>
          <w:color w:val="231F20"/>
        </w:rPr>
        <w:t>pesos</w:t>
      </w:r>
      <w:r>
        <w:rPr>
          <w:color w:val="231F20"/>
          <w:spacing w:val="-7"/>
        </w:rPr>
        <w:t> </w:t>
      </w:r>
      <w:r>
        <w:rPr>
          <w:color w:val="231F20"/>
        </w:rPr>
        <w:t>mensuales</w:t>
      </w:r>
      <w:r>
        <w:rPr>
          <w:color w:val="231F20"/>
          <w:spacing w:val="-7"/>
        </w:rPr>
        <w:t> </w:t>
      </w:r>
      <w:r>
        <w:rPr>
          <w:color w:val="231F20"/>
        </w:rPr>
        <w:t>por</w:t>
      </w:r>
      <w:r>
        <w:rPr>
          <w:color w:val="231F20"/>
          <w:spacing w:val="-7"/>
        </w:rPr>
        <w:t> </w:t>
      </w:r>
      <w:r>
        <w:rPr>
          <w:color w:val="231F20"/>
        </w:rPr>
        <w:t>persona</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áreas</w:t>
      </w:r>
      <w:r>
        <w:rPr>
          <w:color w:val="231F20"/>
          <w:spacing w:val="-7"/>
        </w:rPr>
        <w:t> </w:t>
      </w:r>
      <w:r>
        <w:rPr>
          <w:color w:val="231F20"/>
        </w:rPr>
        <w:t>urbanas</w:t>
      </w:r>
      <w:r>
        <w:rPr>
          <w:color w:val="231F20"/>
          <w:spacing w:val="-6"/>
        </w:rPr>
        <w:t> </w:t>
      </w:r>
      <w:r>
        <w:rPr>
          <w:color w:val="231F20"/>
        </w:rPr>
        <w:t>y</w:t>
      </w:r>
      <w:r>
        <w:rPr>
          <w:color w:val="231F20"/>
          <w:spacing w:val="-7"/>
        </w:rPr>
        <w:t> </w:t>
      </w:r>
      <w:r>
        <w:rPr>
          <w:color w:val="231F20"/>
        </w:rPr>
        <w:t>de</w:t>
      </w:r>
      <w:r>
        <w:rPr>
          <w:color w:val="231F20"/>
          <w:spacing w:val="-7"/>
        </w:rPr>
        <w:t> </w:t>
      </w:r>
      <w:r>
        <w:rPr>
          <w:color w:val="231F20"/>
        </w:rPr>
        <w:t>1,329</w:t>
      </w:r>
      <w:r>
        <w:rPr>
          <w:color w:val="231F20"/>
          <w:spacing w:val="-7"/>
        </w:rPr>
        <w:t> </w:t>
      </w:r>
      <w:r>
        <w:rPr>
          <w:color w:val="231F20"/>
        </w:rPr>
        <w:t>pesos</w:t>
      </w:r>
      <w:r>
        <w:rPr>
          <w:color w:val="231F20"/>
          <w:spacing w:val="-7"/>
        </w:rPr>
        <w:t> </w:t>
      </w:r>
      <w:r>
        <w:rPr>
          <w:color w:val="231F20"/>
        </w:rPr>
        <w:t>en las rurales. Los valores correspondientes de la línea de bienestar mínimo fueron $978 pesos y $684 pesos, respectivamente. La evolución del ingreso muestra un patrón diferente en las áreas urbanas y rurales: en las primeras, el porcentaje de personas con un ingreso menor a la línea de bienestar</w:t>
      </w:r>
      <w:r>
        <w:rPr>
          <w:color w:val="231F20"/>
          <w:spacing w:val="11"/>
        </w:rPr>
        <w:t> </w:t>
      </w:r>
      <w:r>
        <w:rPr>
          <w:color w:val="231F20"/>
        </w:rPr>
        <w:t>pasó</w:t>
      </w: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40</w:t>
      </w:r>
    </w:p>
    <w:p>
      <w:pPr>
        <w:spacing w:after="0"/>
        <w:jc w:val="center"/>
        <w:rPr>
          <w:rFonts w:ascii="Trebuchet MS"/>
          <w:sz w:val="22"/>
        </w:rPr>
        <w:sectPr>
          <w:footerReference w:type="default" r:id="rId16"/>
          <w:pgSz w:w="10920" w:h="13080"/>
          <w:pgMar w:footer="223" w:header="0"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before="73"/>
        <w:ind w:left="1270"/>
        <w:jc w:val="both"/>
      </w:pPr>
      <w:r>
        <w:rPr>
          <w:color w:val="231F20"/>
        </w:rPr>
        <w:t>de 44.8% en 2008 a 47.7% en 2010; por otra parte, en las áreas rurales pasó de 63.1% a 66.0%,   en</w:t>
      </w:r>
    </w:p>
    <w:p>
      <w:pPr>
        <w:pStyle w:val="BodyText"/>
        <w:spacing w:before="8"/>
        <w:ind w:left="1270"/>
        <w:jc w:val="both"/>
      </w:pPr>
      <w:r>
        <w:rPr>
          <w:color w:val="231F20"/>
        </w:rPr>
        <w:t>estos años (CNNEXPANSION, 2011).</w:t>
      </w:r>
    </w:p>
    <w:p>
      <w:pPr>
        <w:pStyle w:val="BodyText"/>
        <w:spacing w:before="5"/>
        <w:rPr>
          <w:sz w:val="22"/>
        </w:rPr>
      </w:pPr>
    </w:p>
    <w:p>
      <w:pPr>
        <w:pStyle w:val="BodyText"/>
        <w:spacing w:line="247" w:lineRule="auto"/>
        <w:ind w:left="1270" w:right="1267"/>
        <w:jc w:val="both"/>
      </w:pPr>
      <w:r>
        <w:rPr>
          <w:color w:val="231F20"/>
        </w:rPr>
        <w:t>A</w:t>
      </w:r>
      <w:r>
        <w:rPr>
          <w:color w:val="231F20"/>
          <w:spacing w:val="-16"/>
        </w:rPr>
        <w:t> </w:t>
      </w:r>
      <w:r>
        <w:rPr>
          <w:color w:val="231F20"/>
        </w:rPr>
        <w:t>nivel</w:t>
      </w:r>
      <w:r>
        <w:rPr>
          <w:color w:val="231F20"/>
          <w:spacing w:val="-4"/>
        </w:rPr>
        <w:t> </w:t>
      </w:r>
      <w:r>
        <w:rPr>
          <w:color w:val="231F20"/>
        </w:rPr>
        <w:t>nacional,</w:t>
      </w:r>
      <w:r>
        <w:rPr>
          <w:color w:val="231F20"/>
          <w:spacing w:val="-4"/>
        </w:rPr>
        <w:t> </w:t>
      </w:r>
      <w:r>
        <w:rPr>
          <w:color w:val="231F20"/>
        </w:rPr>
        <w:t>el</w:t>
      </w:r>
      <w:r>
        <w:rPr>
          <w:color w:val="231F20"/>
          <w:spacing w:val="-4"/>
        </w:rPr>
        <w:t> </w:t>
      </w:r>
      <w:r>
        <w:rPr>
          <w:color w:val="231F20"/>
        </w:rPr>
        <w:t>porcentaje</w:t>
      </w:r>
      <w:r>
        <w:rPr>
          <w:color w:val="231F20"/>
          <w:spacing w:val="-4"/>
        </w:rPr>
        <w:t> </w:t>
      </w:r>
      <w:r>
        <w:rPr>
          <w:color w:val="231F20"/>
        </w:rPr>
        <w:t>de</w:t>
      </w:r>
      <w:r>
        <w:rPr>
          <w:color w:val="231F20"/>
          <w:spacing w:val="-4"/>
        </w:rPr>
        <w:t> </w:t>
      </w:r>
      <w:r>
        <w:rPr>
          <w:color w:val="231F20"/>
        </w:rPr>
        <w:t>población</w:t>
      </w:r>
      <w:r>
        <w:rPr>
          <w:color w:val="231F20"/>
          <w:spacing w:val="-4"/>
        </w:rPr>
        <w:t> </w:t>
      </w:r>
      <w:r>
        <w:rPr>
          <w:color w:val="231F20"/>
        </w:rPr>
        <w:t>que</w:t>
      </w:r>
      <w:r>
        <w:rPr>
          <w:color w:val="231F20"/>
          <w:spacing w:val="-4"/>
        </w:rPr>
        <w:t> </w:t>
      </w:r>
      <w:r>
        <w:rPr>
          <w:color w:val="231F20"/>
        </w:rPr>
        <w:t>dispone</w:t>
      </w:r>
      <w:r>
        <w:rPr>
          <w:color w:val="231F20"/>
          <w:spacing w:val="-4"/>
        </w:rPr>
        <w:t> </w:t>
      </w:r>
      <w:r>
        <w:rPr>
          <w:color w:val="231F20"/>
        </w:rPr>
        <w:t>de</w:t>
      </w:r>
      <w:r>
        <w:rPr>
          <w:color w:val="231F20"/>
          <w:spacing w:val="-4"/>
        </w:rPr>
        <w:t> </w:t>
      </w:r>
      <w:r>
        <w:rPr>
          <w:color w:val="231F20"/>
        </w:rPr>
        <w:t>ingresos</w:t>
      </w:r>
      <w:r>
        <w:rPr>
          <w:color w:val="231F20"/>
          <w:spacing w:val="-5"/>
        </w:rPr>
        <w:t> </w:t>
      </w:r>
      <w:r>
        <w:rPr>
          <w:color w:val="231F20"/>
        </w:rPr>
        <w:t>inferiores</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línea</w:t>
      </w:r>
      <w:r>
        <w:rPr>
          <w:color w:val="231F20"/>
          <w:spacing w:val="-4"/>
        </w:rPr>
        <w:t> </w:t>
      </w:r>
      <w:r>
        <w:rPr>
          <w:color w:val="231F20"/>
        </w:rPr>
        <w:t>de</w:t>
      </w:r>
      <w:r>
        <w:rPr>
          <w:color w:val="231F20"/>
          <w:spacing w:val="-4"/>
        </w:rPr>
        <w:t> </w:t>
      </w:r>
      <w:r>
        <w:rPr>
          <w:color w:val="231F20"/>
        </w:rPr>
        <w:t>bienes- tar aumentó de 49.0% a 52.0% entre 2008 y 2010, mientras que el porcentaje con un ingreso menor a la línea de bienestar mínimo pasó de 16.7% a 19.4%. Estos cambios se dieron en el contexto de una</w:t>
      </w:r>
      <w:r>
        <w:rPr>
          <w:color w:val="231F20"/>
          <w:spacing w:val="-5"/>
        </w:rPr>
        <w:t> </w:t>
      </w:r>
      <w:r>
        <w:rPr>
          <w:color w:val="231F20"/>
        </w:rPr>
        <w:t>crisis</w:t>
      </w:r>
      <w:r>
        <w:rPr>
          <w:color w:val="231F20"/>
          <w:spacing w:val="-6"/>
        </w:rPr>
        <w:t> </w:t>
      </w:r>
      <w:r>
        <w:rPr>
          <w:color w:val="231F20"/>
        </w:rPr>
        <w:t>económica</w:t>
      </w:r>
      <w:r>
        <w:rPr>
          <w:color w:val="231F20"/>
          <w:spacing w:val="-6"/>
        </w:rPr>
        <w:t> </w:t>
      </w:r>
      <w:r>
        <w:rPr>
          <w:color w:val="231F20"/>
        </w:rPr>
        <w:t>mundial</w:t>
      </w:r>
      <w:r>
        <w:rPr>
          <w:color w:val="231F20"/>
          <w:spacing w:val="-6"/>
        </w:rPr>
        <w:t> </w:t>
      </w:r>
      <w:r>
        <w:rPr>
          <w:color w:val="231F20"/>
        </w:rPr>
        <w:t>que</w:t>
      </w:r>
      <w:r>
        <w:rPr>
          <w:color w:val="231F20"/>
          <w:spacing w:val="-5"/>
        </w:rPr>
        <w:t> </w:t>
      </w:r>
      <w:r>
        <w:rPr>
          <w:color w:val="231F20"/>
        </w:rPr>
        <w:t>afectó</w:t>
      </w:r>
      <w:r>
        <w:rPr>
          <w:color w:val="231F20"/>
          <w:spacing w:val="-6"/>
        </w:rPr>
        <w:t> </w:t>
      </w:r>
      <w:r>
        <w:rPr>
          <w:color w:val="231F20"/>
        </w:rPr>
        <w:t>el</w:t>
      </w:r>
      <w:r>
        <w:rPr>
          <w:color w:val="231F20"/>
          <w:spacing w:val="-6"/>
        </w:rPr>
        <w:t> </w:t>
      </w:r>
      <w:r>
        <w:rPr>
          <w:color w:val="231F20"/>
        </w:rPr>
        <w:t>desempeño</w:t>
      </w:r>
      <w:r>
        <w:rPr>
          <w:color w:val="231F20"/>
          <w:spacing w:val="-5"/>
        </w:rPr>
        <w:t> </w:t>
      </w:r>
      <w:r>
        <w:rPr>
          <w:color w:val="231F20"/>
        </w:rPr>
        <w:t>económico</w:t>
      </w:r>
      <w:r>
        <w:rPr>
          <w:color w:val="231F20"/>
          <w:spacing w:val="-6"/>
        </w:rPr>
        <w:t> </w:t>
      </w:r>
      <w:r>
        <w:rPr>
          <w:color w:val="231F20"/>
        </w:rPr>
        <w:t>del</w:t>
      </w:r>
      <w:r>
        <w:rPr>
          <w:color w:val="231F20"/>
          <w:spacing w:val="-5"/>
        </w:rPr>
        <w:t> </w:t>
      </w:r>
      <w:r>
        <w:rPr>
          <w:color w:val="231F20"/>
        </w:rPr>
        <w:t>país.</w:t>
      </w:r>
      <w:r>
        <w:rPr>
          <w:color w:val="231F20"/>
          <w:spacing w:val="-5"/>
        </w:rPr>
        <w:t> </w:t>
      </w:r>
      <w:r>
        <w:rPr>
          <w:color w:val="231F20"/>
        </w:rPr>
        <w:t>La</w:t>
      </w:r>
      <w:r>
        <w:rPr>
          <w:color w:val="231F20"/>
          <w:spacing w:val="-6"/>
        </w:rPr>
        <w:t> </w:t>
      </w:r>
      <w:r>
        <w:rPr>
          <w:color w:val="231F20"/>
        </w:rPr>
        <w:t>población</w:t>
      </w:r>
      <w:r>
        <w:rPr>
          <w:color w:val="231F20"/>
          <w:spacing w:val="-5"/>
        </w:rPr>
        <w:t> </w:t>
      </w:r>
      <w:r>
        <w:rPr>
          <w:color w:val="231F20"/>
        </w:rPr>
        <w:t>vulnerable por</w:t>
      </w:r>
      <w:r>
        <w:rPr>
          <w:color w:val="231F20"/>
          <w:spacing w:val="-6"/>
        </w:rPr>
        <w:t> </w:t>
      </w:r>
      <w:r>
        <w:rPr>
          <w:color w:val="231F20"/>
        </w:rPr>
        <w:t>carencias</w:t>
      </w:r>
      <w:r>
        <w:rPr>
          <w:color w:val="231F20"/>
          <w:spacing w:val="-6"/>
        </w:rPr>
        <w:t> </w:t>
      </w:r>
      <w:r>
        <w:rPr>
          <w:color w:val="231F20"/>
        </w:rPr>
        <w:t>sociales</w:t>
      </w:r>
      <w:r>
        <w:rPr>
          <w:color w:val="231F20"/>
          <w:spacing w:val="42"/>
        </w:rPr>
        <w:t> </w:t>
      </w:r>
      <w:r>
        <w:rPr>
          <w:color w:val="231F20"/>
        </w:rPr>
        <w:t>(Si</w:t>
      </w:r>
      <w:r>
        <w:rPr>
          <w:color w:val="231F20"/>
          <w:spacing w:val="-6"/>
        </w:rPr>
        <w:t> </w:t>
      </w:r>
      <w:r>
        <w:rPr>
          <w:color w:val="231F20"/>
        </w:rPr>
        <w:t>tiene</w:t>
      </w:r>
      <w:r>
        <w:rPr>
          <w:color w:val="231F20"/>
          <w:spacing w:val="-6"/>
        </w:rPr>
        <w:t> </w:t>
      </w:r>
      <w:r>
        <w:rPr>
          <w:color w:val="231F20"/>
        </w:rPr>
        <w:t>al</w:t>
      </w:r>
      <w:r>
        <w:rPr>
          <w:color w:val="231F20"/>
          <w:spacing w:val="-6"/>
        </w:rPr>
        <w:t> </w:t>
      </w:r>
      <w:r>
        <w:rPr>
          <w:color w:val="231F20"/>
        </w:rPr>
        <w:t>menos</w:t>
      </w:r>
      <w:r>
        <w:rPr>
          <w:color w:val="231F20"/>
          <w:spacing w:val="-6"/>
        </w:rPr>
        <w:t> </w:t>
      </w:r>
      <w:r>
        <w:rPr>
          <w:color w:val="231F20"/>
        </w:rPr>
        <w:t>una</w:t>
      </w:r>
      <w:r>
        <w:rPr>
          <w:color w:val="231F20"/>
          <w:spacing w:val="-6"/>
        </w:rPr>
        <w:t> </w:t>
      </w:r>
      <w:r>
        <w:rPr>
          <w:color w:val="231F20"/>
        </w:rPr>
        <w:t>carencia,</w:t>
      </w:r>
      <w:r>
        <w:rPr>
          <w:color w:val="231F20"/>
          <w:spacing w:val="-6"/>
        </w:rPr>
        <w:t> </w:t>
      </w:r>
      <w:r>
        <w:rPr>
          <w:color w:val="231F20"/>
        </w:rPr>
        <w:t>aun</w:t>
      </w:r>
      <w:r>
        <w:rPr>
          <w:color w:val="231F20"/>
          <w:spacing w:val="-6"/>
        </w:rPr>
        <w:t> </w:t>
      </w:r>
      <w:r>
        <w:rPr>
          <w:color w:val="231F20"/>
        </w:rPr>
        <w:t>cuando</w:t>
      </w:r>
      <w:r>
        <w:rPr>
          <w:color w:val="231F20"/>
          <w:spacing w:val="-6"/>
        </w:rPr>
        <w:t> </w:t>
      </w:r>
      <w:r>
        <w:rPr>
          <w:color w:val="231F20"/>
        </w:rPr>
        <w:t>su</w:t>
      </w:r>
      <w:r>
        <w:rPr>
          <w:color w:val="231F20"/>
          <w:spacing w:val="-6"/>
        </w:rPr>
        <w:t> </w:t>
      </w:r>
      <w:r>
        <w:rPr>
          <w:color w:val="231F20"/>
        </w:rPr>
        <w:t>ingreso</w:t>
      </w:r>
      <w:r>
        <w:rPr>
          <w:color w:val="231F20"/>
          <w:spacing w:val="-6"/>
        </w:rPr>
        <w:t> </w:t>
      </w:r>
      <w:r>
        <w:rPr>
          <w:color w:val="231F20"/>
        </w:rPr>
        <w:t>sea</w:t>
      </w:r>
      <w:r>
        <w:rPr>
          <w:color w:val="231F20"/>
          <w:spacing w:val="-6"/>
        </w:rPr>
        <w:t> </w:t>
      </w:r>
      <w:r>
        <w:rPr>
          <w:color w:val="231F20"/>
        </w:rPr>
        <w:t>mayor</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línea de bienestar), disminuyó de 33.0% (36.2 millones de personas) a 28.7% (32.3 millones de</w:t>
      </w:r>
      <w:r>
        <w:rPr>
          <w:color w:val="231F20"/>
          <w:spacing w:val="-28"/>
        </w:rPr>
        <w:t> </w:t>
      </w:r>
      <w:r>
        <w:rPr>
          <w:color w:val="231F20"/>
        </w:rPr>
        <w:t>personas) entre 2008 y 2010. En cuanto a la población vulnerable por ingresos a nivel nacional, (Aquella que no tiene carencias sociales, pero sí un ingreso inferior al valor de la línea de bienestar), aumentó de 4.5% (4.9 millones de personas) a 5.8% (6.5 millones de personas) entre 2008 y 2010. Los estados donde</w:t>
      </w:r>
      <w:r>
        <w:rPr>
          <w:color w:val="231F20"/>
          <w:spacing w:val="-7"/>
        </w:rPr>
        <w:t> </w:t>
      </w:r>
      <w:r>
        <w:rPr>
          <w:color w:val="231F20"/>
        </w:rPr>
        <w:t>más</w:t>
      </w:r>
      <w:r>
        <w:rPr>
          <w:color w:val="231F20"/>
          <w:spacing w:val="-7"/>
        </w:rPr>
        <w:t> </w:t>
      </w:r>
      <w:r>
        <w:rPr>
          <w:color w:val="231F20"/>
        </w:rPr>
        <w:t>aumentó</w:t>
      </w:r>
      <w:r>
        <w:rPr>
          <w:color w:val="231F20"/>
          <w:spacing w:val="-7"/>
        </w:rPr>
        <w:t> </w:t>
      </w:r>
      <w:r>
        <w:rPr>
          <w:color w:val="231F20"/>
        </w:rPr>
        <w:t>la</w:t>
      </w:r>
      <w:r>
        <w:rPr>
          <w:color w:val="231F20"/>
          <w:spacing w:val="-7"/>
        </w:rPr>
        <w:t> </w:t>
      </w:r>
      <w:r>
        <w:rPr>
          <w:color w:val="231F20"/>
        </w:rPr>
        <w:t>pobreza</w:t>
      </w:r>
      <w:r>
        <w:rPr>
          <w:color w:val="231F20"/>
          <w:spacing w:val="-7"/>
        </w:rPr>
        <w:t> </w:t>
      </w:r>
      <w:r>
        <w:rPr>
          <w:color w:val="231F20"/>
        </w:rPr>
        <w:t>entre</w:t>
      </w:r>
      <w:r>
        <w:rPr>
          <w:color w:val="231F20"/>
          <w:spacing w:val="-7"/>
        </w:rPr>
        <w:t> </w:t>
      </w:r>
      <w:r>
        <w:rPr>
          <w:color w:val="231F20"/>
        </w:rPr>
        <w:t>2008</w:t>
      </w:r>
      <w:r>
        <w:rPr>
          <w:color w:val="231F20"/>
          <w:spacing w:val="-7"/>
        </w:rPr>
        <w:t> </w:t>
      </w:r>
      <w:r>
        <w:rPr>
          <w:color w:val="231F20"/>
        </w:rPr>
        <w:t>y</w:t>
      </w:r>
      <w:r>
        <w:rPr>
          <w:color w:val="231F20"/>
          <w:spacing w:val="-7"/>
        </w:rPr>
        <w:t> </w:t>
      </w:r>
      <w:r>
        <w:rPr>
          <w:color w:val="231F20"/>
        </w:rPr>
        <w:t>2010</w:t>
      </w:r>
      <w:r>
        <w:rPr>
          <w:color w:val="231F20"/>
          <w:spacing w:val="-7"/>
        </w:rPr>
        <w:t> </w:t>
      </w:r>
      <w:r>
        <w:rPr>
          <w:color w:val="231F20"/>
        </w:rPr>
        <w:t>fueron</w:t>
      </w:r>
      <w:r>
        <w:rPr>
          <w:color w:val="231F20"/>
          <w:spacing w:val="-10"/>
        </w:rPr>
        <w:t> </w:t>
      </w:r>
      <w:r>
        <w:rPr>
          <w:color w:val="231F20"/>
          <w:spacing w:val="-3"/>
        </w:rPr>
        <w:t>Veracruz,</w:t>
      </w:r>
      <w:r>
        <w:rPr>
          <w:color w:val="231F20"/>
          <w:spacing w:val="-7"/>
        </w:rPr>
        <w:t> </w:t>
      </w:r>
      <w:r>
        <w:rPr>
          <w:color w:val="231F20"/>
        </w:rPr>
        <w:t>Guanajuato,</w:t>
      </w:r>
      <w:r>
        <w:rPr>
          <w:color w:val="231F20"/>
          <w:spacing w:val="-7"/>
        </w:rPr>
        <w:t> </w:t>
      </w:r>
      <w:r>
        <w:rPr>
          <w:color w:val="231F20"/>
        </w:rPr>
        <w:t>Chihuahua,</w:t>
      </w:r>
      <w:r>
        <w:rPr>
          <w:color w:val="231F20"/>
          <w:spacing w:val="-7"/>
        </w:rPr>
        <w:t> </w:t>
      </w:r>
      <w:r>
        <w:rPr>
          <w:color w:val="231F20"/>
        </w:rPr>
        <w:t>Oaxaca, Baja California (CNNEXPANSION,</w:t>
      </w:r>
      <w:r>
        <w:rPr>
          <w:color w:val="231F20"/>
          <w:spacing w:val="-34"/>
        </w:rPr>
        <w:t> </w:t>
      </w:r>
      <w:r>
        <w:rPr>
          <w:color w:val="231F20"/>
        </w:rPr>
        <w:t>2011).</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672">
            <wp:simplePos x="0" y="0"/>
            <wp:positionH relativeFrom="page">
              <wp:posOffset>17462</wp:posOffset>
            </wp:positionH>
            <wp:positionV relativeFrom="paragraph">
              <wp:posOffset>919884</wp:posOffset>
            </wp:positionV>
            <wp:extent cx="155575" cy="155575"/>
            <wp:effectExtent l="0" t="0" r="0" b="0"/>
            <wp:wrapNone/>
            <wp:docPr id="65" name="image2.png" descr=""/>
            <wp:cNvGraphicFramePr>
              <a:graphicFrameLocks noChangeAspect="1"/>
            </wp:cNvGraphicFramePr>
            <a:graphic>
              <a:graphicData uri="http://schemas.openxmlformats.org/drawingml/2006/picture">
                <pic:pic>
                  <pic:nvPicPr>
                    <pic:cNvPr id="6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6761162</wp:posOffset>
            </wp:positionH>
            <wp:positionV relativeFrom="paragraph">
              <wp:posOffset>919884</wp:posOffset>
            </wp:positionV>
            <wp:extent cx="155575" cy="155575"/>
            <wp:effectExtent l="0" t="0" r="0" b="0"/>
            <wp:wrapNone/>
            <wp:docPr id="67" name="image2.png" descr=""/>
            <wp:cNvGraphicFramePr>
              <a:graphicFrameLocks noChangeAspect="1"/>
            </wp:cNvGraphicFramePr>
            <a:graphic>
              <a:graphicData uri="http://schemas.openxmlformats.org/drawingml/2006/picture">
                <pic:pic>
                  <pic:nvPicPr>
                    <pic:cNvPr id="6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En el Informe de Evaluación de la Política Social 2011 indicó que el poder adquisitivo del ingreso laboral cayó entre finales de 2008 y finales de 2010, y aunque se estabilizó durante el año pasado, no ha retomado su nivel. Durante la crisis el desempleo se incrementó y no ha logrado retomar los niveles de 2007. Precisó que además de los problemas económicos de la crisis coyuntural, también existen problemas económicos de largo plazo, pues el crecimiento del Producto Interno Bruto</w:t>
      </w:r>
      <w:r>
        <w:rPr>
          <w:color w:val="231F20"/>
          <w:spacing w:val="-22"/>
        </w:rPr>
        <w:t> </w:t>
      </w:r>
      <w:r>
        <w:rPr>
          <w:color w:val="231F20"/>
        </w:rPr>
        <w:t>(PIB) per-cápita fue de sólo 2.0% anual promedio entre 1950 y 2010. Este es un crecimiento muy bajo para las necesidades económicas de la población. Advirtió que el mercado laboral se caracteriza</w:t>
      </w:r>
      <w:r>
        <w:rPr>
          <w:color w:val="231F20"/>
          <w:spacing w:val="-25"/>
        </w:rPr>
        <w:t> </w:t>
      </w:r>
      <w:r>
        <w:rPr>
          <w:color w:val="231F20"/>
        </w:rPr>
        <w:t>por salarios bajos para un porcentaje alto de la población, falta de competitividad y una muy alta infor- malidad. Desde hace varias décadas se crean anualmente menos de un millón de empleos formales en el país. El fortalecimiento de programas sociales no es suficiente para mejorar el bienestar de la población. Se requiere también cambios que incrementen el crecimiento económico, la creación de empleos, la productividad para que combatan la desigualdad crónica del país (La Jornada, jueves 9 de febrero de 2012).</w:t>
      </w:r>
    </w:p>
    <w:p>
      <w:pPr>
        <w:pStyle w:val="BodyText"/>
        <w:spacing w:before="10"/>
      </w:pPr>
    </w:p>
    <w:p>
      <w:pPr>
        <w:pStyle w:val="BodyText"/>
        <w:spacing w:line="247" w:lineRule="auto"/>
        <w:ind w:left="1270" w:right="1267"/>
        <w:jc w:val="both"/>
      </w:pPr>
      <w:r>
        <w:rPr>
          <w:color w:val="231F20"/>
        </w:rPr>
        <w:t>México puede hacer mucho más para que el gasto público redunde en una reducción de la desigual- dad social y económica que el país enfrenta, advirtió el </w:t>
      </w:r>
      <w:r>
        <w:rPr>
          <w:color w:val="231F20"/>
          <w:spacing w:val="-5"/>
        </w:rPr>
        <w:t>CONEVAL </w:t>
      </w:r>
      <w:r>
        <w:rPr>
          <w:color w:val="231F20"/>
        </w:rPr>
        <w:t>en el informe que fue entregado a</w:t>
      </w:r>
      <w:r>
        <w:rPr>
          <w:color w:val="231F20"/>
          <w:spacing w:val="-3"/>
        </w:rPr>
        <w:t> </w:t>
      </w:r>
      <w:r>
        <w:rPr>
          <w:color w:val="231F20"/>
        </w:rPr>
        <w:t>la</w:t>
      </w:r>
      <w:r>
        <w:rPr>
          <w:color w:val="231F20"/>
          <w:spacing w:val="-3"/>
        </w:rPr>
        <w:t> </w:t>
      </w:r>
      <w:r>
        <w:rPr>
          <w:color w:val="231F20"/>
        </w:rPr>
        <w:t>Presidencia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República</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secretarías</w:t>
      </w:r>
      <w:r>
        <w:rPr>
          <w:color w:val="231F20"/>
          <w:spacing w:val="-3"/>
        </w:rPr>
        <w:t> </w:t>
      </w:r>
      <w:r>
        <w:rPr>
          <w:color w:val="231F20"/>
        </w:rPr>
        <w:t>de</w:t>
      </w:r>
      <w:r>
        <w:rPr>
          <w:color w:val="231F20"/>
          <w:spacing w:val="-3"/>
        </w:rPr>
        <w:t> </w:t>
      </w:r>
      <w:r>
        <w:rPr>
          <w:color w:val="231F20"/>
        </w:rPr>
        <w:t>Desarrollo</w:t>
      </w:r>
      <w:r>
        <w:rPr>
          <w:color w:val="231F20"/>
          <w:spacing w:val="-3"/>
        </w:rPr>
        <w:t> </w:t>
      </w:r>
      <w:r>
        <w:rPr>
          <w:color w:val="231F20"/>
        </w:rPr>
        <w:t>Social,</w:t>
      </w:r>
      <w:r>
        <w:rPr>
          <w:color w:val="231F20"/>
          <w:spacing w:val="-3"/>
        </w:rPr>
        <w:t> </w:t>
      </w:r>
      <w:r>
        <w:rPr>
          <w:color w:val="231F20"/>
        </w:rPr>
        <w:t>Hacienda</w:t>
      </w:r>
      <w:r>
        <w:rPr>
          <w:color w:val="231F20"/>
          <w:spacing w:val="-3"/>
        </w:rPr>
        <w:t> </w:t>
      </w:r>
      <w:r>
        <w:rPr>
          <w:color w:val="231F20"/>
        </w:rPr>
        <w:t>y</w:t>
      </w:r>
      <w:r>
        <w:rPr>
          <w:color w:val="231F20"/>
          <w:spacing w:val="-3"/>
        </w:rPr>
        <w:t> </w:t>
      </w:r>
      <w:r>
        <w:rPr>
          <w:color w:val="231F20"/>
        </w:rPr>
        <w:t>Crédito</w:t>
      </w:r>
      <w:r>
        <w:rPr>
          <w:color w:val="231F20"/>
          <w:spacing w:val="-3"/>
        </w:rPr>
        <w:t> </w:t>
      </w:r>
      <w:r>
        <w:rPr>
          <w:color w:val="231F20"/>
        </w:rPr>
        <w:t>Público</w:t>
      </w:r>
      <w:r>
        <w:rPr>
          <w:color w:val="231F20"/>
          <w:spacing w:val="-3"/>
        </w:rPr>
        <w:t> </w:t>
      </w:r>
      <w:r>
        <w:rPr>
          <w:color w:val="231F20"/>
        </w:rPr>
        <w:t>y Función Pública, así como a distintas comisiones de las cámaras de Diputados y Senadores. Agregó que el poder adquisitivo de los ingresos laborales de las familias mexicanas se vio afectado por al menos dos eventos económicos: el incremento en los precios de los alimentos y la crisis financiera que tuvo un efecto negativo sobre el mercado laboral del país. La falta de crecimiento económico en el largo plazo ha influido también en el desempeño de salarios, empleos e ingresos. La</w:t>
      </w:r>
      <w:r>
        <w:rPr>
          <w:color w:val="231F20"/>
          <w:spacing w:val="-32"/>
        </w:rPr>
        <w:t> </w:t>
      </w:r>
      <w:r>
        <w:rPr>
          <w:color w:val="231F20"/>
        </w:rPr>
        <w:t>reducción del poder adquisitivo del ingreso tiene repercusiones importantes sobre el desarrollo social de la población,</w:t>
      </w:r>
      <w:r>
        <w:rPr>
          <w:color w:val="231F20"/>
          <w:spacing w:val="-10"/>
        </w:rPr>
        <w:t> </w:t>
      </w:r>
      <w:r>
        <w:rPr>
          <w:color w:val="231F20"/>
        </w:rPr>
        <w:t>especialmente</w:t>
      </w:r>
      <w:r>
        <w:rPr>
          <w:color w:val="231F20"/>
          <w:spacing w:val="-10"/>
        </w:rPr>
        <w:t> </w:t>
      </w:r>
      <w:r>
        <w:rPr>
          <w:color w:val="231F20"/>
        </w:rPr>
        <w:t>sobre</w:t>
      </w:r>
      <w:r>
        <w:rPr>
          <w:color w:val="231F20"/>
          <w:spacing w:val="-9"/>
        </w:rPr>
        <w:t> </w:t>
      </w:r>
      <w:r>
        <w:rPr>
          <w:color w:val="231F20"/>
        </w:rPr>
        <w:t>la</w:t>
      </w:r>
      <w:r>
        <w:rPr>
          <w:color w:val="231F20"/>
          <w:spacing w:val="-10"/>
        </w:rPr>
        <w:t> </w:t>
      </w:r>
      <w:r>
        <w:rPr>
          <w:color w:val="231F20"/>
        </w:rPr>
        <w:t>pobreza.</w:t>
      </w:r>
      <w:r>
        <w:rPr>
          <w:color w:val="231F20"/>
          <w:spacing w:val="-10"/>
        </w:rPr>
        <w:t> </w:t>
      </w:r>
      <w:r>
        <w:rPr>
          <w:color w:val="231F20"/>
        </w:rPr>
        <w:t>Puntualizó</w:t>
      </w:r>
      <w:r>
        <w:rPr>
          <w:color w:val="231F20"/>
          <w:spacing w:val="-9"/>
        </w:rPr>
        <w:t> </w:t>
      </w:r>
      <w:r>
        <w:rPr>
          <w:color w:val="231F20"/>
        </w:rPr>
        <w:t>que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en</w:t>
      </w:r>
      <w:r>
        <w:rPr>
          <w:color w:val="231F20"/>
          <w:spacing w:val="-10"/>
        </w:rPr>
        <w:t> </w:t>
      </w:r>
      <w:r>
        <w:rPr>
          <w:color w:val="231F20"/>
        </w:rPr>
        <w:t>situación</w:t>
      </w:r>
      <w:r>
        <w:rPr>
          <w:color w:val="231F20"/>
          <w:spacing w:val="-9"/>
        </w:rPr>
        <w:t> </w:t>
      </w:r>
      <w:r>
        <w:rPr>
          <w:color w:val="231F20"/>
        </w:rPr>
        <w:t>de</w:t>
      </w:r>
      <w:r>
        <w:rPr>
          <w:color w:val="231F20"/>
          <w:spacing w:val="-10"/>
        </w:rPr>
        <w:t> </w:t>
      </w:r>
      <w:r>
        <w:rPr>
          <w:color w:val="231F20"/>
        </w:rPr>
        <w:t>pobreza</w:t>
      </w:r>
      <w:r>
        <w:rPr>
          <w:color w:val="231F20"/>
          <w:spacing w:val="-10"/>
        </w:rPr>
        <w:t> </w:t>
      </w:r>
      <w:r>
        <w:rPr>
          <w:color w:val="231F20"/>
        </w:rPr>
        <w:t>mul- tidimensional ascendió a 46.2% en 2010 (52 millones de personas), lo cual significó un incremento de</w:t>
      </w:r>
      <w:r>
        <w:rPr>
          <w:color w:val="231F20"/>
          <w:spacing w:val="-6"/>
        </w:rPr>
        <w:t> </w:t>
      </w:r>
      <w:r>
        <w:rPr>
          <w:color w:val="231F20"/>
        </w:rPr>
        <w:t>3.2</w:t>
      </w:r>
      <w:r>
        <w:rPr>
          <w:color w:val="231F20"/>
          <w:spacing w:val="-6"/>
        </w:rPr>
        <w:t> </w:t>
      </w:r>
      <w:r>
        <w:rPr>
          <w:color w:val="231F20"/>
        </w:rPr>
        <w:t>millones</w:t>
      </w:r>
      <w:r>
        <w:rPr>
          <w:color w:val="231F20"/>
          <w:spacing w:val="-7"/>
        </w:rPr>
        <w:t> </w:t>
      </w:r>
      <w:r>
        <w:rPr>
          <w:color w:val="231F20"/>
        </w:rPr>
        <w:t>de</w:t>
      </w:r>
      <w:r>
        <w:rPr>
          <w:color w:val="231F20"/>
          <w:spacing w:val="-6"/>
        </w:rPr>
        <w:t> </w:t>
      </w:r>
      <w:r>
        <w:rPr>
          <w:color w:val="231F20"/>
        </w:rPr>
        <w:t>personas.</w:t>
      </w:r>
      <w:r>
        <w:rPr>
          <w:color w:val="231F20"/>
          <w:spacing w:val="-6"/>
        </w:rPr>
        <w:t> </w:t>
      </w:r>
      <w:r>
        <w:rPr>
          <w:color w:val="231F20"/>
        </w:rPr>
        <w:t>Existe</w:t>
      </w:r>
      <w:r>
        <w:rPr>
          <w:color w:val="231F20"/>
          <w:spacing w:val="-7"/>
        </w:rPr>
        <w:t> </w:t>
      </w:r>
      <w:r>
        <w:rPr>
          <w:color w:val="231F20"/>
        </w:rPr>
        <w:t>un</w:t>
      </w:r>
      <w:r>
        <w:rPr>
          <w:color w:val="231F20"/>
          <w:spacing w:val="-6"/>
        </w:rPr>
        <w:t> </w:t>
      </w:r>
      <w:r>
        <w:rPr>
          <w:color w:val="231F20"/>
        </w:rPr>
        <w:t>gran</w:t>
      </w:r>
      <w:r>
        <w:rPr>
          <w:color w:val="231F20"/>
          <w:spacing w:val="-6"/>
        </w:rPr>
        <w:t> </w:t>
      </w:r>
      <w:r>
        <w:rPr>
          <w:color w:val="231F20"/>
        </w:rPr>
        <w:t>número</w:t>
      </w:r>
      <w:r>
        <w:rPr>
          <w:color w:val="231F20"/>
          <w:spacing w:val="-6"/>
        </w:rPr>
        <w:t> </w:t>
      </w:r>
      <w:r>
        <w:rPr>
          <w:color w:val="231F20"/>
        </w:rPr>
        <w:t>de</w:t>
      </w:r>
      <w:r>
        <w:rPr>
          <w:color w:val="231F20"/>
          <w:spacing w:val="-6"/>
        </w:rPr>
        <w:t> </w:t>
      </w:r>
      <w:r>
        <w:rPr>
          <w:color w:val="231F20"/>
        </w:rPr>
        <w:t>programas</w:t>
      </w:r>
      <w:r>
        <w:rPr>
          <w:color w:val="231F20"/>
          <w:spacing w:val="-6"/>
        </w:rPr>
        <w:t> </w:t>
      </w:r>
      <w:r>
        <w:rPr>
          <w:color w:val="231F20"/>
        </w:rPr>
        <w:t>y</w:t>
      </w:r>
      <w:r>
        <w:rPr>
          <w:color w:val="231F20"/>
          <w:spacing w:val="-6"/>
        </w:rPr>
        <w:t> </w:t>
      </w:r>
      <w:r>
        <w:rPr>
          <w:color w:val="231F20"/>
        </w:rPr>
        <w:t>acciones</w:t>
      </w:r>
      <w:r>
        <w:rPr>
          <w:color w:val="231F20"/>
          <w:spacing w:val="-7"/>
        </w:rPr>
        <w:t> </w:t>
      </w:r>
      <w:r>
        <w:rPr>
          <w:color w:val="231F20"/>
        </w:rPr>
        <w:t>de</w:t>
      </w:r>
      <w:r>
        <w:rPr>
          <w:color w:val="231F20"/>
          <w:spacing w:val="-6"/>
        </w:rPr>
        <w:t> </w:t>
      </w:r>
      <w:r>
        <w:rPr>
          <w:color w:val="231F20"/>
        </w:rPr>
        <w:t>desarrollo</w:t>
      </w:r>
      <w:r>
        <w:rPr>
          <w:color w:val="231F20"/>
          <w:spacing w:val="-6"/>
        </w:rPr>
        <w:t> </w:t>
      </w:r>
      <w:r>
        <w:rPr>
          <w:color w:val="231F20"/>
        </w:rPr>
        <w:t>social</w:t>
      </w:r>
      <w:r>
        <w:rPr>
          <w:color w:val="231F20"/>
          <w:spacing w:val="-6"/>
        </w:rPr>
        <w:t> </w:t>
      </w:r>
      <w:r>
        <w:rPr>
          <w:color w:val="231F20"/>
        </w:rPr>
        <w:t>del</w:t>
      </w:r>
    </w:p>
    <w:p>
      <w:pPr>
        <w:pStyle w:val="BodyText"/>
        <w:spacing w:before="7"/>
        <w:rPr>
          <w:sz w:val="24"/>
        </w:rPr>
      </w:pPr>
    </w:p>
    <w:p>
      <w:pPr>
        <w:spacing w:before="72"/>
        <w:ind w:left="4027" w:right="4005" w:firstLine="0"/>
        <w:jc w:val="center"/>
        <w:rPr>
          <w:rFonts w:ascii="Trebuchet MS"/>
          <w:b/>
          <w:i/>
          <w:sz w:val="22"/>
        </w:rPr>
      </w:pPr>
      <w:r>
        <w:rPr>
          <w:rFonts w:ascii="Trebuchet MS"/>
          <w:b/>
          <w:i/>
          <w:color w:val="231F20"/>
          <w:sz w:val="22"/>
        </w:rPr>
        <w:t>41</w:t>
      </w:r>
    </w:p>
    <w:p>
      <w:pPr>
        <w:spacing w:after="0"/>
        <w:jc w:val="center"/>
        <w:rPr>
          <w:rFonts w:ascii="Trebuchet MS"/>
          <w:sz w:val="22"/>
        </w:rPr>
        <w:sectPr>
          <w:footerReference w:type="default" r:id="rId17"/>
          <w:pgSz w:w="10920" w:h="13080"/>
          <w:pgMar w:footer="223" w:header="0" w:top="420" w:bottom="420" w:left="0" w:right="0"/>
          <w:pgNumType w:start="41"/>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8"/>
        <w:jc w:val="both"/>
      </w:pPr>
      <w:r>
        <w:rPr>
          <w:color w:val="231F20"/>
        </w:rPr>
        <w:t>gobierno</w:t>
      </w:r>
      <w:r>
        <w:rPr>
          <w:color w:val="231F20"/>
          <w:spacing w:val="-7"/>
        </w:rPr>
        <w:t> </w:t>
      </w:r>
      <w:r>
        <w:rPr>
          <w:color w:val="231F20"/>
        </w:rPr>
        <w:t>federal</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que</w:t>
      </w:r>
      <w:r>
        <w:rPr>
          <w:color w:val="231F20"/>
          <w:spacing w:val="-6"/>
        </w:rPr>
        <w:t> </w:t>
      </w:r>
      <w:r>
        <w:rPr>
          <w:color w:val="231F20"/>
        </w:rPr>
        <w:t>hay</w:t>
      </w:r>
      <w:r>
        <w:rPr>
          <w:color w:val="231F20"/>
          <w:spacing w:val="-6"/>
        </w:rPr>
        <w:t> </w:t>
      </w:r>
      <w:r>
        <w:rPr>
          <w:color w:val="231F20"/>
        </w:rPr>
        <w:t>una</w:t>
      </w:r>
      <w:r>
        <w:rPr>
          <w:color w:val="231F20"/>
          <w:spacing w:val="-6"/>
        </w:rPr>
        <w:t> </w:t>
      </w:r>
      <w:r>
        <w:rPr>
          <w:color w:val="231F20"/>
        </w:rPr>
        <w:t>gran</w:t>
      </w:r>
      <w:r>
        <w:rPr>
          <w:color w:val="231F20"/>
          <w:spacing w:val="-6"/>
        </w:rPr>
        <w:t> </w:t>
      </w:r>
      <w:r>
        <w:rPr>
          <w:color w:val="231F20"/>
        </w:rPr>
        <w:t>dispersión</w:t>
      </w:r>
      <w:r>
        <w:rPr>
          <w:color w:val="231F20"/>
          <w:spacing w:val="-6"/>
        </w:rPr>
        <w:t> </w:t>
      </w:r>
      <w:r>
        <w:rPr>
          <w:color w:val="231F20"/>
        </w:rPr>
        <w:t>y</w:t>
      </w:r>
      <w:r>
        <w:rPr>
          <w:color w:val="231F20"/>
          <w:spacing w:val="-7"/>
        </w:rPr>
        <w:t> </w:t>
      </w:r>
      <w:r>
        <w:rPr>
          <w:color w:val="231F20"/>
        </w:rPr>
        <w:t>una</w:t>
      </w:r>
      <w:r>
        <w:rPr>
          <w:color w:val="231F20"/>
          <w:spacing w:val="-6"/>
        </w:rPr>
        <w:t> </w:t>
      </w:r>
      <w:r>
        <w:rPr>
          <w:color w:val="231F20"/>
        </w:rPr>
        <w:t>potencial</w:t>
      </w:r>
      <w:r>
        <w:rPr>
          <w:color w:val="231F20"/>
          <w:spacing w:val="-7"/>
        </w:rPr>
        <w:t> </w:t>
      </w:r>
      <w:r>
        <w:rPr>
          <w:color w:val="231F20"/>
        </w:rPr>
        <w:t>falta</w:t>
      </w:r>
      <w:r>
        <w:rPr>
          <w:color w:val="231F20"/>
          <w:spacing w:val="-7"/>
        </w:rPr>
        <w:t> </w:t>
      </w:r>
      <w:r>
        <w:rPr>
          <w:color w:val="231F20"/>
        </w:rPr>
        <w:t>de</w:t>
      </w:r>
      <w:r>
        <w:rPr>
          <w:color w:val="231F20"/>
          <w:spacing w:val="-6"/>
        </w:rPr>
        <w:t> </w:t>
      </w:r>
      <w:r>
        <w:rPr>
          <w:color w:val="231F20"/>
        </w:rPr>
        <w:t>coordinación.</w:t>
      </w:r>
      <w:r>
        <w:rPr>
          <w:color w:val="231F20"/>
          <w:spacing w:val="-7"/>
        </w:rPr>
        <w:t> </w:t>
      </w:r>
      <w:r>
        <w:rPr>
          <w:color w:val="231F20"/>
        </w:rPr>
        <w:t>Mencionó que si se incluyeran los programas de gobiernos locales, el problema sería mayor, pero no ha sido sencillo</w:t>
      </w:r>
      <w:r>
        <w:rPr>
          <w:color w:val="231F20"/>
          <w:spacing w:val="-7"/>
        </w:rPr>
        <w:t> </w:t>
      </w:r>
      <w:r>
        <w:rPr>
          <w:color w:val="231F20"/>
        </w:rPr>
        <w:t>tener</w:t>
      </w:r>
      <w:r>
        <w:rPr>
          <w:color w:val="231F20"/>
          <w:spacing w:val="-8"/>
        </w:rPr>
        <w:t> </w:t>
      </w:r>
      <w:r>
        <w:rPr>
          <w:color w:val="231F20"/>
        </w:rPr>
        <w:t>información</w:t>
      </w:r>
      <w:r>
        <w:rPr>
          <w:color w:val="231F20"/>
          <w:spacing w:val="-8"/>
        </w:rPr>
        <w:t> </w:t>
      </w:r>
      <w:r>
        <w:rPr>
          <w:color w:val="231F20"/>
        </w:rPr>
        <w:t>sobre</w:t>
      </w:r>
      <w:r>
        <w:rPr>
          <w:color w:val="231F20"/>
          <w:spacing w:val="-7"/>
        </w:rPr>
        <w:t> </w:t>
      </w:r>
      <w:r>
        <w:rPr>
          <w:color w:val="231F20"/>
        </w:rPr>
        <w:t>la</w:t>
      </w:r>
      <w:r>
        <w:rPr>
          <w:color w:val="231F20"/>
          <w:spacing w:val="-8"/>
        </w:rPr>
        <w:t> </w:t>
      </w:r>
      <w:r>
        <w:rPr>
          <w:color w:val="231F20"/>
        </w:rPr>
        <w:t>política</w:t>
      </w:r>
      <w:r>
        <w:rPr>
          <w:color w:val="231F20"/>
          <w:spacing w:val="-8"/>
        </w:rPr>
        <w:t> </w:t>
      </w:r>
      <w:r>
        <w:rPr>
          <w:color w:val="231F20"/>
        </w:rPr>
        <w:t>de</w:t>
      </w:r>
      <w:r>
        <w:rPr>
          <w:color w:val="231F20"/>
          <w:spacing w:val="-7"/>
        </w:rPr>
        <w:t> </w:t>
      </w:r>
      <w:r>
        <w:rPr>
          <w:color w:val="231F20"/>
        </w:rPr>
        <w:t>desarrollo</w:t>
      </w:r>
      <w:r>
        <w:rPr>
          <w:color w:val="231F20"/>
          <w:spacing w:val="-7"/>
        </w:rPr>
        <w:t> </w:t>
      </w:r>
      <w:r>
        <w:rPr>
          <w:color w:val="231F20"/>
        </w:rPr>
        <w:t>social</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gobiernos</w:t>
      </w:r>
      <w:r>
        <w:rPr>
          <w:color w:val="231F20"/>
          <w:spacing w:val="-7"/>
        </w:rPr>
        <w:t> </w:t>
      </w:r>
      <w:r>
        <w:rPr>
          <w:color w:val="231F20"/>
        </w:rPr>
        <w:t>locales</w:t>
      </w:r>
      <w:r>
        <w:rPr>
          <w:color w:val="231F20"/>
          <w:spacing w:val="-8"/>
        </w:rPr>
        <w:t> </w:t>
      </w:r>
      <w:r>
        <w:rPr>
          <w:color w:val="231F20"/>
        </w:rPr>
        <w:t>(La</w:t>
      </w:r>
      <w:r>
        <w:rPr>
          <w:color w:val="231F20"/>
          <w:spacing w:val="-7"/>
        </w:rPr>
        <w:t> </w:t>
      </w:r>
      <w:r>
        <w:rPr>
          <w:color w:val="231F20"/>
        </w:rPr>
        <w:t>Jornada, jueves 9 de febrero de</w:t>
      </w:r>
      <w:r>
        <w:rPr>
          <w:color w:val="231F20"/>
          <w:spacing w:val="-1"/>
        </w:rPr>
        <w:t> </w:t>
      </w:r>
      <w:r>
        <w:rPr>
          <w:color w:val="231F20"/>
        </w:rPr>
        <w:t>2012).</w:t>
      </w:r>
    </w:p>
    <w:p>
      <w:pPr>
        <w:pStyle w:val="BodyText"/>
        <w:spacing w:before="10"/>
      </w:pPr>
    </w:p>
    <w:p>
      <w:pPr>
        <w:pStyle w:val="BodyText"/>
        <w:spacing w:line="247" w:lineRule="auto"/>
        <w:ind w:left="1270" w:right="1267"/>
        <w:jc w:val="both"/>
      </w:pPr>
      <w:r>
        <w:rPr>
          <w:color w:val="231F20"/>
        </w:rPr>
        <w:t>El</w:t>
      </w:r>
      <w:r>
        <w:rPr>
          <w:color w:val="231F20"/>
          <w:spacing w:val="-4"/>
        </w:rPr>
        <w:t> </w:t>
      </w:r>
      <w:r>
        <w:rPr>
          <w:color w:val="231F20"/>
        </w:rPr>
        <w:t>número</w:t>
      </w:r>
      <w:r>
        <w:rPr>
          <w:color w:val="231F20"/>
          <w:spacing w:val="-4"/>
        </w:rPr>
        <w:t> </w:t>
      </w:r>
      <w:r>
        <w:rPr>
          <w:color w:val="231F20"/>
        </w:rPr>
        <w:t>de</w:t>
      </w:r>
      <w:r>
        <w:rPr>
          <w:color w:val="231F20"/>
          <w:spacing w:val="-4"/>
        </w:rPr>
        <w:t> </w:t>
      </w:r>
      <w:r>
        <w:rPr>
          <w:color w:val="231F20"/>
        </w:rPr>
        <w:t>pobres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país</w:t>
      </w:r>
      <w:r>
        <w:rPr>
          <w:color w:val="231F20"/>
          <w:spacing w:val="-4"/>
        </w:rPr>
        <w:t> </w:t>
      </w:r>
      <w:r>
        <w:rPr>
          <w:color w:val="231F20"/>
        </w:rPr>
        <w:t>aumentó</w:t>
      </w:r>
      <w:r>
        <w:rPr>
          <w:color w:val="231F20"/>
          <w:spacing w:val="-5"/>
        </w:rPr>
        <w:t> </w:t>
      </w:r>
      <w:r>
        <w:rPr>
          <w:color w:val="231F20"/>
        </w:rPr>
        <w:t>en</w:t>
      </w:r>
      <w:r>
        <w:rPr>
          <w:color w:val="231F20"/>
          <w:spacing w:val="-4"/>
        </w:rPr>
        <w:t> </w:t>
      </w:r>
      <w:r>
        <w:rPr>
          <w:color w:val="231F20"/>
        </w:rPr>
        <w:t>3.2</w:t>
      </w:r>
      <w:r>
        <w:rPr>
          <w:color w:val="231F20"/>
          <w:spacing w:val="-4"/>
        </w:rPr>
        <w:t> </w:t>
      </w:r>
      <w:r>
        <w:rPr>
          <w:color w:val="231F20"/>
        </w:rPr>
        <w:t>millones</w:t>
      </w:r>
      <w:r>
        <w:rPr>
          <w:color w:val="231F20"/>
          <w:spacing w:val="-5"/>
        </w:rPr>
        <w:t> </w:t>
      </w:r>
      <w:r>
        <w:rPr>
          <w:color w:val="231F20"/>
        </w:rPr>
        <w:t>de</w:t>
      </w:r>
      <w:r>
        <w:rPr>
          <w:color w:val="231F20"/>
          <w:spacing w:val="-4"/>
        </w:rPr>
        <w:t> </w:t>
      </w:r>
      <w:r>
        <w:rPr>
          <w:color w:val="231F20"/>
        </w:rPr>
        <w:t>2008</w:t>
      </w:r>
      <w:r>
        <w:rPr>
          <w:color w:val="231F20"/>
          <w:spacing w:val="-4"/>
        </w:rPr>
        <w:t> </w:t>
      </w:r>
      <w:r>
        <w:rPr>
          <w:color w:val="231F20"/>
        </w:rPr>
        <w:t>a</w:t>
      </w:r>
      <w:r>
        <w:rPr>
          <w:color w:val="231F20"/>
          <w:spacing w:val="-4"/>
        </w:rPr>
        <w:t> </w:t>
      </w:r>
      <w:r>
        <w:rPr>
          <w:color w:val="231F20"/>
        </w:rPr>
        <w:t>2010</w:t>
      </w:r>
      <w:r>
        <w:rPr>
          <w:color w:val="231F20"/>
          <w:spacing w:val="-4"/>
        </w:rPr>
        <w:t> </w:t>
      </w:r>
      <w:r>
        <w:rPr>
          <w:color w:val="231F20"/>
        </w:rPr>
        <w:t>para</w:t>
      </w:r>
      <w:r>
        <w:rPr>
          <w:color w:val="231F20"/>
          <w:spacing w:val="-4"/>
        </w:rPr>
        <w:t> </w:t>
      </w:r>
      <w:r>
        <w:rPr>
          <w:color w:val="231F20"/>
        </w:rPr>
        <w:t>llegar</w:t>
      </w:r>
      <w:r>
        <w:rPr>
          <w:color w:val="231F20"/>
          <w:spacing w:val="-5"/>
        </w:rPr>
        <w:t> </w:t>
      </w:r>
      <w:r>
        <w:rPr>
          <w:color w:val="231F20"/>
        </w:rPr>
        <w:t>a</w:t>
      </w:r>
      <w:r>
        <w:rPr>
          <w:color w:val="231F20"/>
          <w:spacing w:val="-4"/>
        </w:rPr>
        <w:t> </w:t>
      </w:r>
      <w:r>
        <w:rPr>
          <w:color w:val="231F20"/>
        </w:rPr>
        <w:t>52</w:t>
      </w:r>
      <w:r>
        <w:rPr>
          <w:color w:val="231F20"/>
          <w:spacing w:val="-4"/>
        </w:rPr>
        <w:t> </w:t>
      </w:r>
      <w:r>
        <w:rPr>
          <w:color w:val="231F20"/>
        </w:rPr>
        <w:t>millones,</w:t>
      </w:r>
      <w:r>
        <w:rPr>
          <w:color w:val="231F20"/>
          <w:spacing w:val="-5"/>
        </w:rPr>
        <w:t> </w:t>
      </w:r>
      <w:r>
        <w:rPr>
          <w:color w:val="231F20"/>
        </w:rPr>
        <w:t>es decir, el 46.2% de la población, según datos del </w:t>
      </w:r>
      <w:r>
        <w:rPr>
          <w:color w:val="231F20"/>
          <w:spacing w:val="-4"/>
        </w:rPr>
        <w:t>CONEVAL. </w:t>
      </w:r>
      <w:r>
        <w:rPr>
          <w:color w:val="231F20"/>
        </w:rPr>
        <w:t>El estudio establece que el incremento en los precios de los alimentos y la crisis financiera tuvieron un efecto negativo sobre el mercado laboral del país. “El incremento del número de personas en situación de pobreza estuvo relacionado con el crecimiento de la población que carece de acceso a la alimentación, la cual aumentó en 4.2 millones entre 2008 y 2010, así como a la reducción del ingreso real de los hogares, especialmente en las áreas urbanas”, afirma el organismo (El Siglo de Torreón, </w:t>
      </w:r>
      <w:r>
        <w:rPr>
          <w:color w:val="231F20"/>
          <w:spacing w:val="-4"/>
        </w:rPr>
        <w:t>11 </w:t>
      </w:r>
      <w:r>
        <w:rPr>
          <w:color w:val="231F20"/>
        </w:rPr>
        <w:t>de febrero de</w:t>
      </w:r>
      <w:r>
        <w:rPr>
          <w:color w:val="231F20"/>
          <w:spacing w:val="-31"/>
        </w:rPr>
        <w:t> </w:t>
      </w:r>
      <w:r>
        <w:rPr>
          <w:color w:val="231F20"/>
        </w:rPr>
        <w:t>2012).</w:t>
      </w:r>
    </w:p>
    <w:p>
      <w:pPr>
        <w:pStyle w:val="BodyText"/>
        <w:spacing w:before="10"/>
      </w:pPr>
    </w:p>
    <w:p>
      <w:pPr>
        <w:pStyle w:val="BodyText"/>
        <w:spacing w:line="247" w:lineRule="auto"/>
        <w:ind w:left="1270" w:right="1268"/>
        <w:jc w:val="both"/>
      </w:pPr>
      <w:r>
        <w:rPr>
          <w:color w:val="231F20"/>
        </w:rPr>
        <w:t>En base a lo anterior, el objetivo del trabajo fue analizar la pobreza en México de acuerdo a las Ne- cesidades Básicas Insatisfechas (NBI).</w:t>
      </w:r>
    </w:p>
    <w:p>
      <w:pPr>
        <w:pStyle w:val="BodyText"/>
        <w:spacing w:before="9"/>
        <w:rPr>
          <w:sz w:val="22"/>
        </w:rPr>
      </w:pPr>
    </w:p>
    <w:p>
      <w:pPr>
        <w:pStyle w:val="Heading2"/>
      </w:pPr>
      <w:r>
        <w:rPr>
          <w:color w:val="010202"/>
        </w:rPr>
        <w:t>Materiales y Métodos</w:t>
      </w:r>
    </w:p>
    <w:p>
      <w:pPr>
        <w:pStyle w:val="BodyText"/>
        <w:spacing w:before="10"/>
        <w:rPr>
          <w:b/>
        </w:rPr>
      </w:pPr>
    </w:p>
    <w:p>
      <w:pPr>
        <w:pStyle w:val="BodyText"/>
        <w:spacing w:line="247" w:lineRule="auto"/>
        <w:ind w:left="1270" w:right="1267"/>
        <w:jc w:val="both"/>
      </w:pPr>
      <w:r>
        <w:rPr/>
        <w:drawing>
          <wp:anchor distT="0" distB="0" distL="0" distR="0" allowOverlap="1" layoutInCell="1" locked="0" behindDoc="0" simplePos="0" relativeHeight="1720">
            <wp:simplePos x="0" y="0"/>
            <wp:positionH relativeFrom="page">
              <wp:posOffset>17462</wp:posOffset>
            </wp:positionH>
            <wp:positionV relativeFrom="paragraph">
              <wp:posOffset>418818</wp:posOffset>
            </wp:positionV>
            <wp:extent cx="155575" cy="155575"/>
            <wp:effectExtent l="0" t="0" r="0" b="0"/>
            <wp:wrapNone/>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6761162</wp:posOffset>
            </wp:positionH>
            <wp:positionV relativeFrom="paragraph">
              <wp:posOffset>418818</wp:posOffset>
            </wp:positionV>
            <wp:extent cx="155575" cy="155575"/>
            <wp:effectExtent l="0" t="0" r="0" b="0"/>
            <wp:wrapNone/>
            <wp:docPr id="71" name="image2.png" descr=""/>
            <wp:cNvGraphicFramePr>
              <a:graphicFrameLocks noChangeAspect="1"/>
            </wp:cNvGraphicFramePr>
            <a:graphic>
              <a:graphicData uri="http://schemas.openxmlformats.org/drawingml/2006/picture">
                <pic:pic>
                  <pic:nvPicPr>
                    <pic:cNvPr id="7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Se</w:t>
      </w:r>
      <w:r>
        <w:rPr>
          <w:color w:val="231F20"/>
          <w:spacing w:val="-4"/>
        </w:rPr>
        <w:t> </w:t>
      </w:r>
      <w:r>
        <w:rPr>
          <w:color w:val="231F20"/>
        </w:rPr>
        <w:t>realizó</w:t>
      </w:r>
      <w:r>
        <w:rPr>
          <w:color w:val="231F20"/>
          <w:spacing w:val="-4"/>
        </w:rPr>
        <w:t> </w:t>
      </w:r>
      <w:r>
        <w:rPr>
          <w:color w:val="231F20"/>
        </w:rPr>
        <w:t>una</w:t>
      </w:r>
      <w:r>
        <w:rPr>
          <w:color w:val="231F20"/>
          <w:spacing w:val="-4"/>
        </w:rPr>
        <w:t> </w:t>
      </w:r>
      <w:r>
        <w:rPr>
          <w:color w:val="231F20"/>
        </w:rPr>
        <w:t>investigación</w:t>
      </w:r>
      <w:r>
        <w:rPr>
          <w:color w:val="231F20"/>
          <w:spacing w:val="-5"/>
        </w:rPr>
        <w:t> </w:t>
      </w:r>
      <w:r>
        <w:rPr>
          <w:color w:val="231F20"/>
        </w:rPr>
        <w:t>documental</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encontrada</w:t>
      </w:r>
      <w:r>
        <w:rPr>
          <w:color w:val="231F20"/>
          <w:spacing w:val="-5"/>
        </w:rPr>
        <w:t> </w:t>
      </w:r>
      <w:r>
        <w:rPr>
          <w:color w:val="231F20"/>
        </w:rPr>
        <w:t>por</w:t>
      </w:r>
      <w:r>
        <w:rPr>
          <w:color w:val="231F20"/>
          <w:spacing w:val="-4"/>
        </w:rPr>
        <w:t> </w:t>
      </w:r>
      <w:r>
        <w:rPr>
          <w:color w:val="231F20"/>
        </w:rPr>
        <w:t>diferentes</w:t>
      </w:r>
      <w:r>
        <w:rPr>
          <w:color w:val="231F20"/>
          <w:spacing w:val="-4"/>
        </w:rPr>
        <w:t> </w:t>
      </w:r>
      <w:r>
        <w:rPr>
          <w:color w:val="231F20"/>
        </w:rPr>
        <w:t>institu- ciones gubernamentales como: Banco de México, Consejo Nacional de Evaluación de la Política de Desarrollo Social </w:t>
      </w:r>
      <w:r>
        <w:rPr>
          <w:color w:val="231F20"/>
          <w:spacing w:val="-4"/>
        </w:rPr>
        <w:t>(CONEVAL), </w:t>
      </w:r>
      <w:r>
        <w:rPr>
          <w:color w:val="231F20"/>
        </w:rPr>
        <w:t>Instituto de Estadística Geografía e Informática (INEGI), Consejo Nacional de Población (CONAPO), Secretaria de Economía (SE), Secretaría de Educación Pública (SEP), Consejo de Investigación y Evaluación de la Política Social (CIEPS), Instituto de Informa- ción e Investigación Geográfica, Estadística y Catastral del Estado de México (IGECEM), Banco Mundial (BM), Comisión Económica para América Latina </w:t>
      </w:r>
      <w:r>
        <w:rPr>
          <w:color w:val="231F20"/>
          <w:spacing w:val="-3"/>
        </w:rPr>
        <w:t>(CEPAL), </w:t>
      </w:r>
      <w:r>
        <w:rPr>
          <w:color w:val="231F20"/>
        </w:rPr>
        <w:t>Organización para la Coope- ración y el Desarrollo Económico (OCDE), entre otras, que ayudará a analizar el contexto en el que se genera la</w:t>
      </w:r>
      <w:r>
        <w:rPr>
          <w:color w:val="231F20"/>
          <w:spacing w:val="-1"/>
        </w:rPr>
        <w:t> </w:t>
      </w:r>
      <w:r>
        <w:rPr>
          <w:color w:val="231F20"/>
        </w:rPr>
        <w:t>pobreza.</w:t>
      </w:r>
    </w:p>
    <w:p>
      <w:pPr>
        <w:pStyle w:val="BodyText"/>
        <w:spacing w:before="9"/>
        <w:rPr>
          <w:sz w:val="22"/>
        </w:rPr>
      </w:pPr>
    </w:p>
    <w:p>
      <w:pPr>
        <w:pStyle w:val="Heading2"/>
      </w:pPr>
      <w:r>
        <w:rPr>
          <w:color w:val="010202"/>
        </w:rPr>
        <w:t>Análisis y discusión de resultados</w:t>
      </w:r>
    </w:p>
    <w:p>
      <w:pPr>
        <w:pStyle w:val="BodyText"/>
        <w:spacing w:before="10"/>
        <w:rPr>
          <w:b/>
        </w:rPr>
      </w:pPr>
    </w:p>
    <w:p>
      <w:pPr>
        <w:pStyle w:val="BodyText"/>
        <w:spacing w:line="247" w:lineRule="auto"/>
        <w:ind w:left="1270" w:right="1268"/>
        <w:jc w:val="both"/>
      </w:pPr>
      <w:r>
        <w:rPr>
          <w:color w:val="231F20"/>
        </w:rPr>
        <w:t>El </w:t>
      </w:r>
      <w:r>
        <w:rPr>
          <w:color w:val="231F20"/>
          <w:spacing w:val="-3"/>
        </w:rPr>
        <w:t>Estado </w:t>
      </w:r>
      <w:r>
        <w:rPr>
          <w:color w:val="231F20"/>
        </w:rPr>
        <w:t>de </w:t>
      </w:r>
      <w:r>
        <w:rPr>
          <w:color w:val="231F20"/>
          <w:spacing w:val="-3"/>
        </w:rPr>
        <w:t>México </w:t>
      </w:r>
      <w:r>
        <w:rPr>
          <w:color w:val="231F20"/>
        </w:rPr>
        <w:t>es la </w:t>
      </w:r>
      <w:r>
        <w:rPr>
          <w:color w:val="231F20"/>
          <w:spacing w:val="-3"/>
        </w:rPr>
        <w:t>entidad </w:t>
      </w:r>
      <w:r>
        <w:rPr>
          <w:color w:val="231F20"/>
        </w:rPr>
        <w:t>que </w:t>
      </w:r>
      <w:r>
        <w:rPr>
          <w:color w:val="231F20"/>
          <w:spacing w:val="-3"/>
        </w:rPr>
        <w:t>presentó mayor aumento </w:t>
      </w:r>
      <w:r>
        <w:rPr>
          <w:color w:val="231F20"/>
        </w:rPr>
        <w:t>de </w:t>
      </w:r>
      <w:r>
        <w:rPr>
          <w:color w:val="231F20"/>
          <w:spacing w:val="-3"/>
        </w:rPr>
        <w:t>personas </w:t>
      </w:r>
      <w:r>
        <w:rPr>
          <w:color w:val="231F20"/>
        </w:rPr>
        <w:t>en </w:t>
      </w:r>
      <w:r>
        <w:rPr>
          <w:color w:val="231F20"/>
          <w:spacing w:val="-3"/>
        </w:rPr>
        <w:t>pobreza extrema de 2008 </w:t>
      </w:r>
      <w:r>
        <w:rPr>
          <w:color w:val="231F20"/>
        </w:rPr>
        <w:t>a </w:t>
      </w:r>
      <w:r>
        <w:rPr>
          <w:color w:val="231F20"/>
          <w:spacing w:val="-3"/>
        </w:rPr>
        <w:t>2010, según datos </w:t>
      </w:r>
      <w:r>
        <w:rPr>
          <w:color w:val="231F20"/>
        </w:rPr>
        <w:t>del </w:t>
      </w:r>
      <w:r>
        <w:rPr>
          <w:color w:val="231F20"/>
          <w:spacing w:val="-6"/>
        </w:rPr>
        <w:t>CONEVAL. </w:t>
      </w:r>
      <w:r>
        <w:rPr>
          <w:color w:val="231F20"/>
        </w:rPr>
        <w:t>El </w:t>
      </w:r>
      <w:r>
        <w:rPr>
          <w:color w:val="231F20"/>
          <w:spacing w:val="-3"/>
        </w:rPr>
        <w:t>Informe </w:t>
      </w:r>
      <w:r>
        <w:rPr>
          <w:color w:val="231F20"/>
        </w:rPr>
        <w:t>de </w:t>
      </w:r>
      <w:r>
        <w:rPr>
          <w:color w:val="231F20"/>
          <w:spacing w:val="-3"/>
        </w:rPr>
        <w:t>Evaluación </w:t>
      </w:r>
      <w:r>
        <w:rPr>
          <w:color w:val="231F20"/>
        </w:rPr>
        <w:t>de la </w:t>
      </w:r>
      <w:r>
        <w:rPr>
          <w:color w:val="231F20"/>
          <w:spacing w:val="-3"/>
        </w:rPr>
        <w:t>Política </w:t>
      </w:r>
      <w:r>
        <w:rPr>
          <w:color w:val="231F20"/>
        </w:rPr>
        <w:t>de </w:t>
      </w:r>
      <w:r>
        <w:rPr>
          <w:color w:val="231F20"/>
          <w:spacing w:val="-3"/>
        </w:rPr>
        <w:t>Desarrollo </w:t>
      </w:r>
      <w:r>
        <w:rPr>
          <w:color w:val="231F20"/>
        </w:rPr>
        <w:t>So- </w:t>
      </w:r>
      <w:r>
        <w:rPr>
          <w:color w:val="231F20"/>
          <w:spacing w:val="-3"/>
        </w:rPr>
        <w:t>cial </w:t>
      </w:r>
      <w:r>
        <w:rPr>
          <w:color w:val="231F20"/>
          <w:spacing w:val="-4"/>
        </w:rPr>
        <w:t>2011 </w:t>
      </w:r>
      <w:r>
        <w:rPr>
          <w:color w:val="231F20"/>
          <w:spacing w:val="-3"/>
        </w:rPr>
        <w:t>detalla </w:t>
      </w:r>
      <w:r>
        <w:rPr>
          <w:color w:val="231F20"/>
        </w:rPr>
        <w:t>la </w:t>
      </w:r>
      <w:r>
        <w:rPr>
          <w:color w:val="231F20"/>
          <w:spacing w:val="-3"/>
        </w:rPr>
        <w:t>distribución </w:t>
      </w:r>
      <w:r>
        <w:rPr>
          <w:color w:val="231F20"/>
        </w:rPr>
        <w:t>de la </w:t>
      </w:r>
      <w:r>
        <w:rPr>
          <w:color w:val="231F20"/>
          <w:spacing w:val="-3"/>
        </w:rPr>
        <w:t>población </w:t>
      </w:r>
      <w:r>
        <w:rPr>
          <w:color w:val="231F20"/>
        </w:rPr>
        <w:t>en </w:t>
      </w:r>
      <w:r>
        <w:rPr>
          <w:color w:val="231F20"/>
          <w:spacing w:val="-3"/>
        </w:rPr>
        <w:t>pobreza </w:t>
      </w:r>
      <w:r>
        <w:rPr>
          <w:color w:val="231F20"/>
        </w:rPr>
        <w:t>en </w:t>
      </w:r>
      <w:r>
        <w:rPr>
          <w:color w:val="231F20"/>
          <w:spacing w:val="-3"/>
        </w:rPr>
        <w:t>2010 </w:t>
      </w:r>
      <w:r>
        <w:rPr>
          <w:color w:val="231F20"/>
        </w:rPr>
        <w:t>por </w:t>
      </w:r>
      <w:r>
        <w:rPr>
          <w:color w:val="231F20"/>
          <w:spacing w:val="-3"/>
        </w:rPr>
        <w:t>entidad federativa, </w:t>
      </w:r>
      <w:r>
        <w:rPr>
          <w:color w:val="231F20"/>
        </w:rPr>
        <w:t>así </w:t>
      </w:r>
      <w:r>
        <w:rPr>
          <w:color w:val="231F20"/>
          <w:spacing w:val="-3"/>
        </w:rPr>
        <w:t>como  </w:t>
      </w:r>
      <w:r>
        <w:rPr>
          <w:color w:val="231F20"/>
        </w:rPr>
        <w:t>el </w:t>
      </w:r>
      <w:r>
        <w:rPr>
          <w:color w:val="231F20"/>
          <w:spacing w:val="-3"/>
        </w:rPr>
        <w:t>aumento </w:t>
      </w:r>
      <w:r>
        <w:rPr>
          <w:color w:val="231F20"/>
        </w:rPr>
        <w:t>y </w:t>
      </w:r>
      <w:r>
        <w:rPr>
          <w:color w:val="231F20"/>
          <w:spacing w:val="-3"/>
        </w:rPr>
        <w:t>disminución durante </w:t>
      </w:r>
      <w:r>
        <w:rPr>
          <w:color w:val="231F20"/>
        </w:rPr>
        <w:t>el </w:t>
      </w:r>
      <w:r>
        <w:rPr>
          <w:color w:val="231F20"/>
          <w:spacing w:val="-3"/>
        </w:rPr>
        <w:t>periodo 2008-2010. </w:t>
      </w:r>
      <w:r>
        <w:rPr>
          <w:color w:val="231F20"/>
        </w:rPr>
        <w:t>Los </w:t>
      </w:r>
      <w:r>
        <w:rPr>
          <w:color w:val="231F20"/>
          <w:spacing w:val="-3"/>
        </w:rPr>
        <w:t>estados </w:t>
      </w:r>
      <w:r>
        <w:rPr>
          <w:color w:val="231F20"/>
        </w:rPr>
        <w:t>que </w:t>
      </w:r>
      <w:r>
        <w:rPr>
          <w:color w:val="231F20"/>
          <w:spacing w:val="-3"/>
        </w:rPr>
        <w:t>mayor aumento </w:t>
      </w:r>
      <w:r>
        <w:rPr>
          <w:color w:val="231F20"/>
        </w:rPr>
        <w:t>en </w:t>
      </w:r>
      <w:r>
        <w:rPr>
          <w:color w:val="231F20"/>
          <w:spacing w:val="-3"/>
        </w:rPr>
        <w:t>pobreza extrema registraron fueron </w:t>
      </w:r>
      <w:r>
        <w:rPr>
          <w:color w:val="231F20"/>
        </w:rPr>
        <w:t>el </w:t>
      </w:r>
      <w:r>
        <w:rPr>
          <w:color w:val="231F20"/>
          <w:spacing w:val="-3"/>
        </w:rPr>
        <w:t>Estado </w:t>
      </w:r>
      <w:r>
        <w:rPr>
          <w:color w:val="231F20"/>
        </w:rPr>
        <w:t>de </w:t>
      </w:r>
      <w:r>
        <w:rPr>
          <w:color w:val="231F20"/>
          <w:spacing w:val="-3"/>
        </w:rPr>
        <w:t>México (214 </w:t>
      </w:r>
      <w:r>
        <w:rPr>
          <w:color w:val="231F20"/>
        </w:rPr>
        <w:t>mil </w:t>
      </w:r>
      <w:r>
        <w:rPr>
          <w:color w:val="231F20"/>
          <w:spacing w:val="-3"/>
        </w:rPr>
        <w:t>personas </w:t>
      </w:r>
      <w:r>
        <w:rPr>
          <w:color w:val="231F20"/>
        </w:rPr>
        <w:t>se </w:t>
      </w:r>
      <w:r>
        <w:rPr>
          <w:color w:val="231F20"/>
          <w:spacing w:val="-3"/>
        </w:rPr>
        <w:t>unieron </w:t>
      </w:r>
      <w:r>
        <w:rPr>
          <w:color w:val="231F20"/>
        </w:rPr>
        <w:t>a </w:t>
      </w:r>
      <w:r>
        <w:rPr>
          <w:color w:val="231F20"/>
          <w:spacing w:val="-3"/>
        </w:rPr>
        <w:t>estas filas), </w:t>
      </w:r>
      <w:r>
        <w:rPr>
          <w:color w:val="231F20"/>
          <w:spacing w:val="-6"/>
        </w:rPr>
        <w:t>Veracruz </w:t>
      </w:r>
      <w:r>
        <w:rPr>
          <w:color w:val="231F20"/>
          <w:spacing w:val="-3"/>
        </w:rPr>
        <w:t>(183 mil), Jalisco </w:t>
      </w:r>
      <w:r>
        <w:rPr>
          <w:color w:val="231F20"/>
        </w:rPr>
        <w:t>(43 </w:t>
      </w:r>
      <w:r>
        <w:rPr>
          <w:color w:val="231F20"/>
          <w:spacing w:val="-3"/>
        </w:rPr>
        <w:t>mil), </w:t>
      </w:r>
      <w:r>
        <w:rPr>
          <w:color w:val="231F20"/>
          <w:spacing w:val="-6"/>
        </w:rPr>
        <w:t>Yucatán </w:t>
      </w:r>
      <w:r>
        <w:rPr>
          <w:color w:val="231F20"/>
        </w:rPr>
        <w:t>(35 </w:t>
      </w:r>
      <w:r>
        <w:rPr>
          <w:color w:val="231F20"/>
          <w:spacing w:val="-3"/>
        </w:rPr>
        <w:t>mil) </w:t>
      </w:r>
      <w:r>
        <w:rPr>
          <w:color w:val="231F20"/>
        </w:rPr>
        <w:t>y </w:t>
      </w:r>
      <w:r>
        <w:rPr>
          <w:color w:val="231F20"/>
          <w:spacing w:val="-3"/>
        </w:rPr>
        <w:t>Querétaro </w:t>
      </w:r>
      <w:r>
        <w:rPr>
          <w:color w:val="231F20"/>
        </w:rPr>
        <w:t>(32 </w:t>
      </w:r>
      <w:r>
        <w:rPr>
          <w:color w:val="231F20"/>
          <w:spacing w:val="-3"/>
        </w:rPr>
        <w:t>mil) </w:t>
      </w:r>
      <w:r>
        <w:rPr>
          <w:color w:val="231F20"/>
        </w:rPr>
        <w:t>(El </w:t>
      </w:r>
      <w:r>
        <w:rPr>
          <w:color w:val="231F20"/>
          <w:spacing w:val="-3"/>
        </w:rPr>
        <w:t>Siglo </w:t>
      </w:r>
      <w:r>
        <w:rPr>
          <w:color w:val="231F20"/>
        </w:rPr>
        <w:t>de </w:t>
      </w:r>
      <w:r>
        <w:rPr>
          <w:color w:val="231F20"/>
          <w:spacing w:val="-5"/>
        </w:rPr>
        <w:t>Torreón 11 </w:t>
      </w:r>
      <w:r>
        <w:rPr>
          <w:color w:val="231F20"/>
        </w:rPr>
        <w:t>de </w:t>
      </w:r>
      <w:r>
        <w:rPr>
          <w:color w:val="231F20"/>
          <w:spacing w:val="-3"/>
        </w:rPr>
        <w:t>febrero </w:t>
      </w:r>
      <w:r>
        <w:rPr>
          <w:color w:val="231F20"/>
        </w:rPr>
        <w:t>de</w:t>
      </w:r>
      <w:r>
        <w:rPr>
          <w:color w:val="231F20"/>
          <w:spacing w:val="-8"/>
        </w:rPr>
        <w:t> </w:t>
      </w:r>
      <w:r>
        <w:rPr>
          <w:color w:val="231F20"/>
          <w:spacing w:val="-3"/>
        </w:rPr>
        <w:t>2012).</w:t>
      </w:r>
    </w:p>
    <w:p>
      <w:pPr>
        <w:pStyle w:val="BodyText"/>
        <w:spacing w:before="10"/>
      </w:pPr>
    </w:p>
    <w:p>
      <w:pPr>
        <w:pStyle w:val="BodyText"/>
        <w:spacing w:line="247" w:lineRule="auto"/>
        <w:ind w:left="1270" w:right="1266"/>
        <w:jc w:val="both"/>
      </w:pPr>
      <w:r>
        <w:rPr>
          <w:color w:val="231F20"/>
        </w:rPr>
        <w:t>El</w:t>
      </w:r>
      <w:r>
        <w:rPr>
          <w:color w:val="231F20"/>
          <w:spacing w:val="-8"/>
        </w:rPr>
        <w:t> </w:t>
      </w:r>
      <w:r>
        <w:rPr>
          <w:color w:val="231F20"/>
          <w:spacing w:val="-3"/>
        </w:rPr>
        <w:t>Estado</w:t>
      </w:r>
      <w:r>
        <w:rPr>
          <w:color w:val="231F20"/>
          <w:spacing w:val="-8"/>
        </w:rPr>
        <w:t> </w:t>
      </w:r>
      <w:r>
        <w:rPr>
          <w:color w:val="231F20"/>
        </w:rPr>
        <w:t>de</w:t>
      </w:r>
      <w:r>
        <w:rPr>
          <w:color w:val="231F20"/>
          <w:spacing w:val="-8"/>
        </w:rPr>
        <w:t> </w:t>
      </w:r>
      <w:r>
        <w:rPr>
          <w:color w:val="231F20"/>
          <w:spacing w:val="-3"/>
        </w:rPr>
        <w:t>México</w:t>
      </w:r>
      <w:r>
        <w:rPr>
          <w:color w:val="231F20"/>
          <w:spacing w:val="-7"/>
        </w:rPr>
        <w:t> </w:t>
      </w:r>
      <w:r>
        <w:rPr>
          <w:color w:val="231F20"/>
          <w:spacing w:val="-3"/>
        </w:rPr>
        <w:t>cuenta</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spacing w:val="-3"/>
        </w:rPr>
        <w:t>entidad</w:t>
      </w:r>
      <w:r>
        <w:rPr>
          <w:color w:val="231F20"/>
          <w:spacing w:val="-8"/>
        </w:rPr>
        <w:t> </w:t>
      </w:r>
      <w:r>
        <w:rPr>
          <w:color w:val="231F20"/>
        </w:rPr>
        <w:t>más</w:t>
      </w:r>
      <w:r>
        <w:rPr>
          <w:color w:val="231F20"/>
          <w:spacing w:val="-8"/>
        </w:rPr>
        <w:t> </w:t>
      </w:r>
      <w:r>
        <w:rPr>
          <w:color w:val="231F20"/>
          <w:spacing w:val="-3"/>
        </w:rPr>
        <w:t>poblada</w:t>
      </w:r>
      <w:r>
        <w:rPr>
          <w:color w:val="231F20"/>
          <w:spacing w:val="-8"/>
        </w:rPr>
        <w:t> </w:t>
      </w:r>
      <w:r>
        <w:rPr>
          <w:color w:val="231F20"/>
        </w:rPr>
        <w:t>del</w:t>
      </w:r>
      <w:r>
        <w:rPr>
          <w:color w:val="231F20"/>
          <w:spacing w:val="-8"/>
        </w:rPr>
        <w:t> </w:t>
      </w:r>
      <w:r>
        <w:rPr>
          <w:color w:val="231F20"/>
          <w:spacing w:val="-3"/>
        </w:rPr>
        <w:t>país,</w:t>
      </w:r>
      <w:r>
        <w:rPr>
          <w:color w:val="231F20"/>
          <w:spacing w:val="-8"/>
        </w:rPr>
        <w:t> </w:t>
      </w:r>
      <w:r>
        <w:rPr>
          <w:color w:val="231F20"/>
        </w:rPr>
        <w:t>y</w:t>
      </w:r>
      <w:r>
        <w:rPr>
          <w:color w:val="231F20"/>
          <w:spacing w:val="-8"/>
        </w:rPr>
        <w:t> </w:t>
      </w:r>
      <w:r>
        <w:rPr>
          <w:color w:val="231F20"/>
        </w:rPr>
        <w:t>es</w:t>
      </w:r>
      <w:r>
        <w:rPr>
          <w:color w:val="231F20"/>
          <w:spacing w:val="-8"/>
        </w:rPr>
        <w:t> </w:t>
      </w:r>
      <w:r>
        <w:rPr>
          <w:color w:val="231F20"/>
          <w:spacing w:val="-3"/>
        </w:rPr>
        <w:t>también</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más</w:t>
      </w:r>
      <w:r>
        <w:rPr>
          <w:color w:val="231F20"/>
          <w:spacing w:val="-8"/>
        </w:rPr>
        <w:t> </w:t>
      </w:r>
      <w:r>
        <w:rPr>
          <w:color w:val="231F20"/>
          <w:spacing w:val="-3"/>
        </w:rPr>
        <w:t>desigua- les. Dentro </w:t>
      </w:r>
      <w:r>
        <w:rPr>
          <w:color w:val="231F20"/>
        </w:rPr>
        <w:t>de sus </w:t>
      </w:r>
      <w:r>
        <w:rPr>
          <w:color w:val="231F20"/>
          <w:spacing w:val="-3"/>
        </w:rPr>
        <w:t>22,357 kilómetros cuadrados, está </w:t>
      </w:r>
      <w:r>
        <w:rPr>
          <w:color w:val="231F20"/>
        </w:rPr>
        <w:t>uno de los </w:t>
      </w:r>
      <w:r>
        <w:rPr>
          <w:color w:val="231F20"/>
          <w:spacing w:val="-3"/>
        </w:rPr>
        <w:t>municipios </w:t>
      </w:r>
      <w:r>
        <w:rPr>
          <w:color w:val="231F20"/>
        </w:rPr>
        <w:t>más </w:t>
      </w:r>
      <w:r>
        <w:rPr>
          <w:color w:val="231F20"/>
          <w:spacing w:val="-3"/>
        </w:rPr>
        <w:t>acaudalados, Huix- quilucan </w:t>
      </w:r>
      <w:r>
        <w:rPr>
          <w:color w:val="231F20"/>
        </w:rPr>
        <w:t>es el </w:t>
      </w:r>
      <w:r>
        <w:rPr>
          <w:color w:val="231F20"/>
          <w:spacing w:val="-3"/>
        </w:rPr>
        <w:t>décimo cuarto municipio </w:t>
      </w:r>
      <w:r>
        <w:rPr>
          <w:color w:val="231F20"/>
        </w:rPr>
        <w:t>con </w:t>
      </w:r>
      <w:r>
        <w:rPr>
          <w:color w:val="231F20"/>
          <w:spacing w:val="-3"/>
        </w:rPr>
        <w:t>mayores índices </w:t>
      </w:r>
      <w:r>
        <w:rPr>
          <w:color w:val="231F20"/>
        </w:rPr>
        <w:t>de </w:t>
      </w:r>
      <w:r>
        <w:rPr>
          <w:color w:val="231F20"/>
          <w:spacing w:val="-3"/>
        </w:rPr>
        <w:t>ingreso </w:t>
      </w:r>
      <w:r>
        <w:rPr>
          <w:color w:val="231F20"/>
        </w:rPr>
        <w:t>del </w:t>
      </w:r>
      <w:r>
        <w:rPr>
          <w:color w:val="231F20"/>
          <w:spacing w:val="-3"/>
        </w:rPr>
        <w:t>país, </w:t>
      </w:r>
      <w:r>
        <w:rPr>
          <w:color w:val="231F20"/>
        </w:rPr>
        <w:t>y </w:t>
      </w:r>
      <w:r>
        <w:rPr>
          <w:color w:val="231F20"/>
          <w:spacing w:val="-3"/>
        </w:rPr>
        <w:t>Ecatepec </w:t>
      </w:r>
      <w:r>
        <w:rPr>
          <w:color w:val="231F20"/>
        </w:rPr>
        <w:t>es el</w:t>
      </w:r>
      <w:r>
        <w:rPr>
          <w:color w:val="231F20"/>
          <w:spacing w:val="27"/>
        </w:rPr>
        <w:t> </w:t>
      </w:r>
      <w:r>
        <w:rPr>
          <w:color w:val="231F20"/>
          <w:spacing w:val="-3"/>
        </w:rPr>
        <w:t>que</w:t>
      </w:r>
    </w:p>
    <w:p>
      <w:pPr>
        <w:pStyle w:val="BodyText"/>
        <w:spacing w:before="3"/>
        <w:rPr>
          <w:sz w:val="18"/>
        </w:rPr>
      </w:pPr>
    </w:p>
    <w:p>
      <w:pPr>
        <w:spacing w:before="72"/>
        <w:ind w:left="4027" w:right="4005" w:firstLine="0"/>
        <w:jc w:val="center"/>
        <w:rPr>
          <w:rFonts w:ascii="Trebuchet MS"/>
          <w:b/>
          <w:i/>
          <w:sz w:val="22"/>
        </w:rPr>
      </w:pPr>
      <w:r>
        <w:rPr>
          <w:rFonts w:ascii="Trebuchet MS"/>
          <w:b/>
          <w:i/>
          <w:color w:val="231F20"/>
          <w:sz w:val="22"/>
        </w:rPr>
        <w:t>42</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70"/>
        <w:jc w:val="both"/>
      </w:pPr>
      <w:r>
        <w:rPr>
          <w:color w:val="231F20"/>
          <w:spacing w:val="-3"/>
        </w:rPr>
        <w:t>cuenta </w:t>
      </w:r>
      <w:r>
        <w:rPr>
          <w:color w:val="231F20"/>
        </w:rPr>
        <w:t>con el </w:t>
      </w:r>
      <w:r>
        <w:rPr>
          <w:color w:val="231F20"/>
          <w:spacing w:val="-3"/>
        </w:rPr>
        <w:t>mayor número absoluto </w:t>
      </w:r>
      <w:r>
        <w:rPr>
          <w:color w:val="231F20"/>
        </w:rPr>
        <w:t>de </w:t>
      </w:r>
      <w:r>
        <w:rPr>
          <w:color w:val="231F20"/>
          <w:spacing w:val="-3"/>
        </w:rPr>
        <w:t>pobres, </w:t>
      </w:r>
      <w:r>
        <w:rPr>
          <w:color w:val="231F20"/>
        </w:rPr>
        <w:t>de </w:t>
      </w:r>
      <w:r>
        <w:rPr>
          <w:color w:val="231F20"/>
          <w:spacing w:val="-3"/>
        </w:rPr>
        <w:t>acuerdo </w:t>
      </w:r>
      <w:r>
        <w:rPr>
          <w:color w:val="231F20"/>
        </w:rPr>
        <w:t>con la </w:t>
      </w:r>
      <w:r>
        <w:rPr>
          <w:color w:val="231F20"/>
          <w:spacing w:val="-7"/>
        </w:rPr>
        <w:t>CONEVAL </w:t>
      </w:r>
      <w:r>
        <w:rPr>
          <w:color w:val="231F20"/>
          <w:spacing w:val="-3"/>
        </w:rPr>
        <w:t>(CNNMéxico, martes </w:t>
      </w:r>
      <w:r>
        <w:rPr>
          <w:color w:val="231F20"/>
        </w:rPr>
        <w:t>12 de </w:t>
      </w:r>
      <w:r>
        <w:rPr>
          <w:color w:val="231F20"/>
          <w:spacing w:val="-3"/>
        </w:rPr>
        <w:t>abril </w:t>
      </w:r>
      <w:r>
        <w:rPr>
          <w:color w:val="231F20"/>
        </w:rPr>
        <w:t>de </w:t>
      </w:r>
      <w:r>
        <w:rPr>
          <w:color w:val="231F20"/>
          <w:spacing w:val="-5"/>
        </w:rPr>
        <w:t>2011).</w:t>
      </w:r>
    </w:p>
    <w:p>
      <w:pPr>
        <w:pStyle w:val="BodyText"/>
        <w:spacing w:before="10"/>
      </w:pPr>
    </w:p>
    <w:p>
      <w:pPr>
        <w:spacing w:before="0"/>
        <w:ind w:left="1270" w:right="0" w:firstLine="0"/>
        <w:jc w:val="both"/>
        <w:rPr>
          <w:i/>
          <w:sz w:val="21"/>
        </w:rPr>
      </w:pPr>
      <w:r>
        <w:rPr>
          <w:i/>
          <w:color w:val="231F20"/>
          <w:sz w:val="21"/>
        </w:rPr>
        <w:t>Nota: Para el año 2000 no existían los municipios de Luvianos, San José del Rincón y Tonanitla.</w:t>
      </w:r>
    </w:p>
    <w:p>
      <w:pPr>
        <w:pStyle w:val="BodyText"/>
        <w:spacing w:before="7"/>
        <w:rPr>
          <w:i/>
          <w:sz w:val="26"/>
        </w:rPr>
      </w:pPr>
    </w:p>
    <w:p>
      <w:pPr>
        <w:spacing w:before="0"/>
        <w:ind w:left="1624" w:right="1279" w:firstLine="0"/>
        <w:jc w:val="left"/>
        <w:rPr>
          <w:b/>
          <w:sz w:val="18"/>
        </w:rPr>
      </w:pPr>
      <w:r>
        <w:rPr/>
        <w:drawing>
          <wp:anchor distT="0" distB="0" distL="0" distR="0" allowOverlap="1" layoutInCell="1" locked="0" behindDoc="0" simplePos="0" relativeHeight="1768">
            <wp:simplePos x="0" y="0"/>
            <wp:positionH relativeFrom="page">
              <wp:posOffset>17462</wp:posOffset>
            </wp:positionH>
            <wp:positionV relativeFrom="paragraph">
              <wp:posOffset>2476213</wp:posOffset>
            </wp:positionV>
            <wp:extent cx="155448" cy="155448"/>
            <wp:effectExtent l="0" t="0" r="0" b="0"/>
            <wp:wrapTopAndBottom/>
            <wp:docPr id="73" name="image2.png" descr=""/>
            <wp:cNvGraphicFramePr>
              <a:graphicFrameLocks noChangeAspect="1"/>
            </wp:cNvGraphicFramePr>
            <a:graphic>
              <a:graphicData uri="http://schemas.openxmlformats.org/drawingml/2006/picture">
                <pic:pic>
                  <pic:nvPicPr>
                    <pic:cNvPr id="7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811263</wp:posOffset>
            </wp:positionH>
            <wp:positionV relativeFrom="paragraph">
              <wp:posOffset>176776</wp:posOffset>
            </wp:positionV>
            <wp:extent cx="5335782" cy="2542031"/>
            <wp:effectExtent l="0" t="0" r="0" b="0"/>
            <wp:wrapTopAndBottom/>
            <wp:docPr id="75" name="image4.png" descr=""/>
            <wp:cNvGraphicFramePr>
              <a:graphicFrameLocks noChangeAspect="1"/>
            </wp:cNvGraphicFramePr>
            <a:graphic>
              <a:graphicData uri="http://schemas.openxmlformats.org/drawingml/2006/picture">
                <pic:pic>
                  <pic:nvPicPr>
                    <pic:cNvPr id="76" name="image4.png"/>
                    <pic:cNvPicPr/>
                  </pic:nvPicPr>
                  <pic:blipFill>
                    <a:blip r:embed="rId18" cstate="print"/>
                    <a:stretch>
                      <a:fillRect/>
                    </a:stretch>
                  </pic:blipFill>
                  <pic:spPr>
                    <a:xfrm>
                      <a:off x="0" y="0"/>
                      <a:ext cx="5335782" cy="2542031"/>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6761162</wp:posOffset>
            </wp:positionH>
            <wp:positionV relativeFrom="paragraph">
              <wp:posOffset>2476213</wp:posOffset>
            </wp:positionV>
            <wp:extent cx="155448" cy="155448"/>
            <wp:effectExtent l="0" t="0" r="0" b="0"/>
            <wp:wrapTopAndBottom/>
            <wp:docPr id="77" name="image2.png" descr=""/>
            <wp:cNvGraphicFramePr>
              <a:graphicFrameLocks noChangeAspect="1"/>
            </wp:cNvGraphicFramePr>
            <a:graphic>
              <a:graphicData uri="http://schemas.openxmlformats.org/drawingml/2006/picture">
                <pic:pic>
                  <pic:nvPicPr>
                    <pic:cNvPr id="78"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Figura 2. Hogares y personas con dos necesidades básicas insatisfechas en el Estado de México, 2000</w:t>
      </w:r>
    </w:p>
    <w:p>
      <w:pPr>
        <w:pStyle w:val="BodyText"/>
        <w:spacing w:before="5"/>
        <w:rPr>
          <w:b/>
          <w:sz w:val="24"/>
        </w:rPr>
      </w:pPr>
    </w:p>
    <w:p>
      <w:pPr>
        <w:pStyle w:val="BodyText"/>
        <w:spacing w:line="247" w:lineRule="auto"/>
        <w:ind w:left="1270" w:right="1269"/>
        <w:jc w:val="both"/>
      </w:pPr>
      <w:r>
        <w:rPr>
          <w:color w:val="231F20"/>
          <w:spacing w:val="-3"/>
        </w:rPr>
        <w:t>Como </w:t>
      </w:r>
      <w:r>
        <w:rPr>
          <w:color w:val="231F20"/>
        </w:rPr>
        <w:t>se </w:t>
      </w:r>
      <w:r>
        <w:rPr>
          <w:color w:val="231F20"/>
          <w:spacing w:val="-3"/>
        </w:rPr>
        <w:t>puede observar </w:t>
      </w:r>
      <w:r>
        <w:rPr>
          <w:color w:val="231F20"/>
        </w:rPr>
        <w:t>de la </w:t>
      </w:r>
      <w:r>
        <w:rPr>
          <w:color w:val="231F20"/>
          <w:spacing w:val="-3"/>
        </w:rPr>
        <w:t>figura </w:t>
      </w:r>
      <w:r>
        <w:rPr>
          <w:color w:val="231F20"/>
        </w:rPr>
        <w:t>2, los </w:t>
      </w:r>
      <w:r>
        <w:rPr>
          <w:color w:val="231F20"/>
          <w:spacing w:val="-3"/>
        </w:rPr>
        <w:t>hogares </w:t>
      </w:r>
      <w:r>
        <w:rPr>
          <w:color w:val="231F20"/>
        </w:rPr>
        <w:t>y </w:t>
      </w:r>
      <w:r>
        <w:rPr>
          <w:color w:val="231F20"/>
          <w:spacing w:val="-3"/>
        </w:rPr>
        <w:t>personas </w:t>
      </w:r>
      <w:r>
        <w:rPr>
          <w:color w:val="231F20"/>
        </w:rPr>
        <w:t>que </w:t>
      </w:r>
      <w:r>
        <w:rPr>
          <w:color w:val="231F20"/>
          <w:spacing w:val="-3"/>
        </w:rPr>
        <w:t>tienen </w:t>
      </w:r>
      <w:r>
        <w:rPr>
          <w:color w:val="231F20"/>
        </w:rPr>
        <w:t>dos </w:t>
      </w:r>
      <w:r>
        <w:rPr>
          <w:color w:val="231F20"/>
          <w:spacing w:val="-3"/>
        </w:rPr>
        <w:t>necesidades básicas  insatisfechas, </w:t>
      </w:r>
      <w:r>
        <w:rPr>
          <w:color w:val="231F20"/>
        </w:rPr>
        <w:t>en </w:t>
      </w:r>
      <w:r>
        <w:rPr>
          <w:color w:val="231F20"/>
          <w:spacing w:val="-3"/>
        </w:rPr>
        <w:t>primer lugar </w:t>
      </w:r>
      <w:r>
        <w:rPr>
          <w:color w:val="231F20"/>
        </w:rPr>
        <w:t>el </w:t>
      </w:r>
      <w:r>
        <w:rPr>
          <w:color w:val="231F20"/>
          <w:spacing w:val="-3"/>
        </w:rPr>
        <w:t>municipio </w:t>
      </w:r>
      <w:r>
        <w:rPr>
          <w:color w:val="231F20"/>
        </w:rPr>
        <w:t>de </w:t>
      </w:r>
      <w:r>
        <w:rPr>
          <w:color w:val="231F20"/>
          <w:spacing w:val="-3"/>
        </w:rPr>
        <w:t>Ecatepec </w:t>
      </w:r>
      <w:r>
        <w:rPr>
          <w:color w:val="231F20"/>
        </w:rPr>
        <w:t>es el más </w:t>
      </w:r>
      <w:r>
        <w:rPr>
          <w:color w:val="231F20"/>
          <w:spacing w:val="-3"/>
        </w:rPr>
        <w:t>poblado </w:t>
      </w:r>
      <w:r>
        <w:rPr>
          <w:color w:val="231F20"/>
        </w:rPr>
        <w:t>con </w:t>
      </w:r>
      <w:r>
        <w:rPr>
          <w:color w:val="231F20"/>
          <w:spacing w:val="-4"/>
        </w:rPr>
        <w:t>110,356 </w:t>
      </w:r>
      <w:r>
        <w:rPr>
          <w:color w:val="231F20"/>
          <w:spacing w:val="-3"/>
        </w:rPr>
        <w:t>personas </w:t>
      </w:r>
      <w:r>
        <w:rPr>
          <w:color w:val="231F20"/>
        </w:rPr>
        <w:t>y </w:t>
      </w:r>
      <w:r>
        <w:rPr>
          <w:color w:val="231F20"/>
          <w:spacing w:val="-3"/>
        </w:rPr>
        <w:t>de </w:t>
      </w:r>
      <w:r>
        <w:rPr>
          <w:color w:val="231F20"/>
          <w:spacing w:val="-4"/>
        </w:rPr>
        <w:t>21,311</w:t>
      </w:r>
      <w:r>
        <w:rPr>
          <w:color w:val="231F20"/>
          <w:spacing w:val="-12"/>
        </w:rPr>
        <w:t> </w:t>
      </w:r>
      <w:r>
        <w:rPr>
          <w:color w:val="231F20"/>
          <w:spacing w:val="-3"/>
        </w:rPr>
        <w:t>hogares;</w:t>
      </w:r>
      <w:r>
        <w:rPr>
          <w:color w:val="231F20"/>
          <w:spacing w:val="-12"/>
        </w:rPr>
        <w:t> </w:t>
      </w:r>
      <w:r>
        <w:rPr>
          <w:color w:val="231F20"/>
        </w:rPr>
        <w:t>en</w:t>
      </w:r>
      <w:r>
        <w:rPr>
          <w:color w:val="231F20"/>
          <w:spacing w:val="-12"/>
        </w:rPr>
        <w:t> </w:t>
      </w:r>
      <w:r>
        <w:rPr>
          <w:color w:val="231F20"/>
          <w:spacing w:val="-3"/>
        </w:rPr>
        <w:t>segundo</w:t>
      </w:r>
      <w:r>
        <w:rPr>
          <w:color w:val="231F20"/>
          <w:spacing w:val="-12"/>
        </w:rPr>
        <w:t> </w:t>
      </w:r>
      <w:r>
        <w:rPr>
          <w:color w:val="231F20"/>
          <w:spacing w:val="-3"/>
        </w:rPr>
        <w:t>lugar</w:t>
      </w:r>
      <w:r>
        <w:rPr>
          <w:color w:val="231F20"/>
          <w:spacing w:val="-12"/>
        </w:rPr>
        <w:t> </w:t>
      </w:r>
      <w:r>
        <w:rPr>
          <w:color w:val="231F20"/>
          <w:spacing w:val="-3"/>
        </w:rPr>
        <w:t>Chimalhuacán</w:t>
      </w:r>
      <w:r>
        <w:rPr>
          <w:color w:val="231F20"/>
          <w:spacing w:val="-12"/>
        </w:rPr>
        <w:t> </w:t>
      </w:r>
      <w:r>
        <w:rPr>
          <w:color w:val="231F20"/>
        </w:rPr>
        <w:t>con</w:t>
      </w:r>
      <w:r>
        <w:rPr>
          <w:color w:val="231F20"/>
          <w:spacing w:val="-12"/>
        </w:rPr>
        <w:t> </w:t>
      </w:r>
      <w:r>
        <w:rPr>
          <w:color w:val="231F20"/>
          <w:spacing w:val="-3"/>
        </w:rPr>
        <w:t>84,246</w:t>
      </w:r>
      <w:r>
        <w:rPr>
          <w:color w:val="231F20"/>
          <w:spacing w:val="-12"/>
        </w:rPr>
        <w:t> </w:t>
      </w:r>
      <w:r>
        <w:rPr>
          <w:color w:val="231F20"/>
        </w:rPr>
        <w:t>y</w:t>
      </w:r>
      <w:r>
        <w:rPr>
          <w:color w:val="231F20"/>
          <w:spacing w:val="-12"/>
        </w:rPr>
        <w:t> </w:t>
      </w:r>
      <w:r>
        <w:rPr>
          <w:color w:val="231F20"/>
          <w:spacing w:val="-3"/>
        </w:rPr>
        <w:t>16,782;</w:t>
      </w:r>
      <w:r>
        <w:rPr>
          <w:color w:val="231F20"/>
          <w:spacing w:val="-12"/>
        </w:rPr>
        <w:t> </w:t>
      </w:r>
      <w:r>
        <w:rPr>
          <w:color w:val="231F20"/>
          <w:spacing w:val="-3"/>
        </w:rPr>
        <w:t>para</w:t>
      </w:r>
      <w:r>
        <w:rPr>
          <w:color w:val="231F20"/>
          <w:spacing w:val="-12"/>
        </w:rPr>
        <w:t> </w:t>
      </w:r>
      <w:r>
        <w:rPr>
          <w:color w:val="231F20"/>
        </w:rPr>
        <w:t>el</w:t>
      </w:r>
      <w:r>
        <w:rPr>
          <w:color w:val="231F20"/>
          <w:spacing w:val="-12"/>
        </w:rPr>
        <w:t> </w:t>
      </w:r>
      <w:r>
        <w:rPr>
          <w:color w:val="231F20"/>
          <w:spacing w:val="-3"/>
        </w:rPr>
        <w:t>caso</w:t>
      </w:r>
      <w:r>
        <w:rPr>
          <w:color w:val="231F20"/>
          <w:spacing w:val="-12"/>
        </w:rPr>
        <w:t> </w:t>
      </w:r>
      <w:r>
        <w:rPr>
          <w:color w:val="231F20"/>
        </w:rPr>
        <w:t>de</w:t>
      </w:r>
      <w:r>
        <w:rPr>
          <w:color w:val="231F20"/>
          <w:spacing w:val="-16"/>
        </w:rPr>
        <w:t> </w:t>
      </w:r>
      <w:r>
        <w:rPr>
          <w:color w:val="231F20"/>
          <w:spacing w:val="-5"/>
        </w:rPr>
        <w:t>Toluca</w:t>
      </w:r>
      <w:r>
        <w:rPr>
          <w:color w:val="231F20"/>
          <w:spacing w:val="-12"/>
        </w:rPr>
        <w:t> </w:t>
      </w:r>
      <w:r>
        <w:rPr>
          <w:color w:val="231F20"/>
        </w:rPr>
        <w:t>de</w:t>
      </w:r>
      <w:r>
        <w:rPr>
          <w:color w:val="231F20"/>
          <w:spacing w:val="-12"/>
        </w:rPr>
        <w:t> </w:t>
      </w:r>
      <w:r>
        <w:rPr>
          <w:color w:val="231F20"/>
          <w:spacing w:val="-3"/>
        </w:rPr>
        <w:t>73,617 personas </w:t>
      </w:r>
      <w:r>
        <w:rPr>
          <w:color w:val="231F20"/>
        </w:rPr>
        <w:t>y </w:t>
      </w:r>
      <w:r>
        <w:rPr>
          <w:color w:val="231F20"/>
          <w:spacing w:val="-3"/>
        </w:rPr>
        <w:t>1,477 hogares correspondiente </w:t>
      </w:r>
      <w:r>
        <w:rPr>
          <w:color w:val="231F20"/>
        </w:rPr>
        <w:t>al año</w:t>
      </w:r>
      <w:r>
        <w:rPr>
          <w:color w:val="231F20"/>
          <w:spacing w:val="-20"/>
        </w:rPr>
        <w:t> </w:t>
      </w:r>
      <w:r>
        <w:rPr>
          <w:color w:val="231F20"/>
          <w:spacing w:val="-3"/>
        </w:rPr>
        <w:t>2000.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71"/>
        <w:ind w:left="4027" w:right="4005" w:firstLine="0"/>
        <w:jc w:val="center"/>
        <w:rPr>
          <w:rFonts w:ascii="Trebuchet MS"/>
          <w:b/>
          <w:i/>
          <w:sz w:val="22"/>
        </w:rPr>
      </w:pPr>
      <w:r>
        <w:rPr>
          <w:rFonts w:ascii="Trebuchet MS"/>
          <w:b/>
          <w:i/>
          <w:color w:val="231F20"/>
          <w:sz w:val="22"/>
        </w:rPr>
        <w:t>43</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line="312" w:lineRule="auto" w:before="77"/>
        <w:ind w:left="3227" w:right="2794" w:hanging="360"/>
        <w:jc w:val="left"/>
        <w:rPr>
          <w:b/>
          <w:sz w:val="18"/>
        </w:rPr>
      </w:pPr>
      <w:r>
        <w:rPr/>
        <w:drawing>
          <wp:anchor distT="0" distB="0" distL="0" distR="0" allowOverlap="1" layoutInCell="1" locked="0" behindDoc="0" simplePos="0" relativeHeight="1840">
            <wp:simplePos x="0" y="0"/>
            <wp:positionH relativeFrom="page">
              <wp:posOffset>17462</wp:posOffset>
            </wp:positionH>
            <wp:positionV relativeFrom="paragraph">
              <wp:posOffset>3346607</wp:posOffset>
            </wp:positionV>
            <wp:extent cx="155448" cy="155448"/>
            <wp:effectExtent l="0" t="0" r="0" b="0"/>
            <wp:wrapTopAndBottom/>
            <wp:docPr id="79" name="image2.png" descr=""/>
            <wp:cNvGraphicFramePr>
              <a:graphicFrameLocks noChangeAspect="1"/>
            </wp:cNvGraphicFramePr>
            <a:graphic>
              <a:graphicData uri="http://schemas.openxmlformats.org/drawingml/2006/picture">
                <pic:pic>
                  <pic:nvPicPr>
                    <pic:cNvPr id="80"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845375</wp:posOffset>
            </wp:positionH>
            <wp:positionV relativeFrom="paragraph">
              <wp:posOffset>460403</wp:posOffset>
            </wp:positionV>
            <wp:extent cx="5219890" cy="5246751"/>
            <wp:effectExtent l="0" t="0" r="0" b="0"/>
            <wp:wrapTopAndBottom/>
            <wp:docPr id="81" name="image5.jpeg" descr=""/>
            <wp:cNvGraphicFramePr>
              <a:graphicFrameLocks noChangeAspect="1"/>
            </wp:cNvGraphicFramePr>
            <a:graphic>
              <a:graphicData uri="http://schemas.openxmlformats.org/drawingml/2006/picture">
                <pic:pic>
                  <pic:nvPicPr>
                    <pic:cNvPr id="82" name="image5.jpeg"/>
                    <pic:cNvPicPr/>
                  </pic:nvPicPr>
                  <pic:blipFill>
                    <a:blip r:embed="rId19" cstate="print"/>
                    <a:stretch>
                      <a:fillRect/>
                    </a:stretch>
                  </pic:blipFill>
                  <pic:spPr>
                    <a:xfrm>
                      <a:off x="0" y="0"/>
                      <a:ext cx="5219890" cy="5246751"/>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6761162</wp:posOffset>
            </wp:positionH>
            <wp:positionV relativeFrom="paragraph">
              <wp:posOffset>3346607</wp:posOffset>
            </wp:positionV>
            <wp:extent cx="155448" cy="155448"/>
            <wp:effectExtent l="0" t="0" r="0" b="0"/>
            <wp:wrapTopAndBottom/>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448" cy="155448"/>
                    </a:xfrm>
                    <a:prstGeom prst="rect">
                      <a:avLst/>
                    </a:prstGeom>
                  </pic:spPr>
                </pic:pic>
              </a:graphicData>
            </a:graphic>
          </wp:anchor>
        </w:drawing>
      </w:r>
      <w:r>
        <w:rPr>
          <w:b/>
          <w:color w:val="010202"/>
          <w:sz w:val="18"/>
        </w:rPr>
        <w:t>Cuadro 1. Incidencia y número de personas en situación de pobreza en la población no hablante de lengua indígena, 2008-2010</w:t>
      </w:r>
    </w:p>
    <w:p>
      <w:pPr>
        <w:pStyle w:val="BodyText"/>
        <w:rPr>
          <w:b/>
          <w:sz w:val="18"/>
        </w:rPr>
      </w:pPr>
    </w:p>
    <w:p>
      <w:pPr>
        <w:pStyle w:val="BodyText"/>
        <w:spacing w:before="9"/>
        <w:rPr>
          <w:b/>
          <w:sz w:val="22"/>
        </w:rPr>
      </w:pPr>
    </w:p>
    <w:p>
      <w:pPr>
        <w:spacing w:line="307" w:lineRule="auto" w:before="0"/>
        <w:ind w:left="1270" w:right="1279" w:firstLine="0"/>
        <w:jc w:val="left"/>
        <w:rPr>
          <w:b/>
          <w:i/>
          <w:sz w:val="17"/>
        </w:rPr>
      </w:pPr>
      <w:r>
        <w:rPr>
          <w:b/>
          <w:i/>
          <w:color w:val="231F20"/>
          <w:sz w:val="17"/>
        </w:rPr>
        <w:t>Fuente: Tomado de Indicadores Estratégicos del boletín de enero de 2012 con estimaciones de CONEVAL con base en </w:t>
      </w:r>
      <w:r>
        <w:rPr>
          <w:b/>
          <w:i/>
          <w:color w:val="231F20"/>
          <w:sz w:val="17"/>
        </w:rPr>
        <w:t>el MCS-ENIGH 2008 y 2010.</w:t>
      </w:r>
    </w:p>
    <w:p>
      <w:pPr>
        <w:pStyle w:val="BodyText"/>
        <w:rPr>
          <w:b/>
          <w:i/>
          <w:sz w:val="20"/>
        </w:rPr>
      </w:pPr>
    </w:p>
    <w:p>
      <w:pPr>
        <w:pStyle w:val="BodyText"/>
        <w:rPr>
          <w:b/>
          <w:i/>
          <w:sz w:val="20"/>
        </w:rPr>
      </w:pPr>
    </w:p>
    <w:p>
      <w:pPr>
        <w:pStyle w:val="BodyText"/>
        <w:spacing w:before="4"/>
        <w:rPr>
          <w:b/>
          <w:i/>
          <w:sz w:val="20"/>
        </w:rPr>
      </w:pPr>
    </w:p>
    <w:p>
      <w:pPr>
        <w:spacing w:before="0"/>
        <w:ind w:left="4027" w:right="4005" w:firstLine="0"/>
        <w:jc w:val="center"/>
        <w:rPr>
          <w:rFonts w:ascii="Trebuchet MS"/>
          <w:b/>
          <w:i/>
          <w:sz w:val="22"/>
        </w:rPr>
      </w:pPr>
      <w:r>
        <w:rPr>
          <w:rFonts w:ascii="Trebuchet MS"/>
          <w:b/>
          <w:i/>
          <w:color w:val="231F20"/>
          <w:sz w:val="22"/>
        </w:rPr>
        <w:t>44</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Los resultados en materia de medición multidimensional de la pobreza (Cuadro 1), dados a conocer por el </w:t>
      </w:r>
      <w:r>
        <w:rPr>
          <w:color w:val="231F20"/>
          <w:spacing w:val="-4"/>
        </w:rPr>
        <w:t>CONEVAL, </w:t>
      </w:r>
      <w:r>
        <w:rPr>
          <w:color w:val="231F20"/>
        </w:rPr>
        <w:t>para la población no indígena indican que la pobreza aumentó entre 2008 y</w:t>
      </w:r>
      <w:r>
        <w:rPr>
          <w:color w:val="231F20"/>
          <w:spacing w:val="-27"/>
        </w:rPr>
        <w:t> </w:t>
      </w:r>
      <w:r>
        <w:rPr>
          <w:color w:val="231F20"/>
        </w:rPr>
        <w:t>2010 en 3.1 millones de personas, esto al pasar de 43.5 millones en 2008 a 46.6 en 2010. En términos re- lativos esta categoría representó al 42.4% de este grupo poblacional en 2008 </w:t>
      </w:r>
      <w:r>
        <w:rPr>
          <w:color w:val="231F20"/>
          <w:spacing w:val="-7"/>
        </w:rPr>
        <w:t>y, </w:t>
      </w:r>
      <w:r>
        <w:rPr>
          <w:color w:val="231F20"/>
        </w:rPr>
        <w:t>dos años después, la cifra era de 44.1%, es decir, un avance de 1.7%. Por su parte, el rubro de pobreza multidimensional moderada</w:t>
      </w:r>
      <w:r>
        <w:rPr>
          <w:color w:val="231F20"/>
          <w:spacing w:val="-10"/>
        </w:rPr>
        <w:t> </w:t>
      </w:r>
      <w:r>
        <w:rPr>
          <w:color w:val="231F20"/>
        </w:rPr>
        <w:t>se</w:t>
      </w:r>
      <w:r>
        <w:rPr>
          <w:color w:val="231F20"/>
          <w:spacing w:val="-10"/>
        </w:rPr>
        <w:t> </w:t>
      </w:r>
      <w:r>
        <w:rPr>
          <w:color w:val="231F20"/>
        </w:rPr>
        <w:t>incrementó,</w:t>
      </w:r>
      <w:r>
        <w:rPr>
          <w:color w:val="231F20"/>
          <w:spacing w:val="-10"/>
        </w:rPr>
        <w:t> </w:t>
      </w:r>
      <w:r>
        <w:rPr>
          <w:color w:val="231F20"/>
        </w:rPr>
        <w:t>en</w:t>
      </w:r>
      <w:r>
        <w:rPr>
          <w:color w:val="231F20"/>
          <w:spacing w:val="-10"/>
        </w:rPr>
        <w:t> </w:t>
      </w:r>
      <w:r>
        <w:rPr>
          <w:color w:val="231F20"/>
        </w:rPr>
        <w:t>términos</w:t>
      </w:r>
      <w:r>
        <w:rPr>
          <w:color w:val="231F20"/>
          <w:spacing w:val="-10"/>
        </w:rPr>
        <w:t> </w:t>
      </w:r>
      <w:r>
        <w:rPr>
          <w:color w:val="231F20"/>
        </w:rPr>
        <w:t>relativos,</w:t>
      </w:r>
      <w:r>
        <w:rPr>
          <w:color w:val="231F20"/>
          <w:spacing w:val="-10"/>
        </w:rPr>
        <w:t> </w:t>
      </w:r>
      <w:r>
        <w:rPr>
          <w:color w:val="231F20"/>
        </w:rPr>
        <w:t>pasando</w:t>
      </w:r>
      <w:r>
        <w:rPr>
          <w:color w:val="231F20"/>
          <w:spacing w:val="-10"/>
        </w:rPr>
        <w:t> </w:t>
      </w:r>
      <w:r>
        <w:rPr>
          <w:color w:val="231F20"/>
        </w:rPr>
        <w:t>de</w:t>
      </w:r>
      <w:r>
        <w:rPr>
          <w:color w:val="231F20"/>
          <w:spacing w:val="-10"/>
        </w:rPr>
        <w:t> </w:t>
      </w:r>
      <w:r>
        <w:rPr>
          <w:color w:val="231F20"/>
        </w:rPr>
        <w:t>33.7</w:t>
      </w:r>
      <w:r>
        <w:rPr>
          <w:color w:val="231F20"/>
          <w:spacing w:val="-10"/>
        </w:rPr>
        <w:t> </w:t>
      </w:r>
      <w:r>
        <w:rPr>
          <w:color w:val="231F20"/>
        </w:rPr>
        <w:t>a</w:t>
      </w:r>
      <w:r>
        <w:rPr>
          <w:color w:val="231F20"/>
          <w:spacing w:val="-10"/>
        </w:rPr>
        <w:t> </w:t>
      </w:r>
      <w:r>
        <w:rPr>
          <w:color w:val="231F20"/>
        </w:rPr>
        <w:t>35.6%,</w:t>
      </w:r>
      <w:r>
        <w:rPr>
          <w:color w:val="231F20"/>
          <w:spacing w:val="-10"/>
        </w:rPr>
        <w:t> </w:t>
      </w:r>
      <w:r>
        <w:rPr>
          <w:color w:val="231F20"/>
        </w:rPr>
        <w:t>esto</w:t>
      </w:r>
      <w:r>
        <w:rPr>
          <w:color w:val="231F20"/>
          <w:spacing w:val="-10"/>
        </w:rPr>
        <w:t> </w:t>
      </w:r>
      <w:r>
        <w:rPr>
          <w:color w:val="231F20"/>
        </w:rPr>
        <w:t>entre</w:t>
      </w:r>
      <w:r>
        <w:rPr>
          <w:color w:val="231F20"/>
          <w:spacing w:val="-10"/>
        </w:rPr>
        <w:t> </w:t>
      </w:r>
      <w:r>
        <w:rPr>
          <w:color w:val="231F20"/>
        </w:rPr>
        <w:t>2008</w:t>
      </w:r>
      <w:r>
        <w:rPr>
          <w:color w:val="231F20"/>
          <w:spacing w:val="-10"/>
        </w:rPr>
        <w:t> </w:t>
      </w:r>
      <w:r>
        <w:rPr>
          <w:color w:val="231F20"/>
        </w:rPr>
        <w:t>y</w:t>
      </w:r>
      <w:r>
        <w:rPr>
          <w:color w:val="231F20"/>
          <w:spacing w:val="-10"/>
        </w:rPr>
        <w:t> </w:t>
      </w:r>
      <w:r>
        <w:rPr>
          <w:color w:val="231F20"/>
        </w:rPr>
        <w:t>2010.</w:t>
      </w:r>
      <w:r>
        <w:rPr>
          <w:color w:val="231F20"/>
          <w:spacing w:val="-10"/>
        </w:rPr>
        <w:t> </w:t>
      </w:r>
      <w:r>
        <w:rPr>
          <w:color w:val="231F20"/>
        </w:rPr>
        <w:t>Sin embargo,</w:t>
      </w:r>
      <w:r>
        <w:rPr>
          <w:color w:val="231F20"/>
          <w:spacing w:val="-12"/>
        </w:rPr>
        <w:t> </w:t>
      </w:r>
      <w:r>
        <w:rPr>
          <w:color w:val="231F20"/>
        </w:rPr>
        <w:t>la</w:t>
      </w:r>
      <w:r>
        <w:rPr>
          <w:color w:val="231F20"/>
          <w:spacing w:val="-12"/>
        </w:rPr>
        <w:t> </w:t>
      </w:r>
      <w:r>
        <w:rPr>
          <w:color w:val="231F20"/>
        </w:rPr>
        <w:t>pobreza</w:t>
      </w:r>
      <w:r>
        <w:rPr>
          <w:color w:val="231F20"/>
          <w:spacing w:val="-12"/>
        </w:rPr>
        <w:t> </w:t>
      </w:r>
      <w:r>
        <w:rPr>
          <w:color w:val="231F20"/>
        </w:rPr>
        <w:t>multidimensional</w:t>
      </w:r>
      <w:r>
        <w:rPr>
          <w:color w:val="231F20"/>
          <w:spacing w:val="-13"/>
        </w:rPr>
        <w:t> </w:t>
      </w:r>
      <w:r>
        <w:rPr>
          <w:color w:val="231F20"/>
        </w:rPr>
        <w:t>extrema</w:t>
      </w:r>
      <w:r>
        <w:rPr>
          <w:color w:val="231F20"/>
          <w:spacing w:val="-12"/>
        </w:rPr>
        <w:t> </w:t>
      </w:r>
      <w:r>
        <w:rPr>
          <w:color w:val="231F20"/>
        </w:rPr>
        <w:t>disminuyó</w:t>
      </w:r>
      <w:r>
        <w:rPr>
          <w:color w:val="231F20"/>
          <w:spacing w:val="-12"/>
        </w:rPr>
        <w:t> </w:t>
      </w:r>
      <w:r>
        <w:rPr>
          <w:color w:val="231F20"/>
        </w:rPr>
        <w:t>marginalmente</w:t>
      </w:r>
      <w:r>
        <w:rPr>
          <w:color w:val="231F20"/>
          <w:spacing w:val="-12"/>
        </w:rPr>
        <w:t> </w:t>
      </w:r>
      <w:r>
        <w:rPr>
          <w:color w:val="231F20"/>
        </w:rPr>
        <w:t>durante</w:t>
      </w:r>
      <w:r>
        <w:rPr>
          <w:color w:val="231F20"/>
          <w:spacing w:val="-12"/>
        </w:rPr>
        <w:t> </w:t>
      </w:r>
      <w:r>
        <w:rPr>
          <w:color w:val="231F20"/>
        </w:rPr>
        <w:t>el</w:t>
      </w:r>
      <w:r>
        <w:rPr>
          <w:color w:val="231F20"/>
          <w:spacing w:val="-12"/>
        </w:rPr>
        <w:t> </w:t>
      </w:r>
      <w:r>
        <w:rPr>
          <w:color w:val="231F20"/>
        </w:rPr>
        <w:t>periodo,</w:t>
      </w:r>
      <w:r>
        <w:rPr>
          <w:color w:val="231F20"/>
          <w:spacing w:val="-12"/>
        </w:rPr>
        <w:t> </w:t>
      </w:r>
      <w:r>
        <w:rPr>
          <w:color w:val="231F20"/>
        </w:rPr>
        <w:t>avanzó de 8.7% en 2008 a 8.5% en 2010, es decir, registró un retroceso de 0.2%. Como era de esperarse, la crisis financiera internacional determinó que la población no indígena pero vulnerable por ingresos aumentara de 4.7% en 2008 a 6.1% en 2010. Este resultado va en línea con el indicador de carencia por</w:t>
      </w:r>
      <w:r>
        <w:rPr>
          <w:color w:val="231F20"/>
          <w:spacing w:val="-8"/>
        </w:rPr>
        <w:t> </w:t>
      </w:r>
      <w:r>
        <w:rPr>
          <w:color w:val="231F20"/>
        </w:rPr>
        <w:t>acceso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alimentación,</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empeoró</w:t>
      </w:r>
      <w:r>
        <w:rPr>
          <w:color w:val="231F20"/>
          <w:spacing w:val="-8"/>
        </w:rPr>
        <w:t> </w:t>
      </w:r>
      <w:r>
        <w:rPr>
          <w:color w:val="231F20"/>
        </w:rPr>
        <w:t>relativamente,</w:t>
      </w:r>
      <w:r>
        <w:rPr>
          <w:color w:val="231F20"/>
          <w:spacing w:val="-8"/>
        </w:rPr>
        <w:t> </w:t>
      </w:r>
      <w:r>
        <w:rPr>
          <w:color w:val="231F20"/>
        </w:rPr>
        <w:t>pasó</w:t>
      </w:r>
      <w:r>
        <w:rPr>
          <w:color w:val="231F20"/>
          <w:spacing w:val="-8"/>
        </w:rPr>
        <w:t> </w:t>
      </w:r>
      <w:r>
        <w:rPr>
          <w:color w:val="231F20"/>
        </w:rPr>
        <w:t>de</w:t>
      </w:r>
      <w:r>
        <w:rPr>
          <w:color w:val="231F20"/>
          <w:spacing w:val="-8"/>
        </w:rPr>
        <w:t> </w:t>
      </w:r>
      <w:r>
        <w:rPr>
          <w:color w:val="231F20"/>
        </w:rPr>
        <w:t>20.3%</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inicial</w:t>
      </w:r>
      <w:r>
        <w:rPr>
          <w:color w:val="231F20"/>
          <w:spacing w:val="-8"/>
        </w:rPr>
        <w:t> </w:t>
      </w:r>
      <w:r>
        <w:rPr>
          <w:color w:val="231F20"/>
        </w:rPr>
        <w:t>a</w:t>
      </w:r>
      <w:r>
        <w:rPr>
          <w:color w:val="231F20"/>
          <w:spacing w:val="-8"/>
        </w:rPr>
        <w:t> </w:t>
      </w:r>
      <w:r>
        <w:rPr>
          <w:color w:val="231F20"/>
        </w:rPr>
        <w:t>23.9% en el año final de referencia. Lo mismo ocurrió con las categorías de bienestar de dicha medición (CIEPS, 2012).</w:t>
      </w:r>
    </w:p>
    <w:p>
      <w:pPr>
        <w:pStyle w:val="BodyText"/>
        <w:spacing w:before="10"/>
      </w:pPr>
    </w:p>
    <w:p>
      <w:pPr>
        <w:pStyle w:val="BodyText"/>
        <w:spacing w:line="247" w:lineRule="auto"/>
        <w:ind w:left="1270" w:right="1268"/>
        <w:jc w:val="both"/>
      </w:pPr>
      <w:r>
        <w:rPr>
          <w:color w:val="231F20"/>
        </w:rPr>
        <w:t>Sánchez (2012) observó que, en el Plan Nacional de Desarrollo 2007-2012, a meses de terminarse el sexenio siguen pendientes varios de los objetivos estratégicos planteados. Particularmente grave es la carencia de servicios sociales básicos para la mayor parte de la población del país. Su</w:t>
      </w:r>
      <w:r>
        <w:rPr>
          <w:color w:val="231F20"/>
          <w:spacing w:val="-31"/>
        </w:rPr>
        <w:t> </w:t>
      </w:r>
      <w:r>
        <w:rPr>
          <w:color w:val="231F20"/>
        </w:rPr>
        <w:t>dotación de</w:t>
      </w:r>
      <w:r>
        <w:rPr>
          <w:color w:val="231F20"/>
          <w:spacing w:val="-6"/>
        </w:rPr>
        <w:t> </w:t>
      </w:r>
      <w:r>
        <w:rPr>
          <w:color w:val="231F20"/>
        </w:rPr>
        <w:t>educación,</w:t>
      </w:r>
      <w:r>
        <w:rPr>
          <w:color w:val="231F20"/>
          <w:spacing w:val="-7"/>
        </w:rPr>
        <w:t> </w:t>
      </w:r>
      <w:r>
        <w:rPr>
          <w:color w:val="231F20"/>
        </w:rPr>
        <w:t>salud,</w:t>
      </w:r>
      <w:r>
        <w:rPr>
          <w:color w:val="231F20"/>
          <w:spacing w:val="-6"/>
        </w:rPr>
        <w:t> </w:t>
      </w:r>
      <w:r>
        <w:rPr>
          <w:color w:val="231F20"/>
        </w:rPr>
        <w:t>alimentación,</w:t>
      </w:r>
      <w:r>
        <w:rPr>
          <w:color w:val="231F20"/>
          <w:spacing w:val="-6"/>
        </w:rPr>
        <w:t> </w:t>
      </w:r>
      <w:r>
        <w:rPr>
          <w:color w:val="231F20"/>
        </w:rPr>
        <w:t>calidad</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vivienda,</w:t>
      </w:r>
      <w:r>
        <w:rPr>
          <w:color w:val="231F20"/>
          <w:spacing w:val="-6"/>
        </w:rPr>
        <w:t> </w:t>
      </w:r>
      <w:r>
        <w:rPr>
          <w:color w:val="231F20"/>
        </w:rPr>
        <w:t>servicios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vivienda</w:t>
      </w:r>
      <w:r>
        <w:rPr>
          <w:color w:val="231F20"/>
          <w:spacing w:val="-6"/>
        </w:rPr>
        <w:t> </w:t>
      </w:r>
      <w:r>
        <w:rPr>
          <w:color w:val="231F20"/>
        </w:rPr>
        <w:t>y</w:t>
      </w:r>
      <w:r>
        <w:rPr>
          <w:color w:val="231F20"/>
          <w:spacing w:val="-6"/>
        </w:rPr>
        <w:t> </w:t>
      </w:r>
      <w:r>
        <w:rPr>
          <w:color w:val="231F20"/>
        </w:rPr>
        <w:t>seguridad</w:t>
      </w:r>
      <w:r>
        <w:rPr>
          <w:color w:val="231F20"/>
          <w:spacing w:val="-6"/>
        </w:rPr>
        <w:t> </w:t>
      </w:r>
      <w:r>
        <w:rPr>
          <w:color w:val="231F20"/>
        </w:rPr>
        <w:t>social deja mucho que</w:t>
      </w:r>
      <w:r>
        <w:rPr>
          <w:color w:val="231F20"/>
          <w:spacing w:val="-13"/>
        </w:rPr>
        <w:t> </w:t>
      </w:r>
      <w:r>
        <w:rPr>
          <w:color w:val="231F20"/>
        </w:rPr>
        <w:t>desear.</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912">
            <wp:simplePos x="0" y="0"/>
            <wp:positionH relativeFrom="page">
              <wp:posOffset>17462</wp:posOffset>
            </wp:positionH>
            <wp:positionV relativeFrom="paragraph">
              <wp:posOffset>126451</wp:posOffset>
            </wp:positionV>
            <wp:extent cx="155575" cy="155575"/>
            <wp:effectExtent l="0" t="0" r="0" b="0"/>
            <wp:wrapNone/>
            <wp:docPr id="87" name="image2.png" descr=""/>
            <wp:cNvGraphicFramePr>
              <a:graphicFrameLocks noChangeAspect="1"/>
            </wp:cNvGraphicFramePr>
            <a:graphic>
              <a:graphicData uri="http://schemas.openxmlformats.org/drawingml/2006/picture">
                <pic:pic>
                  <pic:nvPicPr>
                    <pic:cNvPr id="8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6761162</wp:posOffset>
            </wp:positionH>
            <wp:positionV relativeFrom="paragraph">
              <wp:posOffset>126451</wp:posOffset>
            </wp:positionV>
            <wp:extent cx="155575" cy="155575"/>
            <wp:effectExtent l="0" t="0" r="0" b="0"/>
            <wp:wrapNone/>
            <wp:docPr id="89" name="image2.png" descr=""/>
            <wp:cNvGraphicFramePr>
              <a:graphicFrameLocks noChangeAspect="1"/>
            </wp:cNvGraphicFramePr>
            <a:graphic>
              <a:graphicData uri="http://schemas.openxmlformats.org/drawingml/2006/picture">
                <pic:pic>
                  <pic:nvPicPr>
                    <pic:cNvPr id="9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En lo que se refiere al, acceso a los servicios sociales básicos incrementa las opciones y las capaci- dades humanas, debido a que aumenta la probabilidad de las personas a vivir una vida larga,</w:t>
      </w:r>
      <w:r>
        <w:rPr>
          <w:color w:val="231F20"/>
          <w:spacing w:val="-20"/>
        </w:rPr>
        <w:t> </w:t>
      </w:r>
      <w:r>
        <w:rPr>
          <w:color w:val="231F20"/>
        </w:rPr>
        <w:t>estable y saludable. Además, permite que realicen de mejor manera todas sus actividades económicas y so- ciales. Por lo contrario, la privación de esos servicios o el acceso incompleto a ellos impide que los mexicanos</w:t>
      </w:r>
      <w:r>
        <w:rPr>
          <w:color w:val="231F20"/>
          <w:spacing w:val="-9"/>
        </w:rPr>
        <w:t> </w:t>
      </w:r>
      <w:r>
        <w:rPr>
          <w:color w:val="231F20"/>
        </w:rPr>
        <w:t>desarrollen</w:t>
      </w:r>
      <w:r>
        <w:rPr>
          <w:color w:val="231F20"/>
          <w:spacing w:val="-8"/>
        </w:rPr>
        <w:t> </w:t>
      </w:r>
      <w:r>
        <w:rPr>
          <w:color w:val="231F20"/>
        </w:rPr>
        <w:t>todo</w:t>
      </w:r>
      <w:r>
        <w:rPr>
          <w:color w:val="231F20"/>
          <w:spacing w:val="-8"/>
        </w:rPr>
        <w:t> </w:t>
      </w:r>
      <w:r>
        <w:rPr>
          <w:color w:val="231F20"/>
        </w:rPr>
        <w:t>su</w:t>
      </w:r>
      <w:r>
        <w:rPr>
          <w:color w:val="231F20"/>
          <w:spacing w:val="-8"/>
        </w:rPr>
        <w:t> </w:t>
      </w:r>
      <w:r>
        <w:rPr>
          <w:color w:val="231F20"/>
        </w:rPr>
        <w:t>potencial.</w:t>
      </w:r>
      <w:r>
        <w:rPr>
          <w:color w:val="231F20"/>
          <w:spacing w:val="-8"/>
        </w:rPr>
        <w:t> </w:t>
      </w:r>
      <w:r>
        <w:rPr>
          <w:color w:val="231F20"/>
        </w:rPr>
        <w:t>De</w:t>
      </w:r>
      <w:r>
        <w:rPr>
          <w:color w:val="231F20"/>
          <w:spacing w:val="-8"/>
        </w:rPr>
        <w:t> </w:t>
      </w:r>
      <w:r>
        <w:rPr>
          <w:color w:val="231F20"/>
        </w:rPr>
        <w:t>acuerdo</w:t>
      </w:r>
      <w:r>
        <w:rPr>
          <w:color w:val="231F20"/>
          <w:spacing w:val="-9"/>
        </w:rPr>
        <w:t> </w:t>
      </w:r>
      <w:r>
        <w:rPr>
          <w:color w:val="231F20"/>
        </w:rPr>
        <w:t>con</w:t>
      </w:r>
      <w:r>
        <w:rPr>
          <w:color w:val="231F20"/>
          <w:spacing w:val="-8"/>
        </w:rPr>
        <w:t> </w:t>
      </w:r>
      <w:r>
        <w:rPr>
          <w:color w:val="231F20"/>
        </w:rPr>
        <w:t>las</w:t>
      </w:r>
      <w:r>
        <w:rPr>
          <w:color w:val="231F20"/>
          <w:spacing w:val="-8"/>
        </w:rPr>
        <w:t> </w:t>
      </w:r>
      <w:r>
        <w:rPr>
          <w:color w:val="231F20"/>
        </w:rPr>
        <w:t>estadísticas</w:t>
      </w:r>
      <w:r>
        <w:rPr>
          <w:color w:val="231F20"/>
          <w:spacing w:val="-9"/>
        </w:rPr>
        <w:t> </w:t>
      </w:r>
      <w:r>
        <w:rPr>
          <w:color w:val="231F20"/>
        </w:rPr>
        <w:t>recopiladas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consulto- ría</w:t>
      </w:r>
      <w:r>
        <w:rPr>
          <w:color w:val="231F20"/>
          <w:spacing w:val="-24"/>
        </w:rPr>
        <w:t> </w:t>
      </w:r>
      <w:r>
        <w:rPr>
          <w:color w:val="231F20"/>
        </w:rPr>
        <w:t>Aregional,</w:t>
      </w:r>
      <w:r>
        <w:rPr>
          <w:color w:val="231F20"/>
          <w:spacing w:val="-12"/>
        </w:rPr>
        <w:t> </w:t>
      </w:r>
      <w:r>
        <w:rPr>
          <w:color w:val="231F20"/>
        </w:rPr>
        <w:t>en</w:t>
      </w:r>
      <w:r>
        <w:rPr>
          <w:color w:val="231F20"/>
          <w:spacing w:val="-12"/>
        </w:rPr>
        <w:t> </w:t>
      </w:r>
      <w:r>
        <w:rPr>
          <w:color w:val="231F20"/>
        </w:rPr>
        <w:t>México,</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carece</w:t>
      </w:r>
      <w:r>
        <w:rPr>
          <w:color w:val="231F20"/>
          <w:spacing w:val="-13"/>
        </w:rPr>
        <w:t> </w:t>
      </w:r>
      <w:r>
        <w:rPr>
          <w:color w:val="231F20"/>
        </w:rPr>
        <w:t>en</w:t>
      </w:r>
      <w:r>
        <w:rPr>
          <w:color w:val="231F20"/>
          <w:spacing w:val="-12"/>
        </w:rPr>
        <w:t> </w:t>
      </w:r>
      <w:r>
        <w:rPr>
          <w:color w:val="231F20"/>
        </w:rPr>
        <w:t>promedio</w:t>
      </w:r>
      <w:r>
        <w:rPr>
          <w:color w:val="231F20"/>
          <w:spacing w:val="-12"/>
        </w:rPr>
        <w:t> </w:t>
      </w:r>
      <w:r>
        <w:rPr>
          <w:color w:val="231F20"/>
        </w:rPr>
        <w:t>de</w:t>
      </w:r>
      <w:r>
        <w:rPr>
          <w:color w:val="231F20"/>
          <w:spacing w:val="-12"/>
        </w:rPr>
        <w:t> </w:t>
      </w:r>
      <w:r>
        <w:rPr>
          <w:color w:val="231F20"/>
        </w:rPr>
        <w:t>2.5</w:t>
      </w:r>
      <w:r>
        <w:rPr>
          <w:color w:val="231F20"/>
          <w:spacing w:val="-12"/>
        </w:rPr>
        <w:t> </w:t>
      </w:r>
      <w:r>
        <w:rPr>
          <w:color w:val="231F20"/>
        </w:rPr>
        <w:t>de</w:t>
      </w:r>
      <w:r>
        <w:rPr>
          <w:color w:val="231F20"/>
          <w:spacing w:val="-12"/>
        </w:rPr>
        <w:t> </w:t>
      </w:r>
      <w:r>
        <w:rPr>
          <w:color w:val="231F20"/>
        </w:rPr>
        <w:t>seis</w:t>
      </w:r>
      <w:r>
        <w:rPr>
          <w:color w:val="231F20"/>
          <w:spacing w:val="-12"/>
        </w:rPr>
        <w:t> </w:t>
      </w:r>
      <w:r>
        <w:rPr>
          <w:color w:val="231F20"/>
        </w:rPr>
        <w:t>servicios</w:t>
      </w:r>
      <w:r>
        <w:rPr>
          <w:color w:val="231F20"/>
          <w:spacing w:val="-12"/>
        </w:rPr>
        <w:t> </w:t>
      </w:r>
      <w:r>
        <w:rPr>
          <w:color w:val="231F20"/>
        </w:rPr>
        <w:t>básicos.</w:t>
      </w:r>
      <w:r>
        <w:rPr>
          <w:color w:val="231F20"/>
          <w:spacing w:val="-12"/>
        </w:rPr>
        <w:t> </w:t>
      </w:r>
      <w:r>
        <w:rPr>
          <w:color w:val="231F20"/>
        </w:rPr>
        <w:t>En</w:t>
      </w:r>
      <w:r>
        <w:rPr>
          <w:color w:val="231F20"/>
          <w:spacing w:val="-12"/>
        </w:rPr>
        <w:t> </w:t>
      </w:r>
      <w:r>
        <w:rPr>
          <w:color w:val="231F20"/>
        </w:rPr>
        <w:t>ciertos estados y municipios la carencia es mayor, destacan Oaxaca, Chiapas, Guerrero, </w:t>
      </w:r>
      <w:r>
        <w:rPr>
          <w:color w:val="231F20"/>
          <w:spacing w:val="-3"/>
        </w:rPr>
        <w:t>Veracruz </w:t>
      </w:r>
      <w:r>
        <w:rPr>
          <w:color w:val="231F20"/>
        </w:rPr>
        <w:t>y Puebla. En ellos la pobreza se refuerza con la privación en el acceso a los servicios básicos, atrapándolos</w:t>
      </w:r>
      <w:r>
        <w:rPr>
          <w:color w:val="231F20"/>
          <w:spacing w:val="-25"/>
        </w:rPr>
        <w:t> </w:t>
      </w:r>
      <w:r>
        <w:rPr>
          <w:color w:val="231F20"/>
        </w:rPr>
        <w:t>en un círculo perverso de subdesarrollo. A continuación presentó estadísticas que dan cuenta del grado de avance o retroceso en la cobertura de cada uno los servicios básicos. En primer lugar, en materia de salud, a nivel nacional 31.8% de la población carece de este derecho, a pesar de los avances que se tuvieron en este rubro gracias a la creación del Seguro Popular (Sánchez,</w:t>
      </w:r>
      <w:r>
        <w:rPr>
          <w:color w:val="231F20"/>
          <w:spacing w:val="-16"/>
        </w:rPr>
        <w:t> </w:t>
      </w:r>
      <w:r>
        <w:rPr>
          <w:color w:val="231F20"/>
        </w:rPr>
        <w:t>2012).</w:t>
      </w:r>
    </w:p>
    <w:p>
      <w:pPr>
        <w:pStyle w:val="BodyText"/>
        <w:spacing w:before="10"/>
      </w:pPr>
    </w:p>
    <w:p>
      <w:pPr>
        <w:pStyle w:val="BodyText"/>
        <w:spacing w:line="247" w:lineRule="auto"/>
        <w:ind w:left="1270" w:right="1267"/>
        <w:jc w:val="both"/>
      </w:pPr>
      <w:r>
        <w:rPr>
          <w:color w:val="231F20"/>
        </w:rPr>
        <w:t>En</w:t>
      </w:r>
      <w:r>
        <w:rPr>
          <w:color w:val="231F20"/>
          <w:spacing w:val="-4"/>
        </w:rPr>
        <w:t> </w:t>
      </w:r>
      <w:r>
        <w:rPr>
          <w:color w:val="231F20"/>
        </w:rPr>
        <w:t>420</w:t>
      </w:r>
      <w:r>
        <w:rPr>
          <w:color w:val="231F20"/>
          <w:spacing w:val="-4"/>
        </w:rPr>
        <w:t> </w:t>
      </w:r>
      <w:r>
        <w:rPr>
          <w:color w:val="231F20"/>
        </w:rPr>
        <w:t>de</w:t>
      </w:r>
      <w:r>
        <w:rPr>
          <w:color w:val="231F20"/>
          <w:spacing w:val="-4"/>
        </w:rPr>
        <w:t> </w:t>
      </w:r>
      <w:r>
        <w:rPr>
          <w:color w:val="231F20"/>
        </w:rPr>
        <w:t>2,454</w:t>
      </w:r>
      <w:r>
        <w:rPr>
          <w:color w:val="231F20"/>
          <w:spacing w:val="-4"/>
        </w:rPr>
        <w:t> </w:t>
      </w:r>
      <w:r>
        <w:rPr>
          <w:color w:val="231F20"/>
        </w:rPr>
        <w:t>municipios,</w:t>
      </w:r>
      <w:r>
        <w:rPr>
          <w:color w:val="231F20"/>
          <w:spacing w:val="-4"/>
        </w:rPr>
        <w:t> </w:t>
      </w:r>
      <w:r>
        <w:rPr>
          <w:color w:val="231F20"/>
        </w:rPr>
        <w:t>cerca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mitad</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pobladores</w:t>
      </w:r>
      <w:r>
        <w:rPr>
          <w:color w:val="231F20"/>
          <w:spacing w:val="-4"/>
        </w:rPr>
        <w:t> </w:t>
      </w:r>
      <w:r>
        <w:rPr>
          <w:color w:val="231F20"/>
        </w:rPr>
        <w:t>no</w:t>
      </w:r>
      <w:r>
        <w:rPr>
          <w:color w:val="231F20"/>
          <w:spacing w:val="-4"/>
        </w:rPr>
        <w:t> </w:t>
      </w:r>
      <w:r>
        <w:rPr>
          <w:color w:val="231F20"/>
        </w:rPr>
        <w:t>tienen</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servicio</w:t>
      </w:r>
      <w:r>
        <w:rPr>
          <w:color w:val="231F20"/>
          <w:spacing w:val="-3"/>
        </w:rPr>
        <w:t> </w:t>
      </w:r>
      <w:r>
        <w:rPr>
          <w:color w:val="231F20"/>
        </w:rPr>
        <w:t>médico alguno;</w:t>
      </w:r>
      <w:r>
        <w:rPr>
          <w:color w:val="231F20"/>
          <w:spacing w:val="-12"/>
        </w:rPr>
        <w:t> </w:t>
      </w:r>
      <w:r>
        <w:rPr>
          <w:color w:val="231F20"/>
        </w:rPr>
        <w:t>en</w:t>
      </w:r>
      <w:r>
        <w:rPr>
          <w:color w:val="231F20"/>
          <w:spacing w:val="-12"/>
        </w:rPr>
        <w:t> </w:t>
      </w:r>
      <w:r>
        <w:rPr>
          <w:color w:val="231F20"/>
        </w:rPr>
        <w:t>30</w:t>
      </w:r>
      <w:r>
        <w:rPr>
          <w:color w:val="231F20"/>
          <w:spacing w:val="-12"/>
        </w:rPr>
        <w:t> </w:t>
      </w:r>
      <w:r>
        <w:rPr>
          <w:color w:val="231F20"/>
        </w:rPr>
        <w:t>de</w:t>
      </w:r>
      <w:r>
        <w:rPr>
          <w:color w:val="231F20"/>
          <w:spacing w:val="-12"/>
        </w:rPr>
        <w:t> </w:t>
      </w:r>
      <w:r>
        <w:rPr>
          <w:color w:val="231F20"/>
        </w:rPr>
        <w:t>éstos,</w:t>
      </w:r>
      <w:r>
        <w:rPr>
          <w:color w:val="231F20"/>
          <w:spacing w:val="-12"/>
        </w:rPr>
        <w:t> </w:t>
      </w:r>
      <w:r>
        <w:rPr>
          <w:color w:val="231F20"/>
        </w:rPr>
        <w:t>la</w:t>
      </w:r>
      <w:r>
        <w:rPr>
          <w:color w:val="231F20"/>
          <w:spacing w:val="-12"/>
        </w:rPr>
        <w:t> </w:t>
      </w:r>
      <w:r>
        <w:rPr>
          <w:color w:val="231F20"/>
        </w:rPr>
        <w:t>carencia</w:t>
      </w:r>
      <w:r>
        <w:rPr>
          <w:color w:val="231F20"/>
          <w:spacing w:val="-12"/>
        </w:rPr>
        <w:t> </w:t>
      </w:r>
      <w:r>
        <w:rPr>
          <w:color w:val="231F20"/>
        </w:rPr>
        <w:t>es</w:t>
      </w:r>
      <w:r>
        <w:rPr>
          <w:color w:val="231F20"/>
          <w:spacing w:val="-12"/>
        </w:rPr>
        <w:t> </w:t>
      </w:r>
      <w:r>
        <w:rPr>
          <w:color w:val="231F20"/>
        </w:rPr>
        <w:t>mayor,</w:t>
      </w:r>
      <w:r>
        <w:rPr>
          <w:color w:val="231F20"/>
          <w:spacing w:val="-12"/>
        </w:rPr>
        <w:t> </w:t>
      </w:r>
      <w:r>
        <w:rPr>
          <w:color w:val="231F20"/>
        </w:rPr>
        <w:t>nueve</w:t>
      </w:r>
      <w:r>
        <w:rPr>
          <w:color w:val="231F20"/>
          <w:spacing w:val="-12"/>
        </w:rPr>
        <w:t> </w:t>
      </w:r>
      <w:r>
        <w:rPr>
          <w:color w:val="231F20"/>
        </w:rPr>
        <w:t>de</w:t>
      </w:r>
      <w:r>
        <w:rPr>
          <w:color w:val="231F20"/>
          <w:spacing w:val="-12"/>
        </w:rPr>
        <w:t> </w:t>
      </w:r>
      <w:r>
        <w:rPr>
          <w:color w:val="231F20"/>
        </w:rPr>
        <w:t>cada</w:t>
      </w:r>
      <w:r>
        <w:rPr>
          <w:color w:val="231F20"/>
          <w:spacing w:val="-12"/>
        </w:rPr>
        <w:t> </w:t>
      </w:r>
      <w:r>
        <w:rPr>
          <w:color w:val="231F20"/>
        </w:rPr>
        <w:t>10</w:t>
      </w:r>
      <w:r>
        <w:rPr>
          <w:color w:val="231F20"/>
          <w:spacing w:val="-12"/>
        </w:rPr>
        <w:t> </w:t>
      </w:r>
      <w:r>
        <w:rPr>
          <w:color w:val="231F20"/>
        </w:rPr>
        <w:t>seres</w:t>
      </w:r>
      <w:r>
        <w:rPr>
          <w:color w:val="231F20"/>
          <w:spacing w:val="-11"/>
        </w:rPr>
        <w:t> </w:t>
      </w:r>
      <w:r>
        <w:rPr>
          <w:color w:val="231F20"/>
        </w:rPr>
        <w:t>humanos.</w:t>
      </w:r>
      <w:r>
        <w:rPr>
          <w:color w:val="231F20"/>
          <w:spacing w:val="-12"/>
        </w:rPr>
        <w:t> </w:t>
      </w:r>
      <w:r>
        <w:rPr>
          <w:color w:val="231F20"/>
        </w:rPr>
        <w:t>Estos</w:t>
      </w:r>
      <w:r>
        <w:rPr>
          <w:color w:val="231F20"/>
          <w:spacing w:val="-12"/>
        </w:rPr>
        <w:t> </w:t>
      </w:r>
      <w:r>
        <w:rPr>
          <w:color w:val="231F20"/>
        </w:rPr>
        <w:t>municipios</w:t>
      </w:r>
      <w:r>
        <w:rPr>
          <w:color w:val="231F20"/>
          <w:spacing w:val="-12"/>
        </w:rPr>
        <w:t> </w:t>
      </w:r>
      <w:r>
        <w:rPr>
          <w:color w:val="231F20"/>
        </w:rPr>
        <w:t>están en</w:t>
      </w:r>
      <w:r>
        <w:rPr>
          <w:color w:val="231F20"/>
          <w:spacing w:val="-6"/>
        </w:rPr>
        <w:t> </w:t>
      </w:r>
      <w:r>
        <w:rPr>
          <w:color w:val="231F20"/>
        </w:rPr>
        <w:t>Oaxaca,</w:t>
      </w:r>
      <w:r>
        <w:rPr>
          <w:color w:val="231F20"/>
          <w:spacing w:val="-5"/>
        </w:rPr>
        <w:t> </w:t>
      </w:r>
      <w:r>
        <w:rPr>
          <w:color w:val="231F20"/>
        </w:rPr>
        <w:t>Puebla,</w:t>
      </w:r>
      <w:r>
        <w:rPr>
          <w:color w:val="231F20"/>
          <w:spacing w:val="-5"/>
        </w:rPr>
        <w:t> </w:t>
      </w:r>
      <w:r>
        <w:rPr>
          <w:color w:val="231F20"/>
        </w:rPr>
        <w:t>Guerrero</w:t>
      </w:r>
      <w:r>
        <w:rPr>
          <w:color w:val="231F20"/>
          <w:spacing w:val="-5"/>
        </w:rPr>
        <w:t> </w:t>
      </w:r>
      <w:r>
        <w:rPr>
          <w:color w:val="231F20"/>
        </w:rPr>
        <w:t>y</w:t>
      </w:r>
      <w:r>
        <w:rPr>
          <w:color w:val="231F20"/>
          <w:spacing w:val="-10"/>
        </w:rPr>
        <w:t> </w:t>
      </w:r>
      <w:r>
        <w:rPr>
          <w:color w:val="231F20"/>
          <w:spacing w:val="-3"/>
        </w:rPr>
        <w:t>Veracruz.</w:t>
      </w:r>
      <w:r>
        <w:rPr>
          <w:color w:val="231F20"/>
          <w:spacing w:val="-10"/>
        </w:rPr>
        <w:t> </w:t>
      </w:r>
      <w:r>
        <w:rPr>
          <w:color w:val="231F20"/>
          <w:spacing w:val="-4"/>
        </w:rPr>
        <w:t>Todo</w:t>
      </w:r>
      <w:r>
        <w:rPr>
          <w:color w:val="231F20"/>
          <w:spacing w:val="-6"/>
        </w:rPr>
        <w:t> </w:t>
      </w:r>
      <w:r>
        <w:rPr>
          <w:color w:val="231F20"/>
        </w:rPr>
        <w:t>lo</w:t>
      </w:r>
      <w:r>
        <w:rPr>
          <w:color w:val="231F20"/>
          <w:spacing w:val="-6"/>
        </w:rPr>
        <w:t> </w:t>
      </w:r>
      <w:r>
        <w:rPr>
          <w:color w:val="231F20"/>
        </w:rPr>
        <w:t>contrario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anterior,</w:t>
      </w:r>
      <w:r>
        <w:rPr>
          <w:color w:val="231F20"/>
          <w:spacing w:val="-6"/>
        </w:rPr>
        <w:t> </w:t>
      </w:r>
      <w:r>
        <w:rPr>
          <w:color w:val="231F20"/>
        </w:rPr>
        <w:t>en</w:t>
      </w:r>
      <w:r>
        <w:rPr>
          <w:color w:val="231F20"/>
          <w:spacing w:val="-6"/>
        </w:rPr>
        <w:t> </w:t>
      </w:r>
      <w:r>
        <w:rPr>
          <w:color w:val="231F20"/>
        </w:rPr>
        <w:t>15</w:t>
      </w:r>
      <w:r>
        <w:rPr>
          <w:color w:val="231F20"/>
          <w:spacing w:val="-6"/>
        </w:rPr>
        <w:t> </w:t>
      </w:r>
      <w:r>
        <w:rPr>
          <w:color w:val="231F20"/>
        </w:rPr>
        <w:t>municipios</w:t>
      </w:r>
      <w:r>
        <w:rPr>
          <w:color w:val="231F20"/>
          <w:spacing w:val="-6"/>
        </w:rPr>
        <w:t> </w:t>
      </w:r>
      <w:r>
        <w:rPr>
          <w:color w:val="231F20"/>
        </w:rPr>
        <w:t>la</w:t>
      </w:r>
      <w:r>
        <w:rPr>
          <w:color w:val="231F20"/>
          <w:spacing w:val="-6"/>
        </w:rPr>
        <w:t> </w:t>
      </w:r>
      <w:r>
        <w:rPr>
          <w:color w:val="231F20"/>
        </w:rPr>
        <w:t>cober- tura de salud es del 95.0% o más de la población, nueve de estos municipios pertenecen a Oaxaca, uno a Guerrero. Los cinco restantes se localizan en </w:t>
      </w:r>
      <w:r>
        <w:rPr>
          <w:color w:val="231F20"/>
          <w:spacing w:val="-3"/>
        </w:rPr>
        <w:t>Yucatán, </w:t>
      </w:r>
      <w:r>
        <w:rPr>
          <w:color w:val="231F20"/>
        </w:rPr>
        <w:t>Querétaro, Tamaulipas y </w:t>
      </w:r>
      <w:r>
        <w:rPr>
          <w:color w:val="231F20"/>
          <w:spacing w:val="-3"/>
        </w:rPr>
        <w:t>Veracruz. </w:t>
      </w:r>
      <w:r>
        <w:rPr>
          <w:color w:val="231F20"/>
        </w:rPr>
        <w:t>En el</w:t>
      </w:r>
      <w:r>
        <w:rPr>
          <w:color w:val="231F20"/>
          <w:spacing w:val="-8"/>
        </w:rPr>
        <w:t> </w:t>
      </w:r>
      <w:r>
        <w:rPr>
          <w:color w:val="231F20"/>
        </w:rPr>
        <w:t>rubro</w:t>
      </w:r>
      <w:r>
        <w:rPr>
          <w:color w:val="231F20"/>
          <w:spacing w:val="-8"/>
        </w:rPr>
        <w:t> </w:t>
      </w:r>
      <w:r>
        <w:rPr>
          <w:color w:val="231F20"/>
        </w:rPr>
        <w:t>de</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vivienda,</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nacional</w:t>
      </w:r>
      <w:r>
        <w:rPr>
          <w:color w:val="231F20"/>
          <w:spacing w:val="-8"/>
        </w:rPr>
        <w:t> </w:t>
      </w:r>
      <w:r>
        <w:rPr>
          <w:color w:val="231F20"/>
        </w:rPr>
        <w:t>15.2%</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tiene</w:t>
      </w:r>
      <w:r>
        <w:rPr>
          <w:color w:val="231F20"/>
          <w:spacing w:val="-8"/>
        </w:rPr>
        <w:t> </w:t>
      </w:r>
      <w:r>
        <w:rPr>
          <w:color w:val="231F20"/>
        </w:rPr>
        <w:t>carencias.</w:t>
      </w:r>
      <w:r>
        <w:rPr>
          <w:color w:val="231F20"/>
          <w:spacing w:val="-9"/>
        </w:rPr>
        <w:t> </w:t>
      </w:r>
      <w:r>
        <w:rPr>
          <w:color w:val="231F20"/>
        </w:rPr>
        <w:t>No</w:t>
      </w:r>
      <w:r>
        <w:rPr>
          <w:color w:val="231F20"/>
          <w:spacing w:val="-8"/>
        </w:rPr>
        <w:t> </w:t>
      </w:r>
      <w:r>
        <w:rPr>
          <w:color w:val="231F20"/>
        </w:rPr>
        <w:t>obstan- te, el panorama al interior del país es contrastante, en algunos estados y municipios existe una casi total cobertura y en otros una total privación. Las carencias en la vivienda se determinan por</w:t>
      </w:r>
      <w:r>
        <w:rPr>
          <w:color w:val="231F20"/>
          <w:spacing w:val="-1"/>
        </w:rPr>
        <w:t> </w:t>
      </w:r>
      <w:r>
        <w:rPr>
          <w:color w:val="231F20"/>
        </w:rPr>
        <w:t>alguna</w:t>
      </w:r>
    </w:p>
    <w:p>
      <w:pPr>
        <w:pStyle w:val="BodyText"/>
        <w:spacing w:before="7"/>
        <w:rPr>
          <w:sz w:val="24"/>
        </w:rPr>
      </w:pPr>
    </w:p>
    <w:p>
      <w:pPr>
        <w:spacing w:before="72"/>
        <w:ind w:left="4027" w:right="4005" w:firstLine="0"/>
        <w:jc w:val="center"/>
        <w:rPr>
          <w:rFonts w:ascii="Trebuchet MS"/>
          <w:b/>
          <w:i/>
          <w:sz w:val="22"/>
        </w:rPr>
      </w:pPr>
      <w:r>
        <w:rPr>
          <w:rFonts w:ascii="Trebuchet MS"/>
          <w:b/>
          <w:i/>
          <w:color w:val="231F20"/>
          <w:sz w:val="22"/>
        </w:rPr>
        <w:t>45</w:t>
      </w:r>
    </w:p>
    <w:p>
      <w:pPr>
        <w:spacing w:after="0"/>
        <w:jc w:val="center"/>
        <w:rPr>
          <w:rFonts w:ascii="Trebuchet MS"/>
          <w:sz w:val="22"/>
        </w:rPr>
        <w:sectPr>
          <w:footerReference w:type="default" r:id="rId20"/>
          <w:pgSz w:w="10920" w:h="13080"/>
          <w:pgMar w:footer="223" w:header="0" w:top="420" w:bottom="420" w:left="0" w:right="0"/>
          <w:pgNumType w:start="45"/>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de las siguientes características: a) el material de los pisos de la vivienda; b) el material del techo  de la vivienda; c) el material de los muros de la vivienda y d) la razón de personas por habitación. Respecto a los servicios básicos en la vivienda, 16.5% de la población se encuentra en situación de carencia. En 287 municipios, nueve de cada diez personas sufren de falta de acceso a los servicios básicos en la vivienda (suministro de agua potable; drenaje; energía eléctrica y combustible para cocinar) (Sánchez,</w:t>
      </w:r>
      <w:r>
        <w:rPr>
          <w:color w:val="231F20"/>
          <w:spacing w:val="-1"/>
        </w:rPr>
        <w:t> </w:t>
      </w:r>
      <w:r>
        <w:rPr>
          <w:color w:val="231F20"/>
        </w:rPr>
        <w:t>2012).</w:t>
      </w:r>
    </w:p>
    <w:p>
      <w:pPr>
        <w:pStyle w:val="BodyText"/>
        <w:spacing w:before="10"/>
      </w:pPr>
    </w:p>
    <w:p>
      <w:pPr>
        <w:pStyle w:val="BodyText"/>
        <w:spacing w:line="247" w:lineRule="auto"/>
        <w:ind w:left="1270" w:right="1267"/>
        <w:jc w:val="both"/>
      </w:pPr>
      <w:r>
        <w:rPr>
          <w:color w:val="231F20"/>
        </w:rPr>
        <w:t>En Oaxaca, los habitantes de 18 de los 570 municipios presentan una carencia total de acceso. El cuarto servicio básico al que toda persona debe tener acceso es la educación, a nivel nacional</w:t>
      </w:r>
      <w:r>
        <w:rPr>
          <w:color w:val="231F20"/>
          <w:spacing w:val="-31"/>
        </w:rPr>
        <w:t> </w:t>
      </w:r>
      <w:r>
        <w:rPr>
          <w:color w:val="231F20"/>
        </w:rPr>
        <w:t>20.6% 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no</w:t>
      </w:r>
      <w:r>
        <w:rPr>
          <w:color w:val="231F20"/>
          <w:spacing w:val="-9"/>
        </w:rPr>
        <w:t> </w:t>
      </w:r>
      <w:r>
        <w:rPr>
          <w:color w:val="231F20"/>
        </w:rPr>
        <w:t>tiene</w:t>
      </w:r>
      <w:r>
        <w:rPr>
          <w:color w:val="231F20"/>
          <w:spacing w:val="-10"/>
        </w:rPr>
        <w:t> </w:t>
      </w:r>
      <w:r>
        <w:rPr>
          <w:color w:val="231F20"/>
        </w:rPr>
        <w:t>acceso</w:t>
      </w:r>
      <w:r>
        <w:rPr>
          <w:color w:val="231F20"/>
          <w:spacing w:val="-10"/>
        </w:rPr>
        <w:t> </w:t>
      </w:r>
      <w:r>
        <w:rPr>
          <w:color w:val="231F20"/>
        </w:rPr>
        <w:t>y</w:t>
      </w:r>
      <w:r>
        <w:rPr>
          <w:color w:val="231F20"/>
          <w:spacing w:val="-9"/>
        </w:rPr>
        <w:t> </w:t>
      </w:r>
      <w:r>
        <w:rPr>
          <w:color w:val="231F20"/>
        </w:rPr>
        <w:t>el</w:t>
      </w:r>
      <w:r>
        <w:rPr>
          <w:color w:val="231F20"/>
          <w:spacing w:val="-9"/>
        </w:rPr>
        <w:t> </w:t>
      </w:r>
      <w:r>
        <w:rPr>
          <w:color w:val="231F20"/>
        </w:rPr>
        <w:t>restante</w:t>
      </w:r>
      <w:r>
        <w:rPr>
          <w:color w:val="231F20"/>
          <w:spacing w:val="-9"/>
        </w:rPr>
        <w:t> </w:t>
      </w:r>
      <w:r>
        <w:rPr>
          <w:color w:val="231F20"/>
        </w:rPr>
        <w:t>79.4%</w:t>
      </w:r>
      <w:r>
        <w:rPr>
          <w:color w:val="231F20"/>
          <w:spacing w:val="-9"/>
        </w:rPr>
        <w:t> </w:t>
      </w:r>
      <w:r>
        <w:rPr>
          <w:color w:val="231F20"/>
        </w:rPr>
        <w:t>aunque</w:t>
      </w:r>
      <w:r>
        <w:rPr>
          <w:color w:val="231F20"/>
          <w:spacing w:val="-10"/>
        </w:rPr>
        <w:t> </w:t>
      </w:r>
      <w:r>
        <w:rPr>
          <w:color w:val="231F20"/>
        </w:rPr>
        <w:t>tiene</w:t>
      </w:r>
      <w:r>
        <w:rPr>
          <w:color w:val="231F20"/>
          <w:spacing w:val="-10"/>
        </w:rPr>
        <w:t> </w:t>
      </w:r>
      <w:r>
        <w:rPr>
          <w:color w:val="231F20"/>
        </w:rPr>
        <w:t>acceso</w:t>
      </w:r>
      <w:r>
        <w:rPr>
          <w:color w:val="231F20"/>
          <w:spacing w:val="-10"/>
        </w:rPr>
        <w:t> </w:t>
      </w:r>
      <w:r>
        <w:rPr>
          <w:color w:val="231F20"/>
        </w:rPr>
        <w:t>sufre</w:t>
      </w:r>
      <w:r>
        <w:rPr>
          <w:color w:val="231F20"/>
          <w:spacing w:val="-9"/>
        </w:rPr>
        <w:t> </w:t>
      </w:r>
      <w:r>
        <w:rPr>
          <w:color w:val="231F20"/>
        </w:rPr>
        <w:t>las</w:t>
      </w:r>
      <w:r>
        <w:rPr>
          <w:color w:val="231F20"/>
          <w:spacing w:val="-10"/>
        </w:rPr>
        <w:t> </w:t>
      </w:r>
      <w:r>
        <w:rPr>
          <w:color w:val="231F20"/>
        </w:rPr>
        <w:t>consecuencias</w:t>
      </w:r>
      <w:r>
        <w:rPr>
          <w:color w:val="231F20"/>
          <w:spacing w:val="-10"/>
        </w:rPr>
        <w:t> </w:t>
      </w:r>
      <w:r>
        <w:rPr>
          <w:color w:val="231F20"/>
        </w:rPr>
        <w:t>de</w:t>
      </w:r>
      <w:r>
        <w:rPr>
          <w:color w:val="231F20"/>
          <w:spacing w:val="-9"/>
        </w:rPr>
        <w:t> </w:t>
      </w:r>
      <w:r>
        <w:rPr>
          <w:color w:val="231F20"/>
        </w:rPr>
        <w:t>su mala calidad. En 87 municipios, al menos la mitad de la población carece de acceso a la educación; 68 de estos municipios pertenecen a Oaxaca, nueve a Chiapas, tres a Puebla, tres a Guerrero, dos a </w:t>
      </w:r>
      <w:r>
        <w:rPr>
          <w:color w:val="231F20"/>
          <w:spacing w:val="-3"/>
        </w:rPr>
        <w:t>Veracruz </w:t>
      </w:r>
      <w:r>
        <w:rPr>
          <w:color w:val="231F20"/>
        </w:rPr>
        <w:t>y los dos restantes a Michoacán y </w:t>
      </w:r>
      <w:r>
        <w:rPr>
          <w:color w:val="231F20"/>
          <w:spacing w:val="-3"/>
        </w:rPr>
        <w:t>Yucatán. </w:t>
      </w:r>
      <w:r>
        <w:rPr>
          <w:color w:val="231F20"/>
        </w:rPr>
        <w:t>En materia alimentaria 24.9% de la población nacional</w:t>
      </w:r>
      <w:r>
        <w:rPr>
          <w:color w:val="231F20"/>
          <w:spacing w:val="-3"/>
        </w:rPr>
        <w:t> </w:t>
      </w:r>
      <w:r>
        <w:rPr>
          <w:color w:val="231F20"/>
        </w:rPr>
        <w:t>no</w:t>
      </w:r>
      <w:r>
        <w:rPr>
          <w:color w:val="231F20"/>
          <w:spacing w:val="-3"/>
        </w:rPr>
        <w:t> </w:t>
      </w:r>
      <w:r>
        <w:rPr>
          <w:color w:val="231F20"/>
        </w:rPr>
        <w:t>tiene</w:t>
      </w:r>
      <w:r>
        <w:rPr>
          <w:color w:val="231F20"/>
          <w:spacing w:val="-3"/>
        </w:rPr>
        <w:t> </w:t>
      </w:r>
      <w:r>
        <w:rPr>
          <w:color w:val="231F20"/>
        </w:rPr>
        <w:t>acceso</w:t>
      </w:r>
      <w:r>
        <w:rPr>
          <w:color w:val="231F20"/>
          <w:spacing w:val="-3"/>
        </w:rPr>
        <w:t> </w:t>
      </w:r>
      <w:r>
        <w:rPr>
          <w:color w:val="231F20"/>
        </w:rPr>
        <w:t>a</w:t>
      </w:r>
      <w:r>
        <w:rPr>
          <w:color w:val="231F20"/>
          <w:spacing w:val="-3"/>
        </w:rPr>
        <w:t> </w:t>
      </w:r>
      <w:r>
        <w:rPr>
          <w:color w:val="231F20"/>
        </w:rPr>
        <w:t>este</w:t>
      </w:r>
      <w:r>
        <w:rPr>
          <w:color w:val="231F20"/>
          <w:spacing w:val="-3"/>
        </w:rPr>
        <w:t> </w:t>
      </w:r>
      <w:r>
        <w:rPr>
          <w:color w:val="231F20"/>
        </w:rPr>
        <w:t>servicio,</w:t>
      </w:r>
      <w:r>
        <w:rPr>
          <w:color w:val="231F20"/>
          <w:spacing w:val="-2"/>
        </w:rPr>
        <w:t> </w:t>
      </w:r>
      <w:r>
        <w:rPr>
          <w:color w:val="231F20"/>
        </w:rPr>
        <w:t>de</w:t>
      </w:r>
      <w:r>
        <w:rPr>
          <w:color w:val="231F20"/>
          <w:spacing w:val="-3"/>
        </w:rPr>
        <w:t> </w:t>
      </w:r>
      <w:r>
        <w:rPr>
          <w:color w:val="231F20"/>
        </w:rPr>
        <w:t>hecho</w:t>
      </w:r>
      <w:r>
        <w:rPr>
          <w:color w:val="231F20"/>
          <w:spacing w:val="-3"/>
        </w:rPr>
        <w:t> </w:t>
      </w:r>
      <w:r>
        <w:rPr>
          <w:color w:val="231F20"/>
        </w:rPr>
        <w:t>las</w:t>
      </w:r>
      <w:r>
        <w:rPr>
          <w:color w:val="231F20"/>
          <w:spacing w:val="-3"/>
        </w:rPr>
        <w:t> </w:t>
      </w:r>
      <w:r>
        <w:rPr>
          <w:color w:val="231F20"/>
        </w:rPr>
        <w:t>estadísticas</w:t>
      </w:r>
      <w:r>
        <w:rPr>
          <w:color w:val="231F20"/>
          <w:spacing w:val="-3"/>
        </w:rPr>
        <w:t> </w:t>
      </w:r>
      <w:r>
        <w:rPr>
          <w:color w:val="231F20"/>
        </w:rPr>
        <w:t>del</w:t>
      </w:r>
      <w:r>
        <w:rPr>
          <w:color w:val="231F20"/>
          <w:spacing w:val="-3"/>
        </w:rPr>
        <w:t> </w:t>
      </w:r>
      <w:r>
        <w:rPr>
          <w:color w:val="231F20"/>
          <w:spacing w:val="-5"/>
        </w:rPr>
        <w:t>CONEVAL</w:t>
      </w:r>
      <w:r>
        <w:rPr>
          <w:color w:val="231F20"/>
          <w:spacing w:val="-11"/>
        </w:rPr>
        <w:t> </w:t>
      </w:r>
      <w:r>
        <w:rPr>
          <w:color w:val="231F20"/>
        </w:rPr>
        <w:t>informan</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el país</w:t>
      </w:r>
      <w:r>
        <w:rPr>
          <w:color w:val="231F20"/>
          <w:spacing w:val="-9"/>
        </w:rPr>
        <w:t> </w:t>
      </w:r>
      <w:r>
        <w:rPr>
          <w:color w:val="231F20"/>
        </w:rPr>
        <w:t>existen</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spacing w:val="-4"/>
        </w:rPr>
        <w:t>11</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personas</w:t>
      </w:r>
      <w:r>
        <w:rPr>
          <w:color w:val="231F20"/>
          <w:spacing w:val="-9"/>
        </w:rPr>
        <w:t> </w:t>
      </w:r>
      <w:r>
        <w:rPr>
          <w:color w:val="231F20"/>
        </w:rPr>
        <w:t>viviendo</w:t>
      </w:r>
      <w:r>
        <w:rPr>
          <w:color w:val="231F20"/>
          <w:spacing w:val="-9"/>
        </w:rPr>
        <w:t> </w:t>
      </w:r>
      <w:r>
        <w:rPr>
          <w:color w:val="231F20"/>
        </w:rPr>
        <w:t>en</w:t>
      </w:r>
      <w:r>
        <w:rPr>
          <w:color w:val="231F20"/>
          <w:spacing w:val="-9"/>
        </w:rPr>
        <w:t> </w:t>
      </w:r>
      <w:r>
        <w:rPr>
          <w:color w:val="231F20"/>
        </w:rPr>
        <w:t>situación</w:t>
      </w:r>
      <w:r>
        <w:rPr>
          <w:color w:val="231F20"/>
          <w:spacing w:val="-9"/>
        </w:rPr>
        <w:t> </w:t>
      </w:r>
      <w:r>
        <w:rPr>
          <w:color w:val="231F20"/>
        </w:rPr>
        <w:t>de</w:t>
      </w:r>
      <w:r>
        <w:rPr>
          <w:color w:val="231F20"/>
          <w:spacing w:val="-9"/>
        </w:rPr>
        <w:t> </w:t>
      </w:r>
      <w:r>
        <w:rPr>
          <w:color w:val="231F20"/>
        </w:rPr>
        <w:t>indigencia.</w:t>
      </w:r>
      <w:r>
        <w:rPr>
          <w:color w:val="231F20"/>
          <w:spacing w:val="-10"/>
        </w:rPr>
        <w:t> </w:t>
      </w:r>
      <w:r>
        <w:rPr>
          <w:color w:val="231F20"/>
        </w:rPr>
        <w:t>¿Cómo</w:t>
      </w:r>
      <w:r>
        <w:rPr>
          <w:color w:val="231F20"/>
          <w:spacing w:val="-9"/>
        </w:rPr>
        <w:t> </w:t>
      </w:r>
      <w:r>
        <w:rPr>
          <w:color w:val="231F20"/>
        </w:rPr>
        <w:t>aspirar</w:t>
      </w:r>
      <w:r>
        <w:rPr>
          <w:color w:val="231F20"/>
          <w:spacing w:val="-9"/>
        </w:rPr>
        <w:t> </w:t>
      </w:r>
      <w:r>
        <w:rPr>
          <w:color w:val="231F20"/>
        </w:rPr>
        <w:t>a</w:t>
      </w:r>
      <w:r>
        <w:rPr>
          <w:color w:val="231F20"/>
          <w:spacing w:val="-9"/>
        </w:rPr>
        <w:t> </w:t>
      </w:r>
      <w:r>
        <w:rPr>
          <w:color w:val="231F20"/>
        </w:rPr>
        <w:t>ser productivos y competitivos si uno de cuatro mexicanos sufre de hambre? (Sánchez,</w:t>
      </w:r>
      <w:r>
        <w:rPr>
          <w:color w:val="231F20"/>
          <w:spacing w:val="-8"/>
        </w:rPr>
        <w:t> </w:t>
      </w:r>
      <w:r>
        <w:rPr>
          <w:color w:val="231F20"/>
        </w:rPr>
        <w:t>2012).</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960">
            <wp:simplePos x="0" y="0"/>
            <wp:positionH relativeFrom="page">
              <wp:posOffset>17462</wp:posOffset>
            </wp:positionH>
            <wp:positionV relativeFrom="paragraph">
              <wp:posOffset>602511</wp:posOffset>
            </wp:positionV>
            <wp:extent cx="155575" cy="155575"/>
            <wp:effectExtent l="0" t="0" r="0" b="0"/>
            <wp:wrapNone/>
            <wp:docPr id="91" name="image2.png" descr=""/>
            <wp:cNvGraphicFramePr>
              <a:graphicFrameLocks noChangeAspect="1"/>
            </wp:cNvGraphicFramePr>
            <a:graphic>
              <a:graphicData uri="http://schemas.openxmlformats.org/drawingml/2006/picture">
                <pic:pic>
                  <pic:nvPicPr>
                    <pic:cNvPr id="9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6761162</wp:posOffset>
            </wp:positionH>
            <wp:positionV relativeFrom="paragraph">
              <wp:posOffset>602511</wp:posOffset>
            </wp:positionV>
            <wp:extent cx="155575" cy="155575"/>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De todos los servicios básicos a los que se debe tener acceso, el que mayor privación presenta es el relacionado con la seguridad social (prestaciones en el trabajo, pensión, derecho a retiro). En el</w:t>
      </w:r>
      <w:r>
        <w:rPr>
          <w:color w:val="231F20"/>
          <w:spacing w:val="-26"/>
        </w:rPr>
        <w:t> </w:t>
      </w:r>
      <w:r>
        <w:rPr>
          <w:color w:val="231F20"/>
        </w:rPr>
        <w:t>país 60.7% de los habitantes no tienen seguridad social, especialmente grave para las personas de mayor edad. En 697 municipios se observa una incidencia de privación social en seguridad social de más del 90.0% y únicamente en 20 municipios la incidencia es menor a un tercio de la población. En los países desarrollados las personas tienen una total cobertura de estos seis servicios básicos y gozan de derechos adicionales, en el país las necesidades básicas se encuentran insatisfechas. En cuanto a las cifras del desempleo, en el mes de enero de 2012, 58.3% de la población total mexicana se en- contraba en el rango de 14 años y más, lo que se conoce como Población Económicamente Activa (PEA).</w:t>
      </w:r>
      <w:r>
        <w:rPr>
          <w:color w:val="231F20"/>
          <w:spacing w:val="-16"/>
        </w:rPr>
        <w:t> </w:t>
      </w:r>
      <w:r>
        <w:rPr>
          <w:color w:val="231F20"/>
        </w:rPr>
        <w:t>Al</w:t>
      </w:r>
      <w:r>
        <w:rPr>
          <w:color w:val="231F20"/>
          <w:spacing w:val="-4"/>
        </w:rPr>
        <w:t> </w:t>
      </w:r>
      <w:r>
        <w:rPr>
          <w:color w:val="231F20"/>
        </w:rPr>
        <w:t>interior</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grupo</w:t>
      </w:r>
      <w:r>
        <w:rPr>
          <w:color w:val="231F20"/>
          <w:spacing w:val="-4"/>
        </w:rPr>
        <w:t> </w:t>
      </w:r>
      <w:r>
        <w:rPr>
          <w:color w:val="231F20"/>
        </w:rPr>
        <w:t>el</w:t>
      </w:r>
      <w:r>
        <w:rPr>
          <w:color w:val="231F20"/>
          <w:spacing w:val="-4"/>
        </w:rPr>
        <w:t> </w:t>
      </w:r>
      <w:r>
        <w:rPr>
          <w:color w:val="231F20"/>
        </w:rPr>
        <w:t>90.5%</w:t>
      </w:r>
      <w:r>
        <w:rPr>
          <w:color w:val="231F20"/>
          <w:spacing w:val="-4"/>
        </w:rPr>
        <w:t> </w:t>
      </w:r>
      <w:r>
        <w:rPr>
          <w:color w:val="231F20"/>
        </w:rPr>
        <w:t>estuvo</w:t>
      </w:r>
      <w:r>
        <w:rPr>
          <w:color w:val="231F20"/>
          <w:spacing w:val="-4"/>
        </w:rPr>
        <w:t> </w:t>
      </w:r>
      <w:r>
        <w:rPr>
          <w:color w:val="231F20"/>
        </w:rPr>
        <w:t>ocupado</w:t>
      </w:r>
      <w:r>
        <w:rPr>
          <w:color w:val="231F20"/>
          <w:spacing w:val="-4"/>
        </w:rPr>
        <w:t> </w:t>
      </w:r>
      <w:r>
        <w:rPr>
          <w:color w:val="231F20"/>
        </w:rPr>
        <w:t>en</w:t>
      </w:r>
      <w:r>
        <w:rPr>
          <w:color w:val="231F20"/>
          <w:spacing w:val="-4"/>
        </w:rPr>
        <w:t> </w:t>
      </w:r>
      <w:r>
        <w:rPr>
          <w:color w:val="231F20"/>
        </w:rPr>
        <w:t>alguna</w:t>
      </w:r>
      <w:r>
        <w:rPr>
          <w:color w:val="231F20"/>
          <w:spacing w:val="-5"/>
        </w:rPr>
        <w:t> </w:t>
      </w:r>
      <w:r>
        <w:rPr>
          <w:color w:val="231F20"/>
        </w:rPr>
        <w:t>actividad,</w:t>
      </w:r>
      <w:r>
        <w:rPr>
          <w:color w:val="231F20"/>
          <w:spacing w:val="-5"/>
        </w:rPr>
        <w:t> </w:t>
      </w:r>
      <w:r>
        <w:rPr>
          <w:color w:val="231F20"/>
        </w:rPr>
        <w:t>pero</w:t>
      </w:r>
      <w:r>
        <w:rPr>
          <w:color w:val="231F20"/>
          <w:spacing w:val="-4"/>
        </w:rPr>
        <w:t> </w:t>
      </w:r>
      <w:r>
        <w:rPr>
          <w:color w:val="231F20"/>
        </w:rPr>
        <w:t>la</w:t>
      </w:r>
      <w:r>
        <w:rPr>
          <w:color w:val="231F20"/>
          <w:spacing w:val="-4"/>
        </w:rPr>
        <w:t> </w:t>
      </w:r>
      <w:r>
        <w:rPr>
          <w:color w:val="231F20"/>
        </w:rPr>
        <w:t>subocupación era de 8.8% y 29.0% estaban ocupados en el sector informal. Recuerde que la población total es de 112´336,538 personas (Sánchez,</w:t>
      </w:r>
      <w:r>
        <w:rPr>
          <w:color w:val="231F20"/>
          <w:spacing w:val="-8"/>
        </w:rPr>
        <w:t> </w:t>
      </w:r>
      <w:r>
        <w:rPr>
          <w:color w:val="231F20"/>
        </w:rPr>
        <w:t>2012).</w:t>
      </w:r>
    </w:p>
    <w:p>
      <w:pPr>
        <w:pStyle w:val="BodyText"/>
        <w:spacing w:before="10"/>
      </w:pPr>
    </w:p>
    <w:p>
      <w:pPr>
        <w:pStyle w:val="BodyText"/>
        <w:spacing w:line="247" w:lineRule="auto"/>
        <w:ind w:left="1270" w:right="1267"/>
        <w:jc w:val="both"/>
      </w:pPr>
      <w:r>
        <w:rPr>
          <w:color w:val="231F20"/>
        </w:rPr>
        <w:t>En</w:t>
      </w:r>
      <w:r>
        <w:rPr>
          <w:color w:val="231F20"/>
          <w:spacing w:val="-7"/>
        </w:rPr>
        <w:t> </w:t>
      </w:r>
      <w:r>
        <w:rPr>
          <w:color w:val="231F20"/>
        </w:rPr>
        <w:t>directa</w:t>
      </w:r>
      <w:r>
        <w:rPr>
          <w:color w:val="231F20"/>
          <w:spacing w:val="-8"/>
        </w:rPr>
        <w:t> </w:t>
      </w:r>
      <w:r>
        <w:rPr>
          <w:color w:val="231F20"/>
        </w:rPr>
        <w:t>relación</w:t>
      </w:r>
      <w:r>
        <w:rPr>
          <w:color w:val="231F20"/>
          <w:spacing w:val="-8"/>
        </w:rPr>
        <w:t> </w:t>
      </w:r>
      <w:r>
        <w:rPr>
          <w:color w:val="231F20"/>
        </w:rPr>
        <w:t>con</w:t>
      </w:r>
      <w:r>
        <w:rPr>
          <w:color w:val="231F20"/>
          <w:spacing w:val="-7"/>
        </w:rPr>
        <w:t> </w:t>
      </w:r>
      <w:r>
        <w:rPr>
          <w:color w:val="231F20"/>
        </w:rPr>
        <w:t>la</w:t>
      </w:r>
      <w:r>
        <w:rPr>
          <w:color w:val="231F20"/>
          <w:spacing w:val="-7"/>
        </w:rPr>
        <w:t> </w:t>
      </w:r>
      <w:r>
        <w:rPr>
          <w:color w:val="231F20"/>
        </w:rPr>
        <w:t>condición</w:t>
      </w:r>
      <w:r>
        <w:rPr>
          <w:color w:val="231F20"/>
          <w:spacing w:val="-7"/>
        </w:rPr>
        <w:t> </w:t>
      </w:r>
      <w:r>
        <w:rPr>
          <w:color w:val="231F20"/>
        </w:rPr>
        <w:t>anterior,</w:t>
      </w:r>
      <w:r>
        <w:rPr>
          <w:color w:val="231F20"/>
          <w:spacing w:val="-7"/>
        </w:rPr>
        <w:t> </w:t>
      </w:r>
      <w:r>
        <w:rPr>
          <w:color w:val="231F20"/>
        </w:rPr>
        <w:t>la</w:t>
      </w:r>
      <w:r>
        <w:rPr>
          <w:color w:val="231F20"/>
          <w:spacing w:val="-7"/>
        </w:rPr>
        <w:t> </w:t>
      </w:r>
      <w:r>
        <w:rPr>
          <w:color w:val="231F20"/>
        </w:rPr>
        <w:t>pobreza</w:t>
      </w:r>
      <w:r>
        <w:rPr>
          <w:color w:val="231F20"/>
          <w:spacing w:val="-7"/>
        </w:rPr>
        <w:t> </w:t>
      </w:r>
      <w:r>
        <w:rPr>
          <w:color w:val="231F20"/>
        </w:rPr>
        <w:t>actual</w:t>
      </w:r>
      <w:r>
        <w:rPr>
          <w:color w:val="231F20"/>
          <w:spacing w:val="-8"/>
        </w:rPr>
        <w:t> </w:t>
      </w:r>
      <w:r>
        <w:rPr>
          <w:color w:val="231F20"/>
        </w:rPr>
        <w:t>presenta</w:t>
      </w:r>
      <w:r>
        <w:rPr>
          <w:color w:val="231F20"/>
          <w:spacing w:val="-7"/>
        </w:rPr>
        <w:t> </w:t>
      </w:r>
      <w:r>
        <w:rPr>
          <w:color w:val="231F20"/>
        </w:rPr>
        <w:t>un</w:t>
      </w:r>
      <w:r>
        <w:rPr>
          <w:color w:val="231F20"/>
          <w:spacing w:val="-7"/>
        </w:rPr>
        <w:t> </w:t>
      </w:r>
      <w:r>
        <w:rPr>
          <w:color w:val="231F20"/>
        </w:rPr>
        <w:t>perfil</w:t>
      </w:r>
      <w:r>
        <w:rPr>
          <w:color w:val="231F20"/>
          <w:spacing w:val="-7"/>
        </w:rPr>
        <w:t> </w:t>
      </w:r>
      <w:r>
        <w:rPr>
          <w:color w:val="231F20"/>
        </w:rPr>
        <w:t>más</w:t>
      </w:r>
      <w:r>
        <w:rPr>
          <w:color w:val="231F20"/>
          <w:spacing w:val="-7"/>
        </w:rPr>
        <w:t> </w:t>
      </w:r>
      <w:r>
        <w:rPr>
          <w:color w:val="231F20"/>
        </w:rPr>
        <w:t>irregular.</w:t>
      </w:r>
      <w:r>
        <w:rPr>
          <w:color w:val="231F20"/>
          <w:spacing w:val="-7"/>
        </w:rPr>
        <w:t> </w:t>
      </w:r>
      <w:r>
        <w:rPr>
          <w:color w:val="231F20"/>
        </w:rPr>
        <w:t>En</w:t>
      </w:r>
      <w:r>
        <w:rPr>
          <w:color w:val="231F20"/>
          <w:spacing w:val="-7"/>
        </w:rPr>
        <w:t> </w:t>
      </w:r>
      <w:r>
        <w:rPr>
          <w:color w:val="231F20"/>
        </w:rPr>
        <w:t>el pasado los pobres tenían escasos ingresos (en general el atributo más recurrente de la pobreza),</w:t>
      </w:r>
      <w:r>
        <w:rPr>
          <w:color w:val="231F20"/>
          <w:spacing w:val="-35"/>
        </w:rPr>
        <w:t> </w:t>
      </w:r>
      <w:r>
        <w:rPr>
          <w:color w:val="231F20"/>
        </w:rPr>
        <w:t>muy baja</w:t>
      </w:r>
      <w:r>
        <w:rPr>
          <w:color w:val="231F20"/>
          <w:spacing w:val="-8"/>
        </w:rPr>
        <w:t> </w:t>
      </w:r>
      <w:r>
        <w:rPr>
          <w:color w:val="231F20"/>
        </w:rPr>
        <w:t>educación,</w:t>
      </w:r>
      <w:r>
        <w:rPr>
          <w:color w:val="231F20"/>
          <w:spacing w:val="-8"/>
        </w:rPr>
        <w:t> </w:t>
      </w:r>
      <w:r>
        <w:rPr>
          <w:color w:val="231F20"/>
        </w:rPr>
        <w:t>muy</w:t>
      </w:r>
      <w:r>
        <w:rPr>
          <w:color w:val="231F20"/>
          <w:spacing w:val="-8"/>
        </w:rPr>
        <w:t> </w:t>
      </w:r>
      <w:r>
        <w:rPr>
          <w:color w:val="231F20"/>
        </w:rPr>
        <w:t>precarias</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salud,</w:t>
      </w:r>
      <w:r>
        <w:rPr>
          <w:color w:val="231F20"/>
          <w:spacing w:val="-7"/>
        </w:rPr>
        <w:t> </w:t>
      </w:r>
      <w:r>
        <w:rPr>
          <w:color w:val="231F20"/>
        </w:rPr>
        <w:t>carecían</w:t>
      </w:r>
      <w:r>
        <w:rPr>
          <w:color w:val="231F20"/>
          <w:spacing w:val="-8"/>
        </w:rPr>
        <w:t> </w:t>
      </w:r>
      <w:r>
        <w:rPr>
          <w:color w:val="231F20"/>
        </w:rPr>
        <w:t>de</w:t>
      </w:r>
      <w:r>
        <w:rPr>
          <w:color w:val="231F20"/>
          <w:spacing w:val="-8"/>
        </w:rPr>
        <w:t> </w:t>
      </w:r>
      <w:r>
        <w:rPr>
          <w:color w:val="231F20"/>
        </w:rPr>
        <w:t>servicios</w:t>
      </w:r>
      <w:r>
        <w:rPr>
          <w:color w:val="231F20"/>
          <w:spacing w:val="-7"/>
        </w:rPr>
        <w:t> </w:t>
      </w:r>
      <w:r>
        <w:rPr>
          <w:color w:val="231F20"/>
        </w:rPr>
        <w:t>básicos</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tenían</w:t>
      </w:r>
      <w:r>
        <w:rPr>
          <w:color w:val="231F20"/>
          <w:spacing w:val="-8"/>
        </w:rPr>
        <w:t> </w:t>
      </w:r>
      <w:r>
        <w:rPr>
          <w:color w:val="231F20"/>
        </w:rPr>
        <w:t>acceso a créditos de consumo, a remesas o a transferencias públicas. En la actualidad, una fracción impor- tante de los hogares debajo de la línea de la pobreza cuenta con servicios básicos en sus viviendas, tiene</w:t>
      </w:r>
      <w:r>
        <w:rPr>
          <w:color w:val="231F20"/>
          <w:spacing w:val="-9"/>
        </w:rPr>
        <w:t> </w:t>
      </w:r>
      <w:r>
        <w:rPr>
          <w:color w:val="231F20"/>
        </w:rPr>
        <w:t>acceso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red</w:t>
      </w:r>
      <w:r>
        <w:rPr>
          <w:color w:val="231F20"/>
          <w:spacing w:val="-9"/>
        </w:rPr>
        <w:t> </w:t>
      </w:r>
      <w:r>
        <w:rPr>
          <w:color w:val="231F20"/>
        </w:rPr>
        <w:t>pública</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y</w:t>
      </w:r>
      <w:r>
        <w:rPr>
          <w:color w:val="231F20"/>
          <w:spacing w:val="-9"/>
        </w:rPr>
        <w:t> </w:t>
      </w:r>
      <w:r>
        <w:rPr>
          <w:color w:val="231F20"/>
        </w:rPr>
        <w:t>educación,</w:t>
      </w:r>
      <w:r>
        <w:rPr>
          <w:color w:val="231F20"/>
          <w:spacing w:val="-10"/>
        </w:rPr>
        <w:t> </w:t>
      </w:r>
      <w:r>
        <w:rPr>
          <w:color w:val="231F20"/>
        </w:rPr>
        <w:t>ha</w:t>
      </w:r>
      <w:r>
        <w:rPr>
          <w:color w:val="231F20"/>
          <w:spacing w:val="-9"/>
        </w:rPr>
        <w:t> </w:t>
      </w:r>
      <w:r>
        <w:rPr>
          <w:color w:val="231F20"/>
        </w:rPr>
        <w:t>completado</w:t>
      </w:r>
      <w:r>
        <w:rPr>
          <w:color w:val="231F20"/>
          <w:spacing w:val="-10"/>
        </w:rPr>
        <w:t> </w:t>
      </w:r>
      <w:r>
        <w:rPr>
          <w:color w:val="231F20"/>
        </w:rPr>
        <w:t>la</w:t>
      </w:r>
      <w:r>
        <w:rPr>
          <w:color w:val="231F20"/>
          <w:spacing w:val="-9"/>
        </w:rPr>
        <w:t> </w:t>
      </w:r>
      <w:r>
        <w:rPr>
          <w:color w:val="231F20"/>
        </w:rPr>
        <w:t>educación</w:t>
      </w:r>
      <w:r>
        <w:rPr>
          <w:color w:val="231F20"/>
          <w:spacing w:val="-10"/>
        </w:rPr>
        <w:t> </w:t>
      </w:r>
      <w:r>
        <w:rPr>
          <w:color w:val="231F20"/>
        </w:rPr>
        <w:t>primaria</w:t>
      </w:r>
      <w:r>
        <w:rPr>
          <w:color w:val="231F20"/>
          <w:spacing w:val="-9"/>
        </w:rPr>
        <w:t> </w:t>
      </w:r>
      <w:r>
        <w:rPr>
          <w:color w:val="231F20"/>
        </w:rPr>
        <w:t>o</w:t>
      </w:r>
      <w:r>
        <w:rPr>
          <w:color w:val="231F20"/>
          <w:spacing w:val="-9"/>
        </w:rPr>
        <w:t> </w:t>
      </w:r>
      <w:r>
        <w:rPr>
          <w:color w:val="231F20"/>
        </w:rPr>
        <w:t>más,</w:t>
      </w:r>
      <w:r>
        <w:rPr>
          <w:color w:val="231F20"/>
          <w:spacing w:val="-9"/>
        </w:rPr>
        <w:t> </w:t>
      </w:r>
      <w:r>
        <w:rPr>
          <w:color w:val="231F20"/>
        </w:rPr>
        <w:t>posee un acervo de bienes de consumo durables comprados mediante créditos o gracias a las remesas, etc. Incluso</w:t>
      </w:r>
      <w:r>
        <w:rPr>
          <w:color w:val="231F20"/>
          <w:spacing w:val="-7"/>
        </w:rPr>
        <w:t> </w:t>
      </w:r>
      <w:r>
        <w:rPr>
          <w:color w:val="231F20"/>
        </w:rPr>
        <w:t>más,</w:t>
      </w:r>
      <w:r>
        <w:rPr>
          <w:color w:val="231F20"/>
          <w:spacing w:val="-7"/>
        </w:rPr>
        <w:t> </w:t>
      </w:r>
      <w:r>
        <w:rPr>
          <w:color w:val="231F20"/>
        </w:rPr>
        <w:t>el</w:t>
      </w:r>
      <w:r>
        <w:rPr>
          <w:color w:val="231F20"/>
          <w:spacing w:val="-7"/>
        </w:rPr>
        <w:t> </w:t>
      </w:r>
      <w:r>
        <w:rPr>
          <w:color w:val="231F20"/>
        </w:rPr>
        <w:t>perfil</w:t>
      </w:r>
      <w:r>
        <w:rPr>
          <w:color w:val="231F20"/>
          <w:spacing w:val="-7"/>
        </w:rPr>
        <w:t> </w:t>
      </w:r>
      <w:r>
        <w:rPr>
          <w:color w:val="231F20"/>
        </w:rPr>
        <w:t>demográfico</w:t>
      </w:r>
      <w:r>
        <w:rPr>
          <w:color w:val="231F20"/>
          <w:spacing w:val="-7"/>
        </w:rPr>
        <w:t> </w:t>
      </w:r>
      <w:r>
        <w:rPr>
          <w:color w:val="231F20"/>
        </w:rPr>
        <w:t>peculiar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pobres</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modificado,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será</w:t>
      </w:r>
      <w:r>
        <w:rPr>
          <w:color w:val="231F20"/>
          <w:spacing w:val="-7"/>
        </w:rPr>
        <w:t> </w:t>
      </w:r>
      <w:r>
        <w:rPr>
          <w:color w:val="231F20"/>
        </w:rPr>
        <w:t>abordado</w:t>
      </w:r>
      <w:r>
        <w:rPr>
          <w:color w:val="231F20"/>
          <w:spacing w:val="-7"/>
        </w:rPr>
        <w:t> </w:t>
      </w:r>
      <w:r>
        <w:rPr>
          <w:color w:val="231F20"/>
        </w:rPr>
        <w:t>con detalle en este trabajo </w:t>
      </w:r>
      <w:r>
        <w:rPr>
          <w:color w:val="231F20"/>
          <w:spacing w:val="-3"/>
        </w:rPr>
        <w:t>(CEPAL,</w:t>
      </w:r>
      <w:r>
        <w:rPr>
          <w:color w:val="231F20"/>
          <w:spacing w:val="1"/>
        </w:rPr>
        <w:t> </w:t>
      </w:r>
      <w:r>
        <w:rPr>
          <w:color w:val="231F20"/>
        </w:rPr>
        <w:t>2006).</w:t>
      </w:r>
    </w:p>
    <w:p>
      <w:pPr>
        <w:pStyle w:val="BodyText"/>
        <w:spacing w:before="10"/>
      </w:pPr>
    </w:p>
    <w:p>
      <w:pPr>
        <w:pStyle w:val="BodyText"/>
        <w:ind w:left="1270"/>
        <w:jc w:val="both"/>
      </w:pPr>
      <w:r>
        <w:rPr>
          <w:color w:val="231F20"/>
        </w:rPr>
        <w:t>Ahora bien, esta constatación amerita varias prevenciones para no inducir a errores. En primer lugar,</w:t>
      </w:r>
    </w:p>
    <w:p>
      <w:pPr>
        <w:pStyle w:val="BodyText"/>
        <w:spacing w:before="8"/>
        <w:rPr>
          <w:sz w:val="25"/>
        </w:rPr>
      </w:pPr>
    </w:p>
    <w:p>
      <w:pPr>
        <w:spacing w:before="72"/>
        <w:ind w:left="4027" w:right="4005" w:firstLine="0"/>
        <w:jc w:val="center"/>
        <w:rPr>
          <w:rFonts w:ascii="Trebuchet MS"/>
          <w:b/>
          <w:i/>
          <w:sz w:val="22"/>
        </w:rPr>
      </w:pPr>
      <w:r>
        <w:rPr>
          <w:rFonts w:ascii="Trebuchet MS"/>
          <w:b/>
          <w:i/>
          <w:color w:val="231F20"/>
          <w:sz w:val="22"/>
        </w:rPr>
        <w:t>46</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este cambio de perfil depende de situaciones y políticas nacionales (relacionadas con los servicios</w:t>
      </w:r>
      <w:r>
        <w:rPr>
          <w:color w:val="231F20"/>
          <w:spacing w:val="-12"/>
        </w:rPr>
        <w:t> </w:t>
      </w:r>
      <w:r>
        <w:rPr>
          <w:color w:val="231F20"/>
        </w:rPr>
        <w:t>y la protección social pública, los subsidios y transferencias a los pobres, la llegada de remesas, etc.) de manera tal de que en algunos países aún puede predominar el perfil tradicional de la pobreza. En segundo</w:t>
      </w:r>
      <w:r>
        <w:rPr>
          <w:color w:val="231F20"/>
          <w:spacing w:val="-4"/>
        </w:rPr>
        <w:t> </w:t>
      </w:r>
      <w:r>
        <w:rPr>
          <w:color w:val="231F20"/>
        </w:rPr>
        <w:t>término,</w:t>
      </w:r>
      <w:r>
        <w:rPr>
          <w:color w:val="231F20"/>
          <w:spacing w:val="-4"/>
        </w:rPr>
        <w:t> </w:t>
      </w:r>
      <w:r>
        <w:rPr>
          <w:color w:val="231F20"/>
        </w:rPr>
        <w:t>esta</w:t>
      </w:r>
      <w:r>
        <w:rPr>
          <w:color w:val="231F20"/>
          <w:spacing w:val="-4"/>
        </w:rPr>
        <w:t> </w:t>
      </w:r>
      <w:r>
        <w:rPr>
          <w:color w:val="231F20"/>
        </w:rPr>
        <w:t>modificación</w:t>
      </w:r>
      <w:r>
        <w:rPr>
          <w:color w:val="231F20"/>
          <w:spacing w:val="-4"/>
        </w:rPr>
        <w:t> </w:t>
      </w:r>
      <w:r>
        <w:rPr>
          <w:color w:val="231F20"/>
        </w:rPr>
        <w:t>de</w:t>
      </w:r>
      <w:r>
        <w:rPr>
          <w:color w:val="231F20"/>
          <w:spacing w:val="-4"/>
        </w:rPr>
        <w:t> </w:t>
      </w:r>
      <w:r>
        <w:rPr>
          <w:color w:val="231F20"/>
        </w:rPr>
        <w:t>perfil</w:t>
      </w:r>
      <w:r>
        <w:rPr>
          <w:color w:val="231F20"/>
          <w:spacing w:val="-4"/>
        </w:rPr>
        <w:t> </w:t>
      </w:r>
      <w:r>
        <w:rPr>
          <w:color w:val="231F20"/>
        </w:rPr>
        <w:t>es,</w:t>
      </w:r>
      <w:r>
        <w:rPr>
          <w:color w:val="231F20"/>
          <w:spacing w:val="-4"/>
        </w:rPr>
        <w:t> </w:t>
      </w:r>
      <w:r>
        <w:rPr>
          <w:color w:val="231F20"/>
        </w:rPr>
        <w:t>en</w:t>
      </w:r>
      <w:r>
        <w:rPr>
          <w:color w:val="231F20"/>
          <w:spacing w:val="-4"/>
        </w:rPr>
        <w:t> </w:t>
      </w:r>
      <w:r>
        <w:rPr>
          <w:color w:val="231F20"/>
        </w:rPr>
        <w:t>muchos</w:t>
      </w:r>
      <w:r>
        <w:rPr>
          <w:color w:val="231F20"/>
          <w:spacing w:val="-4"/>
        </w:rPr>
        <w:t> </w:t>
      </w:r>
      <w:r>
        <w:rPr>
          <w:color w:val="231F20"/>
        </w:rPr>
        <w:t>casos,</w:t>
      </w:r>
      <w:r>
        <w:rPr>
          <w:color w:val="231F20"/>
          <w:spacing w:val="-4"/>
        </w:rPr>
        <w:t> </w:t>
      </w:r>
      <w:r>
        <w:rPr>
          <w:color w:val="231F20"/>
        </w:rPr>
        <w:t>en</w:t>
      </w:r>
      <w:r>
        <w:rPr>
          <w:color w:val="231F20"/>
          <w:spacing w:val="-4"/>
        </w:rPr>
        <w:t> </w:t>
      </w:r>
      <w:r>
        <w:rPr>
          <w:color w:val="231F20"/>
        </w:rPr>
        <w:t>términos</w:t>
      </w:r>
      <w:r>
        <w:rPr>
          <w:color w:val="231F20"/>
          <w:spacing w:val="-4"/>
        </w:rPr>
        <w:t> </w:t>
      </w:r>
      <w:r>
        <w:rPr>
          <w:color w:val="231F20"/>
        </w:rPr>
        <w:t>absolutos</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forzo- samente relativos, vale decir, las distancias entre el perfil de los pobres y de la elite pueden haberse mantenido</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tiempo;</w:t>
      </w:r>
      <w:r>
        <w:rPr>
          <w:color w:val="231F20"/>
          <w:spacing w:val="-7"/>
        </w:rPr>
        <w:t> </w:t>
      </w:r>
      <w:r>
        <w:rPr>
          <w:color w:val="231F20"/>
        </w:rPr>
        <w:t>incluso</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casos</w:t>
      </w:r>
      <w:r>
        <w:rPr>
          <w:color w:val="231F20"/>
          <w:spacing w:val="-7"/>
        </w:rPr>
        <w:t> </w:t>
      </w:r>
      <w:r>
        <w:rPr>
          <w:color w:val="231F20"/>
        </w:rPr>
        <w:t>en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cambio</w:t>
      </w:r>
      <w:r>
        <w:rPr>
          <w:color w:val="231F20"/>
          <w:spacing w:val="-6"/>
        </w:rPr>
        <w:t> </w:t>
      </w:r>
      <w:r>
        <w:rPr>
          <w:color w:val="231F20"/>
        </w:rPr>
        <w:t>absoluto</w:t>
      </w:r>
      <w:r>
        <w:rPr>
          <w:color w:val="231F20"/>
          <w:spacing w:val="-7"/>
        </w:rPr>
        <w:t> </w:t>
      </w:r>
      <w:r>
        <w:rPr>
          <w:color w:val="231F20"/>
        </w:rPr>
        <w:t>y</w:t>
      </w:r>
      <w:r>
        <w:rPr>
          <w:color w:val="231F20"/>
          <w:spacing w:val="-6"/>
        </w:rPr>
        <w:t> </w:t>
      </w:r>
      <w:r>
        <w:rPr>
          <w:color w:val="231F20"/>
        </w:rPr>
        <w:t>el</w:t>
      </w:r>
      <w:r>
        <w:rPr>
          <w:color w:val="231F20"/>
          <w:spacing w:val="-6"/>
        </w:rPr>
        <w:t> </w:t>
      </w:r>
      <w:r>
        <w:rPr>
          <w:color w:val="231F20"/>
        </w:rPr>
        <w:t>relativo</w:t>
      </w:r>
      <w:r>
        <w:rPr>
          <w:color w:val="231F20"/>
          <w:spacing w:val="-6"/>
        </w:rPr>
        <w:t> </w:t>
      </w:r>
      <w:r>
        <w:rPr>
          <w:color w:val="231F20"/>
        </w:rPr>
        <w:t>forzosamente</w:t>
      </w:r>
      <w:r>
        <w:rPr>
          <w:color w:val="231F20"/>
          <w:spacing w:val="-6"/>
        </w:rPr>
        <w:t> </w:t>
      </w:r>
      <w:r>
        <w:rPr>
          <w:color w:val="231F20"/>
        </w:rPr>
        <w:t>se superponen (Típicamente cuando se trata de tenencia de bienes o acceso a servicios, es decir opcio- nes dicotómicas donde alcanzar un 100.0% de tenencia o de acceso elimina automáticamente las</w:t>
      </w:r>
      <w:r>
        <w:rPr>
          <w:color w:val="231F20"/>
          <w:spacing w:val="-23"/>
        </w:rPr>
        <w:t> </w:t>
      </w:r>
      <w:r>
        <w:rPr>
          <w:color w:val="231F20"/>
        </w:rPr>
        <w:t>di- ferencias entre los diferentes grupos) aparecen nuevas dimensiones donde se marcan las diferencias entre pobres y no pobres (tenencia de bienes más elaborados, acceso a servicios de mejor calidad, etc.).</w:t>
      </w:r>
      <w:r>
        <w:rPr>
          <w:color w:val="231F20"/>
          <w:spacing w:val="-11"/>
        </w:rPr>
        <w:t> </w:t>
      </w:r>
      <w:r>
        <w:rPr>
          <w:color w:val="231F20"/>
        </w:rPr>
        <w:t>Y</w:t>
      </w:r>
      <w:r>
        <w:rPr>
          <w:color w:val="231F20"/>
          <w:spacing w:val="-11"/>
        </w:rPr>
        <w:t> </w:t>
      </w:r>
      <w:r>
        <w:rPr>
          <w:color w:val="231F20"/>
        </w:rPr>
        <w:t>en</w:t>
      </w:r>
      <w:r>
        <w:rPr>
          <w:color w:val="231F20"/>
          <w:spacing w:val="-4"/>
        </w:rPr>
        <w:t> </w:t>
      </w:r>
      <w:r>
        <w:rPr>
          <w:color w:val="231F20"/>
        </w:rPr>
        <w:t>tercer</w:t>
      </w:r>
      <w:r>
        <w:rPr>
          <w:color w:val="231F20"/>
          <w:spacing w:val="-4"/>
        </w:rPr>
        <w:t> </w:t>
      </w:r>
      <w:r>
        <w:rPr>
          <w:color w:val="231F20"/>
        </w:rPr>
        <w:t>lugar,</w:t>
      </w:r>
      <w:r>
        <w:rPr>
          <w:color w:val="231F20"/>
          <w:spacing w:val="-4"/>
        </w:rPr>
        <w:t> </w:t>
      </w:r>
      <w:r>
        <w:rPr>
          <w:color w:val="231F20"/>
        </w:rPr>
        <w:t>si</w:t>
      </w:r>
      <w:r>
        <w:rPr>
          <w:color w:val="231F20"/>
          <w:spacing w:val="-4"/>
        </w:rPr>
        <w:t> </w:t>
      </w:r>
      <w:r>
        <w:rPr>
          <w:color w:val="231F20"/>
        </w:rPr>
        <w:t>bien</w:t>
      </w:r>
      <w:r>
        <w:rPr>
          <w:color w:val="231F20"/>
          <w:spacing w:val="-4"/>
        </w:rPr>
        <w:t> </w:t>
      </w:r>
      <w:r>
        <w:rPr>
          <w:color w:val="231F20"/>
        </w:rPr>
        <w:t>este</w:t>
      </w:r>
      <w:r>
        <w:rPr>
          <w:color w:val="231F20"/>
          <w:spacing w:val="-4"/>
        </w:rPr>
        <w:t> </w:t>
      </w:r>
      <w:r>
        <w:rPr>
          <w:color w:val="231F20"/>
        </w:rPr>
        <w:t>cambio</w:t>
      </w:r>
      <w:r>
        <w:rPr>
          <w:color w:val="231F20"/>
          <w:spacing w:val="-4"/>
        </w:rPr>
        <w:t> </w:t>
      </w:r>
      <w:r>
        <w:rPr>
          <w:color w:val="231F20"/>
        </w:rPr>
        <w:t>de</w:t>
      </w:r>
      <w:r>
        <w:rPr>
          <w:color w:val="231F20"/>
          <w:spacing w:val="-4"/>
        </w:rPr>
        <w:t> </w:t>
      </w:r>
      <w:r>
        <w:rPr>
          <w:color w:val="231F20"/>
        </w:rPr>
        <w:t>perfil</w:t>
      </w:r>
      <w:r>
        <w:rPr>
          <w:color w:val="231F20"/>
          <w:spacing w:val="-4"/>
        </w:rPr>
        <w:t> </w:t>
      </w:r>
      <w:r>
        <w:rPr>
          <w:color w:val="231F20"/>
        </w:rPr>
        <w:t>tiene</w:t>
      </w:r>
      <w:r>
        <w:rPr>
          <w:color w:val="231F20"/>
          <w:spacing w:val="-5"/>
        </w:rPr>
        <w:t> </w:t>
      </w:r>
      <w:r>
        <w:rPr>
          <w:color w:val="231F20"/>
        </w:rPr>
        <w:t>una</w:t>
      </w:r>
      <w:r>
        <w:rPr>
          <w:color w:val="231F20"/>
          <w:spacing w:val="-4"/>
        </w:rPr>
        <w:t> </w:t>
      </w:r>
      <w:r>
        <w:rPr>
          <w:color w:val="231F20"/>
        </w:rPr>
        <w:t>lectura</w:t>
      </w:r>
      <w:r>
        <w:rPr>
          <w:color w:val="231F20"/>
          <w:spacing w:val="-5"/>
        </w:rPr>
        <w:t> </w:t>
      </w:r>
      <w:r>
        <w:rPr>
          <w:color w:val="231F20"/>
        </w:rPr>
        <w:t>directa</w:t>
      </w:r>
      <w:r>
        <w:rPr>
          <w:color w:val="231F20"/>
          <w:spacing w:val="-5"/>
        </w:rPr>
        <w:t> </w:t>
      </w:r>
      <w:r>
        <w:rPr>
          <w:color w:val="231F20"/>
        </w:rPr>
        <w:t>positiva</w:t>
      </w:r>
      <w:r>
        <w:rPr>
          <w:color w:val="231F20"/>
          <w:spacing w:val="-4"/>
        </w:rPr>
        <w:t> </w:t>
      </w:r>
      <w:r>
        <w:rPr>
          <w:color w:val="231F20"/>
        </w:rPr>
        <w:t>(Por</w:t>
      </w:r>
      <w:r>
        <w:rPr>
          <w:color w:val="231F20"/>
          <w:spacing w:val="-4"/>
        </w:rPr>
        <w:t> </w:t>
      </w:r>
      <w:r>
        <w:rPr>
          <w:color w:val="231F20"/>
        </w:rPr>
        <w:t>cuanto</w:t>
      </w:r>
      <w:r>
        <w:rPr>
          <w:color w:val="231F20"/>
          <w:spacing w:val="-4"/>
        </w:rPr>
        <w:t> </w:t>
      </w:r>
      <w:r>
        <w:rPr>
          <w:color w:val="231F20"/>
        </w:rPr>
        <w:t>re- vela</w:t>
      </w:r>
      <w:r>
        <w:rPr>
          <w:color w:val="231F20"/>
          <w:spacing w:val="-4"/>
        </w:rPr>
        <w:t> </w:t>
      </w:r>
      <w:r>
        <w:rPr>
          <w:color w:val="231F20"/>
        </w:rPr>
        <w:t>que</w:t>
      </w:r>
      <w:r>
        <w:rPr>
          <w:color w:val="231F20"/>
          <w:spacing w:val="-4"/>
        </w:rPr>
        <w:t> </w:t>
      </w:r>
      <w:r>
        <w:rPr>
          <w:color w:val="231F20"/>
        </w:rPr>
        <w:t>ciertas</w:t>
      </w:r>
      <w:r>
        <w:rPr>
          <w:color w:val="231F20"/>
          <w:spacing w:val="-4"/>
        </w:rPr>
        <w:t> </w:t>
      </w:r>
      <w:r>
        <w:rPr>
          <w:color w:val="231F20"/>
        </w:rPr>
        <w:t>privaciones</w:t>
      </w:r>
      <w:r>
        <w:rPr>
          <w:color w:val="231F20"/>
          <w:spacing w:val="-4"/>
        </w:rPr>
        <w:t> </w:t>
      </w:r>
      <w:r>
        <w:rPr>
          <w:color w:val="231F20"/>
        </w:rPr>
        <w:t>y</w:t>
      </w:r>
      <w:r>
        <w:rPr>
          <w:color w:val="231F20"/>
          <w:spacing w:val="-4"/>
        </w:rPr>
        <w:t> </w:t>
      </w:r>
      <w:r>
        <w:rPr>
          <w:color w:val="231F20"/>
        </w:rPr>
        <w:t>rezagados</w:t>
      </w:r>
      <w:r>
        <w:rPr>
          <w:color w:val="231F20"/>
          <w:spacing w:val="-4"/>
        </w:rPr>
        <w:t> </w:t>
      </w:r>
      <w:r>
        <w:rPr>
          <w:color w:val="231F20"/>
        </w:rPr>
        <w:t>históricos</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estado</w:t>
      </w:r>
      <w:r>
        <w:rPr>
          <w:color w:val="231F20"/>
          <w:spacing w:val="-4"/>
        </w:rPr>
        <w:t> </w:t>
      </w:r>
      <w:r>
        <w:rPr>
          <w:color w:val="231F20"/>
        </w:rPr>
        <w:t>expuestos</w:t>
      </w:r>
      <w:r>
        <w:rPr>
          <w:color w:val="231F20"/>
          <w:spacing w:val="-4"/>
        </w:rPr>
        <w:t> </w:t>
      </w:r>
      <w:r>
        <w:rPr>
          <w:color w:val="231F20"/>
        </w:rPr>
        <w:t>los</w:t>
      </w:r>
      <w:r>
        <w:rPr>
          <w:color w:val="231F20"/>
          <w:spacing w:val="-4"/>
        </w:rPr>
        <w:t> </w:t>
      </w:r>
      <w:r>
        <w:rPr>
          <w:color w:val="231F20"/>
        </w:rPr>
        <w:t>pobres</w:t>
      </w:r>
      <w:r>
        <w:rPr>
          <w:color w:val="231F20"/>
          <w:spacing w:val="-4"/>
        </w:rPr>
        <w:t> </w:t>
      </w:r>
      <w:r>
        <w:rPr>
          <w:color w:val="231F20"/>
        </w:rPr>
        <w:t>pueden superarse</w:t>
      </w:r>
      <w:r>
        <w:rPr>
          <w:color w:val="231F20"/>
          <w:spacing w:val="-10"/>
        </w:rPr>
        <w:t> </w:t>
      </w:r>
      <w:r>
        <w:rPr>
          <w:color w:val="231F20"/>
        </w:rPr>
        <w:t>y</w:t>
      </w:r>
      <w:r>
        <w:rPr>
          <w:color w:val="231F20"/>
          <w:spacing w:val="-10"/>
        </w:rPr>
        <w:t> </w:t>
      </w:r>
      <w:r>
        <w:rPr>
          <w:color w:val="231F20"/>
        </w:rPr>
        <w:t>con</w:t>
      </w:r>
      <w:r>
        <w:rPr>
          <w:color w:val="231F20"/>
          <w:spacing w:val="-10"/>
        </w:rPr>
        <w:t> </w:t>
      </w:r>
      <w:r>
        <w:rPr>
          <w:color w:val="231F20"/>
        </w:rPr>
        <w:t>ellos</w:t>
      </w:r>
      <w:r>
        <w:rPr>
          <w:color w:val="231F20"/>
          <w:spacing w:val="-10"/>
        </w:rPr>
        <w:t> </w:t>
      </w:r>
      <w:r>
        <w:rPr>
          <w:color w:val="231F20"/>
        </w:rPr>
        <w:t>mejorar</w:t>
      </w:r>
      <w:r>
        <w:rPr>
          <w:color w:val="231F20"/>
          <w:spacing w:val="-10"/>
        </w:rPr>
        <w:t> </w:t>
      </w:r>
      <w:r>
        <w:rPr>
          <w:color w:val="231F20"/>
        </w:rPr>
        <w:t>sus</w:t>
      </w:r>
      <w:r>
        <w:rPr>
          <w:color w:val="231F20"/>
          <w:spacing w:val="-10"/>
        </w:rPr>
        <w:t> </w:t>
      </w:r>
      <w:r>
        <w:rPr>
          <w:color w:val="231F20"/>
        </w:rPr>
        <w:t>condiciones</w:t>
      </w:r>
      <w:r>
        <w:rPr>
          <w:color w:val="231F20"/>
          <w:spacing w:val="-11"/>
        </w:rPr>
        <w:t> </w:t>
      </w:r>
      <w:r>
        <w:rPr>
          <w:color w:val="231F20"/>
        </w:rPr>
        <w:t>de</w:t>
      </w:r>
      <w:r>
        <w:rPr>
          <w:color w:val="231F20"/>
          <w:spacing w:val="-10"/>
        </w:rPr>
        <w:t> </w:t>
      </w:r>
      <w:r>
        <w:rPr>
          <w:color w:val="231F20"/>
        </w:rPr>
        <w:t>vida)</w:t>
      </w:r>
      <w:r>
        <w:rPr>
          <w:color w:val="231F20"/>
          <w:spacing w:val="-10"/>
        </w:rPr>
        <w:t> </w:t>
      </w:r>
      <w:r>
        <w:rPr>
          <w:color w:val="231F20"/>
        </w:rPr>
        <w:t>también</w:t>
      </w:r>
      <w:r>
        <w:rPr>
          <w:color w:val="231F20"/>
          <w:spacing w:val="-10"/>
        </w:rPr>
        <w:t> </w:t>
      </w:r>
      <w:r>
        <w:rPr>
          <w:color w:val="231F20"/>
        </w:rPr>
        <w:t>tiene</w:t>
      </w:r>
      <w:r>
        <w:rPr>
          <w:color w:val="231F20"/>
          <w:spacing w:val="-10"/>
        </w:rPr>
        <w:t> </w:t>
      </w:r>
      <w:r>
        <w:rPr>
          <w:color w:val="231F20"/>
        </w:rPr>
        <w:t>una</w:t>
      </w:r>
      <w:r>
        <w:rPr>
          <w:color w:val="231F20"/>
          <w:spacing w:val="-10"/>
        </w:rPr>
        <w:t> </w:t>
      </w:r>
      <w:r>
        <w:rPr>
          <w:color w:val="231F20"/>
        </w:rPr>
        <w:t>segunda</w:t>
      </w:r>
      <w:r>
        <w:rPr>
          <w:color w:val="231F20"/>
          <w:spacing w:val="-10"/>
        </w:rPr>
        <w:t> </w:t>
      </w:r>
      <w:r>
        <w:rPr>
          <w:color w:val="231F20"/>
        </w:rPr>
        <w:t>lectura</w:t>
      </w:r>
      <w:r>
        <w:rPr>
          <w:color w:val="231F20"/>
          <w:spacing w:val="-10"/>
        </w:rPr>
        <w:t> </w:t>
      </w:r>
      <w:r>
        <w:rPr>
          <w:color w:val="231F20"/>
        </w:rPr>
        <w:t>menos</w:t>
      </w:r>
      <w:r>
        <w:rPr>
          <w:color w:val="231F20"/>
          <w:spacing w:val="-10"/>
        </w:rPr>
        <w:t> </w:t>
      </w:r>
      <w:r>
        <w:rPr>
          <w:color w:val="231F20"/>
        </w:rPr>
        <w:t>feliz y</w:t>
      </w:r>
      <w:r>
        <w:rPr>
          <w:color w:val="231F20"/>
          <w:spacing w:val="-6"/>
        </w:rPr>
        <w:t> </w:t>
      </w:r>
      <w:r>
        <w:rPr>
          <w:color w:val="231F20"/>
        </w:rPr>
        <w:t>que</w:t>
      </w:r>
      <w:r>
        <w:rPr>
          <w:color w:val="231F20"/>
          <w:spacing w:val="-6"/>
        </w:rPr>
        <w:t> </w:t>
      </w:r>
      <w:r>
        <w:rPr>
          <w:color w:val="231F20"/>
        </w:rPr>
        <w:t>apunta</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crecientes</w:t>
      </w:r>
      <w:r>
        <w:rPr>
          <w:color w:val="231F20"/>
          <w:spacing w:val="-6"/>
        </w:rPr>
        <w:t> </w:t>
      </w:r>
      <w:r>
        <w:rPr>
          <w:color w:val="231F20"/>
        </w:rPr>
        <w:t>dificultades</w:t>
      </w:r>
      <w:r>
        <w:rPr>
          <w:color w:val="231F20"/>
          <w:spacing w:val="-6"/>
        </w:rPr>
        <w:t> </w:t>
      </w:r>
      <w:r>
        <w:rPr>
          <w:color w:val="231F20"/>
        </w:rPr>
        <w:t>para</w:t>
      </w:r>
      <w:r>
        <w:rPr>
          <w:color w:val="231F20"/>
          <w:spacing w:val="-6"/>
        </w:rPr>
        <w:t> </w:t>
      </w:r>
      <w:r>
        <w:rPr>
          <w:color w:val="231F20"/>
        </w:rPr>
        <w:t>generar</w:t>
      </w:r>
      <w:r>
        <w:rPr>
          <w:color w:val="231F20"/>
          <w:spacing w:val="-6"/>
        </w:rPr>
        <w:t> </w:t>
      </w:r>
      <w:r>
        <w:rPr>
          <w:color w:val="231F20"/>
        </w:rPr>
        <w:t>ingresos</w:t>
      </w:r>
      <w:r>
        <w:rPr>
          <w:color w:val="231F20"/>
          <w:spacing w:val="-6"/>
        </w:rPr>
        <w:t> </w:t>
      </w:r>
      <w:r>
        <w:rPr>
          <w:color w:val="231F20"/>
        </w:rPr>
        <w:t>suficientes</w:t>
      </w:r>
      <w:r>
        <w:rPr>
          <w:color w:val="231F20"/>
          <w:spacing w:val="-6"/>
        </w:rPr>
        <w:t> </w:t>
      </w:r>
      <w:r>
        <w:rPr>
          <w:color w:val="231F20"/>
        </w:rPr>
        <w:t>y</w:t>
      </w:r>
      <w:r>
        <w:rPr>
          <w:color w:val="231F20"/>
          <w:spacing w:val="-6"/>
        </w:rPr>
        <w:t> </w:t>
      </w:r>
      <w:r>
        <w:rPr>
          <w:color w:val="231F20"/>
        </w:rPr>
        <w:t>regulares</w:t>
      </w:r>
      <w:r>
        <w:rPr>
          <w:color w:val="231F20"/>
          <w:spacing w:val="-6"/>
        </w:rPr>
        <w:t> </w:t>
      </w:r>
      <w:r>
        <w:rPr>
          <w:color w:val="231F20"/>
        </w:rPr>
        <w:t>para</w:t>
      </w:r>
      <w:r>
        <w:rPr>
          <w:color w:val="231F20"/>
          <w:spacing w:val="-6"/>
        </w:rPr>
        <w:t> </w:t>
      </w:r>
      <w:r>
        <w:rPr>
          <w:color w:val="231F20"/>
        </w:rPr>
        <w:t>mantener un hogar fuera de la pobreza </w:t>
      </w:r>
      <w:r>
        <w:rPr>
          <w:color w:val="231F20"/>
          <w:spacing w:val="-3"/>
        </w:rPr>
        <w:t>(CEPAL,</w:t>
      </w:r>
      <w:r>
        <w:rPr>
          <w:color w:val="231F20"/>
          <w:spacing w:val="1"/>
        </w:rPr>
        <w:t> </w:t>
      </w:r>
      <w:r>
        <w:rPr>
          <w:color w:val="231F20"/>
        </w:rPr>
        <w:t>2006).</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2008">
            <wp:simplePos x="0" y="0"/>
            <wp:positionH relativeFrom="page">
              <wp:posOffset>17462</wp:posOffset>
            </wp:positionH>
            <wp:positionV relativeFrom="paragraph">
              <wp:posOffset>761331</wp:posOffset>
            </wp:positionV>
            <wp:extent cx="155575" cy="155575"/>
            <wp:effectExtent l="0" t="0" r="0" b="0"/>
            <wp:wrapNone/>
            <wp:docPr id="95" name="image2.png" descr=""/>
            <wp:cNvGraphicFramePr>
              <a:graphicFrameLocks noChangeAspect="1"/>
            </wp:cNvGraphicFramePr>
            <a:graphic>
              <a:graphicData uri="http://schemas.openxmlformats.org/drawingml/2006/picture">
                <pic:pic>
                  <pic:nvPicPr>
                    <pic:cNvPr id="9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6761162</wp:posOffset>
            </wp:positionH>
            <wp:positionV relativeFrom="paragraph">
              <wp:posOffset>761331</wp:posOffset>
            </wp:positionV>
            <wp:extent cx="155575" cy="155575"/>
            <wp:effectExtent l="0" t="0" r="0" b="0"/>
            <wp:wrapNone/>
            <wp:docPr id="97" name="image2.png" descr=""/>
            <wp:cNvGraphicFramePr>
              <a:graphicFrameLocks noChangeAspect="1"/>
            </wp:cNvGraphicFramePr>
            <a:graphic>
              <a:graphicData uri="http://schemas.openxmlformats.org/drawingml/2006/picture">
                <pic:pic>
                  <pic:nvPicPr>
                    <pic:cNvPr id="9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Estos</w:t>
      </w:r>
      <w:r>
        <w:rPr>
          <w:color w:val="231F20"/>
          <w:spacing w:val="-12"/>
        </w:rPr>
        <w:t> </w:t>
      </w:r>
      <w:r>
        <w:rPr>
          <w:color w:val="231F20"/>
        </w:rPr>
        <w:t>últimos</w:t>
      </w:r>
      <w:r>
        <w:rPr>
          <w:color w:val="231F20"/>
          <w:spacing w:val="-12"/>
        </w:rPr>
        <w:t> </w:t>
      </w:r>
      <w:r>
        <w:rPr>
          <w:color w:val="231F20"/>
        </w:rPr>
        <w:t>dos</w:t>
      </w:r>
      <w:r>
        <w:rPr>
          <w:color w:val="231F20"/>
          <w:spacing w:val="-12"/>
        </w:rPr>
        <w:t> </w:t>
      </w:r>
      <w:r>
        <w:rPr>
          <w:color w:val="231F20"/>
        </w:rPr>
        <w:t>puntos:</w:t>
      </w:r>
      <w:r>
        <w:rPr>
          <w:color w:val="231F20"/>
          <w:spacing w:val="-12"/>
        </w:rPr>
        <w:t> </w:t>
      </w:r>
      <w:r>
        <w:rPr>
          <w:color w:val="231F20"/>
        </w:rPr>
        <w:t>el</w:t>
      </w:r>
      <w:r>
        <w:rPr>
          <w:color w:val="231F20"/>
          <w:spacing w:val="-12"/>
        </w:rPr>
        <w:t> </w:t>
      </w:r>
      <w:r>
        <w:rPr>
          <w:color w:val="231F20"/>
        </w:rPr>
        <w:t>cambio</w:t>
      </w:r>
      <w:r>
        <w:rPr>
          <w:color w:val="231F20"/>
          <w:spacing w:val="-12"/>
        </w:rPr>
        <w:t> </w:t>
      </w:r>
      <w:r>
        <w:rPr>
          <w:color w:val="231F20"/>
        </w:rPr>
        <w:t>de</w:t>
      </w:r>
      <w:r>
        <w:rPr>
          <w:color w:val="231F20"/>
          <w:spacing w:val="-12"/>
        </w:rPr>
        <w:t> </w:t>
      </w:r>
      <w:r>
        <w:rPr>
          <w:color w:val="231F20"/>
        </w:rPr>
        <w:t>perfil</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pobres</w:t>
      </w:r>
      <w:r>
        <w:rPr>
          <w:color w:val="231F20"/>
          <w:spacing w:val="-12"/>
        </w:rPr>
        <w:t> </w:t>
      </w:r>
      <w:r>
        <w:rPr>
          <w:color w:val="231F20"/>
        </w:rPr>
        <w:t>pero</w:t>
      </w:r>
      <w:r>
        <w:rPr>
          <w:color w:val="231F20"/>
          <w:spacing w:val="-12"/>
        </w:rPr>
        <w:t> </w:t>
      </w:r>
      <w:r>
        <w:rPr>
          <w:color w:val="231F20"/>
        </w:rPr>
        <w:t>no</w:t>
      </w:r>
      <w:r>
        <w:rPr>
          <w:color w:val="231F20"/>
          <w:spacing w:val="-12"/>
        </w:rPr>
        <w:t> </w:t>
      </w:r>
      <w:r>
        <w:rPr>
          <w:color w:val="231F20"/>
        </w:rPr>
        <w:t>necesariamente</w:t>
      </w:r>
      <w:r>
        <w:rPr>
          <w:color w:val="231F20"/>
          <w:spacing w:val="-12"/>
        </w:rPr>
        <w:t> </w:t>
      </w:r>
      <w:r>
        <w:rPr>
          <w:color w:val="231F20"/>
        </w:rPr>
        <w:t>su</w:t>
      </w:r>
      <w:r>
        <w:rPr>
          <w:color w:val="231F20"/>
          <w:spacing w:val="-12"/>
        </w:rPr>
        <w:t> </w:t>
      </w:r>
      <w:r>
        <w:rPr>
          <w:color w:val="231F20"/>
        </w:rPr>
        <w:t>estrechamiento de distancia respecto de la elite y la persistente incapacidad de generar ingresos son</w:t>
      </w:r>
      <w:r>
        <w:rPr>
          <w:color w:val="231F20"/>
          <w:spacing w:val="-17"/>
        </w:rPr>
        <w:t> </w:t>
      </w:r>
      <w:r>
        <w:rPr>
          <w:color w:val="231F20"/>
        </w:rPr>
        <w:t>particularmente preocupantes, habida cuenta de la elevadísima desigualdad económica que afecta a la región. Final- mente, y como resultado de los eventos y transformaciones recién comentados, y de su conjunción con transformaciones socioeconómicas y laborales generalizadas (globalización, desregulación y flexibilización de los mercados laborales, privatización y la devaluación de la educación pública, elevación de los requerimientos de escolaridad y acreditación para obtener empleos formales) fenó- menos como el desempleo y la informalidad se han masificado y generalizado; como esto acontece sin un avance en materia de protección social, específicamente sin un seguro de desempleo efecti- vo o un seguro social extendido, crisis económicas coyunturales por desempleo son cada vez más frecuentes para los hogares y con ello más común las caídas bajo la línea de la pobreza. De hecho, estudios recientes sugieren que en países como Chile hay una elevada movilidad ascendente que es contrapesada por una también abultada movilidad descendente (es decir hay fluidez bidireccional)</w:t>
      </w:r>
      <w:r>
        <w:rPr>
          <w:color w:val="231F20"/>
          <w:spacing w:val="-22"/>
        </w:rPr>
        <w:t> </w:t>
      </w:r>
      <w:r>
        <w:rPr>
          <w:color w:val="231F20"/>
        </w:rPr>
        <w:t>y que ningún grupo socioeconómico escapa a este dinamismo, salvo los más ricos (decil superior de ingresos)</w:t>
      </w:r>
      <w:r>
        <w:rPr>
          <w:color w:val="231F20"/>
          <w:spacing w:val="-12"/>
        </w:rPr>
        <w:t> </w:t>
      </w:r>
      <w:r>
        <w:rPr>
          <w:color w:val="231F20"/>
        </w:rPr>
        <w:t>que</w:t>
      </w:r>
      <w:r>
        <w:rPr>
          <w:color w:val="231F20"/>
          <w:spacing w:val="-11"/>
        </w:rPr>
        <w:t> </w:t>
      </w:r>
      <w:r>
        <w:rPr>
          <w:color w:val="231F20"/>
        </w:rPr>
        <w:t>son</w:t>
      </w:r>
      <w:r>
        <w:rPr>
          <w:color w:val="231F20"/>
          <w:spacing w:val="-11"/>
        </w:rPr>
        <w:t> </w:t>
      </w:r>
      <w:r>
        <w:rPr>
          <w:color w:val="231F20"/>
        </w:rPr>
        <w:t>bastante</w:t>
      </w:r>
      <w:r>
        <w:rPr>
          <w:color w:val="231F20"/>
          <w:spacing w:val="-11"/>
        </w:rPr>
        <w:t> </w:t>
      </w:r>
      <w:r>
        <w:rPr>
          <w:color w:val="231F20"/>
        </w:rPr>
        <w:t>inmunes</w:t>
      </w:r>
      <w:r>
        <w:rPr>
          <w:color w:val="231F20"/>
          <w:spacing w:val="-12"/>
        </w:rPr>
        <w:t> </w:t>
      </w:r>
      <w:r>
        <w:rPr>
          <w:color w:val="231F20"/>
        </w:rPr>
        <w:t>al</w:t>
      </w:r>
      <w:r>
        <w:rPr>
          <w:color w:val="231F20"/>
          <w:spacing w:val="-12"/>
        </w:rPr>
        <w:t> </w:t>
      </w:r>
      <w:r>
        <w:rPr>
          <w:color w:val="231F20"/>
        </w:rPr>
        <w:t>descenso</w:t>
      </w:r>
      <w:r>
        <w:rPr>
          <w:color w:val="231F20"/>
          <w:spacing w:val="-11"/>
        </w:rPr>
        <w:t> </w:t>
      </w:r>
      <w:r>
        <w:rPr>
          <w:color w:val="231F20"/>
        </w:rPr>
        <w:t>y</w:t>
      </w:r>
      <w:r>
        <w:rPr>
          <w:color w:val="231F20"/>
          <w:spacing w:val="-12"/>
        </w:rPr>
        <w:t> </w:t>
      </w:r>
      <w:r>
        <w:rPr>
          <w:color w:val="231F20"/>
        </w:rPr>
        <w:t>cerrados</w:t>
      </w:r>
      <w:r>
        <w:rPr>
          <w:color w:val="231F20"/>
          <w:spacing w:val="-12"/>
        </w:rPr>
        <w:t> </w:t>
      </w:r>
      <w:r>
        <w:rPr>
          <w:color w:val="231F20"/>
        </w:rPr>
        <w:t>para</w:t>
      </w:r>
      <w:r>
        <w:rPr>
          <w:color w:val="231F20"/>
          <w:spacing w:val="-11"/>
        </w:rPr>
        <w:t> </w:t>
      </w:r>
      <w:r>
        <w:rPr>
          <w:color w:val="231F20"/>
        </w:rPr>
        <w:t>el</w:t>
      </w:r>
      <w:r>
        <w:rPr>
          <w:color w:val="231F20"/>
          <w:spacing w:val="-12"/>
        </w:rPr>
        <w:t> </w:t>
      </w:r>
      <w:r>
        <w:rPr>
          <w:color w:val="231F20"/>
        </w:rPr>
        <w:t>resto</w:t>
      </w:r>
      <w:r>
        <w:rPr>
          <w:color w:val="231F20"/>
          <w:spacing w:val="-11"/>
        </w:rPr>
        <w:t> </w:t>
      </w:r>
      <w:r>
        <w:rPr>
          <w:color w:val="231F20"/>
        </w:rPr>
        <w:t>de</w:t>
      </w:r>
      <w:r>
        <w:rPr>
          <w:color w:val="231F20"/>
          <w:spacing w:val="-11"/>
        </w:rPr>
        <w:t> </w:t>
      </w:r>
      <w:r>
        <w:rPr>
          <w:color w:val="231F20"/>
        </w:rPr>
        <w:t>los</w:t>
      </w:r>
      <w:r>
        <w:rPr>
          <w:color w:val="231F20"/>
          <w:spacing w:val="-12"/>
        </w:rPr>
        <w:t> </w:t>
      </w:r>
      <w:r>
        <w:rPr>
          <w:color w:val="231F20"/>
        </w:rPr>
        <w:t>deciles</w:t>
      </w:r>
      <w:r>
        <w:rPr>
          <w:color w:val="231F20"/>
          <w:spacing w:val="-11"/>
        </w:rPr>
        <w:t> </w:t>
      </w:r>
      <w:r>
        <w:rPr>
          <w:color w:val="231F20"/>
        </w:rPr>
        <w:t>(Torche,</w:t>
      </w:r>
      <w:r>
        <w:rPr>
          <w:color w:val="231F20"/>
          <w:spacing w:val="-11"/>
        </w:rPr>
        <w:t> </w:t>
      </w:r>
      <w:r>
        <w:rPr>
          <w:color w:val="231F20"/>
        </w:rPr>
        <w:t>2005). En</w:t>
      </w:r>
      <w:r>
        <w:rPr>
          <w:color w:val="231F20"/>
          <w:spacing w:val="-11"/>
        </w:rPr>
        <w:t> </w:t>
      </w:r>
      <w:r>
        <w:rPr>
          <w:color w:val="231F20"/>
        </w:rPr>
        <w:t>suma,</w:t>
      </w:r>
      <w:r>
        <w:rPr>
          <w:color w:val="231F20"/>
          <w:spacing w:val="-11"/>
        </w:rPr>
        <w:t> </w:t>
      </w:r>
      <w:r>
        <w:rPr>
          <w:color w:val="231F20"/>
        </w:rPr>
        <w:t>junto</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pobreza</w:t>
      </w:r>
      <w:r>
        <w:rPr>
          <w:color w:val="231F20"/>
          <w:spacing w:val="-11"/>
        </w:rPr>
        <w:t> </w:t>
      </w:r>
      <w:r>
        <w:rPr>
          <w:color w:val="231F20"/>
        </w:rPr>
        <w:t>dura,</w:t>
      </w:r>
      <w:r>
        <w:rPr>
          <w:color w:val="231F20"/>
          <w:spacing w:val="-11"/>
        </w:rPr>
        <w:t> </w:t>
      </w:r>
      <w:r>
        <w:rPr>
          <w:color w:val="231F20"/>
        </w:rPr>
        <w:t>en</w:t>
      </w:r>
      <w:r>
        <w:rPr>
          <w:color w:val="231F20"/>
          <w:spacing w:val="-11"/>
        </w:rPr>
        <w:t> </w:t>
      </w:r>
      <w:r>
        <w:rPr>
          <w:color w:val="231F20"/>
        </w:rPr>
        <w:t>algunos</w:t>
      </w:r>
      <w:r>
        <w:rPr>
          <w:color w:val="231F20"/>
          <w:spacing w:val="-11"/>
        </w:rPr>
        <w:t> </w:t>
      </w:r>
      <w:r>
        <w:rPr>
          <w:color w:val="231F20"/>
        </w:rPr>
        <w:t>países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región</w:t>
      </w:r>
      <w:r>
        <w:rPr>
          <w:color w:val="231F20"/>
          <w:spacing w:val="-11"/>
        </w:rPr>
        <w:t> </w:t>
      </w:r>
      <w:r>
        <w:rPr>
          <w:color w:val="231F20"/>
        </w:rPr>
        <w:t>relativamente</w:t>
      </w:r>
      <w:r>
        <w:rPr>
          <w:color w:val="231F20"/>
          <w:spacing w:val="-11"/>
        </w:rPr>
        <w:t> </w:t>
      </w:r>
      <w:r>
        <w:rPr>
          <w:color w:val="231F20"/>
        </w:rPr>
        <w:t>acotada,</w:t>
      </w:r>
      <w:r>
        <w:rPr>
          <w:color w:val="231F20"/>
          <w:spacing w:val="-12"/>
        </w:rPr>
        <w:t> </w:t>
      </w:r>
      <w:r>
        <w:rPr>
          <w:color w:val="231F20"/>
        </w:rPr>
        <w:t>y</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gran y</w:t>
      </w:r>
      <w:r>
        <w:rPr>
          <w:color w:val="231F20"/>
          <w:spacing w:val="-5"/>
        </w:rPr>
        <w:t> </w:t>
      </w:r>
      <w:r>
        <w:rPr>
          <w:color w:val="231F20"/>
        </w:rPr>
        <w:t>creciente</w:t>
      </w:r>
      <w:r>
        <w:rPr>
          <w:color w:val="231F20"/>
          <w:spacing w:val="-5"/>
        </w:rPr>
        <w:t> </w:t>
      </w:r>
      <w:r>
        <w:rPr>
          <w:color w:val="231F20"/>
        </w:rPr>
        <w:t>masa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que</w:t>
      </w:r>
      <w:r>
        <w:rPr>
          <w:color w:val="231F20"/>
          <w:spacing w:val="-5"/>
        </w:rPr>
        <w:t> </w:t>
      </w:r>
      <w:r>
        <w:rPr>
          <w:color w:val="231F20"/>
        </w:rPr>
        <w:t>estaría</w:t>
      </w:r>
      <w:r>
        <w:rPr>
          <w:color w:val="231F20"/>
          <w:spacing w:val="-5"/>
        </w:rPr>
        <w:t> </w:t>
      </w:r>
      <w:r>
        <w:rPr>
          <w:color w:val="231F20"/>
        </w:rPr>
        <w:t>oscilando</w:t>
      </w:r>
      <w:r>
        <w:rPr>
          <w:color w:val="231F20"/>
          <w:spacing w:val="-5"/>
        </w:rPr>
        <w:t> </w:t>
      </w:r>
      <w:r>
        <w:rPr>
          <w:color w:val="231F20"/>
        </w:rPr>
        <w:t>regularmente</w:t>
      </w:r>
      <w:r>
        <w:rPr>
          <w:color w:val="231F20"/>
          <w:spacing w:val="-5"/>
        </w:rPr>
        <w:t> </w:t>
      </w:r>
      <w:r>
        <w:rPr>
          <w:color w:val="231F20"/>
        </w:rPr>
        <w:t>en</w:t>
      </w:r>
      <w:r>
        <w:rPr>
          <w:color w:val="231F20"/>
          <w:spacing w:val="-5"/>
        </w:rPr>
        <w:t> </w:t>
      </w:r>
      <w:r>
        <w:rPr>
          <w:color w:val="231F20"/>
        </w:rPr>
        <w:t>torno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línea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pobreza (Por embates masivos o idiosincrásicos), habría un núcleo duro de riqueza que no está expuesta al riesgo de empobrecer y al cual hay muy pocas posibilidades de acceder </w:t>
      </w:r>
      <w:r>
        <w:rPr>
          <w:color w:val="231F20"/>
          <w:spacing w:val="-3"/>
        </w:rPr>
        <w:t>(CEPAL,</w:t>
      </w:r>
      <w:r>
        <w:rPr>
          <w:color w:val="231F20"/>
        </w:rPr>
        <w:t> 2006).</w:t>
      </w:r>
    </w:p>
    <w:p>
      <w:pPr>
        <w:pStyle w:val="BodyText"/>
        <w:rPr>
          <w:sz w:val="23"/>
        </w:rPr>
      </w:pPr>
    </w:p>
    <w:p>
      <w:pPr>
        <w:pStyle w:val="Heading2"/>
      </w:pPr>
      <w:r>
        <w:rPr>
          <w:color w:val="010202"/>
        </w:rPr>
        <w:t>Conclusiones</w:t>
      </w:r>
    </w:p>
    <w:p>
      <w:pPr>
        <w:pStyle w:val="BodyText"/>
        <w:spacing w:before="10"/>
        <w:rPr>
          <w:b/>
        </w:rPr>
      </w:pPr>
    </w:p>
    <w:p>
      <w:pPr>
        <w:pStyle w:val="BodyText"/>
        <w:spacing w:line="247" w:lineRule="auto"/>
        <w:ind w:left="1270" w:right="1267"/>
        <w:jc w:val="both"/>
      </w:pPr>
      <w:r>
        <w:rPr>
          <w:color w:val="231F20"/>
        </w:rPr>
        <w:t>El panorama socioeconómico complicado en el que se vive crea desigualdades cada vez mayores entre la población, ya que cuando un niño solo tiene lo indispensable apenas para sobrevivir, está expuesto a mayores riesgos de sufrir problemas de salud y sociales, quedando marginado. La  mala</w:t>
      </w:r>
    </w:p>
    <w:p>
      <w:pPr>
        <w:pStyle w:val="BodyText"/>
        <w:spacing w:before="1"/>
      </w:pPr>
    </w:p>
    <w:p>
      <w:pPr>
        <w:spacing w:before="71"/>
        <w:ind w:left="4027" w:right="4005" w:firstLine="0"/>
        <w:jc w:val="center"/>
        <w:rPr>
          <w:rFonts w:ascii="Trebuchet MS"/>
          <w:b/>
          <w:i/>
          <w:sz w:val="22"/>
        </w:rPr>
      </w:pPr>
      <w:r>
        <w:rPr>
          <w:rFonts w:ascii="Trebuchet MS"/>
          <w:b/>
          <w:i/>
          <w:color w:val="231F20"/>
          <w:sz w:val="22"/>
        </w:rPr>
        <w:t>47</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nutrición afecta el desarrollo de los niños, porque un niño que no se alimenta bien, en el futuro va a tener problemas de aprendizaje, lo que limita sus posibilidades de progreso intelectual y social. Por eso</w:t>
      </w:r>
      <w:r>
        <w:rPr>
          <w:color w:val="231F20"/>
          <w:spacing w:val="-7"/>
        </w:rPr>
        <w:t> </w:t>
      </w:r>
      <w:r>
        <w:rPr>
          <w:color w:val="231F20"/>
        </w:rPr>
        <w:t>es</w:t>
      </w:r>
      <w:r>
        <w:rPr>
          <w:color w:val="231F20"/>
          <w:spacing w:val="-7"/>
        </w:rPr>
        <w:t> </w:t>
      </w:r>
      <w:r>
        <w:rPr>
          <w:color w:val="231F20"/>
        </w:rPr>
        <w:t>indispensable</w:t>
      </w:r>
      <w:r>
        <w:rPr>
          <w:color w:val="231F20"/>
          <w:spacing w:val="-7"/>
        </w:rPr>
        <w:t> </w:t>
      </w:r>
      <w:r>
        <w:rPr>
          <w:color w:val="231F20"/>
        </w:rPr>
        <w:t>que</w:t>
      </w:r>
      <w:r>
        <w:rPr>
          <w:color w:val="231F20"/>
          <w:spacing w:val="-6"/>
        </w:rPr>
        <w:t> </w:t>
      </w:r>
      <w:r>
        <w:rPr>
          <w:color w:val="231F20"/>
        </w:rPr>
        <w:t>pueda</w:t>
      </w:r>
      <w:r>
        <w:rPr>
          <w:color w:val="231F20"/>
          <w:spacing w:val="-6"/>
        </w:rPr>
        <w:t> </w:t>
      </w:r>
      <w:r>
        <w:rPr>
          <w:color w:val="231F20"/>
        </w:rPr>
        <w:t>adquirir</w:t>
      </w:r>
      <w:r>
        <w:rPr>
          <w:color w:val="231F20"/>
          <w:spacing w:val="-7"/>
        </w:rPr>
        <w:t> </w:t>
      </w:r>
      <w:r>
        <w:rPr>
          <w:color w:val="231F20"/>
        </w:rPr>
        <w:t>capacidades</w:t>
      </w:r>
      <w:r>
        <w:rPr>
          <w:color w:val="231F20"/>
          <w:spacing w:val="-7"/>
        </w:rPr>
        <w:t> </w:t>
      </w:r>
      <w:r>
        <w:rPr>
          <w:color w:val="231F20"/>
        </w:rPr>
        <w:t>y</w:t>
      </w:r>
      <w:r>
        <w:rPr>
          <w:color w:val="231F20"/>
          <w:spacing w:val="-7"/>
        </w:rPr>
        <w:t> </w:t>
      </w:r>
      <w:r>
        <w:rPr>
          <w:color w:val="231F20"/>
        </w:rPr>
        <w:t>destrezas.</w:t>
      </w:r>
      <w:r>
        <w:rPr>
          <w:color w:val="231F20"/>
          <w:spacing w:val="-7"/>
        </w:rPr>
        <w:t> </w:t>
      </w:r>
      <w:r>
        <w:rPr>
          <w:color w:val="231F20"/>
        </w:rPr>
        <w:t>Cuidarlos</w:t>
      </w:r>
      <w:r>
        <w:rPr>
          <w:color w:val="231F20"/>
          <w:spacing w:val="-6"/>
        </w:rPr>
        <w:t> </w:t>
      </w:r>
      <w:r>
        <w:rPr>
          <w:color w:val="231F20"/>
        </w:rPr>
        <w:t>no</w:t>
      </w:r>
      <w:r>
        <w:rPr>
          <w:color w:val="231F20"/>
          <w:spacing w:val="-7"/>
        </w:rPr>
        <w:t> </w:t>
      </w:r>
      <w:r>
        <w:rPr>
          <w:color w:val="231F20"/>
        </w:rPr>
        <w:t>sólo</w:t>
      </w:r>
      <w:r>
        <w:rPr>
          <w:color w:val="231F20"/>
          <w:spacing w:val="-6"/>
        </w:rPr>
        <w:t> </w:t>
      </w:r>
      <w:r>
        <w:rPr>
          <w:color w:val="231F20"/>
        </w:rPr>
        <w:t>implica</w:t>
      </w:r>
      <w:r>
        <w:rPr>
          <w:color w:val="231F20"/>
          <w:spacing w:val="-7"/>
        </w:rPr>
        <w:t> </w:t>
      </w:r>
      <w:r>
        <w:rPr>
          <w:color w:val="231F20"/>
        </w:rPr>
        <w:t>velar</w:t>
      </w:r>
      <w:r>
        <w:rPr>
          <w:color w:val="231F20"/>
          <w:spacing w:val="-7"/>
        </w:rPr>
        <w:t> </w:t>
      </w:r>
      <w:r>
        <w:rPr>
          <w:color w:val="231F20"/>
        </w:rPr>
        <w:t>por sus necesidades sanitarias, sino que también darles el apoyo necesario para su desarrollo, para que se conviertan en adultos saludables y con plena conciencia de sus derechos y deberes como ciuda- danos. Si todo esto no se corrige no se habrá crecimiento económico y mucho menos se logrará el desarrollo en el</w:t>
      </w:r>
      <w:r>
        <w:rPr>
          <w:color w:val="231F20"/>
          <w:spacing w:val="-1"/>
        </w:rPr>
        <w:t> </w:t>
      </w:r>
      <w:r>
        <w:rPr>
          <w:color w:val="231F20"/>
        </w:rPr>
        <w:t>país.</w:t>
      </w:r>
    </w:p>
    <w:p>
      <w:pPr>
        <w:pStyle w:val="BodyText"/>
        <w:spacing w:before="9"/>
        <w:rPr>
          <w:sz w:val="22"/>
        </w:rPr>
      </w:pPr>
    </w:p>
    <w:p>
      <w:pPr>
        <w:pStyle w:val="Heading2"/>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pacing w:val="-3"/>
          <w:sz w:val="19"/>
        </w:rPr>
        <w:t>CEPAL. </w:t>
      </w:r>
      <w:r>
        <w:rPr>
          <w:color w:val="231F20"/>
          <w:sz w:val="19"/>
        </w:rPr>
        <w:t>2006. Pobreza y Población: Enfoques, Conceptos y Vínculos con las Políticas Públicas con especial referencia</w:t>
      </w:r>
      <w:r>
        <w:rPr>
          <w:color w:val="231F20"/>
          <w:spacing w:val="-9"/>
          <w:sz w:val="19"/>
        </w:rPr>
        <w:t> </w:t>
      </w:r>
      <w:r>
        <w:rPr>
          <w:color w:val="231F20"/>
          <w:sz w:val="19"/>
        </w:rPr>
        <w:t>a</w:t>
      </w:r>
      <w:r>
        <w:rPr>
          <w:color w:val="231F20"/>
          <w:spacing w:val="-9"/>
          <w:sz w:val="19"/>
        </w:rPr>
        <w:t> </w:t>
      </w:r>
      <w:r>
        <w:rPr>
          <w:color w:val="231F20"/>
          <w:sz w:val="19"/>
        </w:rPr>
        <w:t>la</w:t>
      </w:r>
      <w:r>
        <w:rPr>
          <w:color w:val="231F20"/>
          <w:spacing w:val="-9"/>
          <w:sz w:val="19"/>
        </w:rPr>
        <w:t> </w:t>
      </w:r>
      <w:r>
        <w:rPr>
          <w:color w:val="231F20"/>
          <w:sz w:val="19"/>
        </w:rPr>
        <w:t>experiencia</w:t>
      </w:r>
      <w:r>
        <w:rPr>
          <w:color w:val="231F20"/>
          <w:spacing w:val="-10"/>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situación</w:t>
      </w:r>
      <w:r>
        <w:rPr>
          <w:color w:val="231F20"/>
          <w:spacing w:val="-9"/>
          <w:sz w:val="19"/>
        </w:rPr>
        <w:t> </w:t>
      </w:r>
      <w:r>
        <w:rPr>
          <w:color w:val="231F20"/>
          <w:sz w:val="19"/>
        </w:rPr>
        <w:t>de</w:t>
      </w:r>
      <w:r>
        <w:rPr>
          <w:color w:val="231F20"/>
          <w:spacing w:val="-20"/>
          <w:sz w:val="19"/>
        </w:rPr>
        <w:t> </w:t>
      </w:r>
      <w:r>
        <w:rPr>
          <w:color w:val="231F20"/>
          <w:sz w:val="19"/>
        </w:rPr>
        <w:t>América</w:t>
      </w:r>
      <w:r>
        <w:rPr>
          <w:color w:val="231F20"/>
          <w:spacing w:val="-9"/>
          <w:sz w:val="19"/>
        </w:rPr>
        <w:t> </w:t>
      </w:r>
      <w:r>
        <w:rPr>
          <w:color w:val="231F20"/>
          <w:sz w:val="19"/>
        </w:rPr>
        <w:t>Latina.</w:t>
      </w:r>
      <w:r>
        <w:rPr>
          <w:color w:val="231F20"/>
          <w:spacing w:val="-10"/>
          <w:sz w:val="19"/>
        </w:rPr>
        <w:t> </w:t>
      </w:r>
      <w:r>
        <w:rPr>
          <w:color w:val="231F20"/>
          <w:sz w:val="19"/>
        </w:rPr>
        <w:t>Reunión</w:t>
      </w:r>
      <w:r>
        <w:rPr>
          <w:color w:val="231F20"/>
          <w:spacing w:val="-9"/>
          <w:sz w:val="19"/>
        </w:rPr>
        <w:t> </w:t>
      </w:r>
      <w:r>
        <w:rPr>
          <w:color w:val="231F20"/>
          <w:sz w:val="19"/>
        </w:rPr>
        <w:t>de</w:t>
      </w:r>
      <w:r>
        <w:rPr>
          <w:color w:val="231F20"/>
          <w:spacing w:val="-9"/>
          <w:sz w:val="19"/>
        </w:rPr>
        <w:t> </w:t>
      </w:r>
      <w:r>
        <w:rPr>
          <w:color w:val="231F20"/>
          <w:sz w:val="19"/>
        </w:rPr>
        <w:t>Expertos</w:t>
      </w:r>
      <w:r>
        <w:rPr>
          <w:color w:val="231F20"/>
          <w:spacing w:val="-10"/>
          <w:sz w:val="19"/>
        </w:rPr>
        <w:t> </w:t>
      </w:r>
      <w:r>
        <w:rPr>
          <w:color w:val="231F20"/>
          <w:sz w:val="19"/>
        </w:rPr>
        <w:t>sobre</w:t>
      </w:r>
      <w:r>
        <w:rPr>
          <w:color w:val="231F20"/>
          <w:spacing w:val="-9"/>
          <w:sz w:val="19"/>
        </w:rPr>
        <w:t> </w:t>
      </w:r>
      <w:r>
        <w:rPr>
          <w:color w:val="231F20"/>
          <w:sz w:val="19"/>
        </w:rPr>
        <w:t>Población</w:t>
      </w:r>
      <w:r>
        <w:rPr>
          <w:color w:val="231F20"/>
          <w:spacing w:val="-9"/>
          <w:sz w:val="19"/>
        </w:rPr>
        <w:t> </w:t>
      </w:r>
      <w:r>
        <w:rPr>
          <w:color w:val="231F20"/>
          <w:sz w:val="19"/>
        </w:rPr>
        <w:t>y</w:t>
      </w:r>
      <w:r>
        <w:rPr>
          <w:color w:val="231F20"/>
          <w:spacing w:val="-9"/>
          <w:sz w:val="19"/>
        </w:rPr>
        <w:t> </w:t>
      </w:r>
      <w:r>
        <w:rPr>
          <w:color w:val="231F20"/>
          <w:sz w:val="19"/>
        </w:rPr>
        <w:t>Pobreza</w:t>
      </w:r>
      <w:r>
        <w:rPr>
          <w:color w:val="231F20"/>
          <w:spacing w:val="-9"/>
          <w:sz w:val="19"/>
        </w:rPr>
        <w:t> </w:t>
      </w:r>
      <w:r>
        <w:rPr>
          <w:color w:val="231F20"/>
          <w:sz w:val="19"/>
        </w:rPr>
        <w:t>en América Latina y el Caribe 14 y 15 de Noviembre 2006, Santiago, Chile. Organizado por la Comisión Econó- mica para América Latina y el Caribe, CELADE. División de Población, con el auspicio del Fondo de Pobla- ción de las Naciones Unidas </w:t>
      </w:r>
      <w:r>
        <w:rPr>
          <w:color w:val="231F20"/>
          <w:spacing w:val="-3"/>
          <w:sz w:val="19"/>
        </w:rPr>
        <w:t>(UNFPA). </w:t>
      </w:r>
      <w:r>
        <w:rPr>
          <w:color w:val="231F20"/>
          <w:sz w:val="19"/>
        </w:rPr>
        <w:t>Disponible en: </w:t>
      </w:r>
      <w:hyperlink r:id="rId21">
        <w:r>
          <w:rPr>
            <w:color w:val="231F20"/>
            <w:sz w:val="19"/>
          </w:rPr>
          <w:t>http://www.eclac.org/celade/noticias/paginas/5/27255/</w:t>
        </w:r>
      </w:hyperlink>
      <w:r>
        <w:rPr>
          <w:color w:val="231F20"/>
          <w:sz w:val="19"/>
        </w:rPr>
        <w:t> rodriguez.pdf</w:t>
      </w:r>
    </w:p>
    <w:p>
      <w:pPr>
        <w:pStyle w:val="BodyText"/>
        <w:spacing w:before="10"/>
        <w:rPr>
          <w:sz w:val="19"/>
        </w:rPr>
      </w:pPr>
    </w:p>
    <w:p>
      <w:pPr>
        <w:spacing w:line="249" w:lineRule="auto" w:before="0"/>
        <w:ind w:left="1270" w:right="1267" w:firstLine="0"/>
        <w:jc w:val="both"/>
        <w:rPr>
          <w:sz w:val="19"/>
        </w:rPr>
      </w:pPr>
      <w:r>
        <w:rPr>
          <w:color w:val="231F20"/>
          <w:sz w:val="19"/>
        </w:rPr>
        <w:t>CNNEXPANSION.</w:t>
      </w:r>
      <w:r>
        <w:rPr>
          <w:color w:val="231F20"/>
          <w:spacing w:val="-11"/>
          <w:sz w:val="19"/>
        </w:rPr>
        <w:t> </w:t>
      </w:r>
      <w:r>
        <w:rPr>
          <w:color w:val="231F20"/>
          <w:sz w:val="19"/>
        </w:rPr>
        <w:t>2011.</w:t>
      </w:r>
      <w:r>
        <w:rPr>
          <w:color w:val="231F20"/>
          <w:spacing w:val="-11"/>
          <w:sz w:val="19"/>
        </w:rPr>
        <w:t> </w:t>
      </w:r>
      <w:r>
        <w:rPr>
          <w:color w:val="231F20"/>
          <w:sz w:val="19"/>
        </w:rPr>
        <w:t>La</w:t>
      </w:r>
      <w:r>
        <w:rPr>
          <w:color w:val="231F20"/>
          <w:spacing w:val="-11"/>
          <w:sz w:val="19"/>
        </w:rPr>
        <w:t> </w:t>
      </w:r>
      <w:r>
        <w:rPr>
          <w:color w:val="231F20"/>
          <w:sz w:val="19"/>
        </w:rPr>
        <w:t>pobreza</w:t>
      </w:r>
      <w:r>
        <w:rPr>
          <w:color w:val="231F20"/>
          <w:spacing w:val="-11"/>
          <w:sz w:val="19"/>
        </w:rPr>
        <w:t> </w:t>
      </w:r>
      <w:r>
        <w:rPr>
          <w:color w:val="231F20"/>
          <w:sz w:val="19"/>
        </w:rPr>
        <w:t>en</w:t>
      </w:r>
      <w:r>
        <w:rPr>
          <w:color w:val="231F20"/>
          <w:spacing w:val="-11"/>
          <w:sz w:val="19"/>
        </w:rPr>
        <w:t> </w:t>
      </w:r>
      <w:r>
        <w:rPr>
          <w:color w:val="231F20"/>
          <w:sz w:val="19"/>
        </w:rPr>
        <w:t>México</w:t>
      </w:r>
      <w:r>
        <w:rPr>
          <w:color w:val="231F20"/>
          <w:spacing w:val="-11"/>
          <w:sz w:val="19"/>
        </w:rPr>
        <w:t> </w:t>
      </w:r>
      <w:r>
        <w:rPr>
          <w:color w:val="231F20"/>
          <w:sz w:val="19"/>
        </w:rPr>
        <w:t>sube</w:t>
      </w:r>
      <w:r>
        <w:rPr>
          <w:color w:val="231F20"/>
          <w:spacing w:val="-11"/>
          <w:sz w:val="19"/>
        </w:rPr>
        <w:t> </w:t>
      </w:r>
      <w:r>
        <w:rPr>
          <w:color w:val="231F20"/>
          <w:sz w:val="19"/>
        </w:rPr>
        <w:t>a</w:t>
      </w:r>
      <w:r>
        <w:rPr>
          <w:color w:val="231F20"/>
          <w:spacing w:val="-11"/>
          <w:sz w:val="19"/>
        </w:rPr>
        <w:t> </w:t>
      </w:r>
      <w:r>
        <w:rPr>
          <w:color w:val="231F20"/>
          <w:sz w:val="19"/>
        </w:rPr>
        <w:t>52</w:t>
      </w:r>
      <w:r>
        <w:rPr>
          <w:color w:val="231F20"/>
          <w:spacing w:val="-11"/>
          <w:sz w:val="19"/>
        </w:rPr>
        <w:t> </w:t>
      </w:r>
      <w:r>
        <w:rPr>
          <w:color w:val="231F20"/>
          <w:sz w:val="19"/>
        </w:rPr>
        <w:t>millones.</w:t>
      </w:r>
      <w:r>
        <w:rPr>
          <w:color w:val="231F20"/>
          <w:spacing w:val="23"/>
          <w:sz w:val="19"/>
        </w:rPr>
        <w:t> </w:t>
      </w:r>
      <w:r>
        <w:rPr>
          <w:color w:val="231F20"/>
          <w:sz w:val="19"/>
        </w:rPr>
        <w:t>Viernes,</w:t>
      </w:r>
      <w:r>
        <w:rPr>
          <w:color w:val="231F20"/>
          <w:spacing w:val="-11"/>
          <w:sz w:val="19"/>
        </w:rPr>
        <w:t> </w:t>
      </w:r>
      <w:r>
        <w:rPr>
          <w:color w:val="231F20"/>
          <w:sz w:val="19"/>
        </w:rPr>
        <w:t>29</w:t>
      </w:r>
      <w:r>
        <w:rPr>
          <w:color w:val="231F20"/>
          <w:spacing w:val="-11"/>
          <w:sz w:val="19"/>
        </w:rPr>
        <w:t> </w:t>
      </w:r>
      <w:r>
        <w:rPr>
          <w:color w:val="231F20"/>
          <w:sz w:val="19"/>
        </w:rPr>
        <w:t>de</w:t>
      </w:r>
      <w:r>
        <w:rPr>
          <w:color w:val="231F20"/>
          <w:spacing w:val="-11"/>
          <w:sz w:val="19"/>
        </w:rPr>
        <w:t> </w:t>
      </w:r>
      <w:r>
        <w:rPr>
          <w:color w:val="231F20"/>
          <w:sz w:val="19"/>
        </w:rPr>
        <w:t>julio.</w:t>
      </w:r>
      <w:r>
        <w:rPr>
          <w:color w:val="231F20"/>
          <w:spacing w:val="-11"/>
          <w:sz w:val="19"/>
        </w:rPr>
        <w:t> </w:t>
      </w:r>
      <w:r>
        <w:rPr>
          <w:color w:val="231F20"/>
          <w:sz w:val="19"/>
        </w:rPr>
        <w:t>Disponible</w:t>
      </w:r>
      <w:r>
        <w:rPr>
          <w:color w:val="231F20"/>
          <w:spacing w:val="-10"/>
          <w:sz w:val="19"/>
        </w:rPr>
        <w:t> </w:t>
      </w:r>
      <w:r>
        <w:rPr>
          <w:color w:val="231F20"/>
          <w:sz w:val="19"/>
        </w:rPr>
        <w:t>en:http:// </w:t>
      </w:r>
      <w:hyperlink r:id="rId22">
        <w:r>
          <w:rPr>
            <w:color w:val="231F20"/>
            <w:sz w:val="19"/>
          </w:rPr>
          <w:t>www.cnnexpansion.com/economia/2011/07/29/pobreza-mexico-2010.</w:t>
        </w:r>
      </w:hyperlink>
    </w:p>
    <w:p>
      <w:pPr>
        <w:pStyle w:val="BodyText"/>
        <w:spacing w:before="10"/>
        <w:rPr>
          <w:sz w:val="19"/>
        </w:rPr>
      </w:pPr>
    </w:p>
    <w:p>
      <w:pPr>
        <w:spacing w:line="249" w:lineRule="auto" w:before="0"/>
        <w:ind w:left="1270" w:right="1263" w:firstLine="0"/>
        <w:jc w:val="both"/>
        <w:rPr>
          <w:sz w:val="19"/>
        </w:rPr>
      </w:pPr>
      <w:r>
        <w:rPr/>
        <w:drawing>
          <wp:anchor distT="0" distB="0" distL="0" distR="0" allowOverlap="1" layoutInCell="1" locked="0" behindDoc="0" simplePos="0" relativeHeight="2056">
            <wp:simplePos x="0" y="0"/>
            <wp:positionH relativeFrom="page">
              <wp:posOffset>17462</wp:posOffset>
            </wp:positionH>
            <wp:positionV relativeFrom="paragraph">
              <wp:posOffset>243131</wp:posOffset>
            </wp:positionV>
            <wp:extent cx="155575" cy="155575"/>
            <wp:effectExtent l="0" t="0" r="0" b="0"/>
            <wp:wrapNone/>
            <wp:docPr id="99" name="image2.png" descr=""/>
            <wp:cNvGraphicFramePr>
              <a:graphicFrameLocks noChangeAspect="1"/>
            </wp:cNvGraphicFramePr>
            <a:graphic>
              <a:graphicData uri="http://schemas.openxmlformats.org/drawingml/2006/picture">
                <pic:pic>
                  <pic:nvPicPr>
                    <pic:cNvPr id="10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6761162</wp:posOffset>
            </wp:positionH>
            <wp:positionV relativeFrom="paragraph">
              <wp:posOffset>243131</wp:posOffset>
            </wp:positionV>
            <wp:extent cx="155575" cy="155575"/>
            <wp:effectExtent l="0" t="0" r="0" b="0"/>
            <wp:wrapNone/>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Consejo de Investigación y Evaluación Social de la Política Social (CIEPS). 2012. Indicadores Estratégicos. Boletín de enero. Secretaria de Desarrollo Social. Gobierno del Estado de México. Disponible en: </w:t>
      </w:r>
      <w:hyperlink r:id="rId23">
        <w:r>
          <w:rPr>
            <w:color w:val="231F20"/>
            <w:sz w:val="19"/>
          </w:rPr>
          <w:t>http://por-</w:t>
        </w:r>
      </w:hyperlink>
      <w:r>
        <w:rPr>
          <w:color w:val="231F20"/>
          <w:sz w:val="19"/>
        </w:rPr>
        <w:t> tal2.edomex.gob.mx/cieps/difusion/publicaciones/boletines_2011/groups/public/documents/edomex_archivo/ cieps_pdf_ene12boletin.pdf</w:t>
      </w:r>
    </w:p>
    <w:p>
      <w:pPr>
        <w:pStyle w:val="BodyText"/>
        <w:spacing w:before="10"/>
        <w:rPr>
          <w:sz w:val="19"/>
        </w:rPr>
      </w:pPr>
    </w:p>
    <w:p>
      <w:pPr>
        <w:spacing w:line="249" w:lineRule="auto" w:before="0"/>
        <w:ind w:left="1270" w:right="1268" w:firstLine="0"/>
        <w:jc w:val="both"/>
        <w:rPr>
          <w:sz w:val="19"/>
        </w:rPr>
      </w:pPr>
      <w:r>
        <w:rPr>
          <w:color w:val="231F20"/>
          <w:sz w:val="19"/>
        </w:rPr>
        <w:t>El Siglo de Torreón. 2012. Estado de México, con mayor alza en pobreza. Sábado 11 de febrero. Disponible en: </w:t>
      </w:r>
      <w:hyperlink r:id="rId24">
        <w:r>
          <w:rPr>
            <w:color w:val="231F20"/>
            <w:sz w:val="19"/>
          </w:rPr>
          <w:t>http://www.elsiglodetorreon.com.mx/noticia/707205.estado-de-mexico-con-mayor-alza-en-pobreza.html</w:t>
        </w:r>
      </w:hyperlink>
    </w:p>
    <w:p>
      <w:pPr>
        <w:pStyle w:val="BodyText"/>
        <w:spacing w:before="10"/>
        <w:rPr>
          <w:sz w:val="19"/>
        </w:rPr>
      </w:pPr>
    </w:p>
    <w:p>
      <w:pPr>
        <w:spacing w:before="0"/>
        <w:ind w:left="1270" w:right="0" w:firstLine="0"/>
        <w:jc w:val="both"/>
        <w:rPr>
          <w:sz w:val="19"/>
        </w:rPr>
      </w:pPr>
      <w:r>
        <w:rPr>
          <w:color w:val="231F20"/>
          <w:sz w:val="19"/>
        </w:rPr>
        <w:t>FAO. 2001. El estado mundial de la agricultura y la alimentación. Incluye referencias a los estudios,   detalles</w:t>
      </w:r>
    </w:p>
    <w:p>
      <w:pPr>
        <w:spacing w:before="9"/>
        <w:ind w:left="1270" w:right="0" w:firstLine="0"/>
        <w:jc w:val="both"/>
        <w:rPr>
          <w:sz w:val="19"/>
        </w:rPr>
      </w:pPr>
      <w:r>
        <w:rPr>
          <w:color w:val="231F20"/>
          <w:sz w:val="19"/>
        </w:rPr>
        <w:t>metodológicos y advertencias. Disponible en: </w:t>
      </w:r>
      <w:hyperlink r:id="rId25">
        <w:r>
          <w:rPr>
            <w:color w:val="231F20"/>
            <w:sz w:val="19"/>
          </w:rPr>
          <w:t>http://www.fao.org/docrep/003/Y6265S/y6265s03.htm</w:t>
        </w:r>
      </w:hyperlink>
    </w:p>
    <w:p>
      <w:pPr>
        <w:pStyle w:val="BodyText"/>
        <w:spacing w:before="7"/>
        <w:rPr>
          <w:sz w:val="20"/>
        </w:rPr>
      </w:pPr>
    </w:p>
    <w:p>
      <w:pPr>
        <w:spacing w:line="249" w:lineRule="auto" w:before="0"/>
        <w:ind w:left="1270" w:right="1267" w:firstLine="0"/>
        <w:jc w:val="both"/>
        <w:rPr>
          <w:sz w:val="19"/>
        </w:rPr>
      </w:pPr>
      <w:r>
        <w:rPr>
          <w:color w:val="231F20"/>
          <w:spacing w:val="-5"/>
          <w:sz w:val="19"/>
        </w:rPr>
        <w:t>FAO.</w:t>
      </w:r>
      <w:r>
        <w:rPr>
          <w:color w:val="231F20"/>
          <w:spacing w:val="-15"/>
          <w:sz w:val="19"/>
        </w:rPr>
        <w:t> </w:t>
      </w:r>
      <w:r>
        <w:rPr>
          <w:color w:val="231F20"/>
          <w:sz w:val="19"/>
        </w:rPr>
        <w:t>2002.</w:t>
      </w:r>
      <w:r>
        <w:rPr>
          <w:color w:val="231F20"/>
          <w:spacing w:val="-14"/>
          <w:sz w:val="19"/>
        </w:rPr>
        <w:t> </w:t>
      </w:r>
      <w:r>
        <w:rPr>
          <w:color w:val="231F20"/>
          <w:sz w:val="19"/>
        </w:rPr>
        <w:t>la</w:t>
      </w:r>
      <w:r>
        <w:rPr>
          <w:color w:val="231F20"/>
          <w:spacing w:val="-15"/>
          <w:sz w:val="19"/>
        </w:rPr>
        <w:t> </w:t>
      </w:r>
      <w:r>
        <w:rPr>
          <w:color w:val="231F20"/>
          <w:sz w:val="19"/>
        </w:rPr>
        <w:t>reducción</w:t>
      </w:r>
      <w:r>
        <w:rPr>
          <w:color w:val="231F20"/>
          <w:spacing w:val="-14"/>
          <w:sz w:val="19"/>
        </w:rPr>
        <w:t> </w:t>
      </w:r>
      <w:r>
        <w:rPr>
          <w:color w:val="231F20"/>
          <w:sz w:val="19"/>
        </w:rPr>
        <w:t>de</w:t>
      </w:r>
      <w:r>
        <w:rPr>
          <w:color w:val="231F20"/>
          <w:spacing w:val="-15"/>
          <w:sz w:val="19"/>
        </w:rPr>
        <w:t> </w:t>
      </w:r>
      <w:r>
        <w:rPr>
          <w:color w:val="231F20"/>
          <w:sz w:val="19"/>
        </w:rPr>
        <w:t>la</w:t>
      </w:r>
      <w:r>
        <w:rPr>
          <w:color w:val="231F20"/>
          <w:spacing w:val="-14"/>
          <w:sz w:val="19"/>
        </w:rPr>
        <w:t> </w:t>
      </w:r>
      <w:r>
        <w:rPr>
          <w:color w:val="231F20"/>
          <w:sz w:val="19"/>
        </w:rPr>
        <w:t>pobreza</w:t>
      </w:r>
      <w:r>
        <w:rPr>
          <w:color w:val="231F20"/>
          <w:spacing w:val="-14"/>
          <w:sz w:val="19"/>
        </w:rPr>
        <w:t> </w:t>
      </w:r>
      <w:r>
        <w:rPr>
          <w:color w:val="231F20"/>
          <w:sz w:val="19"/>
        </w:rPr>
        <w:t>y</w:t>
      </w:r>
      <w:r>
        <w:rPr>
          <w:color w:val="231F20"/>
          <w:spacing w:val="-15"/>
          <w:sz w:val="19"/>
        </w:rPr>
        <w:t> </w:t>
      </w:r>
      <w:r>
        <w:rPr>
          <w:color w:val="231F20"/>
          <w:sz w:val="19"/>
        </w:rPr>
        <w:t>el</w:t>
      </w:r>
      <w:r>
        <w:rPr>
          <w:color w:val="231F20"/>
          <w:spacing w:val="-15"/>
          <w:sz w:val="19"/>
        </w:rPr>
        <w:t> </w:t>
      </w:r>
      <w:r>
        <w:rPr>
          <w:color w:val="231F20"/>
          <w:sz w:val="19"/>
        </w:rPr>
        <w:t>hambre:</w:t>
      </w:r>
      <w:r>
        <w:rPr>
          <w:color w:val="231F20"/>
          <w:spacing w:val="-14"/>
          <w:sz w:val="19"/>
        </w:rPr>
        <w:t> </w:t>
      </w:r>
      <w:r>
        <w:rPr>
          <w:color w:val="231F20"/>
          <w:sz w:val="19"/>
        </w:rPr>
        <w:t>la</w:t>
      </w:r>
      <w:r>
        <w:rPr>
          <w:color w:val="231F20"/>
          <w:spacing w:val="-14"/>
          <w:sz w:val="19"/>
        </w:rPr>
        <w:t> </w:t>
      </w:r>
      <w:r>
        <w:rPr>
          <w:color w:val="231F20"/>
          <w:sz w:val="19"/>
        </w:rPr>
        <w:t>función</w:t>
      </w:r>
      <w:r>
        <w:rPr>
          <w:color w:val="231F20"/>
          <w:spacing w:val="-15"/>
          <w:sz w:val="19"/>
        </w:rPr>
        <w:t> </w:t>
      </w:r>
      <w:r>
        <w:rPr>
          <w:color w:val="231F20"/>
          <w:sz w:val="19"/>
        </w:rPr>
        <w:t>fundamental</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4"/>
          <w:sz w:val="19"/>
        </w:rPr>
        <w:t> </w:t>
      </w:r>
      <w:r>
        <w:rPr>
          <w:color w:val="231F20"/>
          <w:sz w:val="19"/>
        </w:rPr>
        <w:t>financiación</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4"/>
          <w:sz w:val="19"/>
        </w:rPr>
        <w:t> </w:t>
      </w:r>
      <w:r>
        <w:rPr>
          <w:color w:val="231F20"/>
          <w:sz w:val="19"/>
        </w:rPr>
        <w:t>alimentación, la</w:t>
      </w:r>
      <w:r>
        <w:rPr>
          <w:color w:val="231F20"/>
          <w:spacing w:val="-15"/>
          <w:sz w:val="19"/>
        </w:rPr>
        <w:t> </w:t>
      </w:r>
      <w:r>
        <w:rPr>
          <w:color w:val="231F20"/>
          <w:sz w:val="19"/>
        </w:rPr>
        <w:t>agricultura</w:t>
      </w:r>
      <w:r>
        <w:rPr>
          <w:color w:val="231F20"/>
          <w:spacing w:val="-15"/>
          <w:sz w:val="19"/>
        </w:rPr>
        <w:t> </w:t>
      </w:r>
      <w:r>
        <w:rPr>
          <w:color w:val="231F20"/>
          <w:sz w:val="19"/>
        </w:rPr>
        <w:t>y</w:t>
      </w:r>
      <w:r>
        <w:rPr>
          <w:color w:val="231F20"/>
          <w:spacing w:val="-15"/>
          <w:sz w:val="19"/>
        </w:rPr>
        <w:t> </w:t>
      </w:r>
      <w:r>
        <w:rPr>
          <w:color w:val="231F20"/>
          <w:sz w:val="19"/>
        </w:rPr>
        <w:t>el</w:t>
      </w:r>
      <w:r>
        <w:rPr>
          <w:color w:val="231F20"/>
          <w:spacing w:val="-15"/>
          <w:sz w:val="19"/>
        </w:rPr>
        <w:t> </w:t>
      </w:r>
      <w:r>
        <w:rPr>
          <w:color w:val="231F20"/>
          <w:sz w:val="19"/>
        </w:rPr>
        <w:t>desarrollo</w:t>
      </w:r>
      <w:r>
        <w:rPr>
          <w:color w:val="231F20"/>
          <w:spacing w:val="-15"/>
          <w:sz w:val="19"/>
        </w:rPr>
        <w:t> </w:t>
      </w:r>
      <w:r>
        <w:rPr>
          <w:color w:val="231F20"/>
          <w:sz w:val="19"/>
        </w:rPr>
        <w:t>rural.</w:t>
      </w:r>
      <w:r>
        <w:rPr>
          <w:color w:val="231F20"/>
          <w:spacing w:val="-15"/>
          <w:sz w:val="19"/>
        </w:rPr>
        <w:t> </w:t>
      </w:r>
      <w:r>
        <w:rPr>
          <w:color w:val="231F20"/>
          <w:sz w:val="19"/>
        </w:rPr>
        <w:t>Disponible</w:t>
      </w:r>
      <w:r>
        <w:rPr>
          <w:color w:val="231F20"/>
          <w:spacing w:val="-15"/>
          <w:sz w:val="19"/>
        </w:rPr>
        <w:t> </w:t>
      </w:r>
      <w:r>
        <w:rPr>
          <w:color w:val="231F20"/>
          <w:sz w:val="19"/>
        </w:rPr>
        <w:t>en:</w:t>
      </w:r>
      <w:r>
        <w:rPr>
          <w:color w:val="231F20"/>
          <w:spacing w:val="-15"/>
          <w:sz w:val="19"/>
        </w:rPr>
        <w:t> </w:t>
      </w:r>
      <w:hyperlink r:id="rId26">
        <w:r>
          <w:rPr>
            <w:color w:val="231F20"/>
            <w:sz w:val="19"/>
          </w:rPr>
          <w:t>http://www.fao.org/docrep/003/Y6265S/Y6265S00.HTM</w:t>
        </w:r>
      </w:hyperlink>
    </w:p>
    <w:p>
      <w:pPr>
        <w:pStyle w:val="BodyText"/>
        <w:spacing w:before="10"/>
        <w:rPr>
          <w:sz w:val="19"/>
        </w:rPr>
      </w:pPr>
    </w:p>
    <w:p>
      <w:pPr>
        <w:spacing w:line="249" w:lineRule="auto" w:before="0"/>
        <w:ind w:left="1270" w:right="1268" w:firstLine="0"/>
        <w:jc w:val="both"/>
        <w:rPr>
          <w:sz w:val="19"/>
        </w:rPr>
      </w:pPr>
      <w:r>
        <w:rPr>
          <w:color w:val="231F20"/>
          <w:sz w:val="19"/>
        </w:rPr>
        <w:t>Idealista. 2012. Baja el número de pobres en el mundo. Lunes, 5 marzo. Disponible en: http://www.idealista. com/news/archivo/2012/03/05/0411995-baja-el-numero-de-pobres-en-el-mundo</w:t>
      </w:r>
    </w:p>
    <w:p>
      <w:pPr>
        <w:pStyle w:val="BodyText"/>
        <w:spacing w:before="10"/>
        <w:rPr>
          <w:sz w:val="19"/>
        </w:rPr>
      </w:pPr>
    </w:p>
    <w:p>
      <w:pPr>
        <w:spacing w:line="249" w:lineRule="auto" w:before="0"/>
        <w:ind w:left="1270" w:right="1268" w:firstLine="0"/>
        <w:jc w:val="both"/>
        <w:rPr>
          <w:sz w:val="19"/>
        </w:rPr>
      </w:pPr>
      <w:r>
        <w:rPr>
          <w:color w:val="231F20"/>
          <w:sz w:val="19"/>
        </w:rPr>
        <w:t>Secretaría</w:t>
      </w:r>
      <w:r>
        <w:rPr>
          <w:color w:val="231F20"/>
          <w:spacing w:val="-4"/>
          <w:sz w:val="19"/>
        </w:rPr>
        <w:t> </w:t>
      </w:r>
      <w:r>
        <w:rPr>
          <w:color w:val="231F20"/>
          <w:sz w:val="19"/>
        </w:rPr>
        <w:t>de</w:t>
      </w:r>
      <w:r>
        <w:rPr>
          <w:color w:val="231F20"/>
          <w:spacing w:val="-4"/>
          <w:sz w:val="19"/>
        </w:rPr>
        <w:t> </w:t>
      </w:r>
      <w:r>
        <w:rPr>
          <w:color w:val="231F20"/>
          <w:sz w:val="19"/>
        </w:rPr>
        <w:t>Finanzas.</w:t>
      </w:r>
      <w:r>
        <w:rPr>
          <w:color w:val="231F20"/>
          <w:spacing w:val="-4"/>
          <w:sz w:val="19"/>
        </w:rPr>
        <w:t> </w:t>
      </w:r>
      <w:r>
        <w:rPr>
          <w:color w:val="231F20"/>
          <w:sz w:val="19"/>
        </w:rPr>
        <w:t>Instituto</w:t>
      </w:r>
      <w:r>
        <w:rPr>
          <w:color w:val="231F20"/>
          <w:spacing w:val="-4"/>
          <w:sz w:val="19"/>
        </w:rPr>
        <w:t> </w:t>
      </w:r>
      <w:r>
        <w:rPr>
          <w:color w:val="231F20"/>
          <w:sz w:val="19"/>
        </w:rPr>
        <w:t>de</w:t>
      </w:r>
      <w:r>
        <w:rPr>
          <w:color w:val="231F20"/>
          <w:spacing w:val="-4"/>
          <w:sz w:val="19"/>
        </w:rPr>
        <w:t> </w:t>
      </w:r>
      <w:r>
        <w:rPr>
          <w:color w:val="231F20"/>
          <w:sz w:val="19"/>
        </w:rPr>
        <w:t>Información</w:t>
      </w:r>
      <w:r>
        <w:rPr>
          <w:color w:val="231F20"/>
          <w:spacing w:val="-4"/>
          <w:sz w:val="19"/>
        </w:rPr>
        <w:t> </w:t>
      </w:r>
      <w:r>
        <w:rPr>
          <w:color w:val="231F20"/>
          <w:sz w:val="19"/>
        </w:rPr>
        <w:t>e</w:t>
      </w:r>
      <w:r>
        <w:rPr>
          <w:color w:val="231F20"/>
          <w:spacing w:val="-4"/>
          <w:sz w:val="19"/>
        </w:rPr>
        <w:t> </w:t>
      </w:r>
      <w:r>
        <w:rPr>
          <w:color w:val="231F20"/>
          <w:sz w:val="19"/>
        </w:rPr>
        <w:t>Investigación,</w:t>
      </w:r>
      <w:r>
        <w:rPr>
          <w:color w:val="231F20"/>
          <w:spacing w:val="-4"/>
          <w:sz w:val="19"/>
        </w:rPr>
        <w:t> </w:t>
      </w:r>
      <w:r>
        <w:rPr>
          <w:color w:val="231F20"/>
          <w:sz w:val="19"/>
        </w:rPr>
        <w:t>Geográfica,</w:t>
      </w:r>
      <w:r>
        <w:rPr>
          <w:color w:val="231F20"/>
          <w:spacing w:val="-4"/>
          <w:sz w:val="19"/>
        </w:rPr>
        <w:t> </w:t>
      </w:r>
      <w:r>
        <w:rPr>
          <w:color w:val="231F20"/>
          <w:sz w:val="19"/>
        </w:rPr>
        <w:t>Estadística</w:t>
      </w:r>
      <w:r>
        <w:rPr>
          <w:color w:val="231F20"/>
          <w:spacing w:val="-4"/>
          <w:sz w:val="19"/>
        </w:rPr>
        <w:t> </w:t>
      </w:r>
      <w:r>
        <w:rPr>
          <w:color w:val="231F20"/>
          <w:sz w:val="19"/>
        </w:rPr>
        <w:t>y</w:t>
      </w:r>
      <w:r>
        <w:rPr>
          <w:color w:val="231F20"/>
          <w:spacing w:val="-4"/>
          <w:sz w:val="19"/>
        </w:rPr>
        <w:t> </w:t>
      </w:r>
      <w:r>
        <w:rPr>
          <w:color w:val="231F20"/>
          <w:sz w:val="19"/>
        </w:rPr>
        <w:t>Catastral</w:t>
      </w:r>
      <w:r>
        <w:rPr>
          <w:color w:val="231F20"/>
          <w:spacing w:val="-4"/>
          <w:sz w:val="19"/>
        </w:rPr>
        <w:t> </w:t>
      </w:r>
      <w:r>
        <w:rPr>
          <w:color w:val="231F20"/>
          <w:sz w:val="19"/>
        </w:rPr>
        <w:t>del</w:t>
      </w:r>
      <w:r>
        <w:rPr>
          <w:color w:val="231F20"/>
          <w:spacing w:val="-4"/>
          <w:sz w:val="19"/>
        </w:rPr>
        <w:t> </w:t>
      </w:r>
      <w:r>
        <w:rPr>
          <w:color w:val="231F20"/>
          <w:sz w:val="19"/>
        </w:rPr>
        <w:t>Estado de México (IGECEM). 2008. Niveles de Pobreza en el Estado de México 2000 y 2005. (Método de Necesida- des Básicas Insatisfechas). Gobierno del Estado de México. (IGECEM).</w:t>
      </w:r>
      <w:r>
        <w:rPr>
          <w:color w:val="231F20"/>
          <w:spacing w:val="-22"/>
          <w:sz w:val="19"/>
        </w:rPr>
        <w:t> </w:t>
      </w:r>
      <w:r>
        <w:rPr>
          <w:color w:val="231F20"/>
          <w:sz w:val="19"/>
        </w:rPr>
        <w:t>Febrero.</w:t>
      </w:r>
    </w:p>
    <w:p>
      <w:pPr>
        <w:pStyle w:val="BodyText"/>
        <w:spacing w:before="10"/>
        <w:rPr>
          <w:sz w:val="19"/>
        </w:rPr>
      </w:pPr>
    </w:p>
    <w:p>
      <w:pPr>
        <w:spacing w:before="0"/>
        <w:ind w:left="1270" w:right="0" w:firstLine="0"/>
        <w:jc w:val="both"/>
        <w:rPr>
          <w:sz w:val="19"/>
        </w:rPr>
      </w:pPr>
      <w:r>
        <w:rPr>
          <w:color w:val="231F20"/>
          <w:sz w:val="19"/>
        </w:rPr>
        <w:t>La Jornada. 2012. El CONEVAL presenta el Informe de evaluación de la política social. Jueves 9 de febrero de</w:t>
      </w:r>
    </w:p>
    <w:p>
      <w:pPr>
        <w:spacing w:line="249" w:lineRule="auto" w:before="9"/>
        <w:ind w:left="1270" w:right="3735" w:firstLine="0"/>
        <w:jc w:val="left"/>
        <w:rPr>
          <w:sz w:val="19"/>
        </w:rPr>
      </w:pPr>
      <w:r>
        <w:rPr>
          <w:color w:val="231F20"/>
          <w:sz w:val="19"/>
        </w:rPr>
        <w:t>2012, p. 16. Disponible en: </w:t>
      </w:r>
      <w:hyperlink r:id="rId27">
        <w:r>
          <w:rPr>
            <w:color w:val="231F20"/>
            <w:sz w:val="19"/>
          </w:rPr>
          <w:t>http://www.jornada.unam.mx/2012/02/09/politica/016n2pol</w:t>
        </w:r>
      </w:hyperlink>
    </w:p>
    <w:p>
      <w:pPr>
        <w:pStyle w:val="BodyText"/>
        <w:spacing w:before="7"/>
      </w:pPr>
    </w:p>
    <w:p>
      <w:pPr>
        <w:spacing w:before="72"/>
        <w:ind w:left="4027" w:right="4005" w:firstLine="0"/>
        <w:jc w:val="center"/>
        <w:rPr>
          <w:rFonts w:ascii="Trebuchet MS"/>
          <w:b/>
          <w:i/>
          <w:sz w:val="22"/>
        </w:rPr>
      </w:pPr>
      <w:r>
        <w:rPr>
          <w:rFonts w:ascii="Trebuchet MS"/>
          <w:b/>
          <w:i/>
          <w:color w:val="231F20"/>
          <w:sz w:val="22"/>
        </w:rPr>
        <w:t>48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line="249" w:lineRule="auto" w:before="76"/>
        <w:ind w:left="1270" w:right="1265" w:firstLine="0"/>
        <w:jc w:val="both"/>
        <w:rPr>
          <w:sz w:val="19"/>
        </w:rPr>
      </w:pPr>
      <w:r>
        <w:rPr>
          <w:color w:val="231F20"/>
          <w:sz w:val="19"/>
        </w:rPr>
        <w:t>Parsons, A. W. 2012. Banco Mundial: ¿Una disminución de la pobreza en el mundo? 17 de marzo. Disponible en: </w:t>
      </w:r>
      <w:hyperlink r:id="rId28">
        <w:r>
          <w:rPr>
            <w:color w:val="231F20"/>
            <w:sz w:val="19"/>
          </w:rPr>
          <w:t>http://noticiasdeabajo.wordpress.com/2012/03/17/banco-mundial-una-disminucion-de-la-pobreza-en-el-</w:t>
        </w:r>
      </w:hyperlink>
      <w:r>
        <w:rPr>
          <w:color w:val="231F20"/>
          <w:sz w:val="19"/>
        </w:rPr>
        <w:t> mundo/</w:t>
      </w:r>
    </w:p>
    <w:p>
      <w:pPr>
        <w:pStyle w:val="BodyText"/>
        <w:spacing w:before="10"/>
        <w:rPr>
          <w:sz w:val="19"/>
        </w:rPr>
      </w:pPr>
    </w:p>
    <w:p>
      <w:pPr>
        <w:spacing w:before="0"/>
        <w:ind w:left="1270" w:right="0" w:firstLine="0"/>
        <w:jc w:val="both"/>
        <w:rPr>
          <w:sz w:val="19"/>
        </w:rPr>
      </w:pPr>
      <w:r>
        <w:rPr>
          <w:color w:val="231F20"/>
          <w:sz w:val="19"/>
        </w:rPr>
        <w:t>Sánchez, J, I. L. 2012. Necesidades Básicas Insatisfechas. Disponible en: </w:t>
      </w:r>
      <w:hyperlink r:id="rId29">
        <w:r>
          <w:rPr>
            <w:color w:val="231F20"/>
            <w:sz w:val="19"/>
          </w:rPr>
          <w:t>http://nssoaxaca.com/opinion/35-</w:t>
        </w:r>
      </w:hyperlink>
    </w:p>
    <w:p>
      <w:pPr>
        <w:spacing w:before="9"/>
        <w:ind w:left="1270" w:right="0" w:firstLine="0"/>
        <w:jc w:val="both"/>
        <w:rPr>
          <w:sz w:val="19"/>
        </w:rPr>
      </w:pPr>
      <w:r>
        <w:rPr>
          <w:color w:val="231F20"/>
          <w:sz w:val="19"/>
        </w:rPr>
        <w:t>colaboradores/357-necesidades-basicas-insatisfechas.26 de febrero.</w:t>
      </w:r>
    </w:p>
    <w:p>
      <w:pPr>
        <w:pStyle w:val="BodyText"/>
        <w:spacing w:before="7"/>
        <w:rPr>
          <w:sz w:val="20"/>
        </w:rPr>
      </w:pPr>
    </w:p>
    <w:p>
      <w:pPr>
        <w:spacing w:before="0"/>
        <w:ind w:left="1270" w:right="0" w:firstLine="0"/>
        <w:jc w:val="both"/>
        <w:rPr>
          <w:sz w:val="19"/>
        </w:rPr>
      </w:pPr>
      <w:r>
        <w:rPr>
          <w:color w:val="231F20"/>
          <w:sz w:val="19"/>
        </w:rPr>
        <w:t>Torche, F. 2005. Unequal but fluid: Social mobility in Chile in comparative perspective. American Sociological</w:t>
      </w:r>
    </w:p>
    <w:p>
      <w:pPr>
        <w:spacing w:before="31"/>
        <w:ind w:left="1270" w:right="0" w:firstLine="0"/>
        <w:jc w:val="both"/>
        <w:rPr>
          <w:sz w:val="19"/>
        </w:rPr>
      </w:pPr>
      <w:r>
        <w:rPr>
          <w:color w:val="231F20"/>
          <w:sz w:val="19"/>
        </w:rPr>
        <w:t>Review, Jun 2005, 70(3) 422-450.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drawing>
          <wp:anchor distT="0" distB="0" distL="0" distR="0" allowOverlap="1" layoutInCell="1" locked="0" behindDoc="0" simplePos="0" relativeHeight="2104">
            <wp:simplePos x="0" y="0"/>
            <wp:positionH relativeFrom="page">
              <wp:posOffset>17462</wp:posOffset>
            </wp:positionH>
            <wp:positionV relativeFrom="paragraph">
              <wp:posOffset>233974</wp:posOffset>
            </wp:positionV>
            <wp:extent cx="155448" cy="155448"/>
            <wp:effectExtent l="0" t="0" r="0" b="0"/>
            <wp:wrapTopAndBottom/>
            <wp:docPr id="103" name="image2.png" descr=""/>
            <wp:cNvGraphicFramePr>
              <a:graphicFrameLocks noChangeAspect="1"/>
            </wp:cNvGraphicFramePr>
            <a:graphic>
              <a:graphicData uri="http://schemas.openxmlformats.org/drawingml/2006/picture">
                <pic:pic>
                  <pic:nvPicPr>
                    <pic:cNvPr id="10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6761162</wp:posOffset>
            </wp:positionH>
            <wp:positionV relativeFrom="paragraph">
              <wp:posOffset>233974</wp:posOffset>
            </wp:positionV>
            <wp:extent cx="155448" cy="155448"/>
            <wp:effectExtent l="0" t="0" r="0" b="0"/>
            <wp:wrapTopAndBottom/>
            <wp:docPr id="105" name="image2.png" descr=""/>
            <wp:cNvGraphicFramePr>
              <a:graphicFrameLocks noChangeAspect="1"/>
            </wp:cNvGraphicFramePr>
            <a:graphic>
              <a:graphicData uri="http://schemas.openxmlformats.org/drawingml/2006/picture">
                <pic:pic>
                  <pic:nvPicPr>
                    <pic:cNvPr id="10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72"/>
        <w:ind w:left="4027" w:right="4005" w:firstLine="0"/>
        <w:jc w:val="center"/>
        <w:rPr>
          <w:rFonts w:ascii="Trebuchet MS"/>
          <w:b/>
          <w:i/>
          <w:sz w:val="22"/>
        </w:rPr>
      </w:pPr>
      <w:r>
        <w:rPr>
          <w:rFonts w:ascii="Trebuchet MS"/>
          <w:b/>
          <w:i/>
          <w:color w:val="231F20"/>
          <w:sz w:val="22"/>
        </w:rPr>
        <w:t>49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96" w:right="3696"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1353" w:right="1353"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2272">
            <wp:simplePos x="0" y="0"/>
            <wp:positionH relativeFrom="page">
              <wp:posOffset>17462</wp:posOffset>
            </wp:positionH>
            <wp:positionV relativeFrom="paragraph">
              <wp:posOffset>278387</wp:posOffset>
            </wp:positionV>
            <wp:extent cx="155575" cy="155575"/>
            <wp:effectExtent l="0" t="0" r="0" b="0"/>
            <wp:wrapNone/>
            <wp:docPr id="109" name="image2.png" descr=""/>
            <wp:cNvGraphicFramePr>
              <a:graphicFrameLocks noChangeAspect="1"/>
            </wp:cNvGraphicFramePr>
            <a:graphic>
              <a:graphicData uri="http://schemas.openxmlformats.org/drawingml/2006/picture">
                <pic:pic>
                  <pic:nvPicPr>
                    <pic:cNvPr id="11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6761162</wp:posOffset>
            </wp:positionH>
            <wp:positionV relativeFrom="paragraph">
              <wp:posOffset>278387</wp:posOffset>
            </wp:positionV>
            <wp:extent cx="155575" cy="155575"/>
            <wp:effectExtent l="0" t="0" r="0" b="0"/>
            <wp:wrapNone/>
            <wp:docPr id="111" name="image2.png" descr=""/>
            <wp:cNvGraphicFramePr>
              <a:graphicFrameLocks noChangeAspect="1"/>
            </wp:cNvGraphicFramePr>
            <a:graphic>
              <a:graphicData uri="http://schemas.openxmlformats.org/drawingml/2006/picture">
                <pic:pic>
                  <pic:nvPicPr>
                    <pic:cNvPr id="11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96" w:right="3696" w:firstLine="0"/>
        <w:jc w:val="center"/>
        <w:rPr>
          <w:rFonts w:ascii="Trebuchet MS"/>
          <w:sz w:val="18"/>
        </w:rPr>
      </w:pPr>
      <w:r>
        <w:rPr>
          <w:rFonts w:ascii="Trebuchet MS"/>
          <w:color w:val="231F20"/>
          <w:sz w:val="18"/>
        </w:rPr>
        <w:t>E-mail: </w:t>
      </w:r>
      <w:hyperlink r:id="rId32">
        <w:r>
          <w:rPr>
            <w:rFonts w:ascii="Trebuchet MS"/>
            <w:color w:val="231F20"/>
            <w:sz w:val="18"/>
          </w:rPr>
          <w:t>studiolitografico@yahoo.com.mx</w:t>
        </w:r>
      </w:hyperlink>
    </w:p>
    <w:p>
      <w:pPr>
        <w:spacing w:before="7"/>
        <w:ind w:left="4027" w:right="4026" w:firstLine="0"/>
        <w:jc w:val="center"/>
        <w:rPr>
          <w:rFonts w:ascii="Trebuchet MS"/>
          <w:sz w:val="18"/>
        </w:rPr>
      </w:pPr>
      <w:hyperlink r:id="rId33">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2152;mso-wrap-distance-left:0;mso-wrap-distance-right:0" filled="true" fillcolor="#ffffff" stroked="false">
            <v:fill type="solid"/>
            <w10:wrap type="topAndBottom"/>
          </v:rect>
        </w:pict>
      </w:r>
    </w:p>
    <w:p>
      <w:pPr>
        <w:pStyle w:val="BodyText"/>
        <w:rPr>
          <w:rFonts w:ascii="Trebuchet MS"/>
          <w:sz w:val="20"/>
        </w:rPr>
      </w:pPr>
    </w:p>
    <w:p>
      <w:pPr>
        <w:pStyle w:val="BodyText"/>
        <w:rPr>
          <w:rFonts w:ascii="Trebuchet MS"/>
          <w:sz w:val="20"/>
        </w:rPr>
      </w:pPr>
    </w:p>
    <w:p>
      <w:pPr>
        <w:pStyle w:val="BodyText"/>
        <w:rPr>
          <w:rFonts w:ascii="Trebuchet MS"/>
          <w:sz w:val="12"/>
        </w:rPr>
      </w:pPr>
    </w:p>
    <w:p>
      <w:pPr>
        <w:tabs>
          <w:tab w:pos="8939" w:val="left" w:leader="none"/>
        </w:tabs>
        <w:spacing w:before="69"/>
        <w:ind w:left="620" w:right="0" w:firstLine="0"/>
        <w:jc w:val="left"/>
        <w:rPr>
          <w:rFonts w:ascii="Palatino Linotype"/>
          <w:sz w:val="12"/>
        </w:rPr>
      </w:pPr>
      <w:r>
        <w:rPr/>
        <w:pict>
          <v:shape style="position:absolute;margin-left:259.960999pt;margin-top:-51.032173pt;width:32.6pt;height:19.4pt;mso-position-horizontal-relative:page;mso-position-vertical-relative:paragraph;z-index:-25720"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r>
        <w:rPr/>
        <w:pict>
          <v:group style="position:absolute;margin-left:-.125pt;margin-top:-5.376172pt;width:21.25pt;height:21.25pt;mso-position-horizontal-relative:page;mso-position-vertical-relative:paragraph;z-index:-25696" coordorigin="-3,-108" coordsize="425,425">
            <v:line style="position:absolute" from="300,-105" to="0,-105" stroked="true" strokeweight=".25pt" strokecolor="#000000"/>
            <v:line style="position:absolute" from="360,-105" to="0,-105" stroked="true" strokeweight=".25pt" strokecolor="#000000"/>
            <v:line style="position:absolute" from="420,15" to="420,315" stroked="true" strokeweight=".25pt" strokecolor="#000000"/>
            <v:line style="position:absolute" from="420,-45" to="420,315" stroked="true" strokeweight=".25pt" strokecolor="#000000"/>
            <w10:wrap type="none"/>
          </v:group>
        </w:pict>
      </w:r>
      <w:r>
        <w:rPr/>
        <w:pict>
          <v:group style="position:absolute;margin-left:524.875pt;margin-top:-5.376172pt;width:21.25pt;height:21.25pt;mso-position-horizontal-relative:page;mso-position-vertical-relative:paragraph;z-index:2224" coordorigin="10498,-108" coordsize="425,425">
            <v:line style="position:absolute" from="10620,-105" to="10920,-105" stroked="true" strokeweight=".25pt" strokecolor="#000000"/>
            <v:line style="position:absolute" from="10560,-105" to="10920,-105" stroked="true" strokeweight=".25pt" strokecolor="#000000"/>
            <v:line style="position:absolute" from="10500,15" to="10500,315" stroked="true" strokeweight=".25pt" strokecolor="#000000"/>
            <v:line style="position:absolute" from="10500,-45" to="10500,315" stroked="true" strokeweight=".25pt" strokecolor="#000000"/>
            <w10:wrap type="none"/>
          </v:group>
        </w:pict>
      </w:r>
      <w:r>
        <w:rPr/>
        <w:drawing>
          <wp:anchor distT="0" distB="0" distL="0" distR="0" allowOverlap="1" layoutInCell="1" locked="0" behindDoc="1" simplePos="0" relativeHeight="268409807">
            <wp:simplePos x="0" y="0"/>
            <wp:positionH relativeFrom="page">
              <wp:posOffset>3389312</wp:posOffset>
            </wp:positionH>
            <wp:positionV relativeFrom="paragraph">
              <wp:posOffset>26972</wp:posOffset>
            </wp:positionV>
            <wp:extent cx="155575" cy="155575"/>
            <wp:effectExtent l="0" t="0" r="0" b="0"/>
            <wp:wrapNone/>
            <wp:docPr id="113" name="image2.png" descr=""/>
            <wp:cNvGraphicFramePr>
              <a:graphicFrameLocks noChangeAspect="1"/>
            </wp:cNvGraphicFramePr>
            <a:graphic>
              <a:graphicData uri="http://schemas.openxmlformats.org/drawingml/2006/picture">
                <pic:pic>
                  <pic:nvPicPr>
                    <pic:cNvPr id="11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Palatino Linotype"/>
          <w:sz w:val="12"/>
        </w:rPr>
        <w:t>C.</w:t>
      </w:r>
      <w:r>
        <w:rPr>
          <w:rFonts w:ascii="Palatino Linotype"/>
          <w:spacing w:val="-17"/>
          <w:sz w:val="12"/>
        </w:rPr>
        <w:t> </w:t>
      </w:r>
      <w:r>
        <w:rPr>
          <w:rFonts w:ascii="Palatino Linotype"/>
          <w:sz w:val="12"/>
        </w:rPr>
        <w:t>SOCIALES</w:t>
      </w:r>
      <w:r>
        <w:rPr>
          <w:rFonts w:ascii="Palatino Linotype"/>
          <w:spacing w:val="-17"/>
          <w:sz w:val="12"/>
        </w:rPr>
        <w:t> </w:t>
      </w:r>
      <w:r>
        <w:rPr>
          <w:rFonts w:ascii="Palatino Linotype"/>
          <w:sz w:val="12"/>
        </w:rPr>
        <w:t>-Economia</w:t>
      </w:r>
      <w:r>
        <w:rPr>
          <w:rFonts w:ascii="Palatino Linotype"/>
          <w:spacing w:val="-17"/>
          <w:sz w:val="12"/>
        </w:rPr>
        <w:t> </w:t>
      </w:r>
      <w:r>
        <w:rPr>
          <w:rFonts w:ascii="Palatino Linotype"/>
          <w:sz w:val="12"/>
        </w:rPr>
        <w:t>II.indd</w:t>
      </w:r>
      <w:r>
        <w:rPr>
          <w:rFonts w:ascii="Palatino Linotype"/>
          <w:spacing w:val="9"/>
          <w:sz w:val="12"/>
        </w:rPr>
        <w:t> </w:t>
      </w:r>
      <w:r>
        <w:rPr>
          <w:rFonts w:ascii="Palatino Linotype"/>
          <w:sz w:val="12"/>
        </w:rPr>
        <w:t>460</w:t>
        <w:tab/>
        <w:t>05/10/2014 01:21:56</w:t>
      </w:r>
      <w:r>
        <w:rPr>
          <w:rFonts w:ascii="Palatino Linotype"/>
          <w:spacing w:val="-11"/>
          <w:sz w:val="12"/>
        </w:rPr>
        <w:t> </w:t>
      </w:r>
      <w:r>
        <w:rPr>
          <w:rFonts w:ascii="Palatino Linotype"/>
          <w:sz w:val="12"/>
        </w:rPr>
        <w:t>p.m.</w:t>
      </w:r>
    </w:p>
    <w:p>
      <w:pPr>
        <w:spacing w:after="0"/>
        <w:jc w:val="left"/>
        <w:rPr>
          <w:rFonts w:ascii="Palatino Linotype"/>
          <w:sz w:val="12"/>
        </w:rPr>
        <w:sectPr>
          <w:headerReference w:type="default" r:id="rId30"/>
          <w:footerReference w:type="default" r:id="rId31"/>
          <w:pgSz w:w="10920" w:h="13080"/>
          <w:pgMar w:header="0" w:footer="0" w:top="420" w:bottom="0" w:left="0" w:right="0"/>
        </w:sectPr>
      </w:pPr>
    </w:p>
    <w:p>
      <w:pPr>
        <w:pStyle w:val="BodyText"/>
        <w:ind w:right="-40"/>
        <w:rPr>
          <w:rFonts w:ascii="Palatino Linotype"/>
          <w:sz w:val="20"/>
        </w:rPr>
      </w:pPr>
      <w:r>
        <w:rPr>
          <w:rFonts w:ascii="Palatino Linotype"/>
          <w:sz w:val="20"/>
        </w:rPr>
        <w:drawing>
          <wp:inline distT="0" distB="0" distL="0" distR="0">
            <wp:extent cx="7772400" cy="10058400"/>
            <wp:effectExtent l="0" t="0" r="0" b="0"/>
            <wp:docPr id="115" name="image6.jpeg" descr=""/>
            <wp:cNvGraphicFramePr>
              <a:graphicFrameLocks noChangeAspect="1"/>
            </wp:cNvGraphicFramePr>
            <a:graphic>
              <a:graphicData uri="http://schemas.openxmlformats.org/drawingml/2006/picture">
                <pic:pic>
                  <pic:nvPicPr>
                    <pic:cNvPr id="116" name="image6.jpeg"/>
                    <pic:cNvPicPr/>
                  </pic:nvPicPr>
                  <pic:blipFill>
                    <a:blip r:embed="rId36" cstate="print"/>
                    <a:stretch>
                      <a:fillRect/>
                    </a:stretch>
                  </pic:blipFill>
                  <pic:spPr>
                    <a:xfrm>
                      <a:off x="0" y="0"/>
                      <a:ext cx="7772400" cy="10058400"/>
                    </a:xfrm>
                    <a:prstGeom prst="rect">
                      <a:avLst/>
                    </a:prstGeom>
                  </pic:spPr>
                </pic:pic>
              </a:graphicData>
            </a:graphic>
          </wp:inline>
        </w:drawing>
      </w:r>
      <w:r>
        <w:rPr>
          <w:rFonts w:ascii="Palatino Linotype"/>
          <w:sz w:val="20"/>
        </w:rPr>
      </w:r>
    </w:p>
    <w:sectPr>
      <w:headerReference w:type="default" r:id="rId34"/>
      <w:footerReference w:type="default" r:id="rId35"/>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70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68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799">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63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60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26584"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2656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2653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51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48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991">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44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41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6392" filled="true" fillcolor="#ffffff" stroked="false">
          <v:fill type="solid"/>
          <w10:wrap type="none"/>
        </v:rect>
      </w:pict>
    </w:r>
    <w:r>
      <w:rPr/>
      <w:pict>
        <v:shape style="position:absolute;margin-left:30pt;margin-top:642.601196pt;width:77.4pt;height:8pt;mso-position-horizontal-relative:page;mso-position-vertical-relative:page;z-index:-2636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2634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32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29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183">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24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22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2620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617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15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12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351">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08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05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26032"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2600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98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96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519">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91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88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86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38</w:t>
                </w:r>
                <w:r>
                  <w:rPr/>
                  <w:fldChar w:fldCharType="end"/>
                </w:r>
              </w:p>
            </w:txbxContent>
          </v:textbox>
          <w10:wrap type="none"/>
        </v:shape>
      </w:pict>
    </w:r>
    <w:r>
      <w:rPr/>
      <w:pict>
        <v:shape style="position:absolute;margin-left:446pt;margin-top:642.601196pt;width:65.3pt;height:8pt;mso-position-horizontal-relative:page;mso-position-vertical-relative:page;z-index:-2584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06:32:54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81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79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687">
          <wp:simplePos x="0" y="0"/>
          <wp:positionH relativeFrom="page">
            <wp:posOffset>3389312</wp:posOffset>
          </wp:positionH>
          <wp:positionV relativeFrom="page">
            <wp:posOffset>8132762</wp:posOffset>
          </wp:positionV>
          <wp:extent cx="155575" cy="155575"/>
          <wp:effectExtent l="0" t="0" r="0" b="0"/>
          <wp:wrapNone/>
          <wp:docPr id="57" name="image2.png" descr=""/>
          <wp:cNvGraphicFramePr>
            <a:graphicFrameLocks noChangeAspect="1"/>
          </wp:cNvGraphicFramePr>
          <a:graphic>
            <a:graphicData uri="http://schemas.openxmlformats.org/drawingml/2006/picture">
              <pic:pic>
                <pic:nvPicPr>
                  <pic:cNvPr id="5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74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72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8.2pt;height:8pt;mso-position-horizontal-relative:page;mso-position-vertical-relative:page;z-index:-2569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40</w:t>
                </w:r>
              </w:p>
            </w:txbxContent>
          </v:textbox>
          <w10:wrap type="none"/>
        </v:shape>
      </w:pict>
    </w:r>
    <w:r>
      <w:rPr/>
      <w:pict>
        <v:shape style="position:absolute;margin-left:446pt;margin-top:642.601196pt;width:65.3pt;height:8pt;mso-position-horizontal-relative:page;mso-position-vertical-relative:page;z-index:-2567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06:32:55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64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62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9855">
          <wp:simplePos x="0" y="0"/>
          <wp:positionH relativeFrom="page">
            <wp:posOffset>3389312</wp:posOffset>
          </wp:positionH>
          <wp:positionV relativeFrom="page">
            <wp:posOffset>8132762</wp:posOffset>
          </wp:positionV>
          <wp:extent cx="155575" cy="155575"/>
          <wp:effectExtent l="0" t="0" r="0" b="0"/>
          <wp:wrapNone/>
          <wp:docPr id="63" name="image2.png" descr=""/>
          <wp:cNvGraphicFramePr>
            <a:graphicFrameLocks noChangeAspect="1"/>
          </wp:cNvGraphicFramePr>
          <a:graphic>
            <a:graphicData uri="http://schemas.openxmlformats.org/drawingml/2006/picture">
              <pic:pic>
                <pic:nvPicPr>
                  <pic:cNvPr id="6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57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55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528"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41</w:t>
                </w:r>
                <w:r>
                  <w:rPr/>
                  <w:fldChar w:fldCharType="end"/>
                </w:r>
              </w:p>
            </w:txbxContent>
          </v:textbox>
          <w10:wrap type="none"/>
        </v:shape>
      </w:pict>
    </w:r>
    <w:r>
      <w:rPr/>
      <w:pict>
        <v:shape style="position:absolute;margin-left:446pt;margin-top:642.601196pt;width:65.3pt;height:8pt;mso-position-horizontal-relative:page;mso-position-vertical-relative:page;z-index:-2550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06:32:55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548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545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10023">
          <wp:simplePos x="0" y="0"/>
          <wp:positionH relativeFrom="page">
            <wp:posOffset>3389312</wp:posOffset>
          </wp:positionH>
          <wp:positionV relativeFrom="page">
            <wp:posOffset>8132762</wp:posOffset>
          </wp:positionV>
          <wp:extent cx="155575" cy="155575"/>
          <wp:effectExtent l="0" t="0" r="0" b="0"/>
          <wp:wrapNone/>
          <wp:docPr id="85" name="image2.png" descr=""/>
          <wp:cNvGraphicFramePr>
            <a:graphicFrameLocks noChangeAspect="1"/>
          </wp:cNvGraphicFramePr>
          <a:graphic>
            <a:graphicData uri="http://schemas.openxmlformats.org/drawingml/2006/picture">
              <pic:pic>
                <pic:nvPicPr>
                  <pic:cNvPr id="8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540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538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89.2pt;height:8pt;mso-position-horizontal-relative:page;mso-position-vertical-relative:page;z-index:-2536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SOCIALES-Economia I.indd </w:t>
                </w:r>
                <w:r>
                  <w:rPr/>
                  <w:fldChar w:fldCharType="begin"/>
                </w:r>
                <w:r>
                  <w:rPr>
                    <w:rFonts w:ascii="Palatino Linotype"/>
                    <w:w w:val="95"/>
                    <w:sz w:val="12"/>
                  </w:rPr>
                  <w:instrText> PAGE </w:instrText>
                </w:r>
                <w:r>
                  <w:rPr/>
                  <w:fldChar w:fldCharType="separate"/>
                </w:r>
                <w:r>
                  <w:rPr/>
                  <w:t>45</w:t>
                </w:r>
                <w:r>
                  <w:rPr/>
                  <w:fldChar w:fldCharType="end"/>
                </w:r>
              </w:p>
            </w:txbxContent>
          </v:textbox>
          <w10:wrap type="none"/>
        </v:shape>
      </w:pict>
    </w:r>
    <w:r>
      <w:rPr/>
      <w:pict>
        <v:shape style="position:absolute;margin-left:446pt;margin-top:642.601196pt;width:65.3pt;height:8pt;mso-position-horizontal-relative:page;mso-position-vertical-relative:page;z-index:-2533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18/08/2014 06:32:56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6872"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6848"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6824"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6800"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8679">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6752"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6728"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5312"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5288"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5264"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5240"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10239">
          <wp:simplePos x="0" y="0"/>
          <wp:positionH relativeFrom="page">
            <wp:posOffset>3389312</wp:posOffset>
          </wp:positionH>
          <wp:positionV relativeFrom="page">
            <wp:posOffset>17462</wp:posOffset>
          </wp:positionV>
          <wp:extent cx="155575" cy="155575"/>
          <wp:effectExtent l="0" t="0" r="0" b="0"/>
          <wp:wrapNone/>
          <wp:docPr id="107" name="image2.png" descr=""/>
          <wp:cNvGraphicFramePr>
            <a:graphicFrameLocks noChangeAspect="1"/>
          </wp:cNvGraphicFramePr>
          <a:graphic>
            <a:graphicData uri="http://schemas.openxmlformats.org/drawingml/2006/picture">
              <pic:pic>
                <pic:nvPicPr>
                  <pic:cNvPr id="10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5192"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5168"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352" w:right="1353"/>
      <w:jc w:val="center"/>
      <w:outlineLvl w:val="1"/>
    </w:pPr>
    <w:rPr>
      <w:rFonts w:ascii="Trebuchet MS" w:hAnsi="Trebuchet MS" w:eastAsia="Trebuchet MS" w:cs="Trebuchet MS"/>
      <w:b/>
      <w:bCs/>
      <w:sz w:val="36"/>
      <w:szCs w:val="36"/>
    </w:rPr>
  </w:style>
  <w:style w:styleId="Heading2" w:type="paragraph">
    <w:name w:val="Heading 2"/>
    <w:basedOn w:val="Normal"/>
    <w:uiPriority w:val="1"/>
    <w:qFormat/>
    <w:pPr>
      <w:ind w:left="1270"/>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image" Target="media/image3.jpeg"/><Relationship Id="rId14" Type="http://schemas.openxmlformats.org/officeDocument/2006/relationships/hyperlink" Target="mailto:esfigue_3@yahoo.com" TargetMode="External"/><Relationship Id="rId15" Type="http://schemas.openxmlformats.org/officeDocument/2006/relationships/hyperlink" Target="mailto:mgleze@hotmail.com" TargetMode="Externa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image" Target="media/image4.png"/><Relationship Id="rId19" Type="http://schemas.openxmlformats.org/officeDocument/2006/relationships/image" Target="media/image5.jpeg"/><Relationship Id="rId20" Type="http://schemas.openxmlformats.org/officeDocument/2006/relationships/footer" Target="footer8.xml"/><Relationship Id="rId21" Type="http://schemas.openxmlformats.org/officeDocument/2006/relationships/hyperlink" Target="http://www.eclac.org/celade/noticias/paginas/5/27255/" TargetMode="External"/><Relationship Id="rId22" Type="http://schemas.openxmlformats.org/officeDocument/2006/relationships/hyperlink" Target="http://www.cnnexpansion.com/economia/2011/07/29/pobreza-mexico-2010" TargetMode="External"/><Relationship Id="rId23" Type="http://schemas.openxmlformats.org/officeDocument/2006/relationships/hyperlink" Target="http://por-/" TargetMode="External"/><Relationship Id="rId24" Type="http://schemas.openxmlformats.org/officeDocument/2006/relationships/hyperlink" Target="http://www.elsiglodetorreon.com.mx/noticia/707205.estado-de-mexico-con-mayor-alza-en-pobreza.html" TargetMode="External"/><Relationship Id="rId25" Type="http://schemas.openxmlformats.org/officeDocument/2006/relationships/hyperlink" Target="http://www.fao.org/docrep/003/Y6265S/y6265s03.htm" TargetMode="External"/><Relationship Id="rId26" Type="http://schemas.openxmlformats.org/officeDocument/2006/relationships/hyperlink" Target="http://www.fao.org/docrep/003/Y6265S/Y6265S00.HTM" TargetMode="External"/><Relationship Id="rId27" Type="http://schemas.openxmlformats.org/officeDocument/2006/relationships/hyperlink" Target="http://www.jornada.unam.mx/2012/02/09/politica/016n2pol" TargetMode="External"/><Relationship Id="rId28" Type="http://schemas.openxmlformats.org/officeDocument/2006/relationships/hyperlink" Target="http://noticiasdeabajo.wordpress.com/2012/03/17/banco-mundial-una-disminucion-de-la-pobreza-en-el-" TargetMode="External"/><Relationship Id="rId29" Type="http://schemas.openxmlformats.org/officeDocument/2006/relationships/hyperlink" Target="http://nssoaxaca.com/opinion/35-" TargetMode="External"/><Relationship Id="rId30" Type="http://schemas.openxmlformats.org/officeDocument/2006/relationships/header" Target="header2.xml"/><Relationship Id="rId31" Type="http://schemas.openxmlformats.org/officeDocument/2006/relationships/footer" Target="footer9.xml"/><Relationship Id="rId32" Type="http://schemas.openxmlformats.org/officeDocument/2006/relationships/hyperlink" Target="mailto:studiolitografico@yahoo.com.mx" TargetMode="External"/><Relationship Id="rId33" Type="http://schemas.openxmlformats.org/officeDocument/2006/relationships/hyperlink" Target="mailto:studiotexcoco@hotmail.com" TargetMode="External"/><Relationship Id="rId34" Type="http://schemas.openxmlformats.org/officeDocument/2006/relationships/header" Target="header3.xml"/><Relationship Id="rId35" Type="http://schemas.openxmlformats.org/officeDocument/2006/relationships/footer" Target="footer10.xml"/><Relationship Id="rId36"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2017-05-31T20:41:29Z</dcterms:created>
  <dcterms:modified xsi:type="dcterms:W3CDTF">2017-05-31T20:41:29Z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2017-05-31T00:00:00Z</vt:filetime>
  </property>
  <property fmtid="{D5CDD505-2E9C-101B-9397-08002B2CF9AE}" pid="3" name="LastSaved">
    <vt:filetime>2017-05-31T00:00:00Z</vt:filetime>
  </property>
</Properties>
</file>