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Default Extension="png" ContentType="image/pn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header2.xml" ContentType="application/vnd.openxmlformats-officedocument.wordprocessingml.head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16"/>
        <w:rPr>
          <w:sz w:val="20"/>
        </w:rPr>
      </w:pPr>
      <w:r>
        <w:rPr>
          <w:sz w:val="20"/>
        </w:rPr>
        <w:drawing>
          <wp:inline distT="0" distB="0" distL="0" distR="0">
            <wp:extent cx="6093428" cy="822169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093428" cy="8221694"/>
                    </a:xfrm>
                    <a:prstGeom prst="rect">
                      <a:avLst/>
                    </a:prstGeom>
                  </pic:spPr>
                </pic:pic>
              </a:graphicData>
            </a:graphic>
          </wp:inline>
        </w:drawing>
      </w:r>
      <w:r>
        <w:rPr>
          <w:sz w:val="20"/>
        </w:rPr>
      </w:r>
    </w:p>
    <w:p>
      <w:pPr>
        <w:spacing w:after="0"/>
        <w:rPr>
          <w:sz w:val="20"/>
        </w:rPr>
        <w:sectPr>
          <w:type w:val="continuous"/>
          <w:pgSz w:w="9620" w:h="1298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Heading2"/>
        <w:ind w:left="1575" w:right="1575"/>
        <w:jc w:val="center"/>
      </w:pPr>
      <w:r>
        <w:rPr>
          <w:color w:val="231F20"/>
        </w:rPr>
        <w:t>COMITÉ CIENTÍFICO REVISOR</w:t>
      </w:r>
    </w:p>
    <w:p>
      <w:pPr>
        <w:pStyle w:val="BodyText"/>
        <w:rPr>
          <w:b/>
          <w:sz w:val="26"/>
        </w:rPr>
      </w:pPr>
    </w:p>
    <w:p>
      <w:pPr>
        <w:pStyle w:val="BodyText"/>
        <w:spacing w:before="2"/>
        <w:rPr>
          <w:b/>
          <w:sz w:val="26"/>
        </w:rPr>
      </w:pPr>
    </w:p>
    <w:p>
      <w:pPr>
        <w:spacing w:before="0"/>
        <w:ind w:left="1576" w:right="1550" w:firstLine="0"/>
        <w:jc w:val="center"/>
        <w:rPr>
          <w:i/>
          <w:sz w:val="18"/>
        </w:rPr>
      </w:pPr>
      <w:r>
        <w:rPr>
          <w:i/>
          <w:color w:val="231F20"/>
          <w:sz w:val="18"/>
        </w:rPr>
        <w:t>Alma Velia Ayala Garay</w:t>
      </w:r>
    </w:p>
    <w:p>
      <w:pPr>
        <w:spacing w:before="13"/>
        <w:ind w:left="1576" w:right="1551" w:firstLine="0"/>
        <w:jc w:val="center"/>
        <w:rPr>
          <w:b/>
          <w:sz w:val="18"/>
        </w:rPr>
      </w:pPr>
      <w:r>
        <w:rPr>
          <w:b/>
          <w:color w:val="231F20"/>
          <w:sz w:val="18"/>
        </w:rPr>
        <w:t>Instituto Nacional de Investigaciones Forestales, Agrícolas y  Pecuarias</w:t>
      </w:r>
    </w:p>
    <w:p>
      <w:pPr>
        <w:spacing w:before="78"/>
        <w:ind w:left="1576" w:right="1551" w:firstLine="0"/>
        <w:jc w:val="center"/>
        <w:rPr>
          <w:i/>
          <w:sz w:val="18"/>
        </w:rPr>
      </w:pPr>
      <w:r>
        <w:rPr>
          <w:i/>
          <w:color w:val="231F20"/>
          <w:sz w:val="18"/>
        </w:rPr>
        <w:t>Anselmo González Torres</w:t>
      </w:r>
    </w:p>
    <w:p>
      <w:pPr>
        <w:spacing w:before="13"/>
        <w:ind w:left="1576" w:right="1550" w:firstLine="0"/>
        <w:jc w:val="center"/>
        <w:rPr>
          <w:b/>
          <w:sz w:val="18"/>
        </w:rPr>
      </w:pPr>
      <w:r>
        <w:rPr>
          <w:b/>
          <w:color w:val="231F20"/>
          <w:sz w:val="18"/>
        </w:rPr>
        <w:t>Universidad Autónoma Agraria Antonio Narro</w:t>
      </w:r>
    </w:p>
    <w:p>
      <w:pPr>
        <w:spacing w:before="78"/>
        <w:ind w:left="1576" w:right="1550" w:firstLine="0"/>
        <w:jc w:val="center"/>
        <w:rPr>
          <w:i/>
          <w:sz w:val="18"/>
        </w:rPr>
      </w:pPr>
      <w:r>
        <w:rPr>
          <w:i/>
          <w:color w:val="231F20"/>
          <w:sz w:val="18"/>
        </w:rPr>
        <w:t>Gustavo Almaguer Vargas</w:t>
      </w:r>
    </w:p>
    <w:p>
      <w:pPr>
        <w:spacing w:before="13"/>
        <w:ind w:left="1576" w:right="1551" w:firstLine="0"/>
        <w:jc w:val="center"/>
        <w:rPr>
          <w:b/>
          <w:sz w:val="18"/>
        </w:rPr>
      </w:pPr>
      <w:r>
        <w:rPr>
          <w:b/>
          <w:color w:val="231F20"/>
          <w:sz w:val="18"/>
        </w:rPr>
        <w:t>Universidad Autónoma Chapingo</w:t>
      </w:r>
    </w:p>
    <w:p>
      <w:pPr>
        <w:spacing w:before="78"/>
        <w:ind w:left="1576" w:right="1551" w:firstLine="0"/>
        <w:jc w:val="center"/>
        <w:rPr>
          <w:i/>
          <w:sz w:val="18"/>
        </w:rPr>
      </w:pPr>
      <w:r>
        <w:rPr>
          <w:i/>
          <w:color w:val="231F20"/>
          <w:sz w:val="18"/>
        </w:rPr>
        <w:t>José Manuel Vargas Sállago</w:t>
      </w:r>
    </w:p>
    <w:p>
      <w:pPr>
        <w:spacing w:before="13"/>
        <w:ind w:left="1576" w:right="1551" w:firstLine="0"/>
        <w:jc w:val="center"/>
        <w:rPr>
          <w:b/>
          <w:sz w:val="18"/>
        </w:rPr>
      </w:pPr>
      <w:r>
        <w:rPr>
          <w:b/>
          <w:color w:val="231F20"/>
          <w:sz w:val="18"/>
        </w:rPr>
        <w:t>Instituto Nacional de Investigaciones Forestales, Agrícolas y  Pecuarias</w:t>
      </w:r>
    </w:p>
    <w:p>
      <w:pPr>
        <w:spacing w:before="78"/>
        <w:ind w:left="1576" w:right="1550" w:firstLine="0"/>
        <w:jc w:val="center"/>
        <w:rPr>
          <w:i/>
          <w:sz w:val="18"/>
        </w:rPr>
      </w:pPr>
      <w:r>
        <w:rPr>
          <w:i/>
          <w:color w:val="231F20"/>
          <w:sz w:val="18"/>
        </w:rPr>
        <w:t>Micaela de la O Olán</w:t>
      </w:r>
    </w:p>
    <w:p>
      <w:pPr>
        <w:spacing w:before="13"/>
        <w:ind w:left="1576" w:right="1551" w:firstLine="0"/>
        <w:jc w:val="center"/>
        <w:rPr>
          <w:b/>
          <w:sz w:val="18"/>
        </w:rPr>
      </w:pPr>
      <w:r>
        <w:rPr>
          <w:b/>
          <w:color w:val="231F20"/>
          <w:sz w:val="18"/>
        </w:rPr>
        <w:t>Instituto Nacional de Investigaciones Forestales, Agrícolas y  Pecuarias</w:t>
      </w:r>
    </w:p>
    <w:p>
      <w:pPr>
        <w:spacing w:before="78"/>
        <w:ind w:left="1576" w:right="1550" w:firstLine="0"/>
        <w:jc w:val="center"/>
        <w:rPr>
          <w:i/>
          <w:sz w:val="18"/>
        </w:rPr>
      </w:pPr>
      <w:r>
        <w:rPr>
          <w:i/>
          <w:color w:val="231F20"/>
          <w:sz w:val="18"/>
        </w:rPr>
        <w:t>Oscar Javier Ayala Garay</w:t>
      </w:r>
    </w:p>
    <w:p>
      <w:pPr>
        <w:spacing w:before="13"/>
        <w:ind w:left="1576" w:right="1550" w:firstLine="0"/>
        <w:jc w:val="center"/>
        <w:rPr>
          <w:b/>
          <w:sz w:val="18"/>
        </w:rPr>
      </w:pPr>
      <w:r>
        <w:rPr>
          <w:b/>
          <w:color w:val="231F20"/>
          <w:sz w:val="18"/>
        </w:rPr>
        <w:t>Colegio de Postgraduados</w:t>
      </w:r>
    </w:p>
    <w:p>
      <w:pPr>
        <w:spacing w:before="78"/>
        <w:ind w:left="1576" w:right="1550" w:firstLine="0"/>
        <w:jc w:val="center"/>
        <w:rPr>
          <w:i/>
          <w:sz w:val="18"/>
        </w:rPr>
      </w:pPr>
      <w:r>
        <w:rPr>
          <w:i/>
          <w:color w:val="231F20"/>
          <w:sz w:val="18"/>
        </w:rPr>
        <w:t>Pablo Preciado Rangel</w:t>
      </w:r>
    </w:p>
    <w:p>
      <w:pPr>
        <w:spacing w:before="13"/>
        <w:ind w:left="1576" w:right="1551" w:firstLine="0"/>
        <w:jc w:val="center"/>
        <w:rPr>
          <w:b/>
          <w:sz w:val="18"/>
        </w:rPr>
      </w:pPr>
      <w:r>
        <w:rPr>
          <w:b/>
          <w:color w:val="231F20"/>
          <w:sz w:val="18"/>
        </w:rPr>
        <w:t>Instituto Tecnológico de Torreón</w:t>
      </w:r>
    </w:p>
    <w:p>
      <w:pPr>
        <w:spacing w:before="78"/>
        <w:ind w:left="1576" w:right="1549" w:firstLine="0"/>
        <w:jc w:val="center"/>
        <w:rPr>
          <w:i/>
          <w:sz w:val="18"/>
        </w:rPr>
      </w:pPr>
      <w:r>
        <w:rPr>
          <w:i/>
          <w:color w:val="231F20"/>
          <w:sz w:val="18"/>
        </w:rPr>
        <w:t>Patricia Rivas Valencia</w:t>
      </w:r>
    </w:p>
    <w:p>
      <w:pPr>
        <w:spacing w:before="13"/>
        <w:ind w:left="1576" w:right="1551" w:firstLine="0"/>
        <w:jc w:val="center"/>
        <w:rPr>
          <w:b/>
          <w:sz w:val="18"/>
        </w:rPr>
      </w:pPr>
      <w:r>
        <w:rPr>
          <w:b/>
          <w:color w:val="231F20"/>
          <w:sz w:val="18"/>
        </w:rPr>
        <w:t>Instituto Nacional de Investigaciones Forestales, Agrícolas y  Pecuarias</w:t>
      </w:r>
    </w:p>
    <w:p>
      <w:pPr>
        <w:spacing w:before="78"/>
        <w:ind w:left="1576" w:right="1550" w:firstLine="0"/>
        <w:jc w:val="center"/>
        <w:rPr>
          <w:i/>
          <w:sz w:val="18"/>
        </w:rPr>
      </w:pPr>
      <w:r>
        <w:rPr>
          <w:i/>
          <w:color w:val="231F20"/>
          <w:sz w:val="18"/>
        </w:rPr>
        <w:t>Rafael Auila Cisneros</w:t>
      </w:r>
    </w:p>
    <w:p>
      <w:pPr>
        <w:spacing w:before="13"/>
        <w:ind w:left="1576" w:right="1550" w:firstLine="0"/>
        <w:jc w:val="center"/>
        <w:rPr>
          <w:b/>
          <w:sz w:val="18"/>
        </w:rPr>
      </w:pPr>
      <w:r>
        <w:rPr>
          <w:b/>
          <w:color w:val="231F20"/>
          <w:sz w:val="18"/>
        </w:rPr>
        <w:t>Universidad Autónoma Agraria Antonio Narro</w:t>
      </w:r>
    </w:p>
    <w:p>
      <w:pPr>
        <w:spacing w:before="78"/>
        <w:ind w:left="1576" w:right="1550" w:firstLine="0"/>
        <w:jc w:val="center"/>
        <w:rPr>
          <w:i/>
          <w:sz w:val="18"/>
        </w:rPr>
      </w:pPr>
      <w:r>
        <w:rPr>
          <w:i/>
          <w:color w:val="231F20"/>
          <w:sz w:val="18"/>
        </w:rPr>
        <w:t>Susana Elizabeth Ramirez Sánchez</w:t>
      </w:r>
    </w:p>
    <w:p>
      <w:pPr>
        <w:spacing w:before="13"/>
        <w:ind w:left="1576" w:right="1552" w:firstLine="0"/>
        <w:jc w:val="center"/>
        <w:rPr>
          <w:b/>
          <w:sz w:val="18"/>
        </w:rPr>
      </w:pPr>
      <w:r>
        <w:rPr>
          <w:b/>
          <w:color w:val="231F20"/>
          <w:sz w:val="18"/>
        </w:rPr>
        <w:t>Instituto Nacional de Investigaciones Forestales, Agrícolas y  Pecuarias</w:t>
      </w:r>
    </w:p>
    <w:p>
      <w:pPr>
        <w:spacing w:after="0"/>
        <w:jc w:val="center"/>
        <w:rPr>
          <w:sz w:val="18"/>
        </w:rPr>
        <w:sectPr>
          <w:headerReference w:type="default" r:id="rId6"/>
          <w:footerReference w:type="default" r:id="rId7"/>
          <w:pgSz w:w="10480" w:h="13880"/>
          <w:pgMar w:header="0" w:footer="222" w:top="420" w:bottom="420" w:left="0" w:right="0"/>
          <w:pgNumType w:start="4"/>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5"/>
        </w:rPr>
      </w:pPr>
    </w:p>
    <w:p>
      <w:pPr>
        <w:spacing w:line="520" w:lineRule="exact" w:before="54"/>
        <w:ind w:left="1576" w:right="1575" w:firstLine="0"/>
        <w:jc w:val="center"/>
        <w:rPr>
          <w:b/>
          <w:sz w:val="46"/>
        </w:rPr>
      </w:pPr>
      <w:r>
        <w:rPr>
          <w:b/>
          <w:color w:val="231F20"/>
          <w:sz w:val="46"/>
        </w:rPr>
        <w:t>Desarrollo y tecnología.</w:t>
      </w:r>
      <w:r>
        <w:rPr>
          <w:b/>
          <w:color w:val="231F20"/>
          <w:spacing w:val="-50"/>
          <w:sz w:val="46"/>
        </w:rPr>
        <w:t> </w:t>
      </w:r>
      <w:r>
        <w:rPr>
          <w:b/>
          <w:color w:val="231F20"/>
          <w:sz w:val="46"/>
        </w:rPr>
        <w:t>Aportaciones a los problemas de la sociedad</w:t>
      </w:r>
    </w:p>
    <w:p>
      <w:pPr>
        <w:pStyle w:val="BodyText"/>
        <w:rPr>
          <w:b/>
          <w:sz w:val="46"/>
        </w:rPr>
      </w:pPr>
    </w:p>
    <w:p>
      <w:pPr>
        <w:pStyle w:val="BodyText"/>
        <w:rPr>
          <w:b/>
          <w:sz w:val="46"/>
        </w:rPr>
      </w:pPr>
    </w:p>
    <w:p>
      <w:pPr>
        <w:pStyle w:val="BodyText"/>
        <w:rPr>
          <w:b/>
          <w:sz w:val="46"/>
        </w:rPr>
      </w:pPr>
    </w:p>
    <w:p>
      <w:pPr>
        <w:pStyle w:val="BodyText"/>
        <w:spacing w:before="1"/>
        <w:rPr>
          <w:b/>
          <w:sz w:val="56"/>
        </w:rPr>
      </w:pPr>
    </w:p>
    <w:p>
      <w:pPr>
        <w:pStyle w:val="Heading3"/>
        <w:spacing w:line="242" w:lineRule="auto"/>
        <w:ind w:left="3899" w:right="3900"/>
      </w:pPr>
      <w:r>
        <w:rPr>
          <w:color w:val="231F20"/>
          <w:spacing w:val="-3"/>
        </w:rPr>
        <w:t>César Santiago </w:t>
      </w:r>
      <w:r>
        <w:rPr>
          <w:color w:val="231F20"/>
          <w:spacing w:val="-6"/>
        </w:rPr>
        <w:t>Tepantlán </w:t>
      </w:r>
      <w:r>
        <w:rPr>
          <w:color w:val="231F20"/>
          <w:spacing w:val="-3"/>
        </w:rPr>
        <w:t>Alma </w:t>
      </w:r>
      <w:r>
        <w:rPr>
          <w:color w:val="231F20"/>
          <w:spacing w:val="-7"/>
        </w:rPr>
        <w:t>Velia </w:t>
      </w:r>
      <w:r>
        <w:rPr>
          <w:color w:val="231F20"/>
          <w:spacing w:val="-6"/>
        </w:rPr>
        <w:t>Ayala </w:t>
      </w:r>
      <w:r>
        <w:rPr>
          <w:color w:val="231F20"/>
          <w:spacing w:val="-3"/>
        </w:rPr>
        <w:t>Garay Gustavo Almaguer </w:t>
      </w:r>
      <w:r>
        <w:rPr>
          <w:color w:val="231F20"/>
          <w:spacing w:val="-7"/>
        </w:rPr>
        <w:t>Vargas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7"/>
        </w:rPr>
      </w:pPr>
      <w:r>
        <w:rPr/>
        <w:pict>
          <v:group style="position:absolute;margin-left:235.990005pt;margin-top:18.042158pt;width:51.05pt;height:51.05pt;mso-position-horizontal-relative:page;mso-position-vertical-relative:paragraph;z-index:0;mso-wrap-distance-left:0;mso-wrap-distance-right:0" coordorigin="4720,361" coordsize="1021,1021">
            <v:rect style="position:absolute;left:4720;top:361;width:1019;height:299" filled="true" fillcolor="#231f20" stroked="false">
              <v:fill type="solid"/>
            </v:rect>
            <v:rect style="position:absolute;left:4720;top:361;width:1019;height:299" filled="false" stroked="true" strokeweight=".031pt" strokecolor="#231f20"/>
            <v:shape style="position:absolute;left:4720;top:1082;width:1020;height:299" coordorigin="4720,1082" coordsize="1020,299" path="m5740,1082l4720,1082,4897,1381,5563,1381,5740,1082xe" filled="true" fillcolor="#231f20" stroked="false">
              <v:path arrowok="t"/>
              <v:fill type="solid"/>
            </v:shape>
            <v:shape style="position:absolute;left:4720;top:1082;width:1020;height:299" coordorigin="4720,1082" coordsize="1020,299" path="m4720,1082l5740,1082,5563,1381,4897,1381,4720,1082xe" filled="false" stroked="true" strokeweight=".031pt" strokecolor="#231f20">
              <v:path arrowok="t"/>
            </v:shape>
            <v:rect style="position:absolute;left:5081;top:763;width:298;height:258" filled="true" fillcolor="#231f20" stroked="false">
              <v:fill type="solid"/>
            </v:rect>
            <v:rect style="position:absolute;left:5081;top:763;width:298;height:258" filled="false" stroked="true" strokeweight=".031pt" strokecolor="#231f20"/>
            <v:rect style="position:absolute;left:5441;top:722;width:299;height:299" filled="true" fillcolor="#231f20" stroked="false">
              <v:fill type="solid"/>
            </v:rect>
            <v:rect style="position:absolute;left:5441;top:722;width:299;height:299" filled="false" stroked="true" strokeweight=".031pt" strokecolor="#231f20"/>
            <v:shape style="position:absolute;left:4720;top:722;width:300;height:300" type="#_x0000_t75" stroked="false">
              <v:imagedata r:id="rId9" o:title=""/>
            </v:shape>
            <v:shape style="position:absolute;left:5146;top:807;width:169;height:175" coordorigin="5146,807" coordsize="169,175" path="m5204,807l5154,807,5151,808,5149,810,5147,812,5146,815,5146,820,5148,823,5156,829,5159,833,5161,836,5161,837,5162,838,5163,840,5174,859,5185,878,5198,896,5212,913,5212,955,5211,958,5211,959,5210,961,5209,962,5208,963,5207,963,5207,963,5206,964,5200,966,5198,970,5198,977,5199,979,5200,980,5203,981,5205,982,5261,982,5263,981,5265,980,5267,979,5268,977,5268,970,5266,967,5261,965,5260,964,5259,963,5257,962,5256,961,5255,960,5255,958,5254,955,5254,909,5267,891,5268,889,5242,889,5234,879,5227,870,5221,860,5215,851,5207,839,5204,832,5204,828,5205,827,5208,824,5211,822,5212,819,5212,813,5212,811,5209,810,5207,808,5204,807xm5307,807l5271,807,5268,808,5266,810,5264,811,5263,813,5263,818,5263,819,5264,820,5265,821,5266,822,5268,824,5269,824,5269,824,5270,825,5273,826,5275,828,5275,836,5272,843,5266,854,5261,862,5255,871,5249,880,5242,889,5268,889,5279,873,5290,855,5301,836,5303,832,5304,830,5304,829,5304,829,5306,827,5309,825,5313,822,5314,819,5314,813,5313,811,5312,810,5310,808,5307,807xe" filled="true" fillcolor="#ffffff" stroked="false">
              <v:path arrowok="t"/>
              <v:fill type="solid"/>
            </v:shape>
            <v:shape style="position:absolute;left:5488;top:761;width:208;height:221" coordorigin="5488,761" coordsize="208,221" path="m5557,761l5497,761,5493,762,5491,763,5489,765,5488,768,5488,776,5489,779,5497,785,5499,787,5499,789,5500,790,5503,803,5507,817,5510,829,5513,841,5517,854,5521,866,5529,888,5536,907,5543,924,5549,939,5555,952,5561,962,5566,970,5571,975,5574,978,5577,979,5582,981,5586,982,5595,982,5599,981,5602,980,5606,979,5608,977,5611,974,5616,967,5622,957,5629,946,5633,935,5604,935,5599,927,5595,918,5591,909,5586,898,5582,887,5578,875,5573,861,5568,846,5565,833,5561,822,5559,812,5557,802,5556,796,5556,789,5558,787,5561,784,5562,784,5563,784,5563,784,5566,781,5568,780,5569,778,5570,777,5570,776,5570,768,5569,765,5566,763,5563,762,5557,761xm5683,761l5638,761,5635,762,5633,764,5630,766,5629,768,5629,776,5632,779,5639,783,5641,784,5642,784,5642,785,5645,787,5647,788,5648,790,5649,792,5649,800,5649,808,5646,821,5643,836,5637,854,5631,873,5623,893,5614,914,5604,935,5633,935,5635,931,5643,915,5650,897,5657,877,5664,856,5668,844,5672,830,5676,816,5679,803,5680,800,5681,798,5681,797,5681,796,5681,796,5682,791,5685,787,5689,784,5691,781,5693,780,5693,778,5694,777,5695,776,5695,769,5693,766,5691,764,5688,762,5683,761xe" filled="true" fillcolor="#ffffff" stroked="false">
              <v:path arrowok="t"/>
              <v:fill type="solid"/>
            </v:shape>
            <v:shape style="position:absolute;left:4768;top:471;width:926;height:80" type="#_x0000_t75" stroked="false">
              <v:imagedata r:id="rId10" o:title=""/>
            </v:shape>
            <v:shape style="position:absolute;left:4950;top:1192;width:563;height:80" type="#_x0000_t75" stroked="false">
              <v:imagedata r:id="rId11" o:title=""/>
            </v:shape>
            <w10:wrap type="topAndBottom"/>
          </v:group>
        </w:pict>
      </w:r>
    </w:p>
    <w:p>
      <w:pPr>
        <w:spacing w:after="0"/>
        <w:rPr>
          <w:sz w:val="27"/>
        </w:rPr>
        <w:sectPr>
          <w:footerReference w:type="default" r:id="rId8"/>
          <w:pgSz w:w="10480" w:h="13880"/>
          <w:pgMar w:footer="222" w:header="0" w:top="420" w:bottom="420" w:left="0" w:right="0"/>
          <w:pgNumType w:start="5"/>
        </w:sectPr>
      </w:pPr>
    </w:p>
    <w:p>
      <w:pPr>
        <w:pStyle w:val="BodyText"/>
        <w:rPr>
          <w:b/>
          <w:sz w:val="20"/>
        </w:rPr>
      </w:pPr>
    </w:p>
    <w:p>
      <w:pPr>
        <w:pStyle w:val="BodyText"/>
        <w:rPr>
          <w:b/>
          <w:sz w:val="20"/>
        </w:rPr>
      </w:pPr>
    </w:p>
    <w:p>
      <w:pPr>
        <w:pStyle w:val="BodyText"/>
        <w:rPr>
          <w:b/>
          <w:sz w:val="20"/>
        </w:rPr>
      </w:pPr>
    </w:p>
    <w:p>
      <w:pPr>
        <w:pStyle w:val="BodyText"/>
        <w:spacing w:before="9"/>
        <w:rPr>
          <w:b/>
          <w:sz w:val="24"/>
        </w:rPr>
      </w:pPr>
    </w:p>
    <w:p>
      <w:pPr>
        <w:spacing w:before="74"/>
        <w:ind w:left="1553" w:right="0" w:firstLine="0"/>
        <w:jc w:val="both"/>
        <w:rPr>
          <w:sz w:val="20"/>
        </w:rPr>
      </w:pPr>
      <w:r>
        <w:rPr>
          <w:color w:val="231F20"/>
          <w:sz w:val="20"/>
        </w:rPr>
        <w:t>Primera edición: marzo 2015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spacing w:before="0"/>
        <w:ind w:left="1553" w:right="0" w:firstLine="0"/>
        <w:jc w:val="both"/>
        <w:rPr>
          <w:sz w:val="20"/>
        </w:rPr>
      </w:pPr>
      <w:r>
        <w:rPr>
          <w:color w:val="231F20"/>
          <w:sz w:val="20"/>
        </w:rPr>
        <w:t>D.R. © Alma Velia Ayala Garay</w:t>
      </w:r>
    </w:p>
    <w:p>
      <w:pPr>
        <w:pStyle w:val="BodyText"/>
        <w:rPr>
          <w:sz w:val="20"/>
        </w:rPr>
      </w:pPr>
    </w:p>
    <w:p>
      <w:pPr>
        <w:pStyle w:val="BodyText"/>
        <w:spacing w:before="7"/>
      </w:pPr>
    </w:p>
    <w:p>
      <w:pPr>
        <w:spacing w:before="0"/>
        <w:ind w:left="1576" w:right="5567" w:firstLine="0"/>
        <w:jc w:val="center"/>
        <w:rPr>
          <w:sz w:val="20"/>
        </w:rPr>
      </w:pPr>
      <w:r>
        <w:rPr>
          <w:color w:val="231F20"/>
          <w:sz w:val="20"/>
        </w:rPr>
        <w:t>© Plaza y Valdés S. A. de C. V.</w:t>
      </w:r>
    </w:p>
    <w:p>
      <w:pPr>
        <w:spacing w:line="249" w:lineRule="auto" w:before="10"/>
        <w:ind w:left="2193" w:right="4279" w:firstLine="0"/>
        <w:jc w:val="left"/>
        <w:rPr>
          <w:sz w:val="20"/>
        </w:rPr>
      </w:pPr>
      <w:r>
        <w:rPr>
          <w:color w:val="231F20"/>
          <w:sz w:val="20"/>
        </w:rPr>
        <w:t>Manuel María Contreras núm. 73, col. San Rafael México, D. F. 06470. Teléfono: 50 97 20 70 </w:t>
      </w:r>
      <w:hyperlink r:id="rId13">
        <w:r>
          <w:rPr>
            <w:color w:val="231F20"/>
            <w:sz w:val="20"/>
          </w:rPr>
          <w:t>Editorial@plazayvaldes.com</w:t>
        </w:r>
      </w:hyperlink>
      <w:r>
        <w:rPr>
          <w:color w:val="231F20"/>
          <w:sz w:val="20"/>
        </w:rPr>
        <w:t> </w:t>
      </w:r>
      <w:hyperlink r:id="rId14">
        <w:r>
          <w:rPr>
            <w:color w:val="231F20"/>
            <w:sz w:val="20"/>
          </w:rPr>
          <w:t>www.plazayvaldes.com</w:t>
        </w:r>
      </w:hyperlink>
    </w:p>
    <w:p>
      <w:pPr>
        <w:spacing w:before="121"/>
        <w:ind w:left="2233" w:right="4279" w:firstLine="0"/>
        <w:jc w:val="left"/>
        <w:rPr>
          <w:sz w:val="20"/>
        </w:rPr>
      </w:pPr>
      <w:r>
        <w:rPr>
          <w:color w:val="231F20"/>
          <w:sz w:val="20"/>
        </w:rPr>
        <w:t>Plaza y Valdés Editores</w:t>
      </w:r>
    </w:p>
    <w:p>
      <w:pPr>
        <w:spacing w:line="249" w:lineRule="auto" w:before="10"/>
        <w:ind w:left="2233" w:right="5016" w:firstLine="0"/>
        <w:jc w:val="left"/>
        <w:rPr>
          <w:sz w:val="20"/>
        </w:rPr>
      </w:pPr>
      <w:r>
        <w:rPr>
          <w:color w:val="231F20"/>
          <w:sz w:val="20"/>
        </w:rPr>
        <w:t>Calle Murcia, 2. Colonia de los Ángeles Pozuelo de Alarcón</w:t>
      </w:r>
    </w:p>
    <w:p>
      <w:pPr>
        <w:spacing w:before="1"/>
        <w:ind w:left="2233" w:right="4279" w:firstLine="0"/>
        <w:jc w:val="left"/>
        <w:rPr>
          <w:sz w:val="20"/>
        </w:rPr>
      </w:pPr>
      <w:r>
        <w:rPr>
          <w:color w:val="231F20"/>
          <w:sz w:val="20"/>
        </w:rPr>
        <w:t>28223, Madrid, España.</w:t>
      </w:r>
    </w:p>
    <w:p>
      <w:pPr>
        <w:spacing w:line="249" w:lineRule="auto" w:before="10"/>
        <w:ind w:left="2233" w:right="6049" w:firstLine="0"/>
        <w:jc w:val="left"/>
        <w:rPr>
          <w:sz w:val="20"/>
        </w:rPr>
      </w:pPr>
      <w:r>
        <w:rPr>
          <w:color w:val="231F20"/>
          <w:sz w:val="20"/>
        </w:rPr>
        <w:t>Teléfono: 91 862 52 89 </w:t>
      </w:r>
      <w:hyperlink r:id="rId15">
        <w:r>
          <w:rPr>
            <w:color w:val="231F20"/>
            <w:sz w:val="20"/>
          </w:rPr>
          <w:t>madrid@plazayvaldes.com</w:t>
        </w:r>
      </w:hyperlink>
      <w:r>
        <w:rPr>
          <w:color w:val="231F20"/>
          <w:sz w:val="20"/>
        </w:rPr>
        <w:t> </w:t>
      </w:r>
      <w:hyperlink r:id="rId16">
        <w:r>
          <w:rPr>
            <w:color w:val="231F20"/>
            <w:sz w:val="20"/>
          </w:rPr>
          <w:t>www.plazayvaldes.es</w:t>
        </w:r>
      </w:hyperlink>
    </w:p>
    <w:p>
      <w:pPr>
        <w:pStyle w:val="BodyText"/>
        <w:rPr>
          <w:sz w:val="20"/>
        </w:rPr>
      </w:pPr>
    </w:p>
    <w:p>
      <w:pPr>
        <w:pStyle w:val="BodyText"/>
        <w:rPr>
          <w:sz w:val="20"/>
        </w:rPr>
      </w:pPr>
    </w:p>
    <w:p>
      <w:pPr>
        <w:pStyle w:val="BodyText"/>
        <w:spacing w:before="8"/>
      </w:pPr>
    </w:p>
    <w:p>
      <w:pPr>
        <w:spacing w:before="0"/>
        <w:ind w:left="1553" w:right="0" w:firstLine="0"/>
        <w:jc w:val="both"/>
        <w:rPr>
          <w:sz w:val="20"/>
        </w:rPr>
      </w:pPr>
      <w:r>
        <w:rPr>
          <w:color w:val="231F20"/>
          <w:sz w:val="20"/>
        </w:rPr>
        <w:t>Diseño de portada y supervisión de producción: Claudia Nájera C.</w:t>
      </w:r>
    </w:p>
    <w:p>
      <w:pPr>
        <w:pStyle w:val="BodyText"/>
        <w:rPr>
          <w:sz w:val="20"/>
        </w:rPr>
      </w:pPr>
    </w:p>
    <w:p>
      <w:pPr>
        <w:pStyle w:val="BodyText"/>
        <w:rPr>
          <w:sz w:val="20"/>
        </w:rPr>
      </w:pPr>
    </w:p>
    <w:p>
      <w:pPr>
        <w:pStyle w:val="BodyText"/>
        <w:spacing w:before="5"/>
        <w:rPr>
          <w:sz w:val="23"/>
        </w:rPr>
      </w:pPr>
    </w:p>
    <w:p>
      <w:pPr>
        <w:spacing w:line="501" w:lineRule="auto" w:before="0"/>
        <w:ind w:left="1553" w:right="4397" w:firstLine="0"/>
        <w:jc w:val="left"/>
        <w:rPr>
          <w:sz w:val="20"/>
        </w:rPr>
      </w:pPr>
      <w:r>
        <w:rPr>
          <w:color w:val="231F20"/>
          <w:sz w:val="20"/>
        </w:rPr>
        <w:t>Formación tipográfica: José Luis Castelán Aguilar ISBN: 978-607-402-804-1</w:t>
      </w:r>
    </w:p>
    <w:p>
      <w:pPr>
        <w:spacing w:before="8"/>
        <w:ind w:left="1553" w:right="0" w:firstLine="0"/>
        <w:jc w:val="both"/>
        <w:rPr>
          <w:i/>
          <w:sz w:val="20"/>
        </w:rPr>
      </w:pPr>
      <w:r>
        <w:rPr>
          <w:color w:val="231F20"/>
          <w:sz w:val="20"/>
        </w:rPr>
        <w:t>Impreso en México/</w:t>
      </w:r>
      <w:r>
        <w:rPr>
          <w:i/>
          <w:color w:val="231F20"/>
          <w:sz w:val="20"/>
        </w:rPr>
        <w:t>Printed in Mexico</w:t>
      </w:r>
    </w:p>
    <w:p>
      <w:pPr>
        <w:pStyle w:val="BodyText"/>
        <w:rPr>
          <w:i/>
          <w:sz w:val="20"/>
        </w:rPr>
      </w:pPr>
    </w:p>
    <w:p>
      <w:pPr>
        <w:pStyle w:val="BodyText"/>
        <w:spacing w:before="1"/>
        <w:rPr>
          <w:i/>
          <w:sz w:val="26"/>
        </w:rPr>
      </w:pPr>
    </w:p>
    <w:p>
      <w:pPr>
        <w:spacing w:line="271" w:lineRule="auto" w:before="0"/>
        <w:ind w:left="1553" w:right="1550" w:firstLine="0"/>
        <w:jc w:val="both"/>
        <w:rPr>
          <w:sz w:val="20"/>
        </w:rPr>
      </w:pPr>
      <w:r>
        <w:rPr>
          <w:color w:val="231F20"/>
          <w:sz w:val="20"/>
        </w:rPr>
        <w:t>El trabajo de edición de esta obra fue realizado en el Taller de Edición de Plaza y </w:t>
      </w:r>
      <w:r>
        <w:rPr>
          <w:color w:val="231F20"/>
          <w:spacing w:val="-3"/>
          <w:sz w:val="20"/>
        </w:rPr>
        <w:t>Valdés </w:t>
      </w:r>
      <w:r>
        <w:rPr>
          <w:color w:val="231F20"/>
          <w:sz w:val="20"/>
        </w:rPr>
        <w:t>ubicado en el Reclusorio Preventivo </w:t>
      </w:r>
      <w:r>
        <w:rPr>
          <w:color w:val="231F20"/>
          <w:spacing w:val="4"/>
          <w:sz w:val="20"/>
        </w:rPr>
        <w:t>Varonil </w:t>
      </w:r>
      <w:r>
        <w:rPr>
          <w:color w:val="231F20"/>
          <w:spacing w:val="5"/>
          <w:sz w:val="20"/>
        </w:rPr>
        <w:t>Norte. </w:t>
      </w:r>
      <w:r>
        <w:rPr>
          <w:color w:val="231F20"/>
          <w:spacing w:val="4"/>
          <w:sz w:val="20"/>
        </w:rPr>
        <w:t>Lo </w:t>
      </w:r>
      <w:r>
        <w:rPr>
          <w:color w:val="231F20"/>
          <w:spacing w:val="6"/>
          <w:sz w:val="20"/>
        </w:rPr>
        <w:t>anterior </w:t>
      </w:r>
      <w:r>
        <w:rPr>
          <w:color w:val="231F20"/>
          <w:spacing w:val="4"/>
          <w:sz w:val="20"/>
        </w:rPr>
        <w:t>es posible </w:t>
      </w:r>
      <w:r>
        <w:rPr>
          <w:color w:val="231F20"/>
          <w:spacing w:val="6"/>
          <w:sz w:val="20"/>
        </w:rPr>
        <w:t>gracias </w:t>
      </w:r>
      <w:r>
        <w:rPr>
          <w:color w:val="231F20"/>
          <w:spacing w:val="3"/>
          <w:sz w:val="20"/>
        </w:rPr>
        <w:t>al apoyo, </w:t>
      </w:r>
      <w:r>
        <w:rPr>
          <w:color w:val="231F20"/>
          <w:sz w:val="20"/>
        </w:rPr>
        <w:t>confianza y colaboración de todas las autoridades del Sistema Penitenciario del Gobierno</w:t>
      </w:r>
      <w:r>
        <w:rPr>
          <w:color w:val="231F20"/>
          <w:spacing w:val="-13"/>
          <w:sz w:val="20"/>
        </w:rPr>
        <w:t> </w:t>
      </w:r>
      <w:r>
        <w:rPr>
          <w:color w:val="231F20"/>
          <w:sz w:val="20"/>
        </w:rPr>
        <w:t>del</w:t>
      </w:r>
      <w:r>
        <w:rPr>
          <w:color w:val="231F20"/>
          <w:spacing w:val="-13"/>
          <w:sz w:val="20"/>
        </w:rPr>
        <w:t> </w:t>
      </w:r>
      <w:r>
        <w:rPr>
          <w:color w:val="231F20"/>
          <w:sz w:val="20"/>
        </w:rPr>
        <w:t>Distrito</w:t>
      </w:r>
      <w:r>
        <w:rPr>
          <w:color w:val="231F20"/>
          <w:spacing w:val="-13"/>
          <w:sz w:val="20"/>
        </w:rPr>
        <w:t> </w:t>
      </w:r>
      <w:r>
        <w:rPr>
          <w:color w:val="231F20"/>
          <w:sz w:val="20"/>
        </w:rPr>
        <w:t>Federal,</w:t>
      </w:r>
      <w:r>
        <w:rPr>
          <w:color w:val="231F20"/>
          <w:spacing w:val="-13"/>
          <w:sz w:val="20"/>
        </w:rPr>
        <w:t> </w:t>
      </w:r>
      <w:r>
        <w:rPr>
          <w:color w:val="231F20"/>
          <w:sz w:val="20"/>
        </w:rPr>
        <w:t>en</w:t>
      </w:r>
      <w:r>
        <w:rPr>
          <w:color w:val="231F20"/>
          <w:spacing w:val="-13"/>
          <w:sz w:val="20"/>
        </w:rPr>
        <w:t> </w:t>
      </w:r>
      <w:r>
        <w:rPr>
          <w:color w:val="231F20"/>
          <w:sz w:val="20"/>
        </w:rPr>
        <w:t>especial</w:t>
      </w:r>
      <w:r>
        <w:rPr>
          <w:color w:val="231F20"/>
          <w:spacing w:val="-13"/>
          <w:sz w:val="20"/>
        </w:rPr>
        <w:t> </w:t>
      </w:r>
      <w:r>
        <w:rPr>
          <w:color w:val="231F20"/>
          <w:sz w:val="20"/>
        </w:rPr>
        <w:t>de</w:t>
      </w:r>
      <w:r>
        <w:rPr>
          <w:color w:val="231F20"/>
          <w:spacing w:val="-14"/>
          <w:sz w:val="20"/>
        </w:rPr>
        <w:t> </w:t>
      </w:r>
      <w:r>
        <w:rPr>
          <w:color w:val="231F20"/>
          <w:sz w:val="20"/>
        </w:rPr>
        <w:t>la</w:t>
      </w:r>
      <w:r>
        <w:rPr>
          <w:color w:val="231F20"/>
          <w:spacing w:val="-13"/>
          <w:sz w:val="20"/>
        </w:rPr>
        <w:t> </w:t>
      </w:r>
      <w:r>
        <w:rPr>
          <w:color w:val="231F20"/>
          <w:sz w:val="20"/>
        </w:rPr>
        <w:t>Dirección</w:t>
      </w:r>
      <w:r>
        <w:rPr>
          <w:color w:val="231F20"/>
          <w:spacing w:val="-13"/>
          <w:sz w:val="20"/>
        </w:rPr>
        <w:t> </w:t>
      </w:r>
      <w:r>
        <w:rPr>
          <w:color w:val="231F20"/>
          <w:sz w:val="20"/>
        </w:rPr>
        <w:t>Ejecutiva</w:t>
      </w:r>
      <w:r>
        <w:rPr>
          <w:color w:val="231F20"/>
          <w:spacing w:val="-13"/>
          <w:sz w:val="20"/>
        </w:rPr>
        <w:t> </w:t>
      </w:r>
      <w:r>
        <w:rPr>
          <w:color w:val="231F20"/>
          <w:sz w:val="20"/>
        </w:rPr>
        <w:t>de</w:t>
      </w:r>
      <w:r>
        <w:rPr>
          <w:color w:val="231F20"/>
          <w:spacing w:val="-13"/>
          <w:sz w:val="20"/>
        </w:rPr>
        <w:t> </w:t>
      </w:r>
      <w:r>
        <w:rPr>
          <w:color w:val="231F20"/>
          <w:sz w:val="20"/>
        </w:rPr>
        <w:t>Trabajo</w:t>
      </w:r>
      <w:r>
        <w:rPr>
          <w:color w:val="231F20"/>
          <w:spacing w:val="-13"/>
          <w:sz w:val="20"/>
        </w:rPr>
        <w:t> </w:t>
      </w:r>
      <w:r>
        <w:rPr>
          <w:color w:val="231F20"/>
          <w:sz w:val="20"/>
        </w:rPr>
        <w:t>Penitenciario.</w:t>
      </w:r>
    </w:p>
    <w:p>
      <w:pPr>
        <w:spacing w:after="0" w:line="271" w:lineRule="auto"/>
        <w:jc w:val="both"/>
        <w:rPr>
          <w:sz w:val="20"/>
        </w:rPr>
        <w:sectPr>
          <w:footerReference w:type="default" r:id="rId12"/>
          <w:pgSz w:w="10480" w:h="13880"/>
          <w:pgMar w:footer="222" w:header="0" w:top="420" w:bottom="420" w:left="0" w:right="0"/>
          <w:pgNumType w:start="6"/>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pStyle w:val="Heading1"/>
        <w:ind w:firstLine="0"/>
        <w:jc w:val="center"/>
      </w:pPr>
      <w:r>
        <w:rPr>
          <w:color w:val="231F20"/>
        </w:rPr>
        <w:t>AUTORES</w:t>
      </w:r>
    </w:p>
    <w:p>
      <w:pPr>
        <w:pStyle w:val="BodyText"/>
        <w:spacing w:before="9"/>
        <w:rPr>
          <w:b/>
          <w:sz w:val="46"/>
        </w:rPr>
      </w:pPr>
    </w:p>
    <w:p>
      <w:pPr>
        <w:tabs>
          <w:tab w:pos="5873" w:val="left" w:leader="none"/>
        </w:tabs>
        <w:spacing w:before="0"/>
        <w:ind w:left="1610" w:right="0" w:firstLine="0"/>
        <w:jc w:val="left"/>
        <w:rPr>
          <w:sz w:val="18"/>
        </w:rPr>
      </w:pPr>
      <w:r>
        <w:rPr>
          <w:color w:val="231F20"/>
          <w:sz w:val="18"/>
        </w:rPr>
        <w:t>Abdul</w:t>
      </w:r>
      <w:r>
        <w:rPr>
          <w:color w:val="231F20"/>
          <w:spacing w:val="3"/>
          <w:sz w:val="18"/>
        </w:rPr>
        <w:t> </w:t>
      </w:r>
      <w:r>
        <w:rPr>
          <w:color w:val="231F20"/>
          <w:spacing w:val="2"/>
          <w:sz w:val="18"/>
        </w:rPr>
        <w:t>Khalil</w:t>
      </w:r>
      <w:r>
        <w:rPr>
          <w:color w:val="231F20"/>
          <w:spacing w:val="4"/>
          <w:sz w:val="18"/>
        </w:rPr>
        <w:t> </w:t>
      </w:r>
      <w:r>
        <w:rPr>
          <w:color w:val="231F20"/>
          <w:sz w:val="18"/>
        </w:rPr>
        <w:t>Gardezi</w:t>
        <w:tab/>
        <w:t>Juan Manuel Hernández</w:t>
      </w:r>
      <w:r>
        <w:rPr>
          <w:color w:val="231F20"/>
          <w:spacing w:val="33"/>
          <w:sz w:val="18"/>
        </w:rPr>
        <w:t> </w:t>
      </w:r>
      <w:r>
        <w:rPr>
          <w:color w:val="231F20"/>
          <w:sz w:val="18"/>
        </w:rPr>
        <w:t>Casillas</w:t>
      </w:r>
    </w:p>
    <w:p>
      <w:pPr>
        <w:tabs>
          <w:tab w:pos="5873" w:val="left" w:leader="none"/>
        </w:tabs>
        <w:spacing w:before="65"/>
        <w:ind w:left="1610" w:right="0" w:firstLine="0"/>
        <w:jc w:val="left"/>
        <w:rPr>
          <w:sz w:val="18"/>
        </w:rPr>
      </w:pPr>
      <w:r>
        <w:rPr>
          <w:color w:val="231F20"/>
          <w:sz w:val="18"/>
        </w:rPr>
        <w:t>Abel</w:t>
      </w:r>
      <w:r>
        <w:rPr>
          <w:color w:val="231F20"/>
          <w:spacing w:val="1"/>
          <w:sz w:val="18"/>
        </w:rPr>
        <w:t> </w:t>
      </w:r>
      <w:r>
        <w:rPr>
          <w:color w:val="231F20"/>
          <w:sz w:val="18"/>
        </w:rPr>
        <w:t>Quevedo Nolasco</w:t>
        <w:tab/>
        <w:t>Juana García</w:t>
      </w:r>
      <w:r>
        <w:rPr>
          <w:color w:val="231F20"/>
          <w:spacing w:val="18"/>
          <w:sz w:val="18"/>
        </w:rPr>
        <w:t> </w:t>
      </w:r>
      <w:r>
        <w:rPr>
          <w:color w:val="231F20"/>
          <w:sz w:val="18"/>
        </w:rPr>
        <w:t>Morales</w:t>
      </w:r>
    </w:p>
    <w:p>
      <w:pPr>
        <w:tabs>
          <w:tab w:pos="5873" w:val="left" w:leader="none"/>
        </w:tabs>
        <w:spacing w:before="65"/>
        <w:ind w:left="1610" w:right="0" w:firstLine="0"/>
        <w:jc w:val="left"/>
        <w:rPr>
          <w:sz w:val="18"/>
        </w:rPr>
      </w:pPr>
      <w:r>
        <w:rPr>
          <w:color w:val="231F20"/>
          <w:sz w:val="18"/>
        </w:rPr>
        <w:t>Abraham</w:t>
      </w:r>
      <w:r>
        <w:rPr>
          <w:color w:val="231F20"/>
          <w:spacing w:val="7"/>
          <w:sz w:val="18"/>
        </w:rPr>
        <w:t> </w:t>
      </w:r>
      <w:r>
        <w:rPr>
          <w:color w:val="231F20"/>
          <w:sz w:val="18"/>
        </w:rPr>
        <w:t>Espinosa</w:t>
      </w:r>
      <w:r>
        <w:rPr>
          <w:color w:val="231F20"/>
          <w:spacing w:val="7"/>
          <w:sz w:val="18"/>
        </w:rPr>
        <w:t> </w:t>
      </w:r>
      <w:r>
        <w:rPr>
          <w:color w:val="231F20"/>
          <w:sz w:val="18"/>
        </w:rPr>
        <w:t>Hernández</w:t>
        <w:tab/>
      </w:r>
      <w:r>
        <w:rPr>
          <w:color w:val="231F20"/>
          <w:spacing w:val="2"/>
          <w:sz w:val="18"/>
        </w:rPr>
        <w:t>Laura </w:t>
      </w:r>
      <w:r>
        <w:rPr>
          <w:color w:val="231F20"/>
          <w:sz w:val="18"/>
        </w:rPr>
        <w:t>L. Herrero</w:t>
      </w:r>
      <w:r>
        <w:rPr>
          <w:color w:val="231F20"/>
          <w:spacing w:val="7"/>
          <w:sz w:val="18"/>
        </w:rPr>
        <w:t> </w:t>
      </w:r>
      <w:r>
        <w:rPr>
          <w:color w:val="231F20"/>
          <w:sz w:val="18"/>
        </w:rPr>
        <w:t>Vázquez</w:t>
      </w:r>
    </w:p>
    <w:p>
      <w:pPr>
        <w:tabs>
          <w:tab w:pos="5873" w:val="left" w:leader="none"/>
        </w:tabs>
        <w:spacing w:before="65"/>
        <w:ind w:left="1610" w:right="0" w:firstLine="0"/>
        <w:jc w:val="left"/>
        <w:rPr>
          <w:sz w:val="18"/>
        </w:rPr>
      </w:pPr>
      <w:r>
        <w:rPr>
          <w:color w:val="231F20"/>
          <w:spacing w:val="2"/>
          <w:sz w:val="18"/>
        </w:rPr>
        <w:t>Alfredo </w:t>
      </w:r>
      <w:r>
        <w:rPr>
          <w:color w:val="231F20"/>
          <w:sz w:val="18"/>
        </w:rPr>
        <w:t>Josué</w:t>
      </w:r>
      <w:r>
        <w:rPr>
          <w:color w:val="231F20"/>
          <w:spacing w:val="-1"/>
          <w:sz w:val="18"/>
        </w:rPr>
        <w:t> </w:t>
      </w:r>
      <w:r>
        <w:rPr>
          <w:color w:val="231F20"/>
          <w:sz w:val="18"/>
        </w:rPr>
        <w:t>Gamez Vázquez</w:t>
        <w:tab/>
        <w:t>Lorena Casanova</w:t>
      </w:r>
      <w:r>
        <w:rPr>
          <w:color w:val="231F20"/>
          <w:spacing w:val="13"/>
          <w:sz w:val="18"/>
        </w:rPr>
        <w:t> </w:t>
      </w:r>
      <w:r>
        <w:rPr>
          <w:color w:val="231F20"/>
          <w:sz w:val="18"/>
        </w:rPr>
        <w:t>Pérez</w:t>
      </w:r>
    </w:p>
    <w:p>
      <w:pPr>
        <w:tabs>
          <w:tab w:pos="5873" w:val="left" w:leader="none"/>
        </w:tabs>
        <w:spacing w:before="65"/>
        <w:ind w:left="1610" w:right="0" w:firstLine="0"/>
        <w:jc w:val="left"/>
        <w:rPr>
          <w:sz w:val="18"/>
        </w:rPr>
      </w:pPr>
      <w:r>
        <w:rPr>
          <w:color w:val="231F20"/>
          <w:spacing w:val="2"/>
          <w:sz w:val="18"/>
        </w:rPr>
        <w:t>Alma </w:t>
      </w:r>
      <w:r>
        <w:rPr>
          <w:color w:val="231F20"/>
          <w:spacing w:val="-3"/>
          <w:sz w:val="18"/>
        </w:rPr>
        <w:t>Velia</w:t>
      </w:r>
      <w:r>
        <w:rPr>
          <w:color w:val="231F20"/>
          <w:spacing w:val="1"/>
          <w:sz w:val="18"/>
        </w:rPr>
        <w:t> </w:t>
      </w:r>
      <w:r>
        <w:rPr>
          <w:color w:val="231F20"/>
          <w:spacing w:val="-3"/>
          <w:sz w:val="18"/>
        </w:rPr>
        <w:t>Ayala</w:t>
      </w:r>
      <w:r>
        <w:rPr>
          <w:color w:val="231F20"/>
          <w:spacing w:val="2"/>
          <w:sz w:val="18"/>
        </w:rPr>
        <w:t> </w:t>
      </w:r>
      <w:r>
        <w:rPr>
          <w:color w:val="231F20"/>
          <w:sz w:val="18"/>
        </w:rPr>
        <w:t>Garay</w:t>
        <w:tab/>
        <w:t>Lorena Cortes</w:t>
      </w:r>
      <w:r>
        <w:rPr>
          <w:color w:val="231F20"/>
          <w:spacing w:val="23"/>
          <w:sz w:val="18"/>
        </w:rPr>
        <w:t> </w:t>
      </w:r>
      <w:r>
        <w:rPr>
          <w:color w:val="231F20"/>
          <w:sz w:val="18"/>
        </w:rPr>
        <w:t>Espinoza</w:t>
      </w:r>
    </w:p>
    <w:p>
      <w:pPr>
        <w:tabs>
          <w:tab w:pos="5874" w:val="left" w:leader="none"/>
        </w:tabs>
        <w:spacing w:before="65"/>
        <w:ind w:left="1610" w:right="0" w:firstLine="0"/>
        <w:jc w:val="left"/>
        <w:rPr>
          <w:sz w:val="18"/>
        </w:rPr>
      </w:pPr>
      <w:r>
        <w:rPr>
          <w:color w:val="231F20"/>
          <w:sz w:val="18"/>
        </w:rPr>
        <w:t>Amalio</w:t>
      </w:r>
      <w:r>
        <w:rPr>
          <w:color w:val="231F20"/>
          <w:spacing w:val="-1"/>
          <w:sz w:val="18"/>
        </w:rPr>
        <w:t> </w:t>
      </w:r>
      <w:r>
        <w:rPr>
          <w:color w:val="231F20"/>
          <w:spacing w:val="3"/>
          <w:sz w:val="18"/>
        </w:rPr>
        <w:t>Santacruz</w:t>
      </w:r>
      <w:r>
        <w:rPr>
          <w:color w:val="231F20"/>
          <w:sz w:val="18"/>
        </w:rPr>
        <w:t> Varela</w:t>
        <w:tab/>
        <w:t>Lucila Godínez</w:t>
      </w:r>
      <w:r>
        <w:rPr>
          <w:color w:val="231F20"/>
          <w:spacing w:val="10"/>
          <w:sz w:val="18"/>
        </w:rPr>
        <w:t> </w:t>
      </w:r>
      <w:r>
        <w:rPr>
          <w:color w:val="231F20"/>
          <w:sz w:val="18"/>
        </w:rPr>
        <w:t>Montoya</w:t>
      </w:r>
    </w:p>
    <w:p>
      <w:pPr>
        <w:tabs>
          <w:tab w:pos="5874" w:val="left" w:leader="none"/>
        </w:tabs>
        <w:spacing w:before="65"/>
        <w:ind w:left="1610" w:right="0" w:firstLine="0"/>
        <w:jc w:val="left"/>
        <w:rPr>
          <w:sz w:val="18"/>
        </w:rPr>
      </w:pPr>
      <w:r>
        <w:rPr>
          <w:color w:val="231F20"/>
          <w:sz w:val="18"/>
        </w:rPr>
        <w:t>Angélica</w:t>
      </w:r>
      <w:r>
        <w:rPr>
          <w:color w:val="231F20"/>
          <w:spacing w:val="3"/>
          <w:sz w:val="18"/>
        </w:rPr>
        <w:t> </w:t>
      </w:r>
      <w:r>
        <w:rPr>
          <w:color w:val="231F20"/>
          <w:spacing w:val="2"/>
          <w:sz w:val="18"/>
        </w:rPr>
        <w:t>Barrales </w:t>
      </w:r>
      <w:r>
        <w:rPr>
          <w:color w:val="231F20"/>
          <w:sz w:val="18"/>
        </w:rPr>
        <w:t>López</w:t>
        <w:tab/>
        <w:t>Luis </w:t>
      </w:r>
      <w:r>
        <w:rPr>
          <w:color w:val="231F20"/>
          <w:spacing w:val="2"/>
          <w:sz w:val="18"/>
        </w:rPr>
        <w:t>Alberto </w:t>
      </w:r>
      <w:r>
        <w:rPr>
          <w:color w:val="231F20"/>
          <w:sz w:val="18"/>
        </w:rPr>
        <w:t>Hernández</w:t>
      </w:r>
      <w:r>
        <w:rPr>
          <w:color w:val="231F20"/>
          <w:spacing w:val="21"/>
          <w:sz w:val="18"/>
        </w:rPr>
        <w:t> </w:t>
      </w:r>
      <w:r>
        <w:rPr>
          <w:color w:val="231F20"/>
          <w:spacing w:val="2"/>
          <w:sz w:val="18"/>
        </w:rPr>
        <w:t>Martínez</w:t>
      </w:r>
    </w:p>
    <w:p>
      <w:pPr>
        <w:tabs>
          <w:tab w:pos="5875" w:val="left" w:leader="none"/>
        </w:tabs>
        <w:spacing w:before="65"/>
        <w:ind w:left="1610" w:right="0" w:firstLine="0"/>
        <w:jc w:val="left"/>
        <w:rPr>
          <w:sz w:val="18"/>
        </w:rPr>
      </w:pPr>
      <w:r>
        <w:rPr>
          <w:color w:val="231F20"/>
          <w:sz w:val="18"/>
        </w:rPr>
        <w:t>Antonio</w:t>
      </w:r>
      <w:r>
        <w:rPr>
          <w:color w:val="231F20"/>
          <w:spacing w:val="6"/>
          <w:sz w:val="18"/>
        </w:rPr>
        <w:t> </w:t>
      </w:r>
      <w:r>
        <w:rPr>
          <w:color w:val="231F20"/>
          <w:sz w:val="18"/>
        </w:rPr>
        <w:t>Gonzalez</w:t>
      </w:r>
      <w:r>
        <w:rPr>
          <w:color w:val="231F20"/>
          <w:spacing w:val="6"/>
          <w:sz w:val="18"/>
        </w:rPr>
        <w:t> </w:t>
      </w:r>
      <w:r>
        <w:rPr>
          <w:color w:val="231F20"/>
          <w:sz w:val="18"/>
        </w:rPr>
        <w:t>Nexticapan</w:t>
        <w:tab/>
        <w:t>M. Sánchez</w:t>
      </w:r>
      <w:r>
        <w:rPr>
          <w:color w:val="231F20"/>
          <w:spacing w:val="8"/>
          <w:sz w:val="18"/>
        </w:rPr>
        <w:t> </w:t>
      </w:r>
      <w:r>
        <w:rPr>
          <w:color w:val="231F20"/>
          <w:sz w:val="18"/>
        </w:rPr>
        <w:t>Borja</w:t>
      </w:r>
    </w:p>
    <w:p>
      <w:pPr>
        <w:tabs>
          <w:tab w:pos="5874" w:val="left" w:leader="none"/>
        </w:tabs>
        <w:spacing w:before="65"/>
        <w:ind w:left="1610" w:right="0" w:firstLine="0"/>
        <w:jc w:val="left"/>
        <w:rPr>
          <w:sz w:val="18"/>
        </w:rPr>
      </w:pPr>
      <w:r>
        <w:rPr>
          <w:color w:val="231F20"/>
          <w:spacing w:val="4"/>
          <w:sz w:val="18"/>
        </w:rPr>
        <w:t>Arturo </w:t>
      </w:r>
      <w:r>
        <w:rPr>
          <w:color w:val="231F20"/>
          <w:spacing w:val="2"/>
          <w:sz w:val="18"/>
        </w:rPr>
        <w:t>Hernán</w:t>
      </w:r>
      <w:r>
        <w:rPr>
          <w:color w:val="231F20"/>
          <w:spacing w:val="-7"/>
          <w:sz w:val="18"/>
        </w:rPr>
        <w:t> </w:t>
      </w:r>
      <w:r>
        <w:rPr>
          <w:color w:val="231F20"/>
          <w:sz w:val="18"/>
        </w:rPr>
        <w:t>Tagle</w:t>
      </w:r>
      <w:r>
        <w:rPr>
          <w:color w:val="231F20"/>
          <w:spacing w:val="-3"/>
          <w:sz w:val="18"/>
        </w:rPr>
        <w:t> </w:t>
      </w:r>
      <w:r>
        <w:rPr>
          <w:color w:val="231F20"/>
          <w:sz w:val="18"/>
        </w:rPr>
        <w:t>Reyes</w:t>
        <w:tab/>
        <w:t>Manuel Fortis</w:t>
      </w:r>
      <w:r>
        <w:rPr>
          <w:color w:val="231F20"/>
          <w:spacing w:val="22"/>
          <w:sz w:val="18"/>
        </w:rPr>
        <w:t> </w:t>
      </w:r>
      <w:r>
        <w:rPr>
          <w:color w:val="231F20"/>
          <w:sz w:val="18"/>
        </w:rPr>
        <w:t>Hernández</w:t>
      </w:r>
    </w:p>
    <w:p>
      <w:pPr>
        <w:tabs>
          <w:tab w:pos="5873" w:val="left" w:leader="none"/>
        </w:tabs>
        <w:spacing w:before="65"/>
        <w:ind w:left="1610" w:right="0" w:firstLine="0"/>
        <w:jc w:val="left"/>
        <w:rPr>
          <w:sz w:val="18"/>
        </w:rPr>
      </w:pPr>
      <w:r>
        <w:rPr>
          <w:color w:val="231F20"/>
          <w:sz w:val="18"/>
        </w:rPr>
        <w:t>Benjamin</w:t>
      </w:r>
      <w:r>
        <w:rPr>
          <w:color w:val="231F20"/>
          <w:spacing w:val="2"/>
          <w:sz w:val="18"/>
        </w:rPr>
        <w:t> Carrera </w:t>
      </w:r>
      <w:r>
        <w:rPr>
          <w:color w:val="231F20"/>
          <w:sz w:val="18"/>
        </w:rPr>
        <w:t>Chávez</w:t>
        <w:tab/>
        <w:t>Marco Antonio Audelo</w:t>
      </w:r>
      <w:r>
        <w:rPr>
          <w:color w:val="231F20"/>
          <w:spacing w:val="19"/>
          <w:sz w:val="18"/>
        </w:rPr>
        <w:t> </w:t>
      </w:r>
      <w:r>
        <w:rPr>
          <w:color w:val="231F20"/>
          <w:sz w:val="18"/>
        </w:rPr>
        <w:t>Benítez</w:t>
      </w:r>
    </w:p>
    <w:p>
      <w:pPr>
        <w:tabs>
          <w:tab w:pos="5873" w:val="left" w:leader="none"/>
        </w:tabs>
        <w:spacing w:before="65"/>
        <w:ind w:left="1610" w:right="0" w:firstLine="0"/>
        <w:jc w:val="left"/>
        <w:rPr>
          <w:sz w:val="18"/>
        </w:rPr>
      </w:pPr>
      <w:r>
        <w:rPr>
          <w:color w:val="231F20"/>
          <w:sz w:val="18"/>
        </w:rPr>
        <w:t>Blanca Alicia</w:t>
      </w:r>
      <w:r>
        <w:rPr>
          <w:color w:val="231F20"/>
          <w:spacing w:val="11"/>
          <w:sz w:val="18"/>
        </w:rPr>
        <w:t> </w:t>
      </w:r>
      <w:r>
        <w:rPr>
          <w:color w:val="231F20"/>
          <w:sz w:val="18"/>
        </w:rPr>
        <w:t>Rodriguez</w:t>
      </w:r>
      <w:r>
        <w:rPr>
          <w:color w:val="231F20"/>
          <w:spacing w:val="6"/>
          <w:sz w:val="18"/>
        </w:rPr>
        <w:t> </w:t>
      </w:r>
      <w:r>
        <w:rPr>
          <w:color w:val="231F20"/>
          <w:sz w:val="18"/>
        </w:rPr>
        <w:t>Patiño</w:t>
        <w:tab/>
        <w:t>Mario A. Vázquez</w:t>
      </w:r>
      <w:r>
        <w:rPr>
          <w:color w:val="231F20"/>
          <w:spacing w:val="6"/>
          <w:sz w:val="18"/>
        </w:rPr>
        <w:t> </w:t>
      </w:r>
      <w:r>
        <w:rPr>
          <w:color w:val="231F20"/>
          <w:sz w:val="18"/>
        </w:rPr>
        <w:t>Peña</w:t>
      </w:r>
    </w:p>
    <w:p>
      <w:pPr>
        <w:tabs>
          <w:tab w:pos="5873" w:val="left" w:leader="none"/>
        </w:tabs>
        <w:spacing w:before="65"/>
        <w:ind w:left="1610" w:right="0" w:firstLine="0"/>
        <w:jc w:val="left"/>
        <w:rPr>
          <w:sz w:val="18"/>
        </w:rPr>
      </w:pPr>
      <w:r>
        <w:rPr>
          <w:color w:val="231F20"/>
          <w:spacing w:val="3"/>
          <w:sz w:val="18"/>
        </w:rPr>
        <w:t>Carmina</w:t>
      </w:r>
      <w:r>
        <w:rPr>
          <w:color w:val="231F20"/>
          <w:spacing w:val="2"/>
          <w:sz w:val="18"/>
        </w:rPr>
        <w:t> </w:t>
      </w:r>
      <w:r>
        <w:rPr>
          <w:color w:val="231F20"/>
          <w:sz w:val="18"/>
        </w:rPr>
        <w:t>Romero</w:t>
      </w:r>
      <w:r>
        <w:rPr>
          <w:color w:val="231F20"/>
          <w:spacing w:val="2"/>
          <w:sz w:val="18"/>
        </w:rPr>
        <w:t> </w:t>
      </w:r>
      <w:r>
        <w:rPr>
          <w:color w:val="231F20"/>
          <w:sz w:val="18"/>
        </w:rPr>
        <w:t>Escudero</w:t>
        <w:tab/>
      </w:r>
      <w:r>
        <w:rPr>
          <w:color w:val="231F20"/>
          <w:spacing w:val="3"/>
          <w:sz w:val="18"/>
        </w:rPr>
        <w:t>Martha </w:t>
      </w:r>
      <w:r>
        <w:rPr>
          <w:color w:val="231F20"/>
          <w:sz w:val="18"/>
        </w:rPr>
        <w:t>Garay</w:t>
      </w:r>
      <w:r>
        <w:rPr>
          <w:color w:val="231F20"/>
          <w:spacing w:val="19"/>
          <w:sz w:val="18"/>
        </w:rPr>
        <w:t> </w:t>
      </w:r>
      <w:r>
        <w:rPr>
          <w:color w:val="231F20"/>
          <w:sz w:val="18"/>
        </w:rPr>
        <w:t>Hernández</w:t>
      </w:r>
    </w:p>
    <w:p>
      <w:pPr>
        <w:tabs>
          <w:tab w:pos="5874" w:val="left" w:leader="none"/>
        </w:tabs>
        <w:spacing w:before="65"/>
        <w:ind w:left="1610" w:right="0" w:firstLine="0"/>
        <w:jc w:val="left"/>
        <w:rPr>
          <w:sz w:val="18"/>
        </w:rPr>
      </w:pPr>
      <w:r>
        <w:rPr>
          <w:color w:val="231F20"/>
          <w:sz w:val="18"/>
        </w:rPr>
        <w:t>Claudia Eunice</w:t>
      </w:r>
      <w:r>
        <w:rPr>
          <w:color w:val="231F20"/>
          <w:spacing w:val="6"/>
          <w:sz w:val="18"/>
        </w:rPr>
        <w:t> </w:t>
      </w:r>
      <w:r>
        <w:rPr>
          <w:color w:val="231F20"/>
          <w:sz w:val="18"/>
        </w:rPr>
        <w:t>Rivera</w:t>
      </w:r>
      <w:r>
        <w:rPr>
          <w:color w:val="231F20"/>
          <w:spacing w:val="3"/>
          <w:sz w:val="18"/>
        </w:rPr>
        <w:t> </w:t>
      </w:r>
      <w:r>
        <w:rPr>
          <w:color w:val="231F20"/>
          <w:sz w:val="18"/>
        </w:rPr>
        <w:t>Morales</w:t>
        <w:tab/>
      </w:r>
      <w:r>
        <w:rPr>
          <w:color w:val="231F20"/>
          <w:spacing w:val="2"/>
          <w:sz w:val="18"/>
        </w:rPr>
        <w:t>Martha </w:t>
      </w:r>
      <w:r>
        <w:rPr>
          <w:color w:val="231F20"/>
          <w:sz w:val="18"/>
        </w:rPr>
        <w:t>Guadalupe </w:t>
      </w:r>
      <w:r>
        <w:rPr>
          <w:color w:val="231F20"/>
          <w:spacing w:val="3"/>
          <w:sz w:val="18"/>
        </w:rPr>
        <w:t>Irizar</w:t>
      </w:r>
      <w:r>
        <w:rPr>
          <w:color w:val="231F20"/>
          <w:spacing w:val="20"/>
          <w:sz w:val="18"/>
        </w:rPr>
        <w:t> </w:t>
      </w:r>
      <w:r>
        <w:rPr>
          <w:color w:val="231F20"/>
          <w:spacing w:val="2"/>
          <w:sz w:val="18"/>
        </w:rPr>
        <w:t>Garza</w:t>
      </w:r>
    </w:p>
    <w:p>
      <w:pPr>
        <w:tabs>
          <w:tab w:pos="5873" w:val="left" w:leader="none"/>
        </w:tabs>
        <w:spacing w:before="65"/>
        <w:ind w:left="1610" w:right="0" w:firstLine="0"/>
        <w:jc w:val="left"/>
        <w:rPr>
          <w:sz w:val="18"/>
        </w:rPr>
      </w:pPr>
      <w:r>
        <w:rPr>
          <w:color w:val="231F20"/>
          <w:sz w:val="18"/>
        </w:rPr>
        <w:t>David</w:t>
      </w:r>
      <w:r>
        <w:rPr>
          <w:color w:val="231F20"/>
          <w:spacing w:val="2"/>
          <w:sz w:val="18"/>
        </w:rPr>
        <w:t> </w:t>
      </w:r>
      <w:r>
        <w:rPr>
          <w:color w:val="231F20"/>
          <w:sz w:val="18"/>
        </w:rPr>
        <w:t>Cristóbal</w:t>
      </w:r>
      <w:r>
        <w:rPr>
          <w:color w:val="231F20"/>
          <w:spacing w:val="2"/>
          <w:sz w:val="18"/>
        </w:rPr>
        <w:t> </w:t>
      </w:r>
      <w:r>
        <w:rPr>
          <w:color w:val="231F20"/>
          <w:sz w:val="18"/>
        </w:rPr>
        <w:t>Acevedo</w:t>
        <w:tab/>
        <w:t>Micaela de La O</w:t>
      </w:r>
      <w:r>
        <w:rPr>
          <w:color w:val="231F20"/>
          <w:spacing w:val="7"/>
          <w:sz w:val="18"/>
        </w:rPr>
        <w:t> </w:t>
      </w:r>
      <w:r>
        <w:rPr>
          <w:color w:val="231F20"/>
          <w:sz w:val="18"/>
        </w:rPr>
        <w:t>Olán</w:t>
      </w:r>
    </w:p>
    <w:p>
      <w:pPr>
        <w:tabs>
          <w:tab w:pos="5873" w:val="left" w:leader="none"/>
        </w:tabs>
        <w:spacing w:before="65"/>
        <w:ind w:left="1610" w:right="0" w:firstLine="0"/>
        <w:jc w:val="left"/>
        <w:rPr>
          <w:sz w:val="18"/>
        </w:rPr>
      </w:pPr>
      <w:r>
        <w:rPr>
          <w:color w:val="231F20"/>
          <w:sz w:val="18"/>
        </w:rPr>
        <w:t>Denisse</w:t>
      </w:r>
      <w:r>
        <w:rPr>
          <w:color w:val="231F20"/>
          <w:spacing w:val="3"/>
          <w:sz w:val="18"/>
        </w:rPr>
        <w:t> </w:t>
      </w:r>
      <w:r>
        <w:rPr>
          <w:color w:val="231F20"/>
          <w:sz w:val="18"/>
        </w:rPr>
        <w:t>Téllez</w:t>
      </w:r>
      <w:r>
        <w:rPr>
          <w:color w:val="231F20"/>
          <w:spacing w:val="2"/>
          <w:sz w:val="18"/>
        </w:rPr>
        <w:t> </w:t>
      </w:r>
      <w:r>
        <w:rPr>
          <w:color w:val="231F20"/>
          <w:sz w:val="18"/>
        </w:rPr>
        <w:t>Mazzocco</w:t>
        <w:tab/>
        <w:t>Miguel Ángel Sánchez</w:t>
      </w:r>
      <w:r>
        <w:rPr>
          <w:color w:val="231F20"/>
          <w:spacing w:val="30"/>
          <w:sz w:val="18"/>
        </w:rPr>
        <w:t> </w:t>
      </w:r>
      <w:r>
        <w:rPr>
          <w:color w:val="231F20"/>
          <w:sz w:val="18"/>
        </w:rPr>
        <w:t>Hernández</w:t>
      </w:r>
    </w:p>
    <w:p>
      <w:pPr>
        <w:tabs>
          <w:tab w:pos="5873" w:val="left" w:leader="none"/>
        </w:tabs>
        <w:spacing w:before="65"/>
        <w:ind w:left="1610" w:right="0" w:firstLine="0"/>
        <w:jc w:val="left"/>
        <w:rPr>
          <w:sz w:val="18"/>
        </w:rPr>
      </w:pPr>
      <w:r>
        <w:rPr>
          <w:color w:val="231F20"/>
          <w:sz w:val="18"/>
        </w:rPr>
        <w:t>Diana</w:t>
      </w:r>
      <w:r>
        <w:rPr>
          <w:color w:val="231F20"/>
          <w:spacing w:val="4"/>
          <w:sz w:val="18"/>
        </w:rPr>
        <w:t> </w:t>
      </w:r>
      <w:r>
        <w:rPr>
          <w:color w:val="231F20"/>
          <w:sz w:val="18"/>
        </w:rPr>
        <w:t>Escobedo</w:t>
      </w:r>
      <w:r>
        <w:rPr>
          <w:color w:val="231F20"/>
          <w:spacing w:val="5"/>
          <w:sz w:val="18"/>
        </w:rPr>
        <w:t> </w:t>
      </w:r>
      <w:r>
        <w:rPr>
          <w:color w:val="231F20"/>
          <w:sz w:val="18"/>
        </w:rPr>
        <w:t>López</w:t>
        <w:tab/>
        <w:t>Miguel Ángel Segura</w:t>
      </w:r>
      <w:r>
        <w:rPr>
          <w:color w:val="231F20"/>
          <w:spacing w:val="24"/>
          <w:sz w:val="18"/>
        </w:rPr>
        <w:t> </w:t>
      </w:r>
      <w:r>
        <w:rPr>
          <w:color w:val="231F20"/>
          <w:spacing w:val="2"/>
          <w:sz w:val="18"/>
        </w:rPr>
        <w:t>Castruita</w:t>
      </w:r>
    </w:p>
    <w:p>
      <w:pPr>
        <w:tabs>
          <w:tab w:pos="5873" w:val="left" w:leader="none"/>
        </w:tabs>
        <w:spacing w:before="65"/>
        <w:ind w:left="1610" w:right="0" w:firstLine="0"/>
        <w:jc w:val="left"/>
        <w:rPr>
          <w:sz w:val="18"/>
        </w:rPr>
      </w:pPr>
      <w:r>
        <w:rPr>
          <w:color w:val="231F20"/>
          <w:sz w:val="18"/>
        </w:rPr>
        <w:t>Domingo Jairo</w:t>
      </w:r>
      <w:r>
        <w:rPr>
          <w:color w:val="231F20"/>
          <w:spacing w:val="12"/>
          <w:sz w:val="18"/>
        </w:rPr>
        <w:t> </w:t>
      </w:r>
      <w:r>
        <w:rPr>
          <w:color w:val="231F20"/>
          <w:sz w:val="18"/>
        </w:rPr>
        <w:t>Sánchez</w:t>
      </w:r>
      <w:r>
        <w:rPr>
          <w:color w:val="231F20"/>
          <w:spacing w:val="6"/>
          <w:sz w:val="18"/>
        </w:rPr>
        <w:t> </w:t>
      </w:r>
      <w:r>
        <w:rPr>
          <w:color w:val="231F20"/>
          <w:sz w:val="18"/>
        </w:rPr>
        <w:t>Hernández</w:t>
        <w:tab/>
      </w:r>
      <w:r>
        <w:rPr>
          <w:color w:val="231F20"/>
          <w:spacing w:val="2"/>
          <w:sz w:val="18"/>
        </w:rPr>
        <w:t>Miriam Aguilar</w:t>
      </w:r>
      <w:r>
        <w:rPr>
          <w:color w:val="231F20"/>
          <w:spacing w:val="6"/>
          <w:sz w:val="18"/>
        </w:rPr>
        <w:t> </w:t>
      </w:r>
      <w:r>
        <w:rPr>
          <w:color w:val="231F20"/>
          <w:sz w:val="18"/>
        </w:rPr>
        <w:t>Delgado</w:t>
      </w:r>
    </w:p>
    <w:p>
      <w:pPr>
        <w:tabs>
          <w:tab w:pos="5874" w:val="left" w:leader="none"/>
        </w:tabs>
        <w:spacing w:before="65"/>
        <w:ind w:left="1610" w:right="0" w:firstLine="0"/>
        <w:jc w:val="left"/>
        <w:rPr>
          <w:sz w:val="18"/>
        </w:rPr>
      </w:pPr>
      <w:r>
        <w:rPr>
          <w:color w:val="231F20"/>
          <w:sz w:val="18"/>
        </w:rPr>
        <w:t>Dora María</w:t>
      </w:r>
      <w:r>
        <w:rPr>
          <w:color w:val="231F20"/>
          <w:spacing w:val="9"/>
          <w:sz w:val="18"/>
        </w:rPr>
        <w:t> </w:t>
      </w:r>
      <w:r>
        <w:rPr>
          <w:color w:val="231F20"/>
          <w:spacing w:val="2"/>
          <w:sz w:val="18"/>
        </w:rPr>
        <w:t>Sangerman</w:t>
      </w:r>
      <w:r>
        <w:rPr>
          <w:color w:val="231F20"/>
          <w:spacing w:val="5"/>
          <w:sz w:val="18"/>
        </w:rPr>
        <w:t> </w:t>
      </w:r>
      <w:r>
        <w:rPr>
          <w:color w:val="231F20"/>
          <w:sz w:val="18"/>
        </w:rPr>
        <w:t>Jarquín</w:t>
        <w:tab/>
        <w:t>Pablo Preciado</w:t>
      </w:r>
      <w:r>
        <w:rPr>
          <w:color w:val="231F20"/>
          <w:spacing w:val="9"/>
          <w:sz w:val="18"/>
        </w:rPr>
        <w:t> </w:t>
      </w:r>
      <w:r>
        <w:rPr>
          <w:color w:val="231F20"/>
          <w:sz w:val="18"/>
        </w:rPr>
        <w:t>Rangel</w:t>
      </w:r>
    </w:p>
    <w:p>
      <w:pPr>
        <w:tabs>
          <w:tab w:pos="5875" w:val="left" w:leader="none"/>
        </w:tabs>
        <w:spacing w:before="65"/>
        <w:ind w:left="1610" w:right="0" w:firstLine="0"/>
        <w:jc w:val="left"/>
        <w:rPr>
          <w:sz w:val="18"/>
        </w:rPr>
      </w:pPr>
      <w:r>
        <w:rPr>
          <w:color w:val="231F20"/>
          <w:sz w:val="18"/>
        </w:rPr>
        <w:t>Eduardo</w:t>
      </w:r>
      <w:r>
        <w:rPr>
          <w:color w:val="231F20"/>
          <w:spacing w:val="5"/>
          <w:sz w:val="18"/>
        </w:rPr>
        <w:t> </w:t>
      </w:r>
      <w:r>
        <w:rPr>
          <w:color w:val="231F20"/>
          <w:sz w:val="18"/>
        </w:rPr>
        <w:t>Espitia</w:t>
      </w:r>
      <w:r>
        <w:rPr>
          <w:color w:val="231F20"/>
          <w:spacing w:val="5"/>
          <w:sz w:val="18"/>
        </w:rPr>
        <w:t> </w:t>
      </w:r>
      <w:r>
        <w:rPr>
          <w:color w:val="231F20"/>
          <w:sz w:val="18"/>
        </w:rPr>
        <w:t>Rangel</w:t>
        <w:tab/>
        <w:t>Patricia Rivas</w:t>
      </w:r>
      <w:r>
        <w:rPr>
          <w:color w:val="231F20"/>
          <w:spacing w:val="6"/>
          <w:sz w:val="18"/>
        </w:rPr>
        <w:t> </w:t>
      </w:r>
      <w:r>
        <w:rPr>
          <w:color w:val="231F20"/>
          <w:sz w:val="18"/>
        </w:rPr>
        <w:t>Valencia</w:t>
      </w:r>
    </w:p>
    <w:p>
      <w:pPr>
        <w:tabs>
          <w:tab w:pos="5874" w:val="left" w:leader="none"/>
        </w:tabs>
        <w:spacing w:before="65"/>
        <w:ind w:left="1610" w:right="0" w:firstLine="0"/>
        <w:jc w:val="left"/>
        <w:rPr>
          <w:sz w:val="18"/>
        </w:rPr>
      </w:pPr>
      <w:r>
        <w:rPr>
          <w:color w:val="231F20"/>
          <w:sz w:val="18"/>
        </w:rPr>
        <w:t>Efrén</w:t>
      </w:r>
      <w:r>
        <w:rPr>
          <w:color w:val="231F20"/>
          <w:spacing w:val="5"/>
          <w:sz w:val="18"/>
        </w:rPr>
        <w:t> </w:t>
      </w:r>
      <w:r>
        <w:rPr>
          <w:color w:val="231F20"/>
          <w:sz w:val="18"/>
        </w:rPr>
        <w:t>Juárez</w:t>
      </w:r>
      <w:r>
        <w:rPr>
          <w:color w:val="231F20"/>
          <w:spacing w:val="6"/>
          <w:sz w:val="18"/>
        </w:rPr>
        <w:t> </w:t>
      </w:r>
      <w:r>
        <w:rPr>
          <w:color w:val="231F20"/>
          <w:sz w:val="18"/>
        </w:rPr>
        <w:t>Castillo</w:t>
        <w:tab/>
        <w:t>Pedro Cano</w:t>
      </w:r>
      <w:r>
        <w:rPr>
          <w:color w:val="231F20"/>
          <w:spacing w:val="12"/>
          <w:sz w:val="18"/>
        </w:rPr>
        <w:t> </w:t>
      </w:r>
      <w:r>
        <w:rPr>
          <w:color w:val="231F20"/>
          <w:sz w:val="18"/>
        </w:rPr>
        <w:t>Ríos</w:t>
      </w:r>
    </w:p>
    <w:p>
      <w:pPr>
        <w:tabs>
          <w:tab w:pos="5874" w:val="left" w:leader="none"/>
        </w:tabs>
        <w:spacing w:before="65"/>
        <w:ind w:left="1610" w:right="0" w:firstLine="0"/>
        <w:jc w:val="left"/>
        <w:rPr>
          <w:sz w:val="18"/>
        </w:rPr>
      </w:pPr>
      <w:r>
        <w:rPr>
          <w:color w:val="231F20"/>
          <w:sz w:val="18"/>
        </w:rPr>
        <w:t>Elizabeth</w:t>
      </w:r>
      <w:r>
        <w:rPr>
          <w:color w:val="231F20"/>
          <w:spacing w:val="7"/>
          <w:sz w:val="18"/>
        </w:rPr>
        <w:t> </w:t>
      </w:r>
      <w:r>
        <w:rPr>
          <w:color w:val="231F20"/>
          <w:sz w:val="18"/>
        </w:rPr>
        <w:t>Hernández</w:t>
      </w:r>
      <w:r>
        <w:rPr>
          <w:color w:val="231F20"/>
          <w:spacing w:val="7"/>
          <w:sz w:val="18"/>
        </w:rPr>
        <w:t> </w:t>
      </w:r>
      <w:r>
        <w:rPr>
          <w:color w:val="231F20"/>
          <w:sz w:val="18"/>
        </w:rPr>
        <w:t>Acosta</w:t>
        <w:tab/>
        <w:t>R. C.</w:t>
      </w:r>
      <w:r>
        <w:rPr>
          <w:color w:val="231F20"/>
          <w:spacing w:val="-12"/>
          <w:sz w:val="18"/>
        </w:rPr>
        <w:t> </w:t>
      </w:r>
      <w:r>
        <w:rPr>
          <w:color w:val="231F20"/>
          <w:sz w:val="18"/>
        </w:rPr>
        <w:t>May-Tzun</w:t>
      </w:r>
    </w:p>
    <w:p>
      <w:pPr>
        <w:tabs>
          <w:tab w:pos="5874" w:val="left" w:leader="none"/>
        </w:tabs>
        <w:spacing w:before="65"/>
        <w:ind w:left="1610" w:right="0" w:firstLine="0"/>
        <w:jc w:val="left"/>
        <w:rPr>
          <w:sz w:val="18"/>
        </w:rPr>
      </w:pPr>
      <w:r>
        <w:rPr>
          <w:color w:val="231F20"/>
          <w:sz w:val="18"/>
        </w:rPr>
        <w:t>Esther</w:t>
      </w:r>
      <w:r>
        <w:rPr>
          <w:color w:val="231F20"/>
          <w:spacing w:val="6"/>
          <w:sz w:val="18"/>
        </w:rPr>
        <w:t> </w:t>
      </w:r>
      <w:r>
        <w:rPr>
          <w:color w:val="231F20"/>
          <w:sz w:val="18"/>
        </w:rPr>
        <w:t>Figueroa</w:t>
      </w:r>
      <w:r>
        <w:rPr>
          <w:color w:val="231F20"/>
          <w:spacing w:val="6"/>
          <w:sz w:val="18"/>
        </w:rPr>
        <w:t> </w:t>
      </w:r>
      <w:r>
        <w:rPr>
          <w:color w:val="231F20"/>
          <w:sz w:val="18"/>
        </w:rPr>
        <w:t>Hernández</w:t>
        <w:tab/>
        <w:t>R. Munguía</w:t>
      </w:r>
      <w:r>
        <w:rPr>
          <w:color w:val="231F20"/>
          <w:spacing w:val="15"/>
          <w:sz w:val="18"/>
        </w:rPr>
        <w:t> </w:t>
      </w:r>
      <w:r>
        <w:rPr>
          <w:color w:val="231F20"/>
          <w:sz w:val="18"/>
        </w:rPr>
        <w:t>Rosales</w:t>
      </w:r>
    </w:p>
    <w:p>
      <w:pPr>
        <w:tabs>
          <w:tab w:pos="5873" w:val="left" w:leader="none"/>
        </w:tabs>
        <w:spacing w:before="65"/>
        <w:ind w:left="1610" w:right="0" w:firstLine="0"/>
        <w:jc w:val="left"/>
        <w:rPr>
          <w:sz w:val="18"/>
        </w:rPr>
      </w:pPr>
      <w:r>
        <w:rPr>
          <w:color w:val="231F20"/>
          <w:sz w:val="18"/>
        </w:rPr>
        <w:t>Francisco</w:t>
      </w:r>
      <w:r>
        <w:rPr>
          <w:color w:val="231F20"/>
          <w:spacing w:val="2"/>
          <w:sz w:val="18"/>
        </w:rPr>
        <w:t> </w:t>
      </w:r>
      <w:r>
        <w:rPr>
          <w:color w:val="231F20"/>
          <w:sz w:val="18"/>
        </w:rPr>
        <w:t>Pérez</w:t>
      </w:r>
      <w:r>
        <w:rPr>
          <w:color w:val="231F20"/>
          <w:spacing w:val="2"/>
          <w:sz w:val="18"/>
        </w:rPr>
        <w:t> </w:t>
      </w:r>
      <w:r>
        <w:rPr>
          <w:color w:val="231F20"/>
          <w:sz w:val="18"/>
        </w:rPr>
        <w:t>Soto</w:t>
        <w:tab/>
      </w:r>
      <w:r>
        <w:rPr>
          <w:color w:val="231F20"/>
          <w:spacing w:val="2"/>
          <w:sz w:val="18"/>
        </w:rPr>
        <w:t>Radames </w:t>
      </w:r>
      <w:r>
        <w:rPr>
          <w:color w:val="231F20"/>
          <w:sz w:val="18"/>
        </w:rPr>
        <w:t>Trejo</w:t>
      </w:r>
      <w:r>
        <w:rPr>
          <w:color w:val="231F20"/>
          <w:spacing w:val="-17"/>
          <w:sz w:val="18"/>
        </w:rPr>
        <w:t> </w:t>
      </w:r>
      <w:r>
        <w:rPr>
          <w:color w:val="231F20"/>
          <w:sz w:val="18"/>
        </w:rPr>
        <w:t>Valencia</w:t>
      </w:r>
    </w:p>
    <w:p>
      <w:pPr>
        <w:tabs>
          <w:tab w:pos="5873" w:val="left" w:leader="none"/>
        </w:tabs>
        <w:spacing w:before="65"/>
        <w:ind w:left="1610" w:right="0" w:firstLine="0"/>
        <w:jc w:val="left"/>
        <w:rPr>
          <w:sz w:val="18"/>
        </w:rPr>
      </w:pPr>
      <w:r>
        <w:rPr>
          <w:color w:val="231F20"/>
          <w:sz w:val="18"/>
        </w:rPr>
        <w:t>Gabriela</w:t>
      </w:r>
      <w:r>
        <w:rPr>
          <w:color w:val="231F20"/>
          <w:spacing w:val="1"/>
          <w:sz w:val="18"/>
        </w:rPr>
        <w:t> </w:t>
      </w:r>
      <w:r>
        <w:rPr>
          <w:color w:val="231F20"/>
          <w:spacing w:val="2"/>
          <w:sz w:val="18"/>
        </w:rPr>
        <w:t>Andrade</w:t>
      </w:r>
      <w:r>
        <w:rPr>
          <w:color w:val="231F20"/>
          <w:spacing w:val="3"/>
          <w:sz w:val="18"/>
        </w:rPr>
        <w:t> Durán</w:t>
        <w:tab/>
      </w:r>
      <w:r>
        <w:rPr>
          <w:color w:val="231F20"/>
          <w:sz w:val="18"/>
        </w:rPr>
        <w:t>Ramón </w:t>
      </w:r>
      <w:r>
        <w:rPr>
          <w:color w:val="231F20"/>
          <w:spacing w:val="2"/>
          <w:sz w:val="18"/>
        </w:rPr>
        <w:t>Arteaga</w:t>
      </w:r>
      <w:r>
        <w:rPr>
          <w:color w:val="231F20"/>
          <w:spacing w:val="12"/>
          <w:sz w:val="18"/>
        </w:rPr>
        <w:t> </w:t>
      </w:r>
      <w:r>
        <w:rPr>
          <w:color w:val="231F20"/>
          <w:spacing w:val="2"/>
          <w:sz w:val="18"/>
        </w:rPr>
        <w:t>Ramírez</w:t>
      </w:r>
    </w:p>
    <w:p>
      <w:pPr>
        <w:tabs>
          <w:tab w:pos="5872" w:val="left" w:leader="none"/>
        </w:tabs>
        <w:spacing w:before="65"/>
        <w:ind w:left="1610" w:right="0" w:firstLine="0"/>
        <w:jc w:val="left"/>
        <w:rPr>
          <w:sz w:val="18"/>
        </w:rPr>
      </w:pPr>
      <w:r>
        <w:rPr>
          <w:color w:val="231F20"/>
          <w:sz w:val="18"/>
        </w:rPr>
        <w:t>Gerónimo</w:t>
      </w:r>
      <w:r>
        <w:rPr>
          <w:color w:val="231F20"/>
          <w:spacing w:val="4"/>
          <w:sz w:val="18"/>
        </w:rPr>
        <w:t> </w:t>
      </w:r>
      <w:r>
        <w:rPr>
          <w:color w:val="231F20"/>
          <w:spacing w:val="2"/>
          <w:sz w:val="18"/>
        </w:rPr>
        <w:t>Barrios</w:t>
      </w:r>
      <w:r>
        <w:rPr>
          <w:color w:val="231F20"/>
          <w:spacing w:val="4"/>
          <w:sz w:val="18"/>
        </w:rPr>
        <w:t> </w:t>
      </w:r>
      <w:r>
        <w:rPr>
          <w:color w:val="231F20"/>
          <w:sz w:val="18"/>
        </w:rPr>
        <w:t>Puente</w:t>
        <w:tab/>
        <w:t>Ricardo García</w:t>
      </w:r>
      <w:r>
        <w:rPr>
          <w:color w:val="231F20"/>
          <w:spacing w:val="20"/>
          <w:sz w:val="18"/>
        </w:rPr>
        <w:t> </w:t>
      </w:r>
      <w:r>
        <w:rPr>
          <w:color w:val="231F20"/>
          <w:sz w:val="18"/>
        </w:rPr>
        <w:t>Morales</w:t>
      </w:r>
    </w:p>
    <w:p>
      <w:pPr>
        <w:tabs>
          <w:tab w:pos="5874" w:val="left" w:leader="none"/>
        </w:tabs>
        <w:spacing w:before="65"/>
        <w:ind w:left="1610" w:right="0" w:firstLine="0"/>
        <w:jc w:val="left"/>
        <w:rPr>
          <w:sz w:val="18"/>
        </w:rPr>
      </w:pPr>
      <w:r>
        <w:rPr>
          <w:color w:val="231F20"/>
          <w:sz w:val="18"/>
        </w:rPr>
        <w:t>Gustavo</w:t>
      </w:r>
      <w:r>
        <w:rPr>
          <w:color w:val="231F20"/>
          <w:spacing w:val="1"/>
          <w:sz w:val="18"/>
        </w:rPr>
        <w:t> </w:t>
      </w:r>
      <w:r>
        <w:rPr>
          <w:color w:val="231F20"/>
          <w:spacing w:val="2"/>
          <w:sz w:val="18"/>
        </w:rPr>
        <w:t>Almaguer</w:t>
      </w:r>
      <w:r>
        <w:rPr>
          <w:color w:val="231F20"/>
          <w:sz w:val="18"/>
        </w:rPr>
        <w:t> Vargas</w:t>
        <w:tab/>
      </w:r>
      <w:r>
        <w:rPr>
          <w:color w:val="231F20"/>
          <w:spacing w:val="2"/>
          <w:sz w:val="18"/>
        </w:rPr>
        <w:t>Rita </w:t>
      </w:r>
      <w:r>
        <w:rPr>
          <w:color w:val="231F20"/>
          <w:sz w:val="18"/>
        </w:rPr>
        <w:t>Schwentesius</w:t>
      </w:r>
      <w:r>
        <w:rPr>
          <w:color w:val="231F20"/>
          <w:spacing w:val="2"/>
          <w:sz w:val="18"/>
        </w:rPr>
        <w:t> </w:t>
      </w:r>
      <w:r>
        <w:rPr>
          <w:color w:val="231F20"/>
          <w:spacing w:val="3"/>
          <w:sz w:val="18"/>
        </w:rPr>
        <w:t>Rindermann</w:t>
      </w:r>
    </w:p>
    <w:p>
      <w:pPr>
        <w:tabs>
          <w:tab w:pos="5873" w:val="left" w:leader="none"/>
        </w:tabs>
        <w:spacing w:before="65"/>
        <w:ind w:left="1610" w:right="0" w:firstLine="0"/>
        <w:jc w:val="left"/>
        <w:rPr>
          <w:sz w:val="18"/>
        </w:rPr>
      </w:pPr>
      <w:r>
        <w:rPr>
          <w:color w:val="231F20"/>
          <w:sz w:val="18"/>
        </w:rPr>
        <w:t>Héctor Gabriel</w:t>
      </w:r>
      <w:r>
        <w:rPr>
          <w:color w:val="231F20"/>
          <w:spacing w:val="6"/>
          <w:sz w:val="18"/>
        </w:rPr>
        <w:t> </w:t>
      </w:r>
      <w:r>
        <w:rPr>
          <w:color w:val="231F20"/>
          <w:sz w:val="18"/>
        </w:rPr>
        <w:t>Acosta</w:t>
      </w:r>
      <w:r>
        <w:rPr>
          <w:color w:val="231F20"/>
          <w:spacing w:val="1"/>
          <w:sz w:val="18"/>
        </w:rPr>
        <w:t> </w:t>
      </w:r>
      <w:r>
        <w:rPr>
          <w:color w:val="231F20"/>
          <w:sz w:val="18"/>
        </w:rPr>
        <w:t>Mesa</w:t>
        <w:tab/>
        <w:t>Rocío Cervantes</w:t>
      </w:r>
      <w:r>
        <w:rPr>
          <w:color w:val="231F20"/>
          <w:spacing w:val="29"/>
          <w:sz w:val="18"/>
        </w:rPr>
        <w:t> </w:t>
      </w:r>
      <w:r>
        <w:rPr>
          <w:color w:val="231F20"/>
          <w:sz w:val="18"/>
        </w:rPr>
        <w:t>Osornio</w:t>
      </w:r>
    </w:p>
    <w:p>
      <w:pPr>
        <w:tabs>
          <w:tab w:pos="5872" w:val="left" w:leader="none"/>
        </w:tabs>
        <w:spacing w:before="65"/>
        <w:ind w:left="1610" w:right="0" w:firstLine="0"/>
        <w:jc w:val="left"/>
        <w:rPr>
          <w:sz w:val="18"/>
        </w:rPr>
      </w:pPr>
      <w:r>
        <w:rPr>
          <w:color w:val="231F20"/>
          <w:sz w:val="18"/>
        </w:rPr>
        <w:t>Higinio</w:t>
      </w:r>
      <w:r>
        <w:rPr>
          <w:color w:val="231F20"/>
          <w:spacing w:val="4"/>
          <w:sz w:val="18"/>
        </w:rPr>
        <w:t> </w:t>
      </w:r>
      <w:r>
        <w:rPr>
          <w:color w:val="231F20"/>
          <w:sz w:val="18"/>
        </w:rPr>
        <w:t>López</w:t>
      </w:r>
      <w:r>
        <w:rPr>
          <w:color w:val="231F20"/>
          <w:spacing w:val="4"/>
          <w:sz w:val="18"/>
        </w:rPr>
        <w:t> </w:t>
      </w:r>
      <w:r>
        <w:rPr>
          <w:color w:val="231F20"/>
          <w:sz w:val="18"/>
        </w:rPr>
        <w:t>Sánchez</w:t>
        <w:tab/>
        <w:t>Said Zaldivar</w:t>
      </w:r>
      <w:r>
        <w:rPr>
          <w:color w:val="231F20"/>
          <w:spacing w:val="25"/>
          <w:sz w:val="18"/>
        </w:rPr>
        <w:t> </w:t>
      </w:r>
      <w:r>
        <w:rPr>
          <w:color w:val="231F20"/>
          <w:sz w:val="18"/>
        </w:rPr>
        <w:t>Hernández</w:t>
      </w:r>
    </w:p>
    <w:p>
      <w:pPr>
        <w:tabs>
          <w:tab w:pos="5874" w:val="left" w:leader="none"/>
        </w:tabs>
        <w:spacing w:before="65"/>
        <w:ind w:left="1610" w:right="0" w:firstLine="0"/>
        <w:jc w:val="left"/>
        <w:rPr>
          <w:sz w:val="18"/>
        </w:rPr>
      </w:pPr>
      <w:r>
        <w:rPr>
          <w:color w:val="231F20"/>
          <w:sz w:val="18"/>
        </w:rPr>
        <w:t>Hugo</w:t>
      </w:r>
      <w:r>
        <w:rPr>
          <w:color w:val="231F20"/>
          <w:spacing w:val="3"/>
          <w:sz w:val="18"/>
        </w:rPr>
        <w:t> </w:t>
      </w:r>
      <w:r>
        <w:rPr>
          <w:color w:val="231F20"/>
          <w:sz w:val="18"/>
        </w:rPr>
        <w:t>Mendoza</w:t>
      </w:r>
      <w:r>
        <w:rPr>
          <w:color w:val="231F20"/>
          <w:spacing w:val="3"/>
          <w:sz w:val="18"/>
        </w:rPr>
        <w:t> </w:t>
      </w:r>
      <w:r>
        <w:rPr>
          <w:color w:val="231F20"/>
          <w:sz w:val="18"/>
        </w:rPr>
        <w:t>Netzahual</w:t>
        <w:tab/>
        <w:t>Sergio Roberto Márquez</w:t>
      </w:r>
      <w:r>
        <w:rPr>
          <w:color w:val="231F20"/>
          <w:spacing w:val="28"/>
          <w:sz w:val="18"/>
        </w:rPr>
        <w:t> </w:t>
      </w:r>
      <w:r>
        <w:rPr>
          <w:color w:val="231F20"/>
          <w:sz w:val="18"/>
        </w:rPr>
        <w:t>Berber</w:t>
      </w:r>
    </w:p>
    <w:p>
      <w:pPr>
        <w:tabs>
          <w:tab w:pos="5873" w:val="left" w:leader="none"/>
        </w:tabs>
        <w:spacing w:before="65"/>
        <w:ind w:left="1610" w:right="0" w:firstLine="0"/>
        <w:jc w:val="left"/>
        <w:rPr>
          <w:sz w:val="18"/>
        </w:rPr>
      </w:pPr>
      <w:r>
        <w:rPr>
          <w:color w:val="231F20"/>
          <w:sz w:val="18"/>
        </w:rPr>
        <w:t>Jesús</w:t>
      </w:r>
      <w:r>
        <w:rPr>
          <w:color w:val="231F20"/>
          <w:spacing w:val="5"/>
          <w:sz w:val="18"/>
        </w:rPr>
        <w:t> </w:t>
      </w:r>
      <w:r>
        <w:rPr>
          <w:color w:val="231F20"/>
          <w:sz w:val="18"/>
        </w:rPr>
        <w:t>Albino</w:t>
      </w:r>
      <w:r>
        <w:rPr>
          <w:color w:val="231F20"/>
          <w:spacing w:val="5"/>
          <w:sz w:val="18"/>
        </w:rPr>
        <w:t> </w:t>
      </w:r>
      <w:r>
        <w:rPr>
          <w:color w:val="231F20"/>
          <w:sz w:val="18"/>
        </w:rPr>
        <w:t>Bautista</w:t>
        <w:tab/>
        <w:t>Waldo Ojeda</w:t>
      </w:r>
      <w:r>
        <w:rPr>
          <w:color w:val="231F20"/>
          <w:spacing w:val="16"/>
          <w:sz w:val="18"/>
        </w:rPr>
        <w:t> </w:t>
      </w:r>
      <w:r>
        <w:rPr>
          <w:color w:val="231F20"/>
          <w:sz w:val="18"/>
        </w:rPr>
        <w:t>Bustamante</w:t>
      </w:r>
    </w:p>
    <w:p>
      <w:pPr>
        <w:tabs>
          <w:tab w:pos="5874" w:val="left" w:leader="none"/>
        </w:tabs>
        <w:spacing w:before="65"/>
        <w:ind w:left="1610" w:right="0" w:firstLine="0"/>
        <w:jc w:val="left"/>
        <w:rPr>
          <w:sz w:val="18"/>
        </w:rPr>
      </w:pPr>
      <w:r>
        <w:rPr>
          <w:color w:val="231F20"/>
          <w:sz w:val="18"/>
        </w:rPr>
        <w:t>José </w:t>
      </w:r>
      <w:r>
        <w:rPr>
          <w:color w:val="231F20"/>
          <w:spacing w:val="2"/>
          <w:sz w:val="18"/>
        </w:rPr>
        <w:t>Guadalupe</w:t>
      </w:r>
      <w:r>
        <w:rPr>
          <w:color w:val="231F20"/>
          <w:spacing w:val="3"/>
          <w:sz w:val="18"/>
        </w:rPr>
        <w:t> </w:t>
      </w:r>
      <w:r>
        <w:rPr>
          <w:color w:val="231F20"/>
          <w:sz w:val="18"/>
        </w:rPr>
        <w:t>Luna</w:t>
      </w:r>
      <w:r>
        <w:rPr>
          <w:color w:val="231F20"/>
          <w:spacing w:val="1"/>
          <w:sz w:val="18"/>
        </w:rPr>
        <w:t> </w:t>
      </w:r>
      <w:r>
        <w:rPr>
          <w:color w:val="231F20"/>
          <w:spacing w:val="2"/>
          <w:sz w:val="18"/>
        </w:rPr>
        <w:t>Ortega</w:t>
        <w:tab/>
      </w:r>
      <w:r>
        <w:rPr>
          <w:color w:val="231F20"/>
          <w:sz w:val="18"/>
        </w:rPr>
        <w:t>Wilfrido Flores</w:t>
      </w:r>
      <w:r>
        <w:rPr>
          <w:color w:val="231F20"/>
          <w:spacing w:val="16"/>
          <w:sz w:val="18"/>
        </w:rPr>
        <w:t> </w:t>
      </w:r>
      <w:r>
        <w:rPr>
          <w:color w:val="231F20"/>
          <w:sz w:val="18"/>
        </w:rPr>
        <w:t>Pérez</w:t>
      </w:r>
    </w:p>
    <w:p>
      <w:pPr>
        <w:tabs>
          <w:tab w:pos="5874" w:val="left" w:leader="none"/>
        </w:tabs>
        <w:spacing w:line="314" w:lineRule="auto" w:before="65"/>
        <w:ind w:left="1610" w:right="2914" w:firstLine="0"/>
        <w:jc w:val="left"/>
        <w:rPr>
          <w:sz w:val="18"/>
        </w:rPr>
      </w:pPr>
      <w:r>
        <w:rPr>
          <w:color w:val="231F20"/>
          <w:sz w:val="18"/>
        </w:rPr>
        <w:t>José Luis</w:t>
      </w:r>
      <w:r>
        <w:rPr>
          <w:color w:val="231F20"/>
          <w:spacing w:val="8"/>
          <w:sz w:val="18"/>
        </w:rPr>
        <w:t> </w:t>
      </w:r>
      <w:r>
        <w:rPr>
          <w:color w:val="231F20"/>
          <w:sz w:val="18"/>
        </w:rPr>
        <w:t>García</w:t>
      </w:r>
      <w:r>
        <w:rPr>
          <w:color w:val="231F20"/>
          <w:spacing w:val="5"/>
          <w:sz w:val="18"/>
        </w:rPr>
        <w:t> </w:t>
      </w:r>
      <w:r>
        <w:rPr>
          <w:color w:val="231F20"/>
          <w:sz w:val="18"/>
        </w:rPr>
        <w:t>Hernández</w:t>
        <w:tab/>
        <w:t>Yazmín</w:t>
      </w:r>
      <w:r>
        <w:rPr>
          <w:color w:val="231F20"/>
          <w:spacing w:val="8"/>
          <w:sz w:val="18"/>
        </w:rPr>
        <w:t> </w:t>
      </w:r>
      <w:r>
        <w:rPr>
          <w:color w:val="231F20"/>
          <w:sz w:val="18"/>
        </w:rPr>
        <w:t>García</w:t>
      </w:r>
      <w:r>
        <w:rPr>
          <w:color w:val="231F20"/>
          <w:spacing w:val="10"/>
          <w:sz w:val="18"/>
        </w:rPr>
        <w:t> </w:t>
      </w:r>
      <w:r>
        <w:rPr>
          <w:color w:val="231F20"/>
          <w:sz w:val="18"/>
        </w:rPr>
        <w:t>Salinas Juan Fernández</w:t>
      </w:r>
      <w:r>
        <w:rPr>
          <w:color w:val="231F20"/>
          <w:spacing w:val="20"/>
          <w:sz w:val="18"/>
        </w:rPr>
        <w:t> </w:t>
      </w:r>
      <w:r>
        <w:rPr>
          <w:color w:val="231F20"/>
          <w:spacing w:val="2"/>
          <w:sz w:val="18"/>
        </w:rPr>
        <w:t>Ruiz</w:t>
      </w:r>
    </w:p>
    <w:p>
      <w:pPr>
        <w:spacing w:after="0" w:line="314" w:lineRule="auto"/>
        <w:jc w:val="left"/>
        <w:rPr>
          <w:sz w:val="18"/>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spacing w:before="0"/>
        <w:ind w:left="1386" w:right="1551" w:firstLine="0"/>
        <w:jc w:val="right"/>
        <w:rPr>
          <w:sz w:val="24"/>
        </w:rPr>
      </w:pPr>
      <w:r>
        <w:rPr>
          <w:color w:val="231F20"/>
          <w:sz w:val="24"/>
        </w:rPr>
        <w:t>CONTENIDO</w:t>
      </w:r>
    </w:p>
    <w:p>
      <w:pPr>
        <w:tabs>
          <w:tab w:pos="8769" w:val="right" w:leader="none"/>
        </w:tabs>
        <w:spacing w:before="96"/>
        <w:ind w:left="1633" w:right="0" w:firstLine="0"/>
        <w:jc w:val="left"/>
        <w:rPr>
          <w:sz w:val="18"/>
        </w:rPr>
      </w:pPr>
      <w:r>
        <w:rPr>
          <w:color w:val="231F20"/>
          <w:sz w:val="18"/>
        </w:rPr>
        <w:t>PRESENTACIÓN</w:t>
        <w:tab/>
      </w:r>
      <w:r>
        <w:rPr>
          <w:color w:val="231F20"/>
          <w:spacing w:val="-3"/>
          <w:sz w:val="18"/>
        </w:rPr>
        <w:t>13</w:t>
      </w:r>
    </w:p>
    <w:p>
      <w:pPr>
        <w:tabs>
          <w:tab w:pos="8772" w:val="right" w:leader="none"/>
        </w:tabs>
        <w:spacing w:before="110"/>
        <w:ind w:left="1633" w:right="0" w:firstLine="0"/>
        <w:jc w:val="left"/>
        <w:rPr>
          <w:sz w:val="18"/>
        </w:rPr>
      </w:pPr>
      <w:r>
        <w:rPr>
          <w:color w:val="231F20"/>
          <w:sz w:val="18"/>
        </w:rPr>
        <w:t>INTRODUCCIÓN: DESARROLLO</w:t>
      </w:r>
      <w:r>
        <w:rPr>
          <w:color w:val="231F20"/>
          <w:spacing w:val="-1"/>
          <w:sz w:val="18"/>
        </w:rPr>
        <w:t> </w:t>
      </w:r>
      <w:r>
        <w:rPr>
          <w:color w:val="231F20"/>
          <w:sz w:val="18"/>
        </w:rPr>
        <w:t>Y</w:t>
      </w:r>
      <w:r>
        <w:rPr>
          <w:color w:val="231F20"/>
          <w:spacing w:val="-1"/>
          <w:sz w:val="18"/>
        </w:rPr>
        <w:t> </w:t>
      </w:r>
      <w:r>
        <w:rPr>
          <w:color w:val="231F20"/>
          <w:sz w:val="18"/>
        </w:rPr>
        <w:t>TECNOLOGÍA</w:t>
        <w:tab/>
        <w:t>23</w:t>
      </w:r>
    </w:p>
    <w:p>
      <w:pPr>
        <w:spacing w:before="76"/>
        <w:ind w:left="1096" w:right="1575" w:firstLine="0"/>
        <w:jc w:val="center"/>
        <w:rPr>
          <w:b/>
          <w:sz w:val="18"/>
        </w:rPr>
      </w:pPr>
      <w:r>
        <w:rPr>
          <w:b/>
          <w:color w:val="231F20"/>
          <w:sz w:val="18"/>
        </w:rPr>
        <w:t>ASPECTOS SOCIO-ECONÓMICOS EN MÉXICO</w:t>
      </w:r>
    </w:p>
    <w:p>
      <w:pPr>
        <w:spacing w:before="79"/>
        <w:ind w:left="1633" w:right="0" w:firstLine="0"/>
        <w:jc w:val="left"/>
        <w:rPr>
          <w:sz w:val="18"/>
        </w:rPr>
      </w:pPr>
      <w:r>
        <w:rPr>
          <w:color w:val="231F20"/>
          <w:sz w:val="18"/>
        </w:rPr>
        <w:t>LA INVERSIÓN EXTRANJERA DIRECTA EN EL CRECIMIENTO ECONÓMICO DE</w:t>
      </w:r>
    </w:p>
    <w:p>
      <w:pPr>
        <w:tabs>
          <w:tab w:pos="8754" w:val="right" w:leader="none"/>
        </w:tabs>
        <w:spacing w:line="268" w:lineRule="exact" w:before="13"/>
        <w:ind w:left="1633" w:right="0" w:firstLine="0"/>
        <w:jc w:val="left"/>
        <w:rPr>
          <w:sz w:val="18"/>
        </w:rPr>
      </w:pPr>
      <w:r>
        <w:rPr>
          <w:color w:val="231F20"/>
          <w:sz w:val="18"/>
        </w:rPr>
        <w:t>MÉXICO, </w:t>
      </w:r>
      <w:r>
        <w:rPr>
          <w:color w:val="231F20"/>
          <w:spacing w:val="-3"/>
          <w:sz w:val="18"/>
        </w:rPr>
        <w:t>1970-2012</w:t>
      </w:r>
      <w:r>
        <w:rPr>
          <w:color w:val="231F20"/>
          <w:spacing w:val="-3"/>
          <w:position w:val="-10"/>
          <w:sz w:val="18"/>
        </w:rPr>
        <w:tab/>
      </w:r>
      <w:r>
        <w:rPr>
          <w:color w:val="231F20"/>
          <w:spacing w:val="-13"/>
          <w:position w:val="-10"/>
          <w:sz w:val="18"/>
        </w:rPr>
        <w:t>31</w:t>
      </w:r>
    </w:p>
    <w:p>
      <w:pPr>
        <w:spacing w:line="158" w:lineRule="exact" w:before="0"/>
        <w:ind w:left="1633" w:right="0" w:firstLine="0"/>
        <w:jc w:val="left"/>
        <w:rPr>
          <w:i/>
          <w:sz w:val="18"/>
        </w:rPr>
      </w:pPr>
      <w:r>
        <w:rPr>
          <w:i/>
          <w:color w:val="231F20"/>
          <w:sz w:val="18"/>
        </w:rPr>
        <w:t>Lucila Godínez Montoya, Gerónimo Barrios Puente, Esther Figueroa  Hernández</w:t>
      </w:r>
    </w:p>
    <w:p>
      <w:pPr>
        <w:spacing w:before="13"/>
        <w:ind w:left="1633" w:right="4279" w:firstLine="0"/>
        <w:jc w:val="left"/>
        <w:rPr>
          <w:i/>
          <w:sz w:val="18"/>
        </w:rPr>
      </w:pPr>
      <w:r>
        <w:rPr>
          <w:i/>
          <w:color w:val="231F20"/>
          <w:sz w:val="18"/>
        </w:rPr>
        <w:t>y Francisco Pérez Soto</w:t>
      </w:r>
    </w:p>
    <w:p>
      <w:pPr>
        <w:spacing w:before="78"/>
        <w:ind w:left="1633" w:right="0" w:firstLine="0"/>
        <w:jc w:val="left"/>
        <w:rPr>
          <w:sz w:val="18"/>
        </w:rPr>
      </w:pPr>
      <w:r>
        <w:rPr>
          <w:color w:val="231F20"/>
          <w:sz w:val="18"/>
        </w:rPr>
        <w:t>PANORAMA GENERAL DE LA MIGRACIÓN Y LAS REMESAS EN MÉXICO</w:t>
      </w:r>
    </w:p>
    <w:p>
      <w:pPr>
        <w:tabs>
          <w:tab w:pos="8596" w:val="left" w:leader="none"/>
        </w:tabs>
        <w:spacing w:before="13"/>
        <w:ind w:left="1633" w:right="0" w:firstLine="0"/>
        <w:jc w:val="left"/>
        <w:rPr>
          <w:sz w:val="18"/>
        </w:rPr>
      </w:pPr>
      <w:r>
        <w:rPr>
          <w:i/>
          <w:color w:val="231F20"/>
          <w:sz w:val="18"/>
        </w:rPr>
        <w:t>Francisco Pérez Soto, Esther Figueroa Hernández, Lucila </w:t>
      </w:r>
      <w:r>
        <w:rPr>
          <w:i/>
          <w:color w:val="231F20"/>
          <w:spacing w:val="4"/>
          <w:sz w:val="18"/>
        </w:rPr>
        <w:t> </w:t>
      </w:r>
      <w:r>
        <w:rPr>
          <w:i/>
          <w:color w:val="231F20"/>
          <w:sz w:val="18"/>
        </w:rPr>
        <w:t>Godínez</w:t>
      </w:r>
      <w:r>
        <w:rPr>
          <w:i/>
          <w:color w:val="231F20"/>
          <w:spacing w:val="7"/>
          <w:sz w:val="18"/>
        </w:rPr>
        <w:t> </w:t>
      </w:r>
      <w:r>
        <w:rPr>
          <w:i/>
          <w:color w:val="231F20"/>
          <w:sz w:val="18"/>
        </w:rPr>
        <w:t>Montoya</w:t>
      </w:r>
      <w:r>
        <w:rPr>
          <w:color w:val="231F20"/>
          <w:sz w:val="18"/>
        </w:rPr>
        <w:tab/>
      </w:r>
      <w:r>
        <w:rPr>
          <w:color w:val="231F20"/>
          <w:spacing w:val="-8"/>
          <w:sz w:val="18"/>
        </w:rPr>
        <w:t>55</w:t>
      </w:r>
    </w:p>
    <w:p>
      <w:pPr>
        <w:spacing w:before="13"/>
        <w:ind w:left="1633" w:right="4279" w:firstLine="0"/>
        <w:jc w:val="left"/>
        <w:rPr>
          <w:i/>
          <w:sz w:val="18"/>
        </w:rPr>
      </w:pPr>
      <w:r>
        <w:rPr>
          <w:i/>
          <w:color w:val="231F20"/>
          <w:sz w:val="18"/>
        </w:rPr>
        <w:t>y Yazmín García Salinas</w:t>
      </w:r>
    </w:p>
    <w:p>
      <w:pPr>
        <w:spacing w:line="133" w:lineRule="exact" w:before="77"/>
        <w:ind w:left="1633" w:right="0" w:firstLine="0"/>
        <w:jc w:val="left"/>
        <w:rPr>
          <w:sz w:val="18"/>
        </w:rPr>
      </w:pPr>
      <w:r>
        <w:rPr>
          <w:color w:val="231F20"/>
          <w:sz w:val="18"/>
        </w:rPr>
        <w:t>MÉXICO Y LA MALDICIÓN DE LOS RECURSOS NATURALES</w:t>
      </w:r>
    </w:p>
    <w:p>
      <w:pPr>
        <w:tabs>
          <w:tab w:pos="8771" w:val="right" w:leader="none"/>
        </w:tabs>
        <w:spacing w:line="294" w:lineRule="exact" w:before="0"/>
        <w:ind w:left="1633" w:right="0" w:firstLine="0"/>
        <w:jc w:val="left"/>
        <w:rPr>
          <w:sz w:val="18"/>
        </w:rPr>
      </w:pPr>
      <w:r>
        <w:rPr>
          <w:i/>
          <w:color w:val="231F20"/>
          <w:sz w:val="18"/>
        </w:rPr>
        <w:t>Benjamín Carrera Chávez y Claudia Daniela</w:t>
      </w:r>
      <w:r>
        <w:rPr>
          <w:i/>
          <w:color w:val="231F20"/>
          <w:spacing w:val="4"/>
          <w:sz w:val="18"/>
        </w:rPr>
        <w:t> </w:t>
      </w:r>
      <w:r>
        <w:rPr>
          <w:i/>
          <w:color w:val="231F20"/>
          <w:sz w:val="18"/>
        </w:rPr>
        <w:t>Ramírez Zepeda</w:t>
      </w:r>
      <w:r>
        <w:rPr>
          <w:color w:val="231F20"/>
          <w:position w:val="11"/>
          <w:sz w:val="18"/>
        </w:rPr>
        <w:tab/>
        <w:t>87</w:t>
      </w:r>
    </w:p>
    <w:p>
      <w:pPr>
        <w:spacing w:before="77"/>
        <w:ind w:left="1633" w:right="0" w:firstLine="0"/>
        <w:jc w:val="left"/>
        <w:rPr>
          <w:sz w:val="18"/>
        </w:rPr>
      </w:pPr>
      <w:r>
        <w:rPr>
          <w:color w:val="231F20"/>
          <w:sz w:val="18"/>
        </w:rPr>
        <w:t>CLIMA Y SEGURIDAD AGROALIMENTARIA EN MÉXICO</w:t>
      </w:r>
    </w:p>
    <w:p>
      <w:pPr>
        <w:spacing w:after="0"/>
        <w:jc w:val="left"/>
        <w:rPr>
          <w:sz w:val="18"/>
        </w:rPr>
        <w:sectPr>
          <w:footerReference w:type="default" r:id="rId17"/>
          <w:pgSz w:w="10480" w:h="13880"/>
          <w:pgMar w:footer="222" w:header="0" w:top="420" w:bottom="420" w:left="0" w:right="0"/>
        </w:sectPr>
      </w:pPr>
    </w:p>
    <w:p>
      <w:pPr>
        <w:spacing w:line="254" w:lineRule="auto" w:before="13"/>
        <w:ind w:left="1633" w:right="429" w:firstLine="0"/>
        <w:jc w:val="left"/>
        <w:rPr>
          <w:i/>
          <w:sz w:val="18"/>
        </w:rPr>
      </w:pPr>
      <w:r>
        <w:rPr>
          <w:i/>
          <w:color w:val="231F20"/>
          <w:sz w:val="18"/>
        </w:rPr>
        <w:t>Rocío Cervantes Osornio, Ramón Arteaga Ramírez, Mario A. Vázquez Peña, </w:t>
      </w:r>
      <w:r>
        <w:rPr>
          <w:i/>
          <w:color w:val="231F20"/>
          <w:sz w:val="18"/>
        </w:rPr>
        <w:t>Waldo Ojeda Bustamante y Abel Quevedo Nolasco</w:t>
      </w:r>
    </w:p>
    <w:p>
      <w:pPr>
        <w:spacing w:line="254" w:lineRule="auto" w:before="66"/>
        <w:ind w:left="1633" w:right="29" w:firstLine="0"/>
        <w:jc w:val="left"/>
        <w:rPr>
          <w:sz w:val="18"/>
        </w:rPr>
      </w:pPr>
      <w:r>
        <w:rPr>
          <w:color w:val="231F20"/>
          <w:sz w:val="18"/>
        </w:rPr>
        <w:t>DISEÑO DE UN MODELO ADMINISTRATIVO, CONTABLE Y FISCAL PARA UNIDADES PRODUCTIVAS RURALES DE LA REGIÓN HUASTECA</w:t>
      </w:r>
    </w:p>
    <w:p>
      <w:pPr>
        <w:spacing w:line="254" w:lineRule="auto" w:before="1"/>
        <w:ind w:left="1633" w:right="29" w:firstLine="0"/>
        <w:jc w:val="left"/>
        <w:rPr>
          <w:i/>
          <w:sz w:val="18"/>
        </w:rPr>
      </w:pPr>
      <w:r>
        <w:rPr>
          <w:i/>
          <w:color w:val="231F20"/>
          <w:sz w:val="18"/>
        </w:rPr>
        <w:t>Carmina Romero Escudero, Jesús Albino Bautista, Abraham Espinosa Hernández, </w:t>
      </w:r>
      <w:r>
        <w:rPr>
          <w:i/>
          <w:color w:val="231F20"/>
          <w:sz w:val="18"/>
        </w:rPr>
        <w:t>Laura L. Herrero Vázquez y Claudia Eunice Rivera Morales</w:t>
      </w:r>
    </w:p>
    <w:p>
      <w:pPr>
        <w:spacing w:line="254" w:lineRule="auto" w:before="63"/>
        <w:ind w:left="3891" w:right="429" w:hanging="1164"/>
        <w:jc w:val="left"/>
        <w:rPr>
          <w:b/>
          <w:sz w:val="18"/>
        </w:rPr>
      </w:pPr>
      <w:r>
        <w:rPr>
          <w:b/>
          <w:color w:val="231F20"/>
          <w:sz w:val="18"/>
        </w:rPr>
        <w:t>MAÍZ Y AMARANTO, CEREALES DE IMPORTANCIA ANTAGÓNICA Y FUTURA</w:t>
      </w:r>
    </w:p>
    <w:p>
      <w:pPr>
        <w:spacing w:line="254" w:lineRule="auto" w:before="66"/>
        <w:ind w:left="1633" w:right="29" w:firstLine="0"/>
        <w:jc w:val="left"/>
        <w:rPr>
          <w:sz w:val="18"/>
        </w:rPr>
      </w:pPr>
      <w:r>
        <w:rPr>
          <w:color w:val="231F20"/>
          <w:sz w:val="18"/>
        </w:rPr>
        <w:t>COSTUMBRES, USOS Y ALTERNATIVAS DE USOS DE LA RAZA CRIOLLA DE MAÍZ PALOMERO TOLUQUEÑO: CASO ESTADO DE MÉXICO</w:t>
      </w:r>
    </w:p>
    <w:p>
      <w:pPr>
        <w:spacing w:line="254" w:lineRule="auto" w:before="1"/>
        <w:ind w:left="1633" w:right="29" w:firstLine="0"/>
        <w:jc w:val="left"/>
        <w:rPr>
          <w:i/>
          <w:sz w:val="18"/>
        </w:rPr>
      </w:pPr>
      <w:r>
        <w:rPr>
          <w:i/>
          <w:color w:val="231F20"/>
          <w:sz w:val="18"/>
        </w:rPr>
        <w:t>Micaela de la O Olán, Dora María Sangerman Jarquín, Alfredo Josué Gámez Vázquez, </w:t>
      </w:r>
      <w:r>
        <w:rPr>
          <w:i/>
          <w:color w:val="231F20"/>
          <w:sz w:val="18"/>
        </w:rPr>
        <w:t>Amalio Santacruz Varela, Higinio López Sánchez y Juan Manuel Hernández Casillas</w:t>
      </w:r>
    </w:p>
    <w:p>
      <w:pPr>
        <w:spacing w:before="13"/>
        <w:ind w:left="464" w:right="0" w:firstLine="0"/>
        <w:jc w:val="left"/>
        <w:rPr>
          <w:sz w:val="18"/>
        </w:rPr>
      </w:pPr>
      <w:r>
        <w:rPr/>
        <w:br w:type="column"/>
      </w:r>
      <w:r>
        <w:rPr>
          <w:color w:val="231F20"/>
          <w:sz w:val="18"/>
        </w:rPr>
        <w:t>117</w:t>
      </w:r>
    </w:p>
    <w:p>
      <w:pPr>
        <w:pStyle w:val="BodyText"/>
        <w:rPr>
          <w:sz w:val="18"/>
        </w:rPr>
      </w:pPr>
    </w:p>
    <w:p>
      <w:pPr>
        <w:pStyle w:val="BodyText"/>
        <w:rPr>
          <w:sz w:val="18"/>
        </w:rPr>
      </w:pPr>
    </w:p>
    <w:p>
      <w:pPr>
        <w:pStyle w:val="BodyText"/>
        <w:spacing w:before="6"/>
        <w:rPr>
          <w:sz w:val="18"/>
        </w:rPr>
      </w:pPr>
    </w:p>
    <w:p>
      <w:pPr>
        <w:spacing w:before="0"/>
        <w:ind w:left="462" w:right="0" w:firstLine="0"/>
        <w:jc w:val="left"/>
        <w:rPr>
          <w:sz w:val="18"/>
        </w:rPr>
      </w:pPr>
      <w:r>
        <w:rPr>
          <w:color w:val="231F20"/>
          <w:sz w:val="18"/>
        </w:rPr>
        <w:t>141</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7"/>
        </w:rPr>
      </w:pPr>
    </w:p>
    <w:p>
      <w:pPr>
        <w:spacing w:before="0"/>
        <w:ind w:left="456" w:right="0" w:firstLine="0"/>
        <w:jc w:val="left"/>
        <w:rPr>
          <w:sz w:val="18"/>
        </w:rPr>
      </w:pPr>
      <w:r>
        <w:rPr>
          <w:color w:val="231F20"/>
          <w:sz w:val="18"/>
        </w:rPr>
        <w:t>159</w:t>
      </w:r>
    </w:p>
    <w:p>
      <w:pPr>
        <w:spacing w:after="0"/>
        <w:jc w:val="left"/>
        <w:rPr>
          <w:sz w:val="18"/>
        </w:rPr>
        <w:sectPr>
          <w:type w:val="continuous"/>
          <w:pgSz w:w="10480" w:h="13880"/>
          <w:pgMar w:top="0" w:bottom="0" w:left="0" w:right="0"/>
          <w:cols w:num="2" w:equalWidth="0">
            <w:col w:w="8057" w:space="40"/>
            <w:col w:w="2383"/>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footerReference w:type="default" r:id="rId18"/>
          <w:pgSz w:w="10480" w:h="13880"/>
          <w:pgMar w:footer="222" w:header="0" w:top="420" w:bottom="420" w:left="0" w:right="0"/>
        </w:sectPr>
      </w:pPr>
    </w:p>
    <w:p>
      <w:pPr>
        <w:pStyle w:val="BodyText"/>
        <w:spacing w:before="8"/>
        <w:rPr>
          <w:sz w:val="20"/>
        </w:rPr>
      </w:pPr>
    </w:p>
    <w:p>
      <w:pPr>
        <w:spacing w:before="0"/>
        <w:ind w:left="1633" w:right="-6" w:firstLine="0"/>
        <w:jc w:val="left"/>
        <w:rPr>
          <w:sz w:val="18"/>
        </w:rPr>
      </w:pPr>
      <w:r>
        <w:rPr>
          <w:color w:val="231F20"/>
          <w:sz w:val="18"/>
        </w:rPr>
        <w:t>LA PRODUCCIÓN DE MAÍZ EN LA REGIÓN DE TULANCINGO, HIDALGO MÉXICO</w:t>
      </w:r>
    </w:p>
    <w:p>
      <w:pPr>
        <w:spacing w:line="254" w:lineRule="auto" w:before="13"/>
        <w:ind w:left="1633" w:right="410" w:firstLine="0"/>
        <w:jc w:val="left"/>
        <w:rPr>
          <w:i/>
          <w:sz w:val="18"/>
        </w:rPr>
      </w:pPr>
      <w:r>
        <w:rPr>
          <w:i/>
          <w:color w:val="231F20"/>
          <w:sz w:val="18"/>
        </w:rPr>
        <w:t>Alma Velia Ayala Garay, Rita Schwentesius Rinderman, Patricia Rivas Valencia, </w:t>
      </w:r>
      <w:r>
        <w:rPr>
          <w:i/>
          <w:color w:val="231F20"/>
          <w:sz w:val="18"/>
        </w:rPr>
        <w:t>Guillermina Martínez Trejo</w:t>
      </w:r>
    </w:p>
    <w:p>
      <w:pPr>
        <w:spacing w:line="254" w:lineRule="auto" w:before="66"/>
        <w:ind w:left="1633" w:right="-6" w:firstLine="0"/>
        <w:jc w:val="left"/>
        <w:rPr>
          <w:sz w:val="18"/>
        </w:rPr>
      </w:pPr>
      <w:r>
        <w:rPr>
          <w:color w:val="231F20"/>
          <w:sz w:val="18"/>
        </w:rPr>
        <w:t>EL AMARANTO UNA OPCIÓN PARA EL CAMBIO CLIMÁTICO Y LA SOBERANÍA ALIMENTARIA</w:t>
      </w:r>
    </w:p>
    <w:p>
      <w:pPr>
        <w:spacing w:line="254" w:lineRule="auto" w:before="1"/>
        <w:ind w:left="1633" w:right="1259" w:firstLine="0"/>
        <w:jc w:val="left"/>
        <w:rPr>
          <w:i/>
          <w:sz w:val="18"/>
        </w:rPr>
      </w:pPr>
      <w:r>
        <w:rPr>
          <w:i/>
          <w:color w:val="231F20"/>
          <w:sz w:val="18"/>
        </w:rPr>
        <w:t>Eduardo Espitia Rangel, Diana Escobedo López, Miriam Aguilar Delgado  </w:t>
      </w:r>
      <w:r>
        <w:rPr>
          <w:i/>
          <w:color w:val="231F20"/>
          <w:sz w:val="18"/>
        </w:rPr>
        <w:t>y Angélica Barrales</w:t>
      </w:r>
      <w:r>
        <w:rPr>
          <w:i/>
          <w:color w:val="231F20"/>
          <w:spacing w:val="17"/>
          <w:sz w:val="18"/>
        </w:rPr>
        <w:t> </w:t>
      </w:r>
      <w:r>
        <w:rPr>
          <w:i/>
          <w:color w:val="231F20"/>
          <w:sz w:val="18"/>
        </w:rPr>
        <w:t>López</w:t>
      </w:r>
    </w:p>
    <w:p>
      <w:pPr>
        <w:spacing w:line="254" w:lineRule="auto" w:before="66"/>
        <w:ind w:left="1633" w:right="-6" w:firstLine="0"/>
        <w:jc w:val="left"/>
        <w:rPr>
          <w:sz w:val="18"/>
        </w:rPr>
      </w:pPr>
      <w:r>
        <w:rPr>
          <w:color w:val="231F20"/>
          <w:sz w:val="18"/>
        </w:rPr>
        <w:t>EL AMARANTO EN LA REGIÓN CENTRO DE MÉXICO, UNA ALTERNATIVA DE PRODUCCIÓN PARA PEQUEÑOS PRODUCTORES</w:t>
      </w:r>
    </w:p>
    <w:p>
      <w:pPr>
        <w:spacing w:line="254" w:lineRule="auto" w:before="1"/>
        <w:ind w:left="1633" w:right="410" w:hanging="1"/>
        <w:jc w:val="left"/>
        <w:rPr>
          <w:i/>
          <w:sz w:val="18"/>
        </w:rPr>
      </w:pPr>
      <w:r>
        <w:rPr>
          <w:i/>
          <w:color w:val="231F20"/>
          <w:sz w:val="18"/>
        </w:rPr>
        <w:t>Alma Velia Ayala Garay, Eduardo Espitia Rangel, Patricia Rivas Valencia, </w:t>
      </w:r>
      <w:r>
        <w:rPr>
          <w:i/>
          <w:color w:val="231F20"/>
          <w:sz w:val="18"/>
        </w:rPr>
        <w:t>Guillermina Martínez Trejo y Lorena Cortes Espinoza</w:t>
      </w:r>
    </w:p>
    <w:p>
      <w:pPr>
        <w:spacing w:before="64"/>
        <w:ind w:left="2447" w:right="813" w:firstLine="0"/>
        <w:jc w:val="center"/>
        <w:rPr>
          <w:b/>
          <w:sz w:val="18"/>
        </w:rPr>
      </w:pPr>
      <w:r>
        <w:rPr>
          <w:b/>
          <w:color w:val="231F20"/>
          <w:sz w:val="18"/>
        </w:rPr>
        <w:t>INNOVACIÓN Y TECNOLOGÍA EN EL SECTOR AGRÍCOLA</w:t>
      </w:r>
    </w:p>
    <w:p>
      <w:pPr>
        <w:spacing w:line="133" w:lineRule="exact" w:before="79"/>
        <w:ind w:left="1633" w:right="-6" w:firstLine="0"/>
        <w:jc w:val="left"/>
        <w:rPr>
          <w:sz w:val="18"/>
        </w:rPr>
      </w:pPr>
      <w:r>
        <w:rPr>
          <w:color w:val="231F20"/>
          <w:sz w:val="18"/>
        </w:rPr>
        <w:t>LOS   USOS   Y   BENEFICIOS   DE   LAS   MICORRIZAS   EN   LA   AGRICULTURA</w:t>
      </w:r>
    </w:p>
    <w:p>
      <w:pPr>
        <w:pStyle w:val="BodyText"/>
        <w:rPr>
          <w:sz w:val="18"/>
        </w:rPr>
      </w:pPr>
      <w:r>
        <w:rPr/>
        <w:br w:type="column"/>
      </w:r>
      <w:r>
        <w:rPr>
          <w:sz w:val="18"/>
        </w:rPr>
      </w:r>
    </w:p>
    <w:p>
      <w:pPr>
        <w:pStyle w:val="BodyText"/>
        <w:spacing w:before="10"/>
        <w:rPr>
          <w:sz w:val="21"/>
        </w:rPr>
      </w:pPr>
    </w:p>
    <w:p>
      <w:pPr>
        <w:spacing w:before="0"/>
        <w:ind w:left="153" w:right="0" w:firstLine="0"/>
        <w:jc w:val="left"/>
        <w:rPr>
          <w:sz w:val="18"/>
        </w:rPr>
      </w:pPr>
      <w:r>
        <w:rPr>
          <w:color w:val="231F20"/>
          <w:sz w:val="18"/>
        </w:rPr>
        <w:t>177</w:t>
      </w:r>
    </w:p>
    <w:p>
      <w:pPr>
        <w:pStyle w:val="BodyText"/>
        <w:rPr>
          <w:sz w:val="18"/>
        </w:rPr>
      </w:pPr>
    </w:p>
    <w:p>
      <w:pPr>
        <w:pStyle w:val="BodyText"/>
        <w:rPr>
          <w:sz w:val="18"/>
        </w:rPr>
      </w:pPr>
    </w:p>
    <w:p>
      <w:pPr>
        <w:pStyle w:val="BodyText"/>
        <w:spacing w:before="6"/>
        <w:rPr>
          <w:sz w:val="18"/>
        </w:rPr>
      </w:pPr>
    </w:p>
    <w:p>
      <w:pPr>
        <w:spacing w:before="0"/>
        <w:ind w:left="150" w:right="0" w:firstLine="0"/>
        <w:jc w:val="left"/>
        <w:rPr>
          <w:sz w:val="18"/>
        </w:rPr>
      </w:pPr>
      <w:r>
        <w:rPr>
          <w:color w:val="231F20"/>
          <w:sz w:val="18"/>
        </w:rPr>
        <w:t>193</w:t>
      </w:r>
    </w:p>
    <w:p>
      <w:pPr>
        <w:pStyle w:val="BodyText"/>
        <w:rPr>
          <w:sz w:val="18"/>
        </w:rPr>
      </w:pPr>
    </w:p>
    <w:p>
      <w:pPr>
        <w:pStyle w:val="BodyText"/>
        <w:rPr>
          <w:sz w:val="18"/>
        </w:rPr>
      </w:pPr>
    </w:p>
    <w:p>
      <w:pPr>
        <w:pStyle w:val="BodyText"/>
        <w:rPr>
          <w:sz w:val="18"/>
        </w:rPr>
      </w:pPr>
    </w:p>
    <w:p>
      <w:pPr>
        <w:spacing w:before="117"/>
        <w:ind w:left="146" w:right="0" w:firstLine="0"/>
        <w:jc w:val="left"/>
        <w:rPr>
          <w:sz w:val="18"/>
        </w:rPr>
      </w:pPr>
      <w:r>
        <w:rPr>
          <w:color w:val="231F20"/>
          <w:sz w:val="18"/>
        </w:rPr>
        <w:t>225</w:t>
      </w:r>
    </w:p>
    <w:p>
      <w:pPr>
        <w:spacing w:after="0"/>
        <w:jc w:val="left"/>
        <w:rPr>
          <w:sz w:val="18"/>
        </w:rPr>
        <w:sectPr>
          <w:type w:val="continuous"/>
          <w:pgSz w:w="10480" w:h="13880"/>
          <w:pgMar w:top="0" w:bottom="0" w:left="0" w:right="0"/>
          <w:cols w:num="2" w:equalWidth="0">
            <w:col w:w="8362" w:space="40"/>
            <w:col w:w="2078"/>
          </w:cols>
        </w:sectPr>
      </w:pPr>
    </w:p>
    <w:p>
      <w:pPr>
        <w:tabs>
          <w:tab w:pos="8815" w:val="right" w:leader="none"/>
        </w:tabs>
        <w:spacing w:line="294" w:lineRule="exact" w:before="0"/>
        <w:ind w:left="1678" w:right="0" w:firstLine="0"/>
        <w:jc w:val="left"/>
        <w:rPr>
          <w:sz w:val="18"/>
        </w:rPr>
      </w:pPr>
      <w:r>
        <w:rPr>
          <w:i/>
          <w:color w:val="231F20"/>
          <w:sz w:val="18"/>
        </w:rPr>
        <w:t>Abdul Khalil Gardezi, Sergio Roberto Márquez Berber y Alma Velia</w:t>
      </w:r>
      <w:r>
        <w:rPr>
          <w:i/>
          <w:color w:val="231F20"/>
          <w:spacing w:val="12"/>
          <w:sz w:val="18"/>
        </w:rPr>
        <w:t> </w:t>
      </w:r>
      <w:r>
        <w:rPr>
          <w:i/>
          <w:color w:val="231F20"/>
          <w:sz w:val="18"/>
        </w:rPr>
        <w:t>Ayala</w:t>
      </w:r>
      <w:r>
        <w:rPr>
          <w:i/>
          <w:color w:val="231F20"/>
          <w:spacing w:val="1"/>
          <w:sz w:val="18"/>
        </w:rPr>
        <w:t> </w:t>
      </w:r>
      <w:r>
        <w:rPr>
          <w:i/>
          <w:color w:val="231F20"/>
          <w:sz w:val="18"/>
        </w:rPr>
        <w:t>Garay</w:t>
      </w:r>
      <w:r>
        <w:rPr>
          <w:color w:val="231F20"/>
          <w:position w:val="11"/>
          <w:sz w:val="18"/>
        </w:rPr>
        <w:tab/>
        <w:t>243</w:t>
      </w:r>
    </w:p>
    <w:p>
      <w:pPr>
        <w:spacing w:before="77"/>
        <w:ind w:left="1633" w:right="0" w:firstLine="0"/>
        <w:jc w:val="left"/>
        <w:rPr>
          <w:sz w:val="18"/>
        </w:rPr>
      </w:pPr>
      <w:r>
        <w:rPr>
          <w:color w:val="231F20"/>
          <w:sz w:val="18"/>
        </w:rPr>
        <w:t>DISEÑO, CONSTRUCCIÓN Y EVALUACIÓN DE UN EQUIPO PARA LA DESINFECCIÓN</w:t>
      </w:r>
    </w:p>
    <w:p>
      <w:pPr>
        <w:spacing w:after="0"/>
        <w:jc w:val="left"/>
        <w:rPr>
          <w:sz w:val="18"/>
        </w:rPr>
        <w:sectPr>
          <w:type w:val="continuous"/>
          <w:pgSz w:w="10480" w:h="13880"/>
          <w:pgMar w:top="0" w:bottom="0" w:left="0" w:right="0"/>
        </w:sectPr>
      </w:pPr>
    </w:p>
    <w:p>
      <w:pPr>
        <w:tabs>
          <w:tab w:pos="2092" w:val="left" w:leader="none"/>
          <w:tab w:pos="3244" w:val="left" w:leader="none"/>
          <w:tab w:pos="4464" w:val="left" w:leader="none"/>
          <w:tab w:pos="4927" w:val="left" w:leader="none"/>
          <w:tab w:pos="5390" w:val="left" w:leader="none"/>
          <w:tab w:pos="6765" w:val="left" w:leader="none"/>
          <w:tab w:pos="7223" w:val="left" w:leader="none"/>
        </w:tabs>
        <w:spacing w:before="13"/>
        <w:ind w:left="1633" w:right="0" w:firstLine="0"/>
        <w:jc w:val="left"/>
        <w:rPr>
          <w:sz w:val="18"/>
        </w:rPr>
      </w:pPr>
      <w:r>
        <w:rPr>
          <w:color w:val="231F20"/>
          <w:sz w:val="18"/>
        </w:rPr>
        <w:t>DE</w:t>
        <w:tab/>
        <w:t>SUSTRATO</w:t>
        <w:tab/>
      </w:r>
      <w:r>
        <w:rPr>
          <w:color w:val="231F20"/>
          <w:spacing w:val="2"/>
          <w:sz w:val="18"/>
        </w:rPr>
        <w:t>UTILIZADO</w:t>
        <w:tab/>
      </w:r>
      <w:r>
        <w:rPr>
          <w:color w:val="231F20"/>
          <w:sz w:val="18"/>
        </w:rPr>
        <w:t>EN</w:t>
        <w:tab/>
        <w:t>LA</w:t>
        <w:tab/>
        <w:t>PRODUCCIÓN</w:t>
        <w:tab/>
        <w:t>DE</w:t>
        <w:tab/>
      </w:r>
      <w:r>
        <w:rPr>
          <w:color w:val="231F20"/>
          <w:spacing w:val="2"/>
          <w:sz w:val="18"/>
        </w:rPr>
        <w:t>MICORRIZAS</w:t>
      </w:r>
    </w:p>
    <w:p>
      <w:pPr>
        <w:spacing w:before="13"/>
        <w:ind w:left="1633" w:right="-6" w:firstLine="0"/>
        <w:jc w:val="left"/>
        <w:rPr>
          <w:i/>
          <w:sz w:val="18"/>
        </w:rPr>
      </w:pPr>
      <w:r>
        <w:rPr>
          <w:i/>
          <w:color w:val="231F20"/>
          <w:sz w:val="18"/>
        </w:rPr>
        <w:t>Marco Antonio Audelo Benítez y Martha Guadalupe Irizar  Garza.</w:t>
      </w:r>
    </w:p>
    <w:p>
      <w:pPr>
        <w:spacing w:before="78"/>
        <w:ind w:left="1633" w:right="-6" w:firstLine="0"/>
        <w:jc w:val="left"/>
        <w:rPr>
          <w:sz w:val="18"/>
        </w:rPr>
      </w:pPr>
      <w:r>
        <w:rPr>
          <w:color w:val="231F20"/>
          <w:sz w:val="18"/>
        </w:rPr>
        <w:t>PRODUCCIÓN DE MELÓN CON VERMICOMPOST EN INVERNADERO</w:t>
      </w:r>
    </w:p>
    <w:p>
      <w:pPr>
        <w:spacing w:line="254" w:lineRule="auto" w:before="13"/>
        <w:ind w:left="1633" w:right="-6" w:firstLine="0"/>
        <w:jc w:val="left"/>
        <w:rPr>
          <w:i/>
          <w:sz w:val="18"/>
        </w:rPr>
      </w:pPr>
      <w:r>
        <w:rPr>
          <w:i/>
          <w:color w:val="231F20"/>
          <w:sz w:val="18"/>
        </w:rPr>
        <w:t>Manuel Fortis Hernández, Pablo Preciado Rangel, Pedro Cano Ríos, José Luis García </w:t>
      </w:r>
      <w:r>
        <w:rPr>
          <w:i/>
          <w:color w:val="231F20"/>
          <w:sz w:val="18"/>
        </w:rPr>
        <w:t>Hernández, Lilia Salas Pérez y José Guadalupe Luna  Ortega</w:t>
      </w:r>
    </w:p>
    <w:p>
      <w:pPr>
        <w:spacing w:line="254" w:lineRule="auto" w:before="66"/>
        <w:ind w:left="1633" w:right="-6" w:firstLine="0"/>
        <w:jc w:val="left"/>
        <w:rPr>
          <w:sz w:val="18"/>
        </w:rPr>
      </w:pPr>
      <w:r>
        <w:rPr>
          <w:color w:val="231F20"/>
          <w:sz w:val="18"/>
        </w:rPr>
        <w:t>SOLUCIONES NUTRITIVAS ORGANICAS: UNA OPCION EN LA AGRICULTURA SUSTENTABLE</w:t>
      </w:r>
    </w:p>
    <w:p>
      <w:pPr>
        <w:spacing w:line="254" w:lineRule="auto" w:before="1"/>
        <w:ind w:left="1633" w:right="410" w:firstLine="0"/>
        <w:jc w:val="left"/>
        <w:rPr>
          <w:i/>
          <w:sz w:val="18"/>
        </w:rPr>
      </w:pPr>
      <w:r>
        <w:rPr>
          <w:i/>
          <w:color w:val="231F20"/>
          <w:sz w:val="18"/>
        </w:rPr>
        <w:t>Radames Trejo Valencia, Pablo Preciado Rangel, Ramón Alberto Herrera Garcia, </w:t>
      </w:r>
      <w:r>
        <w:rPr>
          <w:i/>
          <w:color w:val="231F20"/>
          <w:sz w:val="18"/>
        </w:rPr>
        <w:t>Manuel Fortis Hernández, Eduardo Madero Tamargo y Ángel Largada  Murrieta</w:t>
      </w:r>
    </w:p>
    <w:p>
      <w:pPr>
        <w:spacing w:line="254" w:lineRule="auto" w:before="66"/>
        <w:ind w:left="1633" w:right="4" w:firstLine="0"/>
        <w:jc w:val="left"/>
        <w:rPr>
          <w:sz w:val="18"/>
        </w:rPr>
      </w:pPr>
      <w:r>
        <w:rPr>
          <w:color w:val="231F20"/>
          <w:sz w:val="18"/>
        </w:rPr>
        <w:t>PROPUESTA DE INNOVACIÓN TECNOLÓGICA DEL MANEJO FITOSANITARIO DE DURAZNO PARA PRODUCTORES DE TEMPORAL DE TLAXCALA</w:t>
      </w:r>
    </w:p>
    <w:p>
      <w:pPr>
        <w:spacing w:before="1"/>
        <w:ind w:left="1633" w:right="-6" w:firstLine="0"/>
        <w:jc w:val="left"/>
        <w:rPr>
          <w:sz w:val="18"/>
        </w:rPr>
      </w:pPr>
      <w:r>
        <w:rPr>
          <w:i/>
          <w:color w:val="231F20"/>
          <w:sz w:val="18"/>
        </w:rPr>
        <w:t>Patricia Rivas Valencia</w:t>
      </w:r>
      <w:r>
        <w:rPr>
          <w:color w:val="231F20"/>
          <w:sz w:val="18"/>
        </w:rPr>
        <w:t>.</w:t>
      </w:r>
    </w:p>
    <w:p>
      <w:pPr>
        <w:spacing w:line="254" w:lineRule="auto" w:before="77"/>
        <w:ind w:left="1633" w:right="-6" w:firstLine="0"/>
        <w:jc w:val="left"/>
        <w:rPr>
          <w:sz w:val="18"/>
        </w:rPr>
      </w:pPr>
      <w:r>
        <w:rPr>
          <w:color w:val="231F20"/>
          <w:sz w:val="18"/>
        </w:rPr>
        <w:t>SISTEMA AGROFORESTAL ESTABLECIDO EN SUELOS DEL DISTRITO DE RIEGO 028 TULANCINGO, HIDALGO</w:t>
      </w:r>
    </w:p>
    <w:p>
      <w:pPr>
        <w:spacing w:line="254" w:lineRule="auto" w:before="1"/>
        <w:ind w:left="1633" w:right="110" w:firstLine="0"/>
        <w:jc w:val="left"/>
        <w:rPr>
          <w:sz w:val="18"/>
        </w:rPr>
      </w:pPr>
      <w:r>
        <w:rPr>
          <w:i/>
          <w:color w:val="231F20"/>
          <w:sz w:val="18"/>
        </w:rPr>
        <w:t>Miguel Ángel Sánchez-Hernández, Elizabeth Hernández-Acosta, David Cristóbal-Acevedo  </w:t>
      </w:r>
      <w:r>
        <w:rPr>
          <w:i/>
          <w:color w:val="231F20"/>
          <w:sz w:val="18"/>
        </w:rPr>
        <w:t>y Martha</w:t>
      </w:r>
      <w:r>
        <w:rPr>
          <w:i/>
          <w:color w:val="231F20"/>
          <w:spacing w:val="31"/>
          <w:sz w:val="18"/>
        </w:rPr>
        <w:t> </w:t>
      </w:r>
      <w:r>
        <w:rPr>
          <w:i/>
          <w:color w:val="231F20"/>
          <w:sz w:val="18"/>
        </w:rPr>
        <w:t>Garay-Hernández</w:t>
      </w:r>
      <w:r>
        <w:rPr>
          <w:color w:val="231F20"/>
          <w:sz w:val="18"/>
        </w:rPr>
        <w:t>.</w:t>
      </w:r>
    </w:p>
    <w:p>
      <w:pPr>
        <w:spacing w:line="254" w:lineRule="auto" w:before="66"/>
        <w:ind w:left="1633" w:right="-6" w:firstLine="0"/>
        <w:jc w:val="left"/>
        <w:rPr>
          <w:sz w:val="18"/>
        </w:rPr>
      </w:pPr>
      <w:r>
        <w:rPr>
          <w:color w:val="231F20"/>
          <w:spacing w:val="-4"/>
          <w:sz w:val="18"/>
        </w:rPr>
        <w:t>IDENTIFICACIÓN </w:t>
      </w:r>
      <w:r>
        <w:rPr>
          <w:color w:val="231F20"/>
          <w:spacing w:val="-3"/>
          <w:sz w:val="18"/>
        </w:rPr>
        <w:t>DE </w:t>
      </w:r>
      <w:r>
        <w:rPr>
          <w:color w:val="231F20"/>
          <w:spacing w:val="-6"/>
          <w:sz w:val="18"/>
        </w:rPr>
        <w:t>FACTORES </w:t>
      </w:r>
      <w:r>
        <w:rPr>
          <w:color w:val="231F20"/>
          <w:sz w:val="18"/>
        </w:rPr>
        <w:t>QUE PERMITEN LA CONVIVENCIA </w:t>
      </w:r>
      <w:r>
        <w:rPr>
          <w:color w:val="231F20"/>
          <w:spacing w:val="-3"/>
          <w:sz w:val="18"/>
        </w:rPr>
        <w:t>DE </w:t>
      </w:r>
      <w:r>
        <w:rPr>
          <w:i/>
          <w:color w:val="231F20"/>
          <w:spacing w:val="-3"/>
          <w:sz w:val="18"/>
        </w:rPr>
        <w:t>Diaphorina </w:t>
      </w:r>
      <w:r>
        <w:rPr>
          <w:i/>
          <w:color w:val="231F20"/>
          <w:sz w:val="18"/>
        </w:rPr>
        <w:t>citri </w:t>
      </w:r>
      <w:r>
        <w:rPr>
          <w:color w:val="231F20"/>
          <w:spacing w:val="-4"/>
          <w:sz w:val="18"/>
        </w:rPr>
        <w:t>CON </w:t>
      </w:r>
      <w:r>
        <w:rPr>
          <w:color w:val="231F20"/>
          <w:sz w:val="18"/>
        </w:rPr>
        <w:t>CÍTRICOS EN </w:t>
      </w:r>
      <w:r>
        <w:rPr>
          <w:color w:val="231F20"/>
          <w:spacing w:val="-5"/>
          <w:sz w:val="18"/>
        </w:rPr>
        <w:t>YUCATÁN</w:t>
      </w:r>
    </w:p>
    <w:p>
      <w:pPr>
        <w:spacing w:before="1"/>
        <w:ind w:left="1633" w:right="-6" w:firstLine="0"/>
        <w:jc w:val="left"/>
        <w:rPr>
          <w:i/>
          <w:sz w:val="18"/>
        </w:rPr>
      </w:pPr>
      <w:r>
        <w:rPr>
          <w:i/>
          <w:color w:val="231F20"/>
          <w:sz w:val="18"/>
        </w:rPr>
        <w:t>May-Tzun, R. Munguía-Rosales, Sánchez Borja M. Almaguer Vargas G.</w:t>
      </w:r>
    </w:p>
    <w:p>
      <w:pPr>
        <w:spacing w:line="254" w:lineRule="auto" w:before="77"/>
        <w:ind w:left="1633" w:right="-6" w:firstLine="0"/>
        <w:jc w:val="left"/>
        <w:rPr>
          <w:sz w:val="18"/>
        </w:rPr>
      </w:pPr>
      <w:r>
        <w:rPr>
          <w:color w:val="231F20"/>
          <w:sz w:val="18"/>
        </w:rPr>
        <w:t>LOS BIOFERTILIZANTES EN EL CULTIVO DE TOMATE EN TECAMACHALCO, PUEBLA</w:t>
      </w:r>
    </w:p>
    <w:p>
      <w:pPr>
        <w:spacing w:line="254" w:lineRule="auto" w:before="1"/>
        <w:ind w:left="1633" w:right="2304" w:firstLine="0"/>
        <w:jc w:val="left"/>
        <w:rPr>
          <w:i/>
          <w:sz w:val="18"/>
        </w:rPr>
      </w:pPr>
      <w:r>
        <w:rPr>
          <w:i/>
          <w:color w:val="231F20"/>
          <w:sz w:val="18"/>
        </w:rPr>
        <w:t>Luis Alberto Hernández Martínez, Denisse </w:t>
      </w:r>
      <w:r>
        <w:rPr>
          <w:color w:val="231F20"/>
          <w:sz w:val="18"/>
        </w:rPr>
        <w:t>Téllez </w:t>
      </w:r>
      <w:r>
        <w:rPr>
          <w:i/>
          <w:color w:val="231F20"/>
          <w:sz w:val="18"/>
        </w:rPr>
        <w:t>Mazzocco </w:t>
      </w:r>
      <w:r>
        <w:rPr>
          <w:i/>
          <w:color w:val="231F20"/>
          <w:sz w:val="18"/>
        </w:rPr>
        <w:t>y Antonio Gonzalez</w:t>
      </w:r>
      <w:r>
        <w:rPr>
          <w:i/>
          <w:color w:val="231F20"/>
          <w:spacing w:val="14"/>
          <w:sz w:val="18"/>
        </w:rPr>
        <w:t> </w:t>
      </w:r>
      <w:r>
        <w:rPr>
          <w:i/>
          <w:color w:val="231F20"/>
          <w:sz w:val="18"/>
        </w:rPr>
        <w:t>Nexticapan</w:t>
      </w:r>
    </w:p>
    <w:p>
      <w:pPr>
        <w:spacing w:before="13"/>
        <w:ind w:left="148" w:right="0" w:firstLine="0"/>
        <w:jc w:val="left"/>
        <w:rPr>
          <w:sz w:val="18"/>
        </w:rPr>
      </w:pPr>
      <w:r>
        <w:rPr/>
        <w:br w:type="column"/>
      </w:r>
      <w:r>
        <w:rPr>
          <w:color w:val="231F20"/>
          <w:sz w:val="18"/>
        </w:rPr>
        <w:t>267</w:t>
      </w:r>
    </w:p>
    <w:p>
      <w:pPr>
        <w:pStyle w:val="BodyText"/>
        <w:rPr>
          <w:sz w:val="18"/>
        </w:rPr>
      </w:pPr>
    </w:p>
    <w:p>
      <w:pPr>
        <w:pStyle w:val="BodyText"/>
        <w:rPr>
          <w:sz w:val="18"/>
        </w:rPr>
      </w:pPr>
    </w:p>
    <w:p>
      <w:pPr>
        <w:spacing w:before="104"/>
        <w:ind w:left="147" w:right="0" w:firstLine="0"/>
        <w:jc w:val="left"/>
        <w:rPr>
          <w:sz w:val="18"/>
        </w:rPr>
      </w:pPr>
      <w:r>
        <w:rPr>
          <w:color w:val="231F20"/>
          <w:sz w:val="18"/>
        </w:rPr>
        <w:t>289</w:t>
      </w:r>
    </w:p>
    <w:p>
      <w:pPr>
        <w:pStyle w:val="BodyText"/>
        <w:rPr>
          <w:sz w:val="18"/>
        </w:rPr>
      </w:pPr>
    </w:p>
    <w:p>
      <w:pPr>
        <w:pStyle w:val="BodyText"/>
        <w:rPr>
          <w:sz w:val="18"/>
        </w:rPr>
      </w:pPr>
    </w:p>
    <w:p>
      <w:pPr>
        <w:pStyle w:val="BodyText"/>
        <w:spacing w:before="6"/>
        <w:rPr>
          <w:sz w:val="18"/>
        </w:rPr>
      </w:pPr>
    </w:p>
    <w:p>
      <w:pPr>
        <w:spacing w:before="1"/>
        <w:ind w:left="147" w:right="0" w:firstLine="0"/>
        <w:jc w:val="left"/>
        <w:rPr>
          <w:sz w:val="18"/>
        </w:rPr>
      </w:pPr>
      <w:r>
        <w:rPr>
          <w:color w:val="231F20"/>
          <w:sz w:val="18"/>
        </w:rPr>
        <w:t>303</w:t>
      </w:r>
    </w:p>
    <w:p>
      <w:pPr>
        <w:pStyle w:val="BodyText"/>
        <w:rPr>
          <w:sz w:val="18"/>
        </w:rPr>
      </w:pPr>
    </w:p>
    <w:p>
      <w:pPr>
        <w:pStyle w:val="BodyText"/>
        <w:rPr>
          <w:sz w:val="18"/>
        </w:rPr>
      </w:pPr>
    </w:p>
    <w:p>
      <w:pPr>
        <w:pStyle w:val="BodyText"/>
        <w:spacing w:before="6"/>
        <w:rPr>
          <w:sz w:val="18"/>
        </w:rPr>
      </w:pPr>
    </w:p>
    <w:p>
      <w:pPr>
        <w:spacing w:before="1"/>
        <w:ind w:left="155" w:right="0" w:firstLine="0"/>
        <w:jc w:val="left"/>
        <w:rPr>
          <w:sz w:val="18"/>
        </w:rPr>
      </w:pPr>
      <w:r>
        <w:rPr>
          <w:color w:val="231F20"/>
          <w:sz w:val="18"/>
        </w:rPr>
        <w:t>315</w:t>
      </w:r>
    </w:p>
    <w:p>
      <w:pPr>
        <w:pStyle w:val="BodyText"/>
        <w:rPr>
          <w:sz w:val="18"/>
        </w:rPr>
      </w:pPr>
    </w:p>
    <w:p>
      <w:pPr>
        <w:pStyle w:val="BodyText"/>
        <w:rPr>
          <w:sz w:val="18"/>
        </w:rPr>
      </w:pPr>
    </w:p>
    <w:p>
      <w:pPr>
        <w:pStyle w:val="BodyText"/>
        <w:spacing w:before="6"/>
        <w:rPr>
          <w:sz w:val="18"/>
        </w:rPr>
      </w:pPr>
    </w:p>
    <w:p>
      <w:pPr>
        <w:spacing w:before="1"/>
        <w:ind w:left="149" w:right="0" w:firstLine="0"/>
        <w:jc w:val="left"/>
        <w:rPr>
          <w:sz w:val="18"/>
        </w:rPr>
      </w:pPr>
      <w:r>
        <w:rPr>
          <w:color w:val="231F20"/>
          <w:sz w:val="18"/>
        </w:rPr>
        <w:t>345</w:t>
      </w:r>
    </w:p>
    <w:p>
      <w:pPr>
        <w:pStyle w:val="BodyText"/>
        <w:rPr>
          <w:sz w:val="18"/>
        </w:rPr>
      </w:pPr>
    </w:p>
    <w:p>
      <w:pPr>
        <w:pStyle w:val="BodyText"/>
        <w:rPr>
          <w:sz w:val="18"/>
        </w:rPr>
      </w:pPr>
    </w:p>
    <w:p>
      <w:pPr>
        <w:pStyle w:val="BodyText"/>
        <w:spacing w:before="6"/>
        <w:rPr>
          <w:sz w:val="18"/>
        </w:rPr>
      </w:pPr>
    </w:p>
    <w:p>
      <w:pPr>
        <w:spacing w:before="1"/>
        <w:ind w:left="149" w:right="0" w:firstLine="0"/>
        <w:jc w:val="left"/>
        <w:rPr>
          <w:sz w:val="18"/>
        </w:rPr>
      </w:pPr>
      <w:r>
        <w:rPr>
          <w:color w:val="231F20"/>
          <w:sz w:val="18"/>
        </w:rPr>
        <w:t>363</w:t>
      </w:r>
    </w:p>
    <w:p>
      <w:pPr>
        <w:pStyle w:val="BodyText"/>
        <w:rPr>
          <w:sz w:val="18"/>
        </w:rPr>
      </w:pPr>
    </w:p>
    <w:p>
      <w:pPr>
        <w:pStyle w:val="BodyText"/>
        <w:rPr>
          <w:sz w:val="18"/>
        </w:rPr>
      </w:pPr>
    </w:p>
    <w:p>
      <w:pPr>
        <w:pStyle w:val="BodyText"/>
        <w:spacing w:before="6"/>
        <w:rPr>
          <w:sz w:val="18"/>
        </w:rPr>
      </w:pPr>
    </w:p>
    <w:p>
      <w:pPr>
        <w:spacing w:before="1"/>
        <w:ind w:left="152" w:right="0" w:firstLine="0"/>
        <w:jc w:val="left"/>
        <w:rPr>
          <w:sz w:val="18"/>
        </w:rPr>
      </w:pPr>
      <w:r>
        <w:rPr>
          <w:color w:val="231F20"/>
          <w:sz w:val="18"/>
        </w:rPr>
        <w:t>381</w:t>
      </w:r>
    </w:p>
    <w:p>
      <w:pPr>
        <w:spacing w:after="0"/>
        <w:jc w:val="left"/>
        <w:rPr>
          <w:sz w:val="18"/>
        </w:rPr>
        <w:sectPr>
          <w:type w:val="continuous"/>
          <w:pgSz w:w="10480" w:h="13880"/>
          <w:pgMar w:top="0" w:bottom="0" w:left="0" w:right="0"/>
          <w:cols w:num="2" w:equalWidth="0">
            <w:col w:w="8362" w:space="40"/>
            <w:col w:w="2078"/>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footerReference w:type="default" r:id="rId19"/>
          <w:pgSz w:w="10480" w:h="13880"/>
          <w:pgMar w:footer="222" w:header="0" w:top="420" w:bottom="420" w:left="0" w:right="0"/>
        </w:sectPr>
      </w:pPr>
    </w:p>
    <w:p>
      <w:pPr>
        <w:pStyle w:val="BodyText"/>
        <w:spacing w:before="8"/>
        <w:rPr>
          <w:sz w:val="20"/>
        </w:rPr>
      </w:pPr>
    </w:p>
    <w:p>
      <w:pPr>
        <w:spacing w:line="254" w:lineRule="auto" w:before="0"/>
        <w:ind w:left="1633" w:right="1055" w:firstLine="0"/>
        <w:jc w:val="left"/>
        <w:rPr>
          <w:sz w:val="18"/>
        </w:rPr>
      </w:pPr>
      <w:r>
        <w:rPr>
          <w:color w:val="231F20"/>
          <w:sz w:val="18"/>
        </w:rPr>
        <w:t>EFECTO DE CUATRO FUENTES DE ALIMENTACIÓN ORGÁNICAS EN LA PRODUCCIÓN DE LOMBRICOMPOSTA Y EL DESARROLLO</w:t>
      </w:r>
    </w:p>
    <w:p>
      <w:pPr>
        <w:spacing w:before="1"/>
        <w:ind w:left="1633" w:right="1055" w:firstLine="0"/>
        <w:jc w:val="left"/>
        <w:rPr>
          <w:sz w:val="18"/>
        </w:rPr>
      </w:pPr>
      <w:r>
        <w:rPr>
          <w:color w:val="231F20"/>
          <w:sz w:val="18"/>
        </w:rPr>
        <w:t>FISIOLÓGICO DE LOMBRIZ (</w:t>
      </w:r>
      <w:r>
        <w:rPr>
          <w:i/>
          <w:color w:val="231F20"/>
          <w:sz w:val="18"/>
        </w:rPr>
        <w:t>Eisenia andrei</w:t>
      </w:r>
      <w:r>
        <w:rPr>
          <w:color w:val="231F20"/>
          <w:sz w:val="18"/>
        </w:rPr>
        <w:t>)</w:t>
      </w:r>
    </w:p>
    <w:p>
      <w:pPr>
        <w:spacing w:before="13"/>
        <w:ind w:left="1633" w:right="0" w:firstLine="0"/>
        <w:jc w:val="left"/>
        <w:rPr>
          <w:i/>
          <w:sz w:val="18"/>
        </w:rPr>
      </w:pPr>
      <w:r>
        <w:rPr>
          <w:i/>
          <w:color w:val="231F20"/>
          <w:sz w:val="18"/>
        </w:rPr>
        <w:t>Hugo Mendoza Netzahual,  Denisse </w:t>
      </w:r>
      <w:r>
        <w:rPr>
          <w:color w:val="231F20"/>
          <w:sz w:val="18"/>
        </w:rPr>
        <w:t>Téllez </w:t>
      </w:r>
      <w:r>
        <w:rPr>
          <w:i/>
          <w:color w:val="231F20"/>
          <w:sz w:val="18"/>
        </w:rPr>
        <w:t>Mazzocco y Blanca Alicia Rodriguez  Patiño</w:t>
      </w:r>
    </w:p>
    <w:p>
      <w:pPr>
        <w:spacing w:line="254" w:lineRule="auto" w:before="78"/>
        <w:ind w:left="1633" w:right="0" w:firstLine="0"/>
        <w:jc w:val="left"/>
        <w:rPr>
          <w:sz w:val="18"/>
        </w:rPr>
      </w:pPr>
      <w:r>
        <w:rPr>
          <w:color w:val="231F20"/>
          <w:sz w:val="18"/>
        </w:rPr>
        <w:t>RENTABILIDAD DEL CONTROL DE </w:t>
      </w:r>
      <w:r>
        <w:rPr>
          <w:i/>
          <w:color w:val="231F20"/>
          <w:sz w:val="18"/>
        </w:rPr>
        <w:t>Diaphorina citri </w:t>
      </w:r>
      <w:r>
        <w:rPr>
          <w:color w:val="231F20"/>
          <w:sz w:val="18"/>
        </w:rPr>
        <w:t>EN LA REGIÓN HUASTECA DE VERACRUZ E HIDALGO</w:t>
      </w:r>
    </w:p>
    <w:p>
      <w:pPr>
        <w:pStyle w:val="ListParagraph"/>
        <w:numPr>
          <w:ilvl w:val="0"/>
          <w:numId w:val="1"/>
        </w:numPr>
        <w:tabs>
          <w:tab w:pos="1836" w:val="left" w:leader="none"/>
        </w:tabs>
        <w:spacing w:line="240" w:lineRule="auto" w:before="1" w:after="0"/>
        <w:ind w:left="1835" w:right="0" w:hanging="202"/>
        <w:jc w:val="left"/>
        <w:rPr>
          <w:i/>
          <w:sz w:val="18"/>
        </w:rPr>
      </w:pPr>
      <w:r>
        <w:rPr>
          <w:i/>
          <w:color w:val="231F20"/>
          <w:sz w:val="18"/>
        </w:rPr>
        <w:t>Gabriela Andrade Durán y Gustavo Almaguer</w:t>
      </w:r>
      <w:r>
        <w:rPr>
          <w:i/>
          <w:color w:val="231F20"/>
          <w:spacing w:val="42"/>
          <w:sz w:val="18"/>
        </w:rPr>
        <w:t> </w:t>
      </w:r>
      <w:r>
        <w:rPr>
          <w:i/>
          <w:color w:val="231F20"/>
          <w:sz w:val="18"/>
        </w:rPr>
        <w:t>Vargas</w:t>
      </w:r>
    </w:p>
    <w:p>
      <w:pPr>
        <w:spacing w:line="254" w:lineRule="auto" w:before="75"/>
        <w:ind w:left="3302" w:right="0" w:hanging="911"/>
        <w:jc w:val="left"/>
        <w:rPr>
          <w:b/>
          <w:sz w:val="18"/>
        </w:rPr>
      </w:pPr>
      <w:r>
        <w:rPr>
          <w:b/>
          <w:color w:val="231F20"/>
          <w:sz w:val="18"/>
        </w:rPr>
        <w:t>INDUSTRIA, PRODUCCIÓN ALIMENTARIA Y PRODUCCIÓN ALTERNATIVA EN EL SECTOR RURAL</w:t>
      </w:r>
    </w:p>
    <w:p>
      <w:pPr>
        <w:spacing w:line="254" w:lineRule="auto" w:before="66"/>
        <w:ind w:left="1633" w:right="216" w:firstLine="0"/>
        <w:jc w:val="left"/>
        <w:rPr>
          <w:sz w:val="18"/>
        </w:rPr>
      </w:pPr>
      <w:r>
        <w:rPr>
          <w:color w:val="231F20"/>
          <w:sz w:val="18"/>
        </w:rPr>
        <w:t>DISEÑO DE UN CALENTADOR HÍBRIDO DE AGUA PARA LA REDUCCIÓN DE COSTOS ENERGÉTICOS EN LA PRODUCCIÓN DE TORTILLA</w:t>
      </w:r>
    </w:p>
    <w:p>
      <w:pPr>
        <w:spacing w:before="1"/>
        <w:ind w:left="1633" w:right="1055" w:firstLine="0"/>
        <w:jc w:val="left"/>
        <w:rPr>
          <w:sz w:val="18"/>
        </w:rPr>
      </w:pPr>
      <w:r>
        <w:rPr>
          <w:color w:val="231F20"/>
          <w:sz w:val="18"/>
        </w:rPr>
        <w:t>PARA COMUNIDADES RURALES E  INDUSTRIALES</w:t>
      </w:r>
    </w:p>
    <w:p>
      <w:pPr>
        <w:spacing w:before="13"/>
        <w:ind w:left="1633" w:right="1055" w:firstLine="0"/>
        <w:jc w:val="left"/>
        <w:rPr>
          <w:i/>
          <w:sz w:val="18"/>
        </w:rPr>
      </w:pPr>
      <w:r>
        <w:rPr>
          <w:i/>
          <w:color w:val="231F20"/>
          <w:sz w:val="18"/>
        </w:rPr>
        <w:t>Said Zaldivar Hernández</w:t>
      </w:r>
    </w:p>
    <w:p>
      <w:pPr>
        <w:spacing w:line="254" w:lineRule="auto" w:before="78"/>
        <w:ind w:left="1633" w:right="216" w:firstLine="0"/>
        <w:jc w:val="left"/>
        <w:rPr>
          <w:sz w:val="18"/>
        </w:rPr>
      </w:pPr>
      <w:r>
        <w:rPr>
          <w:color w:val="231F20"/>
          <w:sz w:val="18"/>
        </w:rPr>
        <w:t>DIAGNÓSTICO SOCIOPARTICIPATIVO DE LA PRODUCCIÓN ARTESANAL DE CESTERIA EN HUAZALINGUILLO, HUAUTLA, HGO.</w:t>
      </w:r>
    </w:p>
    <w:p>
      <w:pPr>
        <w:spacing w:before="1"/>
        <w:ind w:left="1633" w:right="0" w:firstLine="0"/>
        <w:jc w:val="left"/>
        <w:rPr>
          <w:i/>
          <w:sz w:val="18"/>
        </w:rPr>
      </w:pPr>
      <w:r>
        <w:rPr>
          <w:i/>
          <w:color w:val="231F20"/>
          <w:sz w:val="18"/>
        </w:rPr>
        <w:t>Lorena Casanova-Pérez, Ricardo García-Morales y Juana  García-Morales</w:t>
      </w:r>
    </w:p>
    <w:p>
      <w:pPr>
        <w:spacing w:line="254" w:lineRule="auto" w:before="77"/>
        <w:ind w:left="1633" w:right="475" w:firstLine="0"/>
        <w:jc w:val="left"/>
        <w:rPr>
          <w:sz w:val="18"/>
        </w:rPr>
      </w:pPr>
      <w:r>
        <w:rPr>
          <w:color w:val="231F20"/>
          <w:sz w:val="18"/>
        </w:rPr>
        <w:t>APROVECHAMIENTO INTEGRAL DE LOS COMPONENTES NUTRITIVOS Y FUNCIONALES DE LOS RIZOMAS DE CÚRCUMA (</w:t>
      </w:r>
      <w:r>
        <w:rPr>
          <w:i/>
          <w:color w:val="231F20"/>
          <w:sz w:val="18"/>
        </w:rPr>
        <w:t>Curcuma longa </w:t>
      </w:r>
      <w:r>
        <w:rPr>
          <w:color w:val="231F20"/>
          <w:sz w:val="18"/>
        </w:rPr>
        <w:t>L.) CULTIVADA EN LA REGIÓN HUASTECA HIDALGUENSE</w:t>
      </w:r>
    </w:p>
    <w:p>
      <w:pPr>
        <w:spacing w:line="254" w:lineRule="auto" w:before="1"/>
        <w:ind w:left="1633" w:right="97" w:firstLine="0"/>
        <w:jc w:val="left"/>
        <w:rPr>
          <w:i/>
          <w:sz w:val="18"/>
        </w:rPr>
      </w:pPr>
      <w:r>
        <w:rPr>
          <w:i/>
          <w:color w:val="231F20"/>
          <w:sz w:val="18"/>
        </w:rPr>
        <w:t>Filimon Ávila, Juan Guerrero C y Guadalupe Arizmendi José G., Wilfrido Flores Pérez  </w:t>
      </w:r>
      <w:r>
        <w:rPr>
          <w:i/>
          <w:color w:val="231F20"/>
          <w:sz w:val="18"/>
        </w:rPr>
        <w:t>y Arturo Hernán </w:t>
      </w:r>
      <w:r>
        <w:rPr>
          <w:i/>
          <w:color w:val="231F20"/>
          <w:spacing w:val="-3"/>
          <w:sz w:val="18"/>
        </w:rPr>
        <w:t>Tagle</w:t>
      </w:r>
      <w:r>
        <w:rPr>
          <w:i/>
          <w:color w:val="231F20"/>
          <w:spacing w:val="22"/>
          <w:sz w:val="18"/>
        </w:rPr>
        <w:t> </w:t>
      </w:r>
      <w:r>
        <w:rPr>
          <w:i/>
          <w:color w:val="231F20"/>
          <w:sz w:val="18"/>
        </w:rPr>
        <w:t>Reyes</w:t>
      </w:r>
    </w:p>
    <w:p>
      <w:pPr>
        <w:spacing w:before="64"/>
        <w:ind w:left="2456" w:right="0" w:firstLine="0"/>
        <w:jc w:val="left"/>
        <w:rPr>
          <w:b/>
          <w:sz w:val="18"/>
        </w:rPr>
      </w:pPr>
      <w:r>
        <w:rPr>
          <w:b/>
          <w:color w:val="231F20"/>
          <w:sz w:val="18"/>
        </w:rPr>
        <w:t>TECNOLOGÍAS DE LA INFORMACIÓN Y COMUNICACIÓN</w:t>
      </w:r>
    </w:p>
    <w:p>
      <w:pPr>
        <w:spacing w:line="254" w:lineRule="auto" w:before="79"/>
        <w:ind w:left="1633" w:right="450" w:firstLine="0"/>
        <w:jc w:val="left"/>
        <w:rPr>
          <w:sz w:val="18"/>
        </w:rPr>
      </w:pPr>
      <w:r>
        <w:rPr>
          <w:color w:val="231F20"/>
          <w:sz w:val="18"/>
        </w:rPr>
        <w:t>CLASIFICACIÓN GRUPAL DE ESTADOS COGNOSCITIVOS EN IMÁGENES DE RESONANCIA MAGNÉTICA FUNCIONAL CON BASE</w:t>
      </w:r>
    </w:p>
    <w:p>
      <w:pPr>
        <w:spacing w:before="1"/>
        <w:ind w:left="1633" w:right="1055" w:firstLine="0"/>
        <w:jc w:val="left"/>
        <w:rPr>
          <w:sz w:val="18"/>
        </w:rPr>
      </w:pPr>
      <w:r>
        <w:rPr>
          <w:color w:val="231F20"/>
          <w:sz w:val="18"/>
        </w:rPr>
        <w:t>EN UN MODELO DE KERNEL GAUSSIANO</w:t>
      </w:r>
    </w:p>
    <w:p>
      <w:pPr>
        <w:spacing w:before="13"/>
        <w:ind w:left="1633" w:right="0" w:firstLine="0"/>
        <w:jc w:val="left"/>
        <w:rPr>
          <w:i/>
          <w:sz w:val="18"/>
        </w:rPr>
      </w:pPr>
      <w:r>
        <w:rPr>
          <w:i/>
          <w:color w:val="231F20"/>
          <w:sz w:val="18"/>
        </w:rPr>
        <w:t>Efrén Juárez-Castillo, Héctor Gabriel Acosta-Mesa y Juan  Fernández-Ruiz</w:t>
      </w:r>
    </w:p>
    <w:p>
      <w:pPr>
        <w:spacing w:before="78"/>
        <w:ind w:left="1633" w:right="1055" w:firstLine="0"/>
        <w:jc w:val="left"/>
        <w:rPr>
          <w:sz w:val="18"/>
        </w:rPr>
      </w:pPr>
      <w:r>
        <w:rPr>
          <w:color w:val="231F20"/>
          <w:sz w:val="18"/>
        </w:rPr>
        <w:t>COMENTARIOS FINALES</w:t>
      </w:r>
    </w:p>
    <w:p>
      <w:pPr>
        <w:pStyle w:val="BodyText"/>
        <w:rPr>
          <w:sz w:val="18"/>
        </w:rPr>
      </w:pPr>
      <w:r>
        <w:rPr/>
        <w:br w:type="column"/>
      </w:r>
      <w:r>
        <w:rPr>
          <w:sz w:val="18"/>
        </w:rPr>
      </w:r>
    </w:p>
    <w:p>
      <w:pPr>
        <w:pStyle w:val="BodyText"/>
        <w:rPr>
          <w:sz w:val="18"/>
        </w:rPr>
      </w:pPr>
    </w:p>
    <w:p>
      <w:pPr>
        <w:spacing w:before="154"/>
        <w:ind w:left="375" w:right="0" w:firstLine="0"/>
        <w:jc w:val="left"/>
        <w:rPr>
          <w:sz w:val="18"/>
        </w:rPr>
      </w:pPr>
      <w:r>
        <w:rPr>
          <w:color w:val="231F20"/>
          <w:sz w:val="18"/>
        </w:rPr>
        <w:t>397</w:t>
      </w:r>
    </w:p>
    <w:p>
      <w:pPr>
        <w:pStyle w:val="BodyText"/>
        <w:rPr>
          <w:sz w:val="18"/>
        </w:rPr>
      </w:pPr>
    </w:p>
    <w:p>
      <w:pPr>
        <w:pStyle w:val="BodyText"/>
        <w:rPr>
          <w:sz w:val="18"/>
        </w:rPr>
      </w:pPr>
    </w:p>
    <w:p>
      <w:pPr>
        <w:pStyle w:val="BodyText"/>
        <w:spacing w:before="6"/>
        <w:rPr>
          <w:sz w:val="18"/>
        </w:rPr>
      </w:pPr>
    </w:p>
    <w:p>
      <w:pPr>
        <w:spacing w:before="1"/>
        <w:ind w:left="373" w:right="0" w:firstLine="0"/>
        <w:jc w:val="left"/>
        <w:rPr>
          <w:sz w:val="18"/>
        </w:rPr>
      </w:pPr>
      <w:r>
        <w:rPr>
          <w:color w:val="231F20"/>
          <w:sz w:val="18"/>
        </w:rPr>
        <w:t>405</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26"/>
        </w:rPr>
      </w:pPr>
    </w:p>
    <w:p>
      <w:pPr>
        <w:spacing w:before="0"/>
        <w:ind w:left="376" w:right="0" w:firstLine="0"/>
        <w:jc w:val="left"/>
        <w:rPr>
          <w:sz w:val="18"/>
        </w:rPr>
      </w:pPr>
      <w:r>
        <w:rPr>
          <w:color w:val="231F20"/>
          <w:sz w:val="18"/>
        </w:rPr>
        <w:t>429</w:t>
      </w:r>
    </w:p>
    <w:p>
      <w:pPr>
        <w:pStyle w:val="BodyText"/>
        <w:rPr>
          <w:sz w:val="18"/>
        </w:rPr>
      </w:pPr>
    </w:p>
    <w:p>
      <w:pPr>
        <w:pStyle w:val="BodyText"/>
        <w:rPr>
          <w:sz w:val="18"/>
        </w:rPr>
      </w:pPr>
    </w:p>
    <w:p>
      <w:pPr>
        <w:pStyle w:val="BodyText"/>
        <w:spacing w:before="6"/>
        <w:rPr>
          <w:sz w:val="18"/>
        </w:rPr>
      </w:pPr>
    </w:p>
    <w:p>
      <w:pPr>
        <w:spacing w:before="1"/>
        <w:ind w:left="379" w:right="0" w:firstLine="0"/>
        <w:jc w:val="left"/>
        <w:rPr>
          <w:sz w:val="18"/>
        </w:rPr>
      </w:pPr>
      <w:r>
        <w:rPr>
          <w:color w:val="231F20"/>
          <w:sz w:val="18"/>
        </w:rPr>
        <w:t>439</w:t>
      </w:r>
    </w:p>
    <w:p>
      <w:pPr>
        <w:pStyle w:val="BodyText"/>
        <w:rPr>
          <w:sz w:val="18"/>
        </w:rPr>
      </w:pPr>
    </w:p>
    <w:p>
      <w:pPr>
        <w:pStyle w:val="BodyText"/>
        <w:rPr>
          <w:sz w:val="18"/>
        </w:rPr>
      </w:pPr>
    </w:p>
    <w:p>
      <w:pPr>
        <w:pStyle w:val="BodyText"/>
        <w:rPr>
          <w:sz w:val="18"/>
        </w:rPr>
      </w:pPr>
    </w:p>
    <w:p>
      <w:pPr>
        <w:spacing w:before="116"/>
        <w:ind w:left="374" w:right="0" w:firstLine="0"/>
        <w:jc w:val="left"/>
        <w:rPr>
          <w:sz w:val="18"/>
        </w:rPr>
      </w:pPr>
      <w:r>
        <w:rPr>
          <w:color w:val="231F20"/>
          <w:sz w:val="18"/>
        </w:rPr>
        <w:t>443</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5"/>
        <w:rPr>
          <w:sz w:val="26"/>
        </w:rPr>
      </w:pPr>
    </w:p>
    <w:p>
      <w:pPr>
        <w:spacing w:before="0"/>
        <w:ind w:left="379" w:right="0" w:firstLine="0"/>
        <w:jc w:val="left"/>
        <w:rPr>
          <w:sz w:val="18"/>
        </w:rPr>
      </w:pPr>
      <w:r>
        <w:rPr>
          <w:color w:val="231F20"/>
          <w:sz w:val="18"/>
        </w:rPr>
        <w:t>453</w:t>
      </w:r>
    </w:p>
    <w:p>
      <w:pPr>
        <w:spacing w:after="0"/>
        <w:jc w:val="left"/>
        <w:rPr>
          <w:sz w:val="18"/>
        </w:rPr>
        <w:sectPr>
          <w:type w:val="continuous"/>
          <w:pgSz w:w="10480" w:h="13880"/>
          <w:pgMar w:top="0" w:bottom="0" w:left="0" w:right="0"/>
          <w:cols w:num="2" w:equalWidth="0">
            <w:col w:w="8134" w:space="40"/>
            <w:col w:w="230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60" w:lineRule="exact" w:before="226"/>
        <w:ind w:left="3035" w:right="1864"/>
      </w:pPr>
      <w:r>
        <w:rPr>
          <w:color w:val="231F20"/>
        </w:rPr>
        <w:t>La inversión extranjera directa en el crecimiento económico de México, 1970-2012</w:t>
      </w:r>
    </w:p>
    <w:p>
      <w:pPr>
        <w:pStyle w:val="BodyText"/>
        <w:rPr>
          <w:b/>
          <w:sz w:val="20"/>
        </w:rPr>
      </w:pPr>
    </w:p>
    <w:p>
      <w:pPr>
        <w:pStyle w:val="BodyText"/>
        <w:spacing w:before="5"/>
        <w:rPr>
          <w:b/>
          <w:sz w:val="24"/>
        </w:rPr>
      </w:pPr>
    </w:p>
    <w:p>
      <w:pPr>
        <w:spacing w:after="0"/>
        <w:rPr>
          <w:sz w:val="24"/>
        </w:rPr>
        <w:sectPr>
          <w:footerReference w:type="default" r:id="rId20"/>
          <w:pgSz w:w="10480" w:h="13880"/>
          <w:pgMar w:footer="222" w:header="0" w:top="420" w:bottom="420" w:left="0" w:right="0"/>
        </w:sectPr>
      </w:pPr>
    </w:p>
    <w:p>
      <w:pPr>
        <w:pStyle w:val="BodyText"/>
        <w:rPr>
          <w:b/>
          <w:sz w:val="26"/>
        </w:rPr>
      </w:pPr>
    </w:p>
    <w:p>
      <w:pPr>
        <w:pStyle w:val="BodyText"/>
        <w:spacing w:before="7"/>
        <w:rPr>
          <w:b/>
          <w:sz w:val="25"/>
        </w:rPr>
      </w:pPr>
    </w:p>
    <w:p>
      <w:pPr>
        <w:pStyle w:val="Heading2"/>
        <w:spacing w:before="1"/>
        <w:ind w:right="-14"/>
        <w:jc w:val="left"/>
      </w:pPr>
      <w:r>
        <w:rPr>
          <w:color w:val="231F20"/>
          <w:spacing w:val="-2"/>
        </w:rPr>
        <w:t>Resumen</w:t>
      </w:r>
    </w:p>
    <w:p>
      <w:pPr>
        <w:spacing w:line="247" w:lineRule="auto" w:before="71"/>
        <w:ind w:left="1696" w:right="1540" w:hanging="155"/>
        <w:jc w:val="left"/>
        <w:rPr>
          <w:i/>
          <w:sz w:val="13"/>
        </w:rPr>
      </w:pPr>
      <w:r>
        <w:rPr/>
        <w:br w:type="column"/>
      </w:r>
      <w:r>
        <w:rPr>
          <w:i/>
          <w:color w:val="231F20"/>
          <w:sz w:val="22"/>
        </w:rPr>
        <w:t>Lucila Godínez Montoya,</w:t>
      </w:r>
      <w:r>
        <w:rPr>
          <w:i/>
          <w:color w:val="231F20"/>
          <w:position w:val="7"/>
          <w:sz w:val="13"/>
        </w:rPr>
        <w:t>1 </w:t>
      </w:r>
      <w:r>
        <w:rPr>
          <w:i/>
          <w:color w:val="231F20"/>
          <w:sz w:val="22"/>
        </w:rPr>
        <w:t>Gerónimo Barrios Puente,</w:t>
      </w:r>
      <w:r>
        <w:rPr>
          <w:i/>
          <w:color w:val="231F20"/>
          <w:position w:val="7"/>
          <w:sz w:val="13"/>
        </w:rPr>
        <w:t>1 </w:t>
      </w:r>
      <w:r>
        <w:rPr>
          <w:i/>
          <w:color w:val="231F20"/>
          <w:sz w:val="22"/>
        </w:rPr>
        <w:t>Esther Figueroa Hernández,</w:t>
      </w:r>
      <w:r>
        <w:rPr>
          <w:i/>
          <w:color w:val="231F20"/>
          <w:position w:val="7"/>
          <w:sz w:val="13"/>
        </w:rPr>
        <w:t>2  </w:t>
      </w:r>
      <w:r>
        <w:rPr>
          <w:i/>
          <w:color w:val="231F20"/>
          <w:sz w:val="22"/>
        </w:rPr>
        <w:t>Francisco Pérez Soto</w:t>
      </w:r>
      <w:r>
        <w:rPr>
          <w:i/>
          <w:color w:val="231F20"/>
          <w:position w:val="7"/>
          <w:sz w:val="13"/>
        </w:rPr>
        <w:t>2</w:t>
      </w:r>
    </w:p>
    <w:p>
      <w:pPr>
        <w:spacing w:after="0" w:line="247" w:lineRule="auto"/>
        <w:jc w:val="left"/>
        <w:rPr>
          <w:sz w:val="13"/>
        </w:rPr>
        <w:sectPr>
          <w:type w:val="continuous"/>
          <w:pgSz w:w="10480" w:h="13880"/>
          <w:pgMar w:top="0" w:bottom="0" w:left="0" w:right="0"/>
          <w:cols w:num="2" w:equalWidth="0">
            <w:col w:w="2571" w:space="40"/>
            <w:col w:w="7869"/>
          </w:cols>
        </w:sectPr>
      </w:pPr>
    </w:p>
    <w:p>
      <w:pPr>
        <w:pStyle w:val="BodyText"/>
        <w:spacing w:before="8"/>
        <w:rPr>
          <w:i/>
          <w:sz w:val="20"/>
        </w:rPr>
      </w:pPr>
    </w:p>
    <w:p>
      <w:pPr>
        <w:pStyle w:val="BodyText"/>
        <w:spacing w:line="247" w:lineRule="auto"/>
        <w:ind w:left="2167" w:right="1550"/>
        <w:jc w:val="both"/>
      </w:pPr>
      <w:r>
        <w:rPr/>
        <w:pict>
          <v:shape style="position:absolute;margin-left:77.692902pt;margin-top:-4.18013pt;width:30.75pt;height:50.3pt;mso-position-horizontal-relative:page;mso-position-vertical-relative:paragraph;z-index:-48208" type="#_x0000_t202" filled="false" stroked="false">
            <v:textbox inset="0,0,0,0">
              <w:txbxContent>
                <w:p>
                  <w:pPr>
                    <w:spacing w:line="1005" w:lineRule="exact" w:before="0"/>
                    <w:ind w:left="0" w:right="0" w:firstLine="0"/>
                    <w:jc w:val="left"/>
                    <w:rPr>
                      <w:sz w:val="100"/>
                    </w:rPr>
                  </w:pPr>
                  <w:r>
                    <w:rPr>
                      <w:color w:val="231F20"/>
                      <w:w w:val="100"/>
                      <w:sz w:val="100"/>
                    </w:rPr>
                    <w:t>E</w:t>
                  </w:r>
                </w:p>
              </w:txbxContent>
            </v:textbox>
            <w10:wrap type="none"/>
          </v:shape>
        </w:pict>
      </w:r>
      <w:r>
        <w:rPr>
          <w:color w:val="231F20"/>
        </w:rPr>
        <w:t>l objetivo de la investigación consistió en analizar el efecto que la Inversión Extranjera Directa (IED) tuvo en el crecimiento económico de México de 1970-2012,    para lo cual se elaboró un modelo de regresión lineal, que rela-</w:t>
      </w:r>
    </w:p>
    <w:p>
      <w:pPr>
        <w:pStyle w:val="BodyText"/>
        <w:spacing w:line="247" w:lineRule="auto"/>
        <w:ind w:left="1553" w:right="1549"/>
        <w:jc w:val="both"/>
      </w:pPr>
      <w:r>
        <w:rPr>
          <w:color w:val="231F20"/>
        </w:rPr>
        <w:t>cionó el Producto Interno Bruto </w:t>
      </w:r>
      <w:r>
        <w:rPr>
          <w:color w:val="231F20"/>
          <w:spacing w:val="-3"/>
        </w:rPr>
        <w:t>(PIB) </w:t>
      </w:r>
      <w:r>
        <w:rPr>
          <w:color w:val="231F20"/>
        </w:rPr>
        <w:t>con los flujos de IED que entraron al país en ese lapso. Los resultados obtenidos mostraron una relación directa entre el PIB y la IED,</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coincide</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teoría</w:t>
      </w:r>
      <w:r>
        <w:rPr>
          <w:color w:val="231F20"/>
          <w:spacing w:val="-11"/>
        </w:rPr>
        <w:t> </w:t>
      </w:r>
      <w:r>
        <w:rPr>
          <w:color w:val="231F20"/>
        </w:rPr>
        <w:t>económica.</w:t>
      </w:r>
      <w:r>
        <w:rPr>
          <w:color w:val="231F20"/>
          <w:spacing w:val="-11"/>
        </w:rPr>
        <w:t> </w:t>
      </w:r>
      <w:r>
        <w:rPr>
          <w:color w:val="231F20"/>
        </w:rPr>
        <w:t>Se</w:t>
      </w:r>
      <w:r>
        <w:rPr>
          <w:color w:val="231F20"/>
          <w:spacing w:val="-11"/>
        </w:rPr>
        <w:t> </w:t>
      </w:r>
      <w:r>
        <w:rPr>
          <w:color w:val="231F20"/>
        </w:rPr>
        <w:t>concluye</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IED</w:t>
      </w:r>
      <w:r>
        <w:rPr>
          <w:color w:val="231F20"/>
          <w:spacing w:val="-11"/>
        </w:rPr>
        <w:t> </w:t>
      </w:r>
      <w:r>
        <w:rPr>
          <w:color w:val="231F20"/>
        </w:rPr>
        <w:t>ha</w:t>
      </w:r>
      <w:r>
        <w:rPr>
          <w:color w:val="231F20"/>
          <w:spacing w:val="-11"/>
        </w:rPr>
        <w:t> </w:t>
      </w:r>
      <w:r>
        <w:rPr>
          <w:color w:val="231F20"/>
        </w:rPr>
        <w:t>contribuido positivamente al crecimiento económico a lo largo del período de estudio, ya que a mayor entrada de capital por medio de la IED habrá mayor probabilidad de que la economía crezca.</w:t>
      </w:r>
    </w:p>
    <w:p>
      <w:pPr>
        <w:pStyle w:val="BodyText"/>
      </w:pPr>
    </w:p>
    <w:p>
      <w:pPr>
        <w:pStyle w:val="BodyText"/>
        <w:spacing w:before="10"/>
        <w:rPr>
          <w:sz w:val="19"/>
        </w:rPr>
      </w:pPr>
    </w:p>
    <w:p>
      <w:pPr>
        <w:pStyle w:val="Heading2"/>
      </w:pPr>
      <w:r>
        <w:rPr>
          <w:color w:val="231F20"/>
        </w:rPr>
        <w:t>Introducción</w:t>
      </w:r>
    </w:p>
    <w:p>
      <w:pPr>
        <w:pStyle w:val="BodyText"/>
        <w:spacing w:before="8"/>
        <w:rPr>
          <w:b/>
          <w:sz w:val="20"/>
        </w:rPr>
      </w:pPr>
    </w:p>
    <w:p>
      <w:pPr>
        <w:pStyle w:val="BodyText"/>
        <w:spacing w:line="247" w:lineRule="auto"/>
        <w:ind w:left="1553" w:right="1550"/>
        <w:jc w:val="both"/>
      </w:pPr>
      <w:r>
        <w:rPr>
          <w:color w:val="231F20"/>
        </w:rPr>
        <w:t>En México, la </w:t>
      </w:r>
      <w:r>
        <w:rPr>
          <w:color w:val="231F20"/>
          <w:spacing w:val="3"/>
        </w:rPr>
        <w:t>tendencia </w:t>
      </w:r>
      <w:r>
        <w:rPr>
          <w:color w:val="231F20"/>
        </w:rPr>
        <w:t>de </w:t>
      </w:r>
      <w:r>
        <w:rPr>
          <w:color w:val="231F20"/>
          <w:spacing w:val="3"/>
        </w:rPr>
        <w:t>crecimiento </w:t>
      </w:r>
      <w:r>
        <w:rPr>
          <w:color w:val="231F20"/>
        </w:rPr>
        <w:t>de </w:t>
      </w:r>
      <w:r>
        <w:rPr>
          <w:color w:val="231F20"/>
          <w:spacing w:val="2"/>
        </w:rPr>
        <w:t>largo plazo </w:t>
      </w:r>
      <w:r>
        <w:rPr>
          <w:color w:val="231F20"/>
        </w:rPr>
        <w:t>de la </w:t>
      </w:r>
      <w:r>
        <w:rPr>
          <w:color w:val="231F20"/>
          <w:spacing w:val="3"/>
        </w:rPr>
        <w:t>economía mexicana </w:t>
      </w:r>
      <w:r>
        <w:rPr>
          <w:color w:val="231F20"/>
        </w:rPr>
        <w:t>se </w:t>
      </w:r>
      <w:r>
        <w:rPr>
          <w:color w:val="231F20"/>
          <w:spacing w:val="2"/>
        </w:rPr>
        <w:t>detuvo </w:t>
      </w:r>
      <w:r>
        <w:rPr>
          <w:color w:val="231F20"/>
        </w:rPr>
        <w:t>a </w:t>
      </w:r>
      <w:r>
        <w:rPr>
          <w:color w:val="231F20"/>
          <w:spacing w:val="6"/>
        </w:rPr>
        <w:t>partir </w:t>
      </w:r>
      <w:r>
        <w:rPr>
          <w:color w:val="231F20"/>
        </w:rPr>
        <w:t>de 1982 </w:t>
      </w:r>
      <w:r>
        <w:rPr>
          <w:color w:val="231F20"/>
          <w:spacing w:val="4"/>
        </w:rPr>
        <w:t>para iniciar un </w:t>
      </w:r>
      <w:r>
        <w:rPr>
          <w:color w:val="231F20"/>
          <w:spacing w:val="3"/>
        </w:rPr>
        <w:t>proceso </w:t>
      </w:r>
      <w:r>
        <w:rPr>
          <w:color w:val="231F20"/>
        </w:rPr>
        <w:t>de </w:t>
      </w:r>
      <w:r>
        <w:rPr>
          <w:color w:val="231F20"/>
          <w:spacing w:val="4"/>
        </w:rPr>
        <w:t>transformación profunda. </w:t>
      </w:r>
      <w:r>
        <w:rPr>
          <w:color w:val="231F20"/>
          <w:spacing w:val="3"/>
        </w:rPr>
        <w:t>Los años </w:t>
      </w:r>
      <w:r>
        <w:rPr>
          <w:color w:val="231F20"/>
        </w:rPr>
        <w:t>que </w:t>
      </w:r>
      <w:r>
        <w:rPr>
          <w:color w:val="231F20"/>
          <w:spacing w:val="3"/>
        </w:rPr>
        <w:t>siguieron pasaron </w:t>
      </w:r>
      <w:r>
        <w:rPr>
          <w:color w:val="231F20"/>
        </w:rPr>
        <w:t>de </w:t>
      </w:r>
      <w:r>
        <w:rPr>
          <w:color w:val="231F20"/>
          <w:spacing w:val="4"/>
        </w:rPr>
        <w:t>una </w:t>
      </w:r>
      <w:r>
        <w:rPr>
          <w:color w:val="231F20"/>
          <w:spacing w:val="3"/>
        </w:rPr>
        <w:t>crisis económica </w:t>
      </w:r>
      <w:r>
        <w:rPr>
          <w:color w:val="231F20"/>
        </w:rPr>
        <w:t>con </w:t>
      </w:r>
      <w:r>
        <w:rPr>
          <w:color w:val="231F20"/>
          <w:spacing w:val="4"/>
        </w:rPr>
        <w:t>un </w:t>
      </w:r>
      <w:r>
        <w:rPr>
          <w:color w:val="231F20"/>
          <w:spacing w:val="2"/>
        </w:rPr>
        <w:t>grave costo  </w:t>
      </w:r>
      <w:r>
        <w:rPr>
          <w:color w:val="231F20"/>
          <w:spacing w:val="54"/>
        </w:rPr>
        <w:t> </w:t>
      </w:r>
      <w:r>
        <w:rPr>
          <w:color w:val="231F20"/>
          <w:spacing w:val="3"/>
        </w:rPr>
        <w:t>so-</w:t>
      </w:r>
    </w:p>
    <w:p>
      <w:pPr>
        <w:pStyle w:val="BodyText"/>
        <w:spacing w:before="3"/>
        <w:rPr>
          <w:sz w:val="30"/>
        </w:rPr>
      </w:pPr>
    </w:p>
    <w:p>
      <w:pPr>
        <w:spacing w:line="254" w:lineRule="auto" w:before="0"/>
        <w:ind w:left="1553" w:right="1551" w:firstLine="0"/>
        <w:jc w:val="both"/>
        <w:rPr>
          <w:sz w:val="18"/>
        </w:rPr>
      </w:pPr>
      <w:r>
        <w:rPr>
          <w:position w:val="6"/>
          <w:sz w:val="10"/>
        </w:rPr>
        <w:t>1 </w:t>
      </w:r>
      <w:r>
        <w:rPr>
          <w:sz w:val="18"/>
        </w:rPr>
        <w:t>Centro Universitario UAEM Texcoco, Universidad Autónoma del Estado de México, correo electró- nico</w:t>
      </w:r>
      <w:hyperlink r:id="rId21">
        <w:r>
          <w:rPr>
            <w:sz w:val="18"/>
          </w:rPr>
          <w:t>: lucilagm76@hotmail.com,</w:t>
        </w:r>
      </w:hyperlink>
      <w:r>
        <w:rPr>
          <w:sz w:val="18"/>
        </w:rPr>
        <w:t> </w:t>
      </w:r>
      <w:hyperlink r:id="rId22">
        <w:r>
          <w:rPr>
            <w:sz w:val="18"/>
          </w:rPr>
          <w:t>esfigue_3@yahoo.com.mx</w:t>
        </w:r>
      </w:hyperlink>
    </w:p>
    <w:p>
      <w:pPr>
        <w:spacing w:line="254" w:lineRule="auto" w:before="1"/>
        <w:ind w:left="1553" w:right="1551" w:hanging="1"/>
        <w:jc w:val="both"/>
        <w:rPr>
          <w:sz w:val="18"/>
        </w:rPr>
      </w:pPr>
      <w:r>
        <w:rPr>
          <w:color w:val="231F20"/>
          <w:position w:val="6"/>
          <w:sz w:val="10"/>
        </w:rPr>
        <w:t>2 </w:t>
      </w:r>
      <w:r>
        <w:rPr>
          <w:color w:val="231F20"/>
          <w:sz w:val="18"/>
        </w:rPr>
        <w:t>División de Ciencias Económico-Administrativas, Universidad Autónoma Chapingo, correo electró- nico</w:t>
      </w:r>
      <w:hyperlink r:id="rId23">
        <w:r>
          <w:rPr>
            <w:color w:val="231F20"/>
            <w:sz w:val="18"/>
          </w:rPr>
          <w:t>: perezsotof@hotmail.com</w:t>
        </w:r>
      </w:hyperlink>
    </w:p>
    <w:p>
      <w:pPr>
        <w:pStyle w:val="BodyText"/>
        <w:spacing w:before="6"/>
        <w:rPr>
          <w:sz w:val="9"/>
        </w:rPr>
      </w:pPr>
    </w:p>
    <w:p>
      <w:pPr>
        <w:spacing w:before="75"/>
        <w:ind w:left="1575" w:right="1575" w:firstLine="0"/>
        <w:jc w:val="center"/>
        <w:rPr>
          <w:sz w:val="20"/>
        </w:rPr>
      </w:pPr>
      <w:r>
        <w:rPr>
          <w:color w:val="231F20"/>
          <w:sz w:val="20"/>
        </w:rPr>
        <w:t>31</w:t>
      </w:r>
    </w:p>
    <w:p>
      <w:pPr>
        <w:spacing w:after="0"/>
        <w:jc w:val="center"/>
        <w:rPr>
          <w:sz w:val="20"/>
        </w:rPr>
        <w:sectPr>
          <w:type w:val="continuous"/>
          <w:pgSz w:w="10480" w:h="13880"/>
          <w:pgMar w:top="0" w:bottom="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46"/>
        <w:jc w:val="both"/>
      </w:pPr>
      <w:r>
        <w:rPr>
          <w:color w:val="231F20"/>
          <w:spacing w:val="3"/>
        </w:rPr>
        <w:t>cial </w:t>
      </w:r>
      <w:r>
        <w:rPr>
          <w:color w:val="231F20"/>
        </w:rPr>
        <w:t>a </w:t>
      </w:r>
      <w:r>
        <w:rPr>
          <w:color w:val="231F20"/>
          <w:spacing w:val="4"/>
        </w:rPr>
        <w:t>una </w:t>
      </w:r>
      <w:r>
        <w:rPr>
          <w:color w:val="231F20"/>
          <w:spacing w:val="3"/>
        </w:rPr>
        <w:t>serie </w:t>
      </w:r>
      <w:r>
        <w:rPr>
          <w:color w:val="231F20"/>
        </w:rPr>
        <w:t>de </w:t>
      </w:r>
      <w:r>
        <w:rPr>
          <w:color w:val="231F20"/>
          <w:spacing w:val="3"/>
        </w:rPr>
        <w:t>reformas </w:t>
      </w:r>
      <w:r>
        <w:rPr>
          <w:color w:val="231F20"/>
          <w:spacing w:val="2"/>
        </w:rPr>
        <w:t>que </w:t>
      </w:r>
      <w:r>
        <w:rPr>
          <w:color w:val="231F20"/>
        </w:rPr>
        <w:t>si bien </w:t>
      </w:r>
      <w:r>
        <w:rPr>
          <w:color w:val="231F20"/>
          <w:spacing w:val="3"/>
        </w:rPr>
        <w:t>han </w:t>
      </w:r>
      <w:r>
        <w:rPr>
          <w:color w:val="231F20"/>
          <w:spacing w:val="4"/>
        </w:rPr>
        <w:t>marcado </w:t>
      </w:r>
      <w:r>
        <w:rPr>
          <w:color w:val="231F20"/>
          <w:spacing w:val="3"/>
        </w:rPr>
        <w:t>avances </w:t>
      </w:r>
      <w:r>
        <w:rPr>
          <w:color w:val="231F20"/>
          <w:spacing w:val="4"/>
        </w:rPr>
        <w:t>importantes, no fueron </w:t>
      </w:r>
      <w:r>
        <w:rPr>
          <w:color w:val="231F20"/>
          <w:spacing w:val="3"/>
        </w:rPr>
        <w:t>ni </w:t>
      </w:r>
      <w:r>
        <w:rPr>
          <w:color w:val="231F20"/>
        </w:rPr>
        <w:t>con mucho </w:t>
      </w:r>
      <w:r>
        <w:rPr>
          <w:color w:val="231F20"/>
          <w:spacing w:val="3"/>
        </w:rPr>
        <w:t>suficientes. </w:t>
      </w:r>
      <w:r>
        <w:rPr>
          <w:color w:val="231F20"/>
        </w:rPr>
        <w:t>El </w:t>
      </w:r>
      <w:r>
        <w:rPr>
          <w:color w:val="231F20"/>
          <w:spacing w:val="2"/>
        </w:rPr>
        <w:t>fin </w:t>
      </w:r>
      <w:r>
        <w:rPr>
          <w:color w:val="231F20"/>
        </w:rPr>
        <w:t>de 1994 </w:t>
      </w:r>
      <w:r>
        <w:rPr>
          <w:color w:val="231F20"/>
          <w:spacing w:val="3"/>
        </w:rPr>
        <w:t>marcó </w:t>
      </w:r>
      <w:r>
        <w:rPr>
          <w:color w:val="231F20"/>
          <w:spacing w:val="4"/>
        </w:rPr>
        <w:t>una </w:t>
      </w:r>
      <w:r>
        <w:rPr>
          <w:color w:val="231F20"/>
        </w:rPr>
        <w:t>nueva </w:t>
      </w:r>
      <w:r>
        <w:rPr>
          <w:color w:val="231F20"/>
          <w:spacing w:val="3"/>
        </w:rPr>
        <w:t>crisis </w:t>
      </w:r>
      <w:r>
        <w:rPr>
          <w:color w:val="231F20"/>
        </w:rPr>
        <w:t>que </w:t>
      </w:r>
      <w:r>
        <w:rPr>
          <w:color w:val="231F20"/>
          <w:spacing w:val="5"/>
        </w:rPr>
        <w:t>tras- </w:t>
      </w:r>
      <w:r>
        <w:rPr>
          <w:color w:val="231F20"/>
          <w:spacing w:val="3"/>
        </w:rPr>
        <w:t>tocó </w:t>
      </w:r>
      <w:r>
        <w:rPr>
          <w:color w:val="231F20"/>
        </w:rPr>
        <w:t>no sólo la </w:t>
      </w:r>
      <w:r>
        <w:rPr>
          <w:color w:val="231F20"/>
          <w:spacing w:val="6"/>
        </w:rPr>
        <w:t>estructura </w:t>
      </w:r>
      <w:r>
        <w:rPr>
          <w:color w:val="231F20"/>
          <w:spacing w:val="3"/>
        </w:rPr>
        <w:t>económica, </w:t>
      </w:r>
      <w:r>
        <w:rPr>
          <w:color w:val="231F20"/>
          <w:spacing w:val="2"/>
        </w:rPr>
        <w:t>sino que aceleró </w:t>
      </w:r>
      <w:r>
        <w:rPr>
          <w:color w:val="231F20"/>
        </w:rPr>
        <w:t>el </w:t>
      </w:r>
      <w:r>
        <w:rPr>
          <w:color w:val="231F20"/>
          <w:spacing w:val="2"/>
        </w:rPr>
        <w:t>cambio político </w:t>
      </w:r>
      <w:r>
        <w:rPr>
          <w:color w:val="231F20"/>
        </w:rPr>
        <w:t>y </w:t>
      </w:r>
      <w:r>
        <w:rPr>
          <w:color w:val="231F20"/>
          <w:spacing w:val="4"/>
        </w:rPr>
        <w:t>detu- </w:t>
      </w:r>
      <w:r>
        <w:rPr>
          <w:color w:val="231F20"/>
        </w:rPr>
        <w:t>vo el </w:t>
      </w:r>
      <w:r>
        <w:rPr>
          <w:color w:val="231F20"/>
          <w:spacing w:val="3"/>
        </w:rPr>
        <w:t>proceso </w:t>
      </w:r>
      <w:r>
        <w:rPr>
          <w:color w:val="231F20"/>
        </w:rPr>
        <w:t>de </w:t>
      </w:r>
      <w:r>
        <w:rPr>
          <w:color w:val="231F20"/>
          <w:spacing w:val="5"/>
        </w:rPr>
        <w:t>reestructuración </w:t>
      </w:r>
      <w:r>
        <w:rPr>
          <w:color w:val="231F20"/>
          <w:spacing w:val="3"/>
        </w:rPr>
        <w:t>económica. </w:t>
      </w:r>
      <w:r>
        <w:rPr>
          <w:color w:val="231F20"/>
        </w:rPr>
        <w:t>De </w:t>
      </w:r>
      <w:r>
        <w:rPr>
          <w:color w:val="231F20"/>
          <w:spacing w:val="4"/>
        </w:rPr>
        <w:t>manera </w:t>
      </w:r>
      <w:r>
        <w:rPr>
          <w:color w:val="231F20"/>
          <w:spacing w:val="2"/>
        </w:rPr>
        <w:t>que </w:t>
      </w:r>
      <w:r>
        <w:rPr>
          <w:color w:val="231F20"/>
        </w:rPr>
        <w:t>el </w:t>
      </w:r>
      <w:r>
        <w:rPr>
          <w:color w:val="231F20"/>
          <w:spacing w:val="2"/>
        </w:rPr>
        <w:t>cambio </w:t>
      </w:r>
      <w:r>
        <w:rPr>
          <w:color w:val="231F20"/>
        </w:rPr>
        <w:t>de </w:t>
      </w:r>
      <w:r>
        <w:rPr>
          <w:color w:val="231F20"/>
          <w:spacing w:val="3"/>
        </w:rPr>
        <w:t>ten- </w:t>
      </w:r>
      <w:r>
        <w:rPr>
          <w:color w:val="231F20"/>
          <w:spacing w:val="2"/>
        </w:rPr>
        <w:t>dencia </w:t>
      </w:r>
      <w:r>
        <w:rPr>
          <w:color w:val="231F20"/>
        </w:rPr>
        <w:t>de </w:t>
      </w:r>
      <w:r>
        <w:rPr>
          <w:color w:val="231F20"/>
          <w:spacing w:val="4"/>
        </w:rPr>
        <w:t>crecimiento </w:t>
      </w:r>
      <w:r>
        <w:rPr>
          <w:color w:val="231F20"/>
          <w:spacing w:val="2"/>
        </w:rPr>
        <w:t>es notable. </w:t>
      </w:r>
      <w:r>
        <w:rPr>
          <w:color w:val="231F20"/>
        </w:rPr>
        <w:t>En </w:t>
      </w:r>
      <w:r>
        <w:rPr>
          <w:color w:val="231F20"/>
          <w:spacing w:val="3"/>
        </w:rPr>
        <w:t>este </w:t>
      </w:r>
      <w:r>
        <w:rPr>
          <w:color w:val="231F20"/>
          <w:spacing w:val="2"/>
        </w:rPr>
        <w:t>sentido, </w:t>
      </w:r>
      <w:r>
        <w:rPr>
          <w:color w:val="231F20"/>
        </w:rPr>
        <w:t>en los </w:t>
      </w:r>
      <w:r>
        <w:rPr>
          <w:color w:val="231F20"/>
          <w:spacing w:val="3"/>
        </w:rPr>
        <w:t>cincuenta años </w:t>
      </w:r>
      <w:r>
        <w:rPr>
          <w:color w:val="231F20"/>
        </w:rPr>
        <w:t>de </w:t>
      </w:r>
      <w:r>
        <w:rPr>
          <w:color w:val="231F20"/>
          <w:spacing w:val="-3"/>
        </w:rPr>
        <w:t>1932   </w:t>
      </w:r>
      <w:r>
        <w:rPr>
          <w:color w:val="231F20"/>
        </w:rPr>
        <w:t>a </w:t>
      </w:r>
      <w:r>
        <w:rPr>
          <w:color w:val="231F20"/>
          <w:spacing w:val="-5"/>
        </w:rPr>
        <w:t>1981, </w:t>
      </w:r>
      <w:r>
        <w:rPr>
          <w:color w:val="231F20"/>
        </w:rPr>
        <w:t>la </w:t>
      </w:r>
      <w:r>
        <w:rPr>
          <w:color w:val="231F20"/>
          <w:spacing w:val="3"/>
        </w:rPr>
        <w:t>economía </w:t>
      </w:r>
      <w:r>
        <w:rPr>
          <w:color w:val="231F20"/>
          <w:spacing w:val="2"/>
        </w:rPr>
        <w:t>creció </w:t>
      </w:r>
      <w:r>
        <w:rPr>
          <w:color w:val="231F20"/>
        </w:rPr>
        <w:t>a </w:t>
      </w:r>
      <w:r>
        <w:rPr>
          <w:color w:val="231F20"/>
          <w:spacing w:val="4"/>
        </w:rPr>
        <w:t>un ritmo </w:t>
      </w:r>
      <w:r>
        <w:rPr>
          <w:color w:val="231F20"/>
        </w:rPr>
        <w:t>de 6.7% </w:t>
      </w:r>
      <w:r>
        <w:rPr>
          <w:color w:val="231F20"/>
          <w:spacing w:val="3"/>
        </w:rPr>
        <w:t>promedio anual, </w:t>
      </w:r>
      <w:r>
        <w:rPr>
          <w:color w:val="231F20"/>
        </w:rPr>
        <w:t>lo que </w:t>
      </w:r>
      <w:r>
        <w:rPr>
          <w:color w:val="231F20"/>
          <w:spacing w:val="4"/>
        </w:rPr>
        <w:t>transformó </w:t>
      </w:r>
      <w:r>
        <w:rPr>
          <w:color w:val="231F20"/>
        </w:rPr>
        <w:t>el </w:t>
      </w:r>
      <w:r>
        <w:rPr>
          <w:color w:val="231F20"/>
          <w:spacing w:val="4"/>
        </w:rPr>
        <w:t>panorama </w:t>
      </w:r>
      <w:r>
        <w:rPr>
          <w:color w:val="231F20"/>
          <w:spacing w:val="3"/>
        </w:rPr>
        <w:t>socioeconómico </w:t>
      </w:r>
      <w:r>
        <w:rPr>
          <w:color w:val="231F20"/>
        </w:rPr>
        <w:t>de México. En </w:t>
      </w:r>
      <w:r>
        <w:rPr>
          <w:color w:val="231F20"/>
          <w:spacing w:val="3"/>
        </w:rPr>
        <w:t>este </w:t>
      </w:r>
      <w:r>
        <w:rPr>
          <w:color w:val="231F20"/>
          <w:spacing w:val="2"/>
        </w:rPr>
        <w:t>tiempo, </w:t>
      </w:r>
      <w:r>
        <w:rPr>
          <w:color w:val="231F20"/>
        </w:rPr>
        <w:t>la </w:t>
      </w:r>
      <w:r>
        <w:rPr>
          <w:color w:val="231F20"/>
          <w:spacing w:val="2"/>
        </w:rPr>
        <w:t>población </w:t>
      </w:r>
      <w:r>
        <w:rPr>
          <w:color w:val="231F20"/>
        </w:rPr>
        <w:t>del </w:t>
      </w:r>
      <w:r>
        <w:rPr>
          <w:color w:val="231F20"/>
          <w:spacing w:val="3"/>
        </w:rPr>
        <w:t>país pasó </w:t>
      </w:r>
      <w:r>
        <w:rPr>
          <w:color w:val="231F20"/>
        </w:rPr>
        <w:t>de </w:t>
      </w:r>
      <w:r>
        <w:rPr>
          <w:color w:val="231F20"/>
          <w:spacing w:val="-7"/>
        </w:rPr>
        <w:t>17 </w:t>
      </w:r>
      <w:r>
        <w:rPr>
          <w:color w:val="231F20"/>
        </w:rPr>
        <w:t>a </w:t>
      </w:r>
      <w:r>
        <w:rPr>
          <w:color w:val="231F20"/>
          <w:spacing w:val="-3"/>
        </w:rPr>
        <w:t>71 </w:t>
      </w:r>
      <w:r>
        <w:rPr>
          <w:color w:val="231F20"/>
          <w:spacing w:val="3"/>
        </w:rPr>
        <w:t>millones </w:t>
      </w:r>
      <w:r>
        <w:rPr>
          <w:color w:val="231F20"/>
        </w:rPr>
        <w:t>de </w:t>
      </w:r>
      <w:r>
        <w:rPr>
          <w:color w:val="231F20"/>
          <w:spacing w:val="4"/>
        </w:rPr>
        <w:t>personas </w:t>
      </w:r>
      <w:r>
        <w:rPr>
          <w:color w:val="231F20"/>
        </w:rPr>
        <w:t>y la </w:t>
      </w:r>
      <w:r>
        <w:rPr>
          <w:color w:val="231F20"/>
          <w:spacing w:val="6"/>
        </w:rPr>
        <w:t>rural </w:t>
      </w:r>
      <w:r>
        <w:rPr>
          <w:color w:val="231F20"/>
        </w:rPr>
        <w:t>se </w:t>
      </w:r>
      <w:r>
        <w:rPr>
          <w:color w:val="231F20"/>
          <w:spacing w:val="2"/>
        </w:rPr>
        <w:t>redujo </w:t>
      </w:r>
      <w:r>
        <w:rPr>
          <w:color w:val="231F20"/>
        </w:rPr>
        <w:t>del 66 a 33.0%. El </w:t>
      </w:r>
      <w:r>
        <w:rPr>
          <w:color w:val="231F20"/>
          <w:spacing w:val="2"/>
        </w:rPr>
        <w:t>PIB </w:t>
      </w:r>
      <w:r>
        <w:rPr>
          <w:color w:val="231F20"/>
          <w:spacing w:val="3"/>
        </w:rPr>
        <w:t>per cápita también </w:t>
      </w:r>
      <w:r>
        <w:rPr>
          <w:color w:val="231F20"/>
          <w:spacing w:val="2"/>
        </w:rPr>
        <w:t>creció en </w:t>
      </w:r>
      <w:r>
        <w:rPr>
          <w:color w:val="231F20"/>
          <w:spacing w:val="3"/>
        </w:rPr>
        <w:t>forma significativa, </w:t>
      </w:r>
      <w:r>
        <w:rPr>
          <w:color w:val="231F20"/>
        </w:rPr>
        <w:t>3.6% </w:t>
      </w:r>
      <w:r>
        <w:rPr>
          <w:color w:val="231F20"/>
          <w:spacing w:val="2"/>
        </w:rPr>
        <w:t>en </w:t>
      </w:r>
      <w:r>
        <w:rPr>
          <w:color w:val="231F20"/>
          <w:spacing w:val="3"/>
        </w:rPr>
        <w:t>promedio anual, </w:t>
      </w:r>
      <w:r>
        <w:rPr>
          <w:color w:val="231F20"/>
        </w:rPr>
        <w:t>y </w:t>
      </w:r>
      <w:r>
        <w:rPr>
          <w:color w:val="231F20"/>
          <w:spacing w:val="3"/>
        </w:rPr>
        <w:t>la </w:t>
      </w:r>
      <w:r>
        <w:rPr>
          <w:color w:val="231F20"/>
          <w:spacing w:val="4"/>
        </w:rPr>
        <w:t>tasa </w:t>
      </w:r>
      <w:r>
        <w:rPr>
          <w:color w:val="231F20"/>
        </w:rPr>
        <w:t>de </w:t>
      </w:r>
      <w:r>
        <w:rPr>
          <w:color w:val="231F20"/>
          <w:spacing w:val="3"/>
        </w:rPr>
        <w:t>alfabetización </w:t>
      </w:r>
      <w:r>
        <w:rPr>
          <w:color w:val="231F20"/>
          <w:spacing w:val="4"/>
        </w:rPr>
        <w:t>entre </w:t>
      </w:r>
      <w:r>
        <w:rPr>
          <w:color w:val="231F20"/>
        </w:rPr>
        <w:t>la </w:t>
      </w:r>
      <w:r>
        <w:rPr>
          <w:color w:val="231F20"/>
          <w:spacing w:val="2"/>
        </w:rPr>
        <w:t>población </w:t>
      </w:r>
      <w:r>
        <w:rPr>
          <w:color w:val="231F20"/>
          <w:spacing w:val="3"/>
        </w:rPr>
        <w:t>pasó </w:t>
      </w:r>
      <w:r>
        <w:rPr>
          <w:color w:val="231F20"/>
        </w:rPr>
        <w:t>del </w:t>
      </w:r>
      <w:r>
        <w:rPr>
          <w:color w:val="231F20"/>
          <w:spacing w:val="-4"/>
        </w:rPr>
        <w:t>39.0 </w:t>
      </w:r>
      <w:r>
        <w:rPr>
          <w:color w:val="231F20"/>
        </w:rPr>
        <w:t>al 83.0%. A </w:t>
      </w:r>
      <w:r>
        <w:rPr>
          <w:color w:val="231F20"/>
          <w:spacing w:val="3"/>
        </w:rPr>
        <w:t>este periodo</w:t>
      </w:r>
      <w:r>
        <w:rPr>
          <w:color w:val="231F20"/>
          <w:spacing w:val="61"/>
        </w:rPr>
        <w:t> </w:t>
      </w:r>
      <w:r>
        <w:rPr>
          <w:color w:val="231F20"/>
        </w:rPr>
        <w:t>se le </w:t>
      </w:r>
      <w:r>
        <w:rPr>
          <w:color w:val="231F20"/>
          <w:spacing w:val="3"/>
        </w:rPr>
        <w:t>llamó </w:t>
      </w:r>
      <w:r>
        <w:rPr>
          <w:color w:val="231F20"/>
        </w:rPr>
        <w:t>el </w:t>
      </w:r>
      <w:r>
        <w:rPr>
          <w:color w:val="231F20"/>
          <w:spacing w:val="4"/>
        </w:rPr>
        <w:t>“milagro </w:t>
      </w:r>
      <w:r>
        <w:rPr>
          <w:color w:val="231F20"/>
        </w:rPr>
        <w:t>mexicano”. </w:t>
      </w:r>
      <w:r>
        <w:rPr>
          <w:color w:val="231F20"/>
          <w:spacing w:val="2"/>
        </w:rPr>
        <w:t>Sin embargo, </w:t>
      </w:r>
      <w:r>
        <w:rPr>
          <w:color w:val="231F20"/>
          <w:spacing w:val="3"/>
        </w:rPr>
        <w:t>después </w:t>
      </w:r>
      <w:r>
        <w:rPr>
          <w:color w:val="231F20"/>
        </w:rPr>
        <w:t>de 1982 la </w:t>
      </w:r>
      <w:r>
        <w:rPr>
          <w:color w:val="231F20"/>
          <w:spacing w:val="3"/>
        </w:rPr>
        <w:t>economía </w:t>
      </w:r>
      <w:r>
        <w:rPr>
          <w:color w:val="231F20"/>
        </w:rPr>
        <w:t>dejó de </w:t>
      </w:r>
      <w:r>
        <w:rPr>
          <w:color w:val="231F20"/>
          <w:spacing w:val="3"/>
        </w:rPr>
        <w:t>crecer </w:t>
      </w:r>
      <w:r>
        <w:rPr>
          <w:color w:val="231F20"/>
        </w:rPr>
        <w:t>al </w:t>
      </w:r>
      <w:r>
        <w:rPr>
          <w:color w:val="231F20"/>
          <w:spacing w:val="3"/>
        </w:rPr>
        <w:t>mismo </w:t>
      </w:r>
      <w:r>
        <w:rPr>
          <w:color w:val="231F20"/>
          <w:spacing w:val="4"/>
        </w:rPr>
        <w:t>ritmo </w:t>
      </w:r>
      <w:r>
        <w:rPr>
          <w:color w:val="231F20"/>
        </w:rPr>
        <w:t>y no se ha </w:t>
      </w:r>
      <w:r>
        <w:rPr>
          <w:color w:val="231F20"/>
          <w:spacing w:val="3"/>
        </w:rPr>
        <w:t>recuperado </w:t>
      </w:r>
      <w:r>
        <w:rPr>
          <w:color w:val="231F20"/>
          <w:spacing w:val="4"/>
        </w:rPr>
        <w:t>hasta </w:t>
      </w:r>
      <w:r>
        <w:rPr>
          <w:color w:val="231F20"/>
        </w:rPr>
        <w:t>la </w:t>
      </w:r>
      <w:r>
        <w:rPr>
          <w:color w:val="231F20"/>
          <w:spacing w:val="2"/>
        </w:rPr>
        <w:t>fecha. </w:t>
      </w:r>
      <w:r>
        <w:rPr>
          <w:color w:val="231F20"/>
          <w:spacing w:val="4"/>
        </w:rPr>
        <w:t>Primero fue  </w:t>
      </w:r>
      <w:r>
        <w:rPr>
          <w:color w:val="231F20"/>
        </w:rPr>
        <w:t>la </w:t>
      </w:r>
      <w:r>
        <w:rPr>
          <w:color w:val="231F20"/>
          <w:spacing w:val="3"/>
        </w:rPr>
        <w:t>crisis </w:t>
      </w:r>
      <w:r>
        <w:rPr>
          <w:color w:val="231F20"/>
        </w:rPr>
        <w:t>de la </w:t>
      </w:r>
      <w:r>
        <w:rPr>
          <w:color w:val="231F20"/>
          <w:spacing w:val="3"/>
        </w:rPr>
        <w:t>deuda </w:t>
      </w:r>
      <w:r>
        <w:rPr>
          <w:color w:val="231F20"/>
          <w:spacing w:val="4"/>
        </w:rPr>
        <w:t>latinoamericana </w:t>
      </w:r>
      <w:r>
        <w:rPr>
          <w:color w:val="231F20"/>
        </w:rPr>
        <w:t>de 1982 y el </w:t>
      </w:r>
      <w:r>
        <w:rPr>
          <w:color w:val="231F20"/>
          <w:spacing w:val="4"/>
        </w:rPr>
        <w:t>estancamiento </w:t>
      </w:r>
      <w:r>
        <w:rPr>
          <w:color w:val="231F20"/>
          <w:spacing w:val="3"/>
        </w:rPr>
        <w:t>económico de </w:t>
      </w:r>
      <w:r>
        <w:rPr>
          <w:color w:val="231F20"/>
        </w:rPr>
        <w:t>los </w:t>
      </w:r>
      <w:r>
        <w:rPr>
          <w:color w:val="231F20"/>
          <w:spacing w:val="3"/>
        </w:rPr>
        <w:t>años ochenta. </w:t>
      </w:r>
      <w:r>
        <w:rPr>
          <w:color w:val="231F20"/>
        </w:rPr>
        <w:t>Todavía </w:t>
      </w:r>
      <w:r>
        <w:rPr>
          <w:color w:val="231F20"/>
          <w:spacing w:val="4"/>
        </w:rPr>
        <w:t>estando </w:t>
      </w:r>
      <w:r>
        <w:rPr>
          <w:color w:val="231F20"/>
          <w:spacing w:val="2"/>
        </w:rPr>
        <w:t>en </w:t>
      </w:r>
      <w:r>
        <w:rPr>
          <w:color w:val="231F20"/>
          <w:spacing w:val="3"/>
        </w:rPr>
        <w:t>esa </w:t>
      </w:r>
      <w:r>
        <w:rPr>
          <w:color w:val="231F20"/>
          <w:spacing w:val="4"/>
        </w:rPr>
        <w:t>etapa, </w:t>
      </w:r>
      <w:r>
        <w:rPr>
          <w:color w:val="231F20"/>
        </w:rPr>
        <w:t>la </w:t>
      </w:r>
      <w:r>
        <w:rPr>
          <w:color w:val="231F20"/>
          <w:spacing w:val="3"/>
        </w:rPr>
        <w:t>economía comenzó </w:t>
      </w:r>
      <w:r>
        <w:rPr>
          <w:color w:val="231F20"/>
          <w:spacing w:val="4"/>
        </w:rPr>
        <w:t>un </w:t>
      </w:r>
      <w:r>
        <w:rPr>
          <w:color w:val="231F20"/>
          <w:spacing w:val="3"/>
        </w:rPr>
        <w:t>proce- </w:t>
      </w:r>
      <w:r>
        <w:rPr>
          <w:color w:val="231F20"/>
        </w:rPr>
        <w:t>so de </w:t>
      </w:r>
      <w:r>
        <w:rPr>
          <w:color w:val="231F20"/>
          <w:spacing w:val="4"/>
        </w:rPr>
        <w:t>transformación </w:t>
      </w:r>
      <w:r>
        <w:rPr>
          <w:color w:val="231F20"/>
          <w:spacing w:val="6"/>
        </w:rPr>
        <w:t>estructural </w:t>
      </w:r>
      <w:r>
        <w:rPr>
          <w:color w:val="231F20"/>
          <w:spacing w:val="2"/>
        </w:rPr>
        <w:t>que </w:t>
      </w:r>
      <w:r>
        <w:rPr>
          <w:color w:val="231F20"/>
          <w:spacing w:val="3"/>
        </w:rPr>
        <w:t>prometía romper </w:t>
      </w:r>
      <w:r>
        <w:rPr>
          <w:color w:val="231F20"/>
        </w:rPr>
        <w:t>los </w:t>
      </w:r>
      <w:r>
        <w:rPr>
          <w:color w:val="231F20"/>
          <w:spacing w:val="3"/>
        </w:rPr>
        <w:t>obstáculos </w:t>
      </w:r>
      <w:r>
        <w:rPr>
          <w:color w:val="231F20"/>
        </w:rPr>
        <w:t>al </w:t>
      </w:r>
      <w:r>
        <w:rPr>
          <w:color w:val="231F20"/>
          <w:spacing w:val="3"/>
        </w:rPr>
        <w:t>creci- </w:t>
      </w:r>
      <w:r>
        <w:rPr>
          <w:color w:val="231F20"/>
          <w:spacing w:val="2"/>
        </w:rPr>
        <w:t>miento. </w:t>
      </w:r>
      <w:r>
        <w:rPr>
          <w:color w:val="231F20"/>
          <w:spacing w:val="3"/>
        </w:rPr>
        <w:t>Para </w:t>
      </w:r>
      <w:r>
        <w:rPr>
          <w:color w:val="231F20"/>
        </w:rPr>
        <w:t>1994 se </w:t>
      </w:r>
      <w:r>
        <w:rPr>
          <w:color w:val="231F20"/>
          <w:spacing w:val="3"/>
        </w:rPr>
        <w:t>habían </w:t>
      </w:r>
      <w:r>
        <w:rPr>
          <w:color w:val="231F20"/>
          <w:spacing w:val="4"/>
        </w:rPr>
        <w:t>realizado varias </w:t>
      </w:r>
      <w:r>
        <w:rPr>
          <w:color w:val="231F20"/>
          <w:spacing w:val="3"/>
        </w:rPr>
        <w:t>reformas </w:t>
      </w:r>
      <w:r>
        <w:rPr>
          <w:color w:val="231F20"/>
          <w:spacing w:val="4"/>
        </w:rPr>
        <w:t>profundas </w:t>
      </w:r>
      <w:r>
        <w:rPr>
          <w:color w:val="231F20"/>
          <w:spacing w:val="2"/>
        </w:rPr>
        <w:t>que, </w:t>
      </w:r>
      <w:r>
        <w:rPr>
          <w:color w:val="231F20"/>
        </w:rPr>
        <w:t>no </w:t>
      </w:r>
      <w:r>
        <w:rPr>
          <w:color w:val="231F20"/>
          <w:spacing w:val="4"/>
        </w:rPr>
        <w:t>obstan- </w:t>
      </w:r>
      <w:r>
        <w:rPr>
          <w:color w:val="231F20"/>
          <w:spacing w:val="2"/>
        </w:rPr>
        <w:t>te, </w:t>
      </w:r>
      <w:r>
        <w:rPr>
          <w:color w:val="231F20"/>
        </w:rPr>
        <w:t>no </w:t>
      </w:r>
      <w:r>
        <w:rPr>
          <w:color w:val="231F20"/>
          <w:spacing w:val="3"/>
        </w:rPr>
        <w:t>cumplieron </w:t>
      </w:r>
      <w:r>
        <w:rPr>
          <w:color w:val="231F20"/>
        </w:rPr>
        <w:t>con </w:t>
      </w:r>
      <w:r>
        <w:rPr>
          <w:color w:val="231F20"/>
          <w:spacing w:val="3"/>
        </w:rPr>
        <w:t>las </w:t>
      </w:r>
      <w:r>
        <w:rPr>
          <w:color w:val="231F20"/>
          <w:spacing w:val="4"/>
        </w:rPr>
        <w:t>enormes </w:t>
      </w:r>
      <w:r>
        <w:rPr>
          <w:color w:val="231F20"/>
          <w:spacing w:val="3"/>
        </w:rPr>
        <w:t>expectativas </w:t>
      </w:r>
      <w:r>
        <w:rPr>
          <w:color w:val="231F20"/>
        </w:rPr>
        <w:t>con que se </w:t>
      </w:r>
      <w:r>
        <w:rPr>
          <w:color w:val="231F20"/>
          <w:spacing w:val="2"/>
        </w:rPr>
        <w:t>habían </w:t>
      </w:r>
      <w:r>
        <w:rPr>
          <w:color w:val="231F20"/>
          <w:spacing w:val="3"/>
        </w:rPr>
        <w:t>promocionado (Cárdenas,</w:t>
      </w:r>
      <w:r>
        <w:rPr>
          <w:color w:val="231F20"/>
          <w:spacing w:val="7"/>
        </w:rPr>
        <w:t> </w:t>
      </w:r>
      <w:r>
        <w:rPr>
          <w:color w:val="231F20"/>
          <w:spacing w:val="-4"/>
        </w:rPr>
        <w:t>2010).</w:t>
      </w:r>
    </w:p>
    <w:p>
      <w:pPr>
        <w:pStyle w:val="BodyText"/>
        <w:spacing w:line="247" w:lineRule="auto"/>
        <w:ind w:left="1553" w:right="1545" w:firstLine="283"/>
        <w:jc w:val="both"/>
      </w:pPr>
      <w:r>
        <w:rPr>
          <w:color w:val="231F20"/>
        </w:rPr>
        <w:t>De </w:t>
      </w:r>
      <w:r>
        <w:rPr>
          <w:color w:val="231F20"/>
          <w:spacing w:val="3"/>
        </w:rPr>
        <w:t>manera </w:t>
      </w:r>
      <w:r>
        <w:rPr>
          <w:color w:val="231F20"/>
        </w:rPr>
        <w:t>que los gobiernos de los </w:t>
      </w:r>
      <w:r>
        <w:rPr>
          <w:color w:val="231F20"/>
          <w:spacing w:val="2"/>
        </w:rPr>
        <w:t>distintos </w:t>
      </w:r>
      <w:r>
        <w:rPr>
          <w:color w:val="231F20"/>
        </w:rPr>
        <w:t>países </w:t>
      </w:r>
      <w:r>
        <w:rPr>
          <w:color w:val="231F20"/>
          <w:spacing w:val="2"/>
        </w:rPr>
        <w:t>han </w:t>
      </w:r>
      <w:r>
        <w:rPr>
          <w:color w:val="231F20"/>
        </w:rPr>
        <w:t>considerado a la </w:t>
      </w:r>
      <w:r>
        <w:rPr>
          <w:color w:val="231F20"/>
          <w:spacing w:val="2"/>
        </w:rPr>
        <w:t>IED </w:t>
      </w:r>
      <w:r>
        <w:rPr>
          <w:color w:val="231F20"/>
        </w:rPr>
        <w:t>como pilar </w:t>
      </w:r>
      <w:r>
        <w:rPr>
          <w:color w:val="231F20"/>
          <w:spacing w:val="3"/>
        </w:rPr>
        <w:t>fundamental </w:t>
      </w:r>
      <w:r>
        <w:rPr>
          <w:color w:val="231F20"/>
        </w:rPr>
        <w:t>del </w:t>
      </w:r>
      <w:r>
        <w:rPr>
          <w:color w:val="231F20"/>
          <w:spacing w:val="2"/>
        </w:rPr>
        <w:t>crecimiento, </w:t>
      </w:r>
      <w:r>
        <w:rPr>
          <w:color w:val="231F20"/>
        </w:rPr>
        <w:t>ya que </w:t>
      </w:r>
      <w:r>
        <w:rPr>
          <w:color w:val="231F20"/>
          <w:spacing w:val="3"/>
        </w:rPr>
        <w:t>un </w:t>
      </w:r>
      <w:r>
        <w:rPr>
          <w:color w:val="231F20"/>
        </w:rPr>
        <w:t>país, al no </w:t>
      </w:r>
      <w:r>
        <w:rPr>
          <w:color w:val="231F20"/>
          <w:spacing w:val="2"/>
        </w:rPr>
        <w:t>tener altas </w:t>
      </w:r>
      <w:r>
        <w:rPr>
          <w:color w:val="231F20"/>
          <w:spacing w:val="3"/>
        </w:rPr>
        <w:t>tasas </w:t>
      </w:r>
      <w:r>
        <w:rPr>
          <w:color w:val="231F20"/>
        </w:rPr>
        <w:t>de </w:t>
      </w:r>
      <w:r>
        <w:rPr>
          <w:color w:val="231F20"/>
          <w:spacing w:val="3"/>
        </w:rPr>
        <w:t>ahorro interno </w:t>
      </w:r>
      <w:r>
        <w:rPr>
          <w:color w:val="231F20"/>
        </w:rPr>
        <w:t>que </w:t>
      </w:r>
      <w:r>
        <w:rPr>
          <w:color w:val="231F20"/>
          <w:spacing w:val="2"/>
        </w:rPr>
        <w:t>generen </w:t>
      </w:r>
      <w:r>
        <w:rPr>
          <w:color w:val="231F20"/>
        </w:rPr>
        <w:t>inversión tiene que </w:t>
      </w:r>
      <w:r>
        <w:rPr>
          <w:color w:val="231F20"/>
          <w:spacing w:val="4"/>
        </w:rPr>
        <w:t>recurrir </w:t>
      </w:r>
      <w:r>
        <w:rPr>
          <w:color w:val="231F20"/>
        </w:rPr>
        <w:t>al </w:t>
      </w:r>
      <w:r>
        <w:rPr>
          <w:color w:val="231F20"/>
          <w:spacing w:val="2"/>
        </w:rPr>
        <w:t>financiamiento </w:t>
      </w:r>
      <w:r>
        <w:rPr>
          <w:color w:val="231F20"/>
        </w:rPr>
        <w:t>externo. La </w:t>
      </w:r>
      <w:r>
        <w:rPr>
          <w:color w:val="231F20"/>
          <w:spacing w:val="2"/>
        </w:rPr>
        <w:t>IED </w:t>
      </w:r>
      <w:r>
        <w:rPr>
          <w:color w:val="231F20"/>
        </w:rPr>
        <w:t>ha sido </w:t>
      </w:r>
      <w:r>
        <w:rPr>
          <w:color w:val="231F20"/>
          <w:spacing w:val="3"/>
        </w:rPr>
        <w:t>una </w:t>
      </w:r>
      <w:r>
        <w:rPr>
          <w:color w:val="231F20"/>
        </w:rPr>
        <w:t>de </w:t>
      </w:r>
      <w:r>
        <w:rPr>
          <w:color w:val="231F20"/>
          <w:spacing w:val="2"/>
        </w:rPr>
        <w:t>las prioridades </w:t>
      </w:r>
      <w:r>
        <w:rPr>
          <w:color w:val="231F20"/>
        </w:rPr>
        <w:t>debido a </w:t>
      </w:r>
      <w:r>
        <w:rPr>
          <w:color w:val="231F20"/>
          <w:spacing w:val="2"/>
        </w:rPr>
        <w:t>las </w:t>
      </w:r>
      <w:r>
        <w:rPr>
          <w:color w:val="231F20"/>
          <w:spacing w:val="4"/>
        </w:rPr>
        <w:t>virtudes </w:t>
      </w:r>
      <w:r>
        <w:rPr>
          <w:color w:val="231F20"/>
        </w:rPr>
        <w:t>que se le </w:t>
      </w:r>
      <w:r>
        <w:rPr>
          <w:color w:val="231F20"/>
          <w:spacing w:val="2"/>
        </w:rPr>
        <w:t>atribuyen </w:t>
      </w:r>
      <w:r>
        <w:rPr>
          <w:color w:val="231F20"/>
        </w:rPr>
        <w:t>tales como el </w:t>
      </w:r>
      <w:r>
        <w:rPr>
          <w:color w:val="231F20"/>
          <w:spacing w:val="2"/>
        </w:rPr>
        <w:t>crecimiento </w:t>
      </w:r>
      <w:r>
        <w:rPr>
          <w:color w:val="231F20"/>
        </w:rPr>
        <w:t>económico, la generación de empleos y el </w:t>
      </w:r>
      <w:r>
        <w:rPr>
          <w:color w:val="231F20"/>
          <w:spacing w:val="2"/>
        </w:rPr>
        <w:t>aumento </w:t>
      </w:r>
      <w:r>
        <w:rPr>
          <w:color w:val="231F20"/>
        </w:rPr>
        <w:t>de  </w:t>
      </w:r>
      <w:r>
        <w:rPr>
          <w:color w:val="231F20"/>
          <w:spacing w:val="2"/>
        </w:rPr>
        <w:t>las exportaciones. Razón </w:t>
      </w:r>
      <w:r>
        <w:rPr>
          <w:color w:val="231F20"/>
        </w:rPr>
        <w:t>por la </w:t>
      </w:r>
      <w:r>
        <w:rPr>
          <w:color w:val="231F20"/>
          <w:spacing w:val="2"/>
        </w:rPr>
        <w:t>cual, </w:t>
      </w:r>
      <w:r>
        <w:rPr>
          <w:color w:val="231F20"/>
        </w:rPr>
        <w:t>México ha </w:t>
      </w:r>
      <w:r>
        <w:rPr>
          <w:color w:val="231F20"/>
          <w:spacing w:val="3"/>
        </w:rPr>
        <w:t>tratado </w:t>
      </w:r>
      <w:r>
        <w:rPr>
          <w:color w:val="231F20"/>
        </w:rPr>
        <w:t>de </w:t>
      </w:r>
      <w:r>
        <w:rPr>
          <w:color w:val="231F20"/>
          <w:spacing w:val="3"/>
        </w:rPr>
        <w:t>eliminar </w:t>
      </w:r>
      <w:r>
        <w:rPr>
          <w:color w:val="231F20"/>
          <w:spacing w:val="2"/>
        </w:rPr>
        <w:t>las restriccio- </w:t>
      </w:r>
      <w:r>
        <w:rPr>
          <w:color w:val="231F20"/>
        </w:rPr>
        <w:t>nes que se </w:t>
      </w:r>
      <w:r>
        <w:rPr>
          <w:color w:val="231F20"/>
          <w:spacing w:val="3"/>
        </w:rPr>
        <w:t>tenían </w:t>
      </w:r>
      <w:r>
        <w:rPr>
          <w:color w:val="231F20"/>
        </w:rPr>
        <w:t>a la </w:t>
      </w:r>
      <w:r>
        <w:rPr>
          <w:color w:val="231F20"/>
          <w:spacing w:val="3"/>
        </w:rPr>
        <w:t>entrada </w:t>
      </w:r>
      <w:r>
        <w:rPr>
          <w:color w:val="231F20"/>
        </w:rPr>
        <w:t>de inversión proveniente del exterior, y de </w:t>
      </w:r>
      <w:r>
        <w:rPr>
          <w:color w:val="231F20"/>
          <w:spacing w:val="2"/>
        </w:rPr>
        <w:t>esta ma- nera</w:t>
      </w:r>
      <w:r>
        <w:rPr>
          <w:color w:val="231F20"/>
          <w:spacing w:val="-3"/>
        </w:rPr>
        <w:t> </w:t>
      </w:r>
      <w:r>
        <w:rPr>
          <w:color w:val="231F20"/>
          <w:spacing w:val="2"/>
        </w:rPr>
        <w:t>ser</w:t>
      </w:r>
      <w:r>
        <w:rPr>
          <w:color w:val="231F20"/>
          <w:spacing w:val="-3"/>
        </w:rPr>
        <w:t> </w:t>
      </w:r>
      <w:r>
        <w:rPr>
          <w:color w:val="231F20"/>
          <w:spacing w:val="3"/>
        </w:rPr>
        <w:t>un</w:t>
      </w:r>
      <w:r>
        <w:rPr>
          <w:color w:val="231F20"/>
          <w:spacing w:val="-3"/>
        </w:rPr>
        <w:t> </w:t>
      </w:r>
      <w:r>
        <w:rPr>
          <w:color w:val="231F20"/>
          <w:spacing w:val="3"/>
        </w:rPr>
        <w:t>importante</w:t>
      </w:r>
      <w:r>
        <w:rPr>
          <w:color w:val="231F20"/>
          <w:spacing w:val="-3"/>
        </w:rPr>
        <w:t> </w:t>
      </w:r>
      <w:r>
        <w:rPr>
          <w:color w:val="231F20"/>
          <w:spacing w:val="2"/>
        </w:rPr>
        <w:t>receptor</w:t>
      </w:r>
      <w:r>
        <w:rPr>
          <w:color w:val="231F20"/>
          <w:spacing w:val="-3"/>
        </w:rPr>
        <w:t> </w:t>
      </w:r>
      <w:r>
        <w:rPr>
          <w:color w:val="231F20"/>
        </w:rPr>
        <w:t>de</w:t>
      </w:r>
      <w:r>
        <w:rPr>
          <w:color w:val="231F20"/>
          <w:spacing w:val="-3"/>
        </w:rPr>
        <w:t> </w:t>
      </w:r>
      <w:r>
        <w:rPr>
          <w:color w:val="231F20"/>
        </w:rPr>
        <w:t>IED.</w:t>
      </w:r>
      <w:r>
        <w:rPr>
          <w:color w:val="231F20"/>
          <w:spacing w:val="-3"/>
        </w:rPr>
        <w:t> </w:t>
      </w:r>
      <w:r>
        <w:rPr>
          <w:color w:val="231F20"/>
        </w:rPr>
        <w:t>A</w:t>
      </w:r>
      <w:r>
        <w:rPr>
          <w:color w:val="231F20"/>
          <w:spacing w:val="-3"/>
        </w:rPr>
        <w:t> </w:t>
      </w:r>
      <w:r>
        <w:rPr>
          <w:color w:val="231F20"/>
          <w:spacing w:val="4"/>
        </w:rPr>
        <w:t>partir</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años</w:t>
      </w:r>
      <w:r>
        <w:rPr>
          <w:color w:val="231F20"/>
          <w:spacing w:val="-3"/>
        </w:rPr>
        <w:t> </w:t>
      </w:r>
      <w:r>
        <w:rPr>
          <w:color w:val="231F20"/>
          <w:spacing w:val="2"/>
        </w:rPr>
        <w:t>ochenta</w:t>
      </w:r>
      <w:r>
        <w:rPr>
          <w:color w:val="231F20"/>
          <w:spacing w:val="-3"/>
        </w:rPr>
        <w:t> </w:t>
      </w:r>
      <w:r>
        <w:rPr>
          <w:color w:val="231F20"/>
        </w:rPr>
        <w:t>y</w:t>
      </w:r>
      <w:r>
        <w:rPr>
          <w:color w:val="231F20"/>
          <w:spacing w:val="-3"/>
        </w:rPr>
        <w:t> </w:t>
      </w:r>
      <w:r>
        <w:rPr>
          <w:color w:val="231F20"/>
          <w:spacing w:val="2"/>
        </w:rPr>
        <w:t>más</w:t>
      </w:r>
      <w:r>
        <w:rPr>
          <w:color w:val="231F20"/>
          <w:spacing w:val="-3"/>
        </w:rPr>
        <w:t> </w:t>
      </w:r>
      <w:r>
        <w:rPr>
          <w:color w:val="231F20"/>
        </w:rPr>
        <w:t>propia- mente a </w:t>
      </w:r>
      <w:r>
        <w:rPr>
          <w:color w:val="231F20"/>
          <w:spacing w:val="4"/>
        </w:rPr>
        <w:t>partir </w:t>
      </w:r>
      <w:r>
        <w:rPr>
          <w:color w:val="231F20"/>
        </w:rPr>
        <w:t>de la </w:t>
      </w:r>
      <w:r>
        <w:rPr>
          <w:color w:val="231F20"/>
          <w:spacing w:val="2"/>
        </w:rPr>
        <w:t>liberalización </w:t>
      </w:r>
      <w:r>
        <w:rPr>
          <w:color w:val="231F20"/>
        </w:rPr>
        <w:t>de la </w:t>
      </w:r>
      <w:r>
        <w:rPr>
          <w:color w:val="231F20"/>
          <w:spacing w:val="2"/>
        </w:rPr>
        <w:t>economía, </w:t>
      </w:r>
      <w:r>
        <w:rPr>
          <w:color w:val="231F20"/>
        </w:rPr>
        <w:t>México se </w:t>
      </w:r>
      <w:r>
        <w:rPr>
          <w:color w:val="231F20"/>
          <w:spacing w:val="3"/>
        </w:rPr>
        <w:t>hizo </w:t>
      </w:r>
      <w:r>
        <w:rPr>
          <w:color w:val="231F20"/>
          <w:spacing w:val="2"/>
        </w:rPr>
        <w:t>más</w:t>
      </w:r>
      <w:r>
        <w:rPr>
          <w:color w:val="231F20"/>
          <w:spacing w:val="59"/>
        </w:rPr>
        <w:t> </w:t>
      </w:r>
      <w:r>
        <w:rPr>
          <w:color w:val="231F20"/>
          <w:spacing w:val="2"/>
        </w:rPr>
        <w:t>dependiente </w:t>
      </w:r>
      <w:r>
        <w:rPr>
          <w:color w:val="231F20"/>
        </w:rPr>
        <w:t>de la </w:t>
      </w:r>
      <w:r>
        <w:rPr>
          <w:color w:val="231F20"/>
          <w:spacing w:val="2"/>
        </w:rPr>
        <w:t>economía </w:t>
      </w:r>
      <w:r>
        <w:rPr>
          <w:color w:val="231F20"/>
        </w:rPr>
        <w:t>de </w:t>
      </w:r>
      <w:r>
        <w:rPr>
          <w:color w:val="231F20"/>
          <w:spacing w:val="2"/>
        </w:rPr>
        <w:t>Estados </w:t>
      </w:r>
      <w:r>
        <w:rPr>
          <w:color w:val="231F20"/>
        </w:rPr>
        <w:t>Unidos de </w:t>
      </w:r>
      <w:r>
        <w:rPr>
          <w:color w:val="231F20"/>
          <w:spacing w:val="3"/>
        </w:rPr>
        <w:t>Norteamérica, </w:t>
      </w:r>
      <w:r>
        <w:rPr>
          <w:color w:val="231F20"/>
        </w:rPr>
        <w:t>ya que la mayor </w:t>
      </w:r>
      <w:r>
        <w:rPr>
          <w:color w:val="231F20"/>
          <w:spacing w:val="4"/>
        </w:rPr>
        <w:t>parte </w:t>
      </w:r>
      <w:r>
        <w:rPr>
          <w:color w:val="231F20"/>
        </w:rPr>
        <w:t>de </w:t>
      </w:r>
      <w:r>
        <w:rPr>
          <w:color w:val="231F20"/>
          <w:spacing w:val="2"/>
        </w:rPr>
        <w:t>las exportaciones </w:t>
      </w:r>
      <w:r>
        <w:rPr>
          <w:color w:val="231F20"/>
        </w:rPr>
        <w:t>son </w:t>
      </w:r>
      <w:r>
        <w:rPr>
          <w:color w:val="231F20"/>
          <w:spacing w:val="2"/>
        </w:rPr>
        <w:t>enviadas </w:t>
      </w:r>
      <w:r>
        <w:rPr>
          <w:color w:val="231F20"/>
        </w:rPr>
        <w:t>a dicho país. Sin embargo, los flujos de inversión </w:t>
      </w:r>
      <w:r>
        <w:rPr>
          <w:color w:val="231F20"/>
          <w:spacing w:val="3"/>
        </w:rPr>
        <w:t>externa </w:t>
      </w:r>
      <w:r>
        <w:rPr>
          <w:color w:val="231F20"/>
        </w:rPr>
        <w:t>a México se </w:t>
      </w:r>
      <w:r>
        <w:rPr>
          <w:color w:val="231F20"/>
          <w:spacing w:val="2"/>
        </w:rPr>
        <w:t>incrementaron </w:t>
      </w:r>
      <w:r>
        <w:rPr>
          <w:color w:val="231F20"/>
        </w:rPr>
        <w:t>considerablemente a </w:t>
      </w:r>
      <w:r>
        <w:rPr>
          <w:color w:val="231F20"/>
          <w:spacing w:val="4"/>
        </w:rPr>
        <w:t>partir </w:t>
      </w:r>
      <w:r>
        <w:rPr>
          <w:color w:val="231F20"/>
        </w:rPr>
        <w:t>de la </w:t>
      </w:r>
      <w:r>
        <w:rPr>
          <w:color w:val="231F20"/>
          <w:spacing w:val="-3"/>
        </w:rPr>
        <w:t>fir- </w:t>
      </w:r>
      <w:r>
        <w:rPr>
          <w:color w:val="231F20"/>
        </w:rPr>
        <w:t>ma y </w:t>
      </w:r>
      <w:r>
        <w:rPr>
          <w:color w:val="231F20"/>
          <w:spacing w:val="3"/>
        </w:rPr>
        <w:t>entrada </w:t>
      </w:r>
      <w:r>
        <w:rPr>
          <w:color w:val="231F20"/>
        </w:rPr>
        <w:t>en vigor del Tratado de Libre Comercio de </w:t>
      </w:r>
      <w:r>
        <w:rPr>
          <w:color w:val="231F20"/>
          <w:spacing w:val="2"/>
        </w:rPr>
        <w:t>América </w:t>
      </w:r>
      <w:r>
        <w:rPr>
          <w:color w:val="231F20"/>
        </w:rPr>
        <w:t>del </w:t>
      </w:r>
      <w:r>
        <w:rPr>
          <w:color w:val="231F20"/>
          <w:spacing w:val="2"/>
        </w:rPr>
        <w:t>Norte </w:t>
      </w:r>
      <w:r>
        <w:rPr>
          <w:color w:val="231F20"/>
          <w:spacing w:val="3"/>
        </w:rPr>
        <w:t>(TL- </w:t>
      </w:r>
      <w:r>
        <w:rPr>
          <w:color w:val="231F20"/>
        </w:rPr>
        <w:t>CAN) en 1994. A </w:t>
      </w:r>
      <w:r>
        <w:rPr>
          <w:color w:val="231F20"/>
          <w:spacing w:val="2"/>
        </w:rPr>
        <w:t>pesar </w:t>
      </w:r>
      <w:r>
        <w:rPr>
          <w:color w:val="231F20"/>
        </w:rPr>
        <w:t>de que los capitales </w:t>
      </w:r>
      <w:r>
        <w:rPr>
          <w:color w:val="231F20"/>
          <w:spacing w:val="2"/>
        </w:rPr>
        <w:t>extranjeros </w:t>
      </w:r>
      <w:r>
        <w:rPr>
          <w:color w:val="231F20"/>
        </w:rPr>
        <w:t>se </w:t>
      </w:r>
      <w:r>
        <w:rPr>
          <w:color w:val="231F20"/>
          <w:spacing w:val="2"/>
        </w:rPr>
        <w:t>han visto atraídos </w:t>
      </w:r>
      <w:r>
        <w:rPr>
          <w:color w:val="231F20"/>
        </w:rPr>
        <w:t>por </w:t>
      </w:r>
      <w:r>
        <w:rPr>
          <w:color w:val="231F20"/>
          <w:spacing w:val="2"/>
        </w:rPr>
        <w:t>las </w:t>
      </w:r>
      <w:r>
        <w:rPr>
          <w:color w:val="231F20"/>
        </w:rPr>
        <w:t>amplias condiciones favorables que el país ofrece y </w:t>
      </w:r>
      <w:r>
        <w:rPr>
          <w:color w:val="231F20"/>
          <w:spacing w:val="2"/>
        </w:rPr>
        <w:t>las </w:t>
      </w:r>
      <w:r>
        <w:rPr>
          <w:color w:val="231F20"/>
          <w:spacing w:val="3"/>
        </w:rPr>
        <w:t>grandes </w:t>
      </w:r>
      <w:r>
        <w:rPr>
          <w:color w:val="231F20"/>
        </w:rPr>
        <w:t>posibilidades que tiene la </w:t>
      </w:r>
      <w:r>
        <w:rPr>
          <w:color w:val="231F20"/>
          <w:spacing w:val="2"/>
        </w:rPr>
        <w:t>economía para desarrollarse, </w:t>
      </w:r>
      <w:r>
        <w:rPr>
          <w:color w:val="231F20"/>
          <w:spacing w:val="3"/>
        </w:rPr>
        <w:t>estas </w:t>
      </w:r>
      <w:r>
        <w:rPr>
          <w:color w:val="231F20"/>
        </w:rPr>
        <w:t>inversiones no </w:t>
      </w:r>
      <w:r>
        <w:rPr>
          <w:color w:val="231F20"/>
          <w:spacing w:val="2"/>
        </w:rPr>
        <w:t>han </w:t>
      </w:r>
      <w:r>
        <w:rPr>
          <w:color w:val="231F20"/>
        </w:rPr>
        <w:t>logrado </w:t>
      </w:r>
      <w:r>
        <w:rPr>
          <w:color w:val="231F20"/>
          <w:spacing w:val="3"/>
        </w:rPr>
        <w:t>incre- </w:t>
      </w:r>
      <w:r>
        <w:rPr>
          <w:color w:val="231F20"/>
          <w:spacing w:val="2"/>
        </w:rPr>
        <w:t>mentar </w:t>
      </w:r>
      <w:r>
        <w:rPr>
          <w:color w:val="231F20"/>
        </w:rPr>
        <w:t>de </w:t>
      </w:r>
      <w:r>
        <w:rPr>
          <w:color w:val="231F20"/>
          <w:spacing w:val="2"/>
        </w:rPr>
        <w:t>forma </w:t>
      </w:r>
      <w:r>
        <w:rPr>
          <w:color w:val="231F20"/>
        </w:rPr>
        <w:t>considerable la </w:t>
      </w:r>
      <w:r>
        <w:rPr>
          <w:color w:val="231F20"/>
          <w:spacing w:val="2"/>
        </w:rPr>
        <w:t>competitividad </w:t>
      </w:r>
      <w:r>
        <w:rPr>
          <w:color w:val="231F20"/>
        </w:rPr>
        <w:t>de México a nivel </w:t>
      </w:r>
      <w:r>
        <w:rPr>
          <w:color w:val="231F20"/>
          <w:spacing w:val="2"/>
        </w:rPr>
        <w:t>internacional </w:t>
      </w:r>
      <w:r>
        <w:rPr>
          <w:color w:val="231F20"/>
        </w:rPr>
        <w:t>(Santiago,</w:t>
      </w:r>
      <w:r>
        <w:rPr>
          <w:color w:val="231F20"/>
          <w:spacing w:val="2"/>
        </w:rPr>
        <w:t> </w:t>
      </w:r>
      <w:r>
        <w:rPr>
          <w:color w:val="231F20"/>
        </w:rPr>
        <w:t>2008).</w:t>
      </w:r>
    </w:p>
    <w:p>
      <w:pPr>
        <w:pStyle w:val="BodyText"/>
        <w:rPr>
          <w:sz w:val="20"/>
        </w:rPr>
      </w:pPr>
    </w:p>
    <w:p>
      <w:pPr>
        <w:pStyle w:val="BodyText"/>
        <w:rPr>
          <w:sz w:val="20"/>
        </w:rPr>
      </w:pPr>
    </w:p>
    <w:p>
      <w:pPr>
        <w:pStyle w:val="BodyText"/>
        <w:spacing w:before="10"/>
        <w:rPr>
          <w:sz w:val="20"/>
        </w:rPr>
      </w:pPr>
    </w:p>
    <w:p>
      <w:pPr>
        <w:spacing w:before="0"/>
        <w:ind w:left="1575" w:right="1575" w:firstLine="0"/>
        <w:jc w:val="center"/>
        <w:rPr>
          <w:sz w:val="20"/>
        </w:rPr>
      </w:pPr>
      <w:r>
        <w:rPr>
          <w:color w:val="231F20"/>
          <w:sz w:val="20"/>
        </w:rPr>
        <w:t>32</w:t>
      </w:r>
    </w:p>
    <w:p>
      <w:pPr>
        <w:spacing w:after="0"/>
        <w:jc w:val="center"/>
        <w:rPr>
          <w:sz w:val="20"/>
        </w:rPr>
        <w:sectPr>
          <w:footerReference w:type="default" r:id="rId24"/>
          <w:pgSz w:w="10480" w:h="13880"/>
          <w:pgMar w:footer="222" w:header="0" w:top="420" w:bottom="420" w:left="0" w:right="0"/>
          <w:pgNumType w:start="32"/>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1802" w:right="0" w:firstLine="0"/>
        <w:jc w:val="left"/>
        <w:rPr>
          <w:sz w:val="20"/>
        </w:rPr>
      </w:pPr>
      <w:r>
        <w:rPr>
          <w:color w:val="231F20"/>
          <w:sz w:val="20"/>
        </w:rPr>
        <w:t>L</w:t>
      </w:r>
      <w:r>
        <w:rPr>
          <w:color w:val="231F20"/>
          <w:sz w:val="14"/>
        </w:rPr>
        <w:t>A  INVERSIÓN  EXTRANJERA DIRECTA  EN EL  CRECIMIENTO ECONÓMICO DE  </w:t>
      </w:r>
      <w:r>
        <w:rPr>
          <w:color w:val="231F20"/>
          <w:sz w:val="20"/>
        </w:rPr>
        <w:t>M</w:t>
      </w:r>
      <w:r>
        <w:rPr>
          <w:color w:val="231F20"/>
          <w:sz w:val="14"/>
        </w:rPr>
        <w:t>ÉXICO</w:t>
      </w:r>
      <w:r>
        <w:rPr>
          <w:color w:val="231F20"/>
          <w:sz w:val="20"/>
        </w:rPr>
        <w:t>, 1970-2012</w:t>
      </w:r>
    </w:p>
    <w:p>
      <w:pPr>
        <w:pStyle w:val="BodyText"/>
        <w:rPr>
          <w:sz w:val="20"/>
        </w:rPr>
      </w:pPr>
    </w:p>
    <w:p>
      <w:pPr>
        <w:pStyle w:val="BodyText"/>
        <w:spacing w:before="6"/>
        <w:rPr>
          <w:sz w:val="16"/>
        </w:rPr>
      </w:pPr>
    </w:p>
    <w:p>
      <w:pPr>
        <w:pStyle w:val="Heading2"/>
      </w:pPr>
      <w:r>
        <w:rPr>
          <w:color w:val="231F20"/>
        </w:rPr>
        <w:t>Bases del Crecimiento Económico de México</w:t>
      </w:r>
    </w:p>
    <w:p>
      <w:pPr>
        <w:pStyle w:val="BodyText"/>
        <w:spacing w:before="11"/>
        <w:rPr>
          <w:b/>
          <w:sz w:val="20"/>
        </w:rPr>
      </w:pPr>
    </w:p>
    <w:p>
      <w:pPr>
        <w:spacing w:before="0"/>
        <w:ind w:left="1553" w:right="0" w:firstLine="0"/>
        <w:jc w:val="both"/>
        <w:rPr>
          <w:i/>
          <w:sz w:val="26"/>
        </w:rPr>
      </w:pPr>
      <w:r>
        <w:rPr>
          <w:i/>
          <w:color w:val="231F20"/>
          <w:sz w:val="26"/>
        </w:rPr>
        <w:t>Modelos de Crecimiento Económico</w:t>
      </w:r>
    </w:p>
    <w:p>
      <w:pPr>
        <w:pStyle w:val="BodyText"/>
        <w:spacing w:before="8"/>
        <w:rPr>
          <w:i/>
          <w:sz w:val="20"/>
        </w:rPr>
      </w:pPr>
    </w:p>
    <w:p>
      <w:pPr>
        <w:pStyle w:val="BodyText"/>
        <w:spacing w:line="247" w:lineRule="auto"/>
        <w:ind w:left="1553" w:right="1549"/>
        <w:jc w:val="both"/>
      </w:pPr>
      <w:r>
        <w:rPr>
          <w:color w:val="231F20"/>
        </w:rPr>
        <w:t>La teoría del crecimiento económico estudia cuales son los determinantes del creci- miento económico a largo plazo y las políticas que deben impulsarse para estimular dicho crecimiento. A través de la historia económica se han formulado diferentes modelos que explican el crecimiento económico y los factores que lo determinan.</w:t>
      </w:r>
    </w:p>
    <w:p>
      <w:pPr>
        <w:pStyle w:val="BodyText"/>
        <w:spacing w:line="247" w:lineRule="auto"/>
        <w:ind w:left="1553" w:right="1550" w:firstLine="283"/>
        <w:jc w:val="both"/>
      </w:pPr>
      <w:r>
        <w:rPr>
          <w:color w:val="231F20"/>
        </w:rPr>
        <w:t>La historia del crecimiento económico es </w:t>
      </w:r>
      <w:r>
        <w:rPr>
          <w:color w:val="231F20"/>
          <w:spacing w:val="2"/>
        </w:rPr>
        <w:t>tan </w:t>
      </w:r>
      <w:r>
        <w:rPr>
          <w:color w:val="231F20"/>
        </w:rPr>
        <w:t>larga como la historia del pensa- miento económico. </w:t>
      </w:r>
      <w:r>
        <w:rPr>
          <w:color w:val="231F20"/>
          <w:spacing w:val="-12"/>
        </w:rPr>
        <w:t>Ya </w:t>
      </w:r>
      <w:r>
        <w:rPr>
          <w:color w:val="231F20"/>
        </w:rPr>
        <w:t>los primeros clásicos como Adam Smith, David Ricardo o Thomas Malthus estudiaron el crecimiento e introdujeron conceptos fundamentales como el de rendimientos decrecientes y su relación con la acumulación de capital físico o humano, la relación entre el progreso tecnológico y la especialización del trabajo</w:t>
      </w:r>
      <w:r>
        <w:rPr>
          <w:color w:val="231F20"/>
          <w:spacing w:val="-7"/>
        </w:rPr>
        <w:t> </w:t>
      </w:r>
      <w:r>
        <w:rPr>
          <w:color w:val="231F20"/>
        </w:rPr>
        <w:t>o</w:t>
      </w:r>
      <w:r>
        <w:rPr>
          <w:color w:val="231F20"/>
          <w:spacing w:val="-7"/>
        </w:rPr>
        <w:t> </w:t>
      </w:r>
      <w:r>
        <w:rPr>
          <w:color w:val="231F20"/>
        </w:rPr>
        <w:t>el</w:t>
      </w:r>
      <w:r>
        <w:rPr>
          <w:color w:val="231F20"/>
          <w:spacing w:val="-7"/>
        </w:rPr>
        <w:t> </w:t>
      </w:r>
      <w:r>
        <w:rPr>
          <w:color w:val="231F20"/>
        </w:rPr>
        <w:t>enfoque</w:t>
      </w:r>
      <w:r>
        <w:rPr>
          <w:color w:val="231F20"/>
          <w:spacing w:val="-7"/>
        </w:rPr>
        <w:t> </w:t>
      </w:r>
      <w:r>
        <w:rPr>
          <w:color w:val="231F20"/>
        </w:rPr>
        <w:t>competitivo</w:t>
      </w:r>
      <w:r>
        <w:rPr>
          <w:color w:val="231F20"/>
          <w:spacing w:val="-7"/>
        </w:rPr>
        <w:t> </w:t>
      </w:r>
      <w:r>
        <w:rPr>
          <w:color w:val="231F20"/>
        </w:rPr>
        <w:t>como</w:t>
      </w:r>
      <w:r>
        <w:rPr>
          <w:color w:val="231F20"/>
          <w:spacing w:val="-7"/>
        </w:rPr>
        <w:t> </w:t>
      </w:r>
      <w:r>
        <w:rPr>
          <w:color w:val="231F20"/>
        </w:rPr>
        <w:t>instrumento</w:t>
      </w:r>
      <w:r>
        <w:rPr>
          <w:color w:val="231F20"/>
          <w:spacing w:val="-7"/>
        </w:rPr>
        <w:t> </w:t>
      </w:r>
      <w:r>
        <w:rPr>
          <w:color w:val="231F20"/>
        </w:rPr>
        <w:t>de</w:t>
      </w:r>
      <w:r>
        <w:rPr>
          <w:color w:val="231F20"/>
          <w:spacing w:val="-7"/>
        </w:rPr>
        <w:t> </w:t>
      </w:r>
      <w:r>
        <w:rPr>
          <w:color w:val="231F20"/>
        </w:rPr>
        <w:t>análisis</w:t>
      </w:r>
      <w:r>
        <w:rPr>
          <w:color w:val="231F20"/>
          <w:spacing w:val="-7"/>
        </w:rPr>
        <w:t> </w:t>
      </w:r>
      <w:r>
        <w:rPr>
          <w:color w:val="231F20"/>
        </w:rPr>
        <w:t>de</w:t>
      </w:r>
      <w:r>
        <w:rPr>
          <w:color w:val="231F20"/>
          <w:spacing w:val="-7"/>
        </w:rPr>
        <w:t> </w:t>
      </w:r>
      <w:r>
        <w:rPr>
          <w:color w:val="231F20"/>
        </w:rPr>
        <w:t>equilibrio</w:t>
      </w:r>
      <w:r>
        <w:rPr>
          <w:color w:val="231F20"/>
          <w:spacing w:val="-7"/>
        </w:rPr>
        <w:t> </w:t>
      </w:r>
      <w:r>
        <w:rPr>
          <w:color w:val="231F20"/>
        </w:rPr>
        <w:t>dinámi- </w:t>
      </w:r>
      <w:r>
        <w:rPr>
          <w:color w:val="231F20"/>
          <w:spacing w:val="-3"/>
        </w:rPr>
        <w:t>co.</w:t>
      </w:r>
      <w:r>
        <w:rPr>
          <w:color w:val="231F20"/>
          <w:spacing w:val="-13"/>
        </w:rPr>
        <w:t> </w:t>
      </w:r>
      <w:r>
        <w:rPr>
          <w:color w:val="231F20"/>
        </w:rPr>
        <w:t>Asimismo,</w:t>
      </w:r>
      <w:r>
        <w:rPr>
          <w:color w:val="231F20"/>
          <w:spacing w:val="-13"/>
        </w:rPr>
        <w:t> </w:t>
      </w:r>
      <w:r>
        <w:rPr>
          <w:color w:val="231F20"/>
        </w:rPr>
        <w:t>los</w:t>
      </w:r>
      <w:r>
        <w:rPr>
          <w:color w:val="231F20"/>
          <w:spacing w:val="-13"/>
        </w:rPr>
        <w:t> </w:t>
      </w:r>
      <w:r>
        <w:rPr>
          <w:color w:val="231F20"/>
        </w:rPr>
        <w:t>clásicos</w:t>
      </w:r>
      <w:r>
        <w:rPr>
          <w:color w:val="231F20"/>
          <w:spacing w:val="-13"/>
        </w:rPr>
        <w:t> </w:t>
      </w:r>
      <w:r>
        <w:rPr>
          <w:color w:val="231F20"/>
        </w:rPr>
        <w:t>del</w:t>
      </w:r>
      <w:r>
        <w:rPr>
          <w:color w:val="231F20"/>
          <w:spacing w:val="-13"/>
        </w:rPr>
        <w:t> </w:t>
      </w:r>
      <w:r>
        <w:rPr>
          <w:color w:val="231F20"/>
          <w:spacing w:val="-3"/>
        </w:rPr>
        <w:t>siglo</w:t>
      </w:r>
      <w:r>
        <w:rPr>
          <w:color w:val="231F20"/>
          <w:spacing w:val="-13"/>
        </w:rPr>
        <w:t> </w:t>
      </w:r>
      <w:r>
        <w:rPr>
          <w:color w:val="231F20"/>
          <w:spacing w:val="3"/>
        </w:rPr>
        <w:t>XX</w:t>
      </w:r>
      <w:r>
        <w:rPr>
          <w:color w:val="231F20"/>
          <w:spacing w:val="-13"/>
        </w:rPr>
        <w:t> </w:t>
      </w:r>
      <w:r>
        <w:rPr>
          <w:color w:val="231F20"/>
        </w:rPr>
        <w:t>como</w:t>
      </w:r>
      <w:r>
        <w:rPr>
          <w:color w:val="231F20"/>
          <w:spacing w:val="-13"/>
        </w:rPr>
        <w:t> </w:t>
      </w:r>
      <w:r>
        <w:rPr>
          <w:color w:val="231F20"/>
        </w:rPr>
        <w:t>Ramsey,</w:t>
      </w:r>
      <w:r>
        <w:rPr>
          <w:color w:val="231F20"/>
          <w:spacing w:val="-13"/>
        </w:rPr>
        <w:t> </w:t>
      </w:r>
      <w:r>
        <w:rPr>
          <w:color w:val="231F20"/>
          <w:spacing w:val="-4"/>
        </w:rPr>
        <w:t>Young,</w:t>
      </w:r>
      <w:r>
        <w:rPr>
          <w:color w:val="231F20"/>
          <w:spacing w:val="-13"/>
        </w:rPr>
        <w:t> </w:t>
      </w:r>
      <w:r>
        <w:rPr>
          <w:color w:val="231F20"/>
        </w:rPr>
        <w:t>Knight</w:t>
      </w:r>
      <w:r>
        <w:rPr>
          <w:color w:val="231F20"/>
          <w:spacing w:val="-13"/>
        </w:rPr>
        <w:t> </w:t>
      </w:r>
      <w:r>
        <w:rPr>
          <w:color w:val="231F20"/>
        </w:rPr>
        <w:t>o</w:t>
      </w:r>
      <w:r>
        <w:rPr>
          <w:color w:val="231F20"/>
          <w:spacing w:val="-13"/>
        </w:rPr>
        <w:t> </w:t>
      </w:r>
      <w:r>
        <w:rPr>
          <w:color w:val="231F20"/>
        </w:rPr>
        <w:t>Schumpeter contribuyeron de manera fundamental al conocimiento de los determinantes de la tasa de crecimiento y del progreso</w:t>
      </w:r>
      <w:r>
        <w:rPr>
          <w:color w:val="231F20"/>
          <w:spacing w:val="-9"/>
        </w:rPr>
        <w:t> </w:t>
      </w:r>
      <w:r>
        <w:rPr>
          <w:color w:val="231F20"/>
        </w:rPr>
        <w:t>tecnológico.</w:t>
      </w:r>
    </w:p>
    <w:p>
      <w:pPr>
        <w:pStyle w:val="BodyText"/>
        <w:spacing w:line="247" w:lineRule="auto"/>
        <w:ind w:left="1553" w:right="1550" w:firstLine="283"/>
        <w:jc w:val="both"/>
      </w:pPr>
      <w:r>
        <w:rPr>
          <w:color w:val="231F20"/>
        </w:rPr>
        <w:t>El enfoque que adopta Xavier Sala-I- Martín se basa en la metodología y los conceptos desarrollados por los economistas neoclásicos Solow-Swan (1956). El análisis neoclásico se complementó con los trabajos de Cass (1965) y Koopmans (1965), que reintrodujeron el enfoque de la optimización intertemporal desarrollado por Ramsey (1928) para analizar el comportamiento de los consumidores en el mo- delo neoclásico.</w:t>
      </w:r>
    </w:p>
    <w:p>
      <w:pPr>
        <w:pStyle w:val="BodyText"/>
        <w:spacing w:line="247" w:lineRule="auto"/>
        <w:ind w:left="1553" w:right="1543" w:firstLine="283"/>
        <w:jc w:val="both"/>
      </w:pPr>
      <w:r>
        <w:rPr>
          <w:color w:val="231F20"/>
        </w:rPr>
        <w:t>El supuesto neoclásico de </w:t>
      </w:r>
      <w:r>
        <w:rPr>
          <w:color w:val="231F20"/>
          <w:spacing w:val="2"/>
        </w:rPr>
        <w:t>rendimientos decrecientes </w:t>
      </w:r>
      <w:r>
        <w:rPr>
          <w:color w:val="231F20"/>
        </w:rPr>
        <w:t>de </w:t>
      </w:r>
      <w:r>
        <w:rPr>
          <w:color w:val="231F20"/>
          <w:spacing w:val="2"/>
        </w:rPr>
        <w:t>cada uno </w:t>
      </w:r>
      <w:r>
        <w:rPr>
          <w:color w:val="231F20"/>
        </w:rPr>
        <w:t>de los </w:t>
      </w:r>
      <w:r>
        <w:rPr>
          <w:color w:val="231F20"/>
          <w:spacing w:val="2"/>
        </w:rPr>
        <w:t>facto- </w:t>
      </w:r>
      <w:r>
        <w:rPr>
          <w:color w:val="231F20"/>
        </w:rPr>
        <w:t>res </w:t>
      </w:r>
      <w:r>
        <w:rPr>
          <w:color w:val="231F20"/>
          <w:spacing w:val="2"/>
        </w:rPr>
        <w:t>tenía </w:t>
      </w:r>
      <w:r>
        <w:rPr>
          <w:color w:val="231F20"/>
        </w:rPr>
        <w:t>como consecuencia </w:t>
      </w:r>
      <w:r>
        <w:rPr>
          <w:color w:val="231F20"/>
          <w:spacing w:val="2"/>
        </w:rPr>
        <w:t>devastadora, </w:t>
      </w:r>
      <w:r>
        <w:rPr>
          <w:color w:val="231F20"/>
        </w:rPr>
        <w:t>el hecho de que el </w:t>
      </w:r>
      <w:r>
        <w:rPr>
          <w:color w:val="231F20"/>
          <w:spacing w:val="2"/>
        </w:rPr>
        <w:t>crecimiento </w:t>
      </w:r>
      <w:r>
        <w:rPr>
          <w:color w:val="231F20"/>
        </w:rPr>
        <w:t>a largo plazo debido a la </w:t>
      </w:r>
      <w:r>
        <w:rPr>
          <w:color w:val="231F20"/>
          <w:spacing w:val="2"/>
        </w:rPr>
        <w:t>acumulación </w:t>
      </w:r>
      <w:r>
        <w:rPr>
          <w:color w:val="231F20"/>
        </w:rPr>
        <w:t>de capital </w:t>
      </w:r>
      <w:r>
        <w:rPr>
          <w:color w:val="231F20"/>
          <w:spacing w:val="2"/>
        </w:rPr>
        <w:t>era </w:t>
      </w:r>
      <w:r>
        <w:rPr>
          <w:color w:val="231F20"/>
        </w:rPr>
        <w:t>insostenible. Es por ello que los </w:t>
      </w:r>
      <w:r>
        <w:rPr>
          <w:color w:val="231F20"/>
          <w:spacing w:val="2"/>
        </w:rPr>
        <w:t>in- </w:t>
      </w:r>
      <w:r>
        <w:rPr>
          <w:color w:val="231F20"/>
        </w:rPr>
        <w:t>vestigadores neoclásicos se </w:t>
      </w:r>
      <w:r>
        <w:rPr>
          <w:color w:val="231F20"/>
          <w:spacing w:val="2"/>
        </w:rPr>
        <w:t>vieron </w:t>
      </w:r>
      <w:r>
        <w:rPr>
          <w:color w:val="231F20"/>
        </w:rPr>
        <w:t>obligados a </w:t>
      </w:r>
      <w:r>
        <w:rPr>
          <w:color w:val="231F20"/>
          <w:spacing w:val="3"/>
        </w:rPr>
        <w:t>introducir </w:t>
      </w:r>
      <w:r>
        <w:rPr>
          <w:color w:val="231F20"/>
        </w:rPr>
        <w:t>el </w:t>
      </w:r>
      <w:r>
        <w:rPr>
          <w:color w:val="231F20"/>
          <w:spacing w:val="2"/>
        </w:rPr>
        <w:t>progreso </w:t>
      </w:r>
      <w:r>
        <w:rPr>
          <w:color w:val="231F20"/>
        </w:rPr>
        <w:t>tecnológico exógeno, motor </w:t>
      </w:r>
      <w:r>
        <w:rPr>
          <w:color w:val="231F20"/>
          <w:spacing w:val="2"/>
        </w:rPr>
        <w:t>último </w:t>
      </w:r>
      <w:r>
        <w:rPr>
          <w:color w:val="231F20"/>
        </w:rPr>
        <w:t>del </w:t>
      </w:r>
      <w:r>
        <w:rPr>
          <w:color w:val="231F20"/>
          <w:spacing w:val="2"/>
        </w:rPr>
        <w:t>crecimiento </w:t>
      </w:r>
      <w:r>
        <w:rPr>
          <w:color w:val="231F20"/>
        </w:rPr>
        <w:t>a largo plazo. Paul Romer </w:t>
      </w:r>
      <w:r>
        <w:rPr>
          <w:color w:val="231F20"/>
          <w:spacing w:val="-6"/>
        </w:rPr>
        <w:t>(1983) </w:t>
      </w:r>
      <w:r>
        <w:rPr>
          <w:color w:val="231F20"/>
        </w:rPr>
        <w:t>y </w:t>
      </w:r>
      <w:r>
        <w:rPr>
          <w:color w:val="231F20"/>
          <w:spacing w:val="2"/>
        </w:rPr>
        <w:t>Robert </w:t>
      </w:r>
      <w:r>
        <w:rPr>
          <w:color w:val="231F20"/>
        </w:rPr>
        <w:t>Lucas </w:t>
      </w:r>
      <w:r>
        <w:rPr>
          <w:color w:val="231F20"/>
          <w:spacing w:val="-5"/>
        </w:rPr>
        <w:t>(1988) </w:t>
      </w:r>
      <w:r>
        <w:rPr>
          <w:color w:val="231F20"/>
        </w:rPr>
        <w:t>hicieron </w:t>
      </w:r>
      <w:r>
        <w:rPr>
          <w:color w:val="231F20"/>
          <w:spacing w:val="2"/>
        </w:rPr>
        <w:t>renacer </w:t>
      </w:r>
      <w:r>
        <w:rPr>
          <w:color w:val="231F20"/>
        </w:rPr>
        <w:t>la </w:t>
      </w:r>
      <w:r>
        <w:rPr>
          <w:color w:val="231F20"/>
          <w:spacing w:val="3"/>
        </w:rPr>
        <w:t>teoría </w:t>
      </w:r>
      <w:r>
        <w:rPr>
          <w:color w:val="231F20"/>
        </w:rPr>
        <w:t>del </w:t>
      </w:r>
      <w:r>
        <w:rPr>
          <w:color w:val="231F20"/>
          <w:spacing w:val="2"/>
        </w:rPr>
        <w:t>crecimiento </w:t>
      </w:r>
      <w:r>
        <w:rPr>
          <w:color w:val="231F20"/>
        </w:rPr>
        <w:t>como </w:t>
      </w:r>
      <w:r>
        <w:rPr>
          <w:color w:val="231F20"/>
          <w:spacing w:val="2"/>
        </w:rPr>
        <w:t>campo </w:t>
      </w:r>
      <w:r>
        <w:rPr>
          <w:color w:val="231F20"/>
        </w:rPr>
        <w:t>de investiga- ción activo. </w:t>
      </w:r>
      <w:r>
        <w:rPr>
          <w:color w:val="231F20"/>
          <w:spacing w:val="2"/>
        </w:rPr>
        <w:t>Los </w:t>
      </w:r>
      <w:r>
        <w:rPr>
          <w:color w:val="231F20"/>
        </w:rPr>
        <w:t>nuevos investigadores </w:t>
      </w:r>
      <w:r>
        <w:rPr>
          <w:color w:val="231F20"/>
          <w:spacing w:val="2"/>
        </w:rPr>
        <w:t>tuvieron </w:t>
      </w:r>
      <w:r>
        <w:rPr>
          <w:color w:val="231F20"/>
        </w:rPr>
        <w:t>como objetivo </w:t>
      </w:r>
      <w:r>
        <w:rPr>
          <w:color w:val="231F20"/>
          <w:spacing w:val="2"/>
        </w:rPr>
        <w:t>crucial </w:t>
      </w:r>
      <w:r>
        <w:rPr>
          <w:color w:val="231F20"/>
        </w:rPr>
        <w:t>la </w:t>
      </w:r>
      <w:r>
        <w:rPr>
          <w:color w:val="231F20"/>
          <w:spacing w:val="3"/>
        </w:rPr>
        <w:t>construc- </w:t>
      </w:r>
      <w:r>
        <w:rPr>
          <w:color w:val="231F20"/>
        </w:rPr>
        <w:t>ción de modelos en los que a </w:t>
      </w:r>
      <w:r>
        <w:rPr>
          <w:color w:val="231F20"/>
          <w:spacing w:val="2"/>
        </w:rPr>
        <w:t>diferencia </w:t>
      </w:r>
      <w:r>
        <w:rPr>
          <w:color w:val="231F20"/>
        </w:rPr>
        <w:t>de los modelos neoclásicos, la </w:t>
      </w:r>
      <w:r>
        <w:rPr>
          <w:color w:val="231F20"/>
          <w:spacing w:val="3"/>
        </w:rPr>
        <w:t>tasa </w:t>
      </w:r>
      <w:r>
        <w:rPr>
          <w:color w:val="231F20"/>
        </w:rPr>
        <w:t>de </w:t>
      </w:r>
      <w:r>
        <w:rPr>
          <w:color w:val="231F20"/>
          <w:spacing w:val="2"/>
        </w:rPr>
        <w:t>crecimiento </w:t>
      </w:r>
      <w:r>
        <w:rPr>
          <w:color w:val="231F20"/>
        </w:rPr>
        <w:t>a largo plazo </w:t>
      </w:r>
      <w:r>
        <w:rPr>
          <w:color w:val="231F20"/>
          <w:spacing w:val="3"/>
        </w:rPr>
        <w:t>fuera </w:t>
      </w:r>
      <w:r>
        <w:rPr>
          <w:color w:val="231F20"/>
        </w:rPr>
        <w:t>positiva sin la </w:t>
      </w:r>
      <w:r>
        <w:rPr>
          <w:color w:val="231F20"/>
          <w:spacing w:val="2"/>
        </w:rPr>
        <w:t>necesidad </w:t>
      </w:r>
      <w:r>
        <w:rPr>
          <w:color w:val="231F20"/>
        </w:rPr>
        <w:t>de suponer que </w:t>
      </w:r>
      <w:r>
        <w:rPr>
          <w:color w:val="231F20"/>
          <w:spacing w:val="3"/>
        </w:rPr>
        <w:t>alguna </w:t>
      </w:r>
      <w:r>
        <w:rPr>
          <w:color w:val="231F20"/>
        </w:rPr>
        <w:t>variable del modelo </w:t>
      </w:r>
      <w:r>
        <w:rPr>
          <w:color w:val="231F20"/>
          <w:spacing w:val="2"/>
        </w:rPr>
        <w:t>crecía </w:t>
      </w:r>
      <w:r>
        <w:rPr>
          <w:color w:val="231F20"/>
        </w:rPr>
        <w:t>de </w:t>
      </w:r>
      <w:r>
        <w:rPr>
          <w:color w:val="231F20"/>
          <w:spacing w:val="2"/>
        </w:rPr>
        <w:t>forma </w:t>
      </w:r>
      <w:r>
        <w:rPr>
          <w:color w:val="231F20"/>
        </w:rPr>
        <w:t>exógena. De </w:t>
      </w:r>
      <w:r>
        <w:rPr>
          <w:color w:val="231F20"/>
          <w:spacing w:val="3"/>
        </w:rPr>
        <w:t>ahí </w:t>
      </w:r>
      <w:r>
        <w:rPr>
          <w:color w:val="231F20"/>
        </w:rPr>
        <w:t>que a </w:t>
      </w:r>
      <w:r>
        <w:rPr>
          <w:color w:val="231F20"/>
          <w:spacing w:val="3"/>
        </w:rPr>
        <w:t>estas </w:t>
      </w:r>
      <w:r>
        <w:rPr>
          <w:color w:val="231F20"/>
        </w:rPr>
        <w:t>nuevas </w:t>
      </w:r>
      <w:r>
        <w:rPr>
          <w:color w:val="231F20"/>
          <w:spacing w:val="3"/>
        </w:rPr>
        <w:t>teorías </w:t>
      </w:r>
      <w:r>
        <w:rPr>
          <w:color w:val="231F20"/>
        </w:rPr>
        <w:t>se les </w:t>
      </w:r>
      <w:r>
        <w:rPr>
          <w:color w:val="231F20"/>
          <w:spacing w:val="2"/>
        </w:rPr>
        <w:t>bautizara </w:t>
      </w:r>
      <w:r>
        <w:rPr>
          <w:color w:val="231F20"/>
        </w:rPr>
        <w:t>con el nombre de </w:t>
      </w:r>
      <w:r>
        <w:rPr>
          <w:color w:val="231F20"/>
          <w:spacing w:val="2"/>
        </w:rPr>
        <w:t>teorías </w:t>
      </w:r>
      <w:r>
        <w:rPr>
          <w:color w:val="231F20"/>
        </w:rPr>
        <w:t>de </w:t>
      </w:r>
      <w:r>
        <w:rPr>
          <w:color w:val="231F20"/>
          <w:spacing w:val="2"/>
        </w:rPr>
        <w:t>crecimiento </w:t>
      </w:r>
      <w:r>
        <w:rPr>
          <w:color w:val="231F20"/>
        </w:rPr>
        <w:t>endógeno. Una </w:t>
      </w:r>
      <w:r>
        <w:rPr>
          <w:color w:val="231F20"/>
          <w:spacing w:val="3"/>
        </w:rPr>
        <w:t>primera </w:t>
      </w:r>
      <w:r>
        <w:rPr>
          <w:color w:val="231F20"/>
        </w:rPr>
        <w:t>fa- </w:t>
      </w:r>
      <w:r>
        <w:rPr>
          <w:color w:val="231F20"/>
          <w:spacing w:val="2"/>
        </w:rPr>
        <w:t>milia </w:t>
      </w:r>
      <w:r>
        <w:rPr>
          <w:color w:val="231F20"/>
        </w:rPr>
        <w:t>de modelos Romer </w:t>
      </w:r>
      <w:r>
        <w:rPr>
          <w:color w:val="231F20"/>
          <w:spacing w:val="-4"/>
        </w:rPr>
        <w:t>(1986), </w:t>
      </w:r>
      <w:r>
        <w:rPr>
          <w:color w:val="231F20"/>
        </w:rPr>
        <w:t>Lucas </w:t>
      </w:r>
      <w:r>
        <w:rPr>
          <w:color w:val="231F20"/>
          <w:spacing w:val="-5"/>
        </w:rPr>
        <w:t>(1988), </w:t>
      </w:r>
      <w:r>
        <w:rPr>
          <w:color w:val="231F20"/>
        </w:rPr>
        <w:t>Rebelo </w:t>
      </w:r>
      <w:r>
        <w:rPr>
          <w:color w:val="231F20"/>
          <w:spacing w:val="-8"/>
        </w:rPr>
        <w:t>(1991) </w:t>
      </w:r>
      <w:r>
        <w:rPr>
          <w:color w:val="231F20"/>
        </w:rPr>
        <w:t>y </w:t>
      </w:r>
      <w:r>
        <w:rPr>
          <w:color w:val="231F20"/>
          <w:spacing w:val="3"/>
        </w:rPr>
        <w:t>Barro </w:t>
      </w:r>
      <w:r>
        <w:rPr>
          <w:color w:val="231F20"/>
          <w:spacing w:val="-8"/>
        </w:rPr>
        <w:t>(1991) </w:t>
      </w:r>
      <w:r>
        <w:rPr>
          <w:color w:val="231F20"/>
        </w:rPr>
        <w:t>consi- </w:t>
      </w:r>
      <w:r>
        <w:rPr>
          <w:color w:val="231F20"/>
          <w:spacing w:val="2"/>
        </w:rPr>
        <w:t>guió generar </w:t>
      </w:r>
      <w:r>
        <w:rPr>
          <w:color w:val="231F20"/>
          <w:spacing w:val="3"/>
        </w:rPr>
        <w:t>tasas </w:t>
      </w:r>
      <w:r>
        <w:rPr>
          <w:color w:val="231F20"/>
        </w:rPr>
        <w:t>positivas de </w:t>
      </w:r>
      <w:r>
        <w:rPr>
          <w:color w:val="231F20"/>
          <w:spacing w:val="2"/>
        </w:rPr>
        <w:t>crecimiento, </w:t>
      </w:r>
      <w:r>
        <w:rPr>
          <w:color w:val="231F20"/>
        </w:rPr>
        <w:t>a base de </w:t>
      </w:r>
      <w:r>
        <w:rPr>
          <w:color w:val="231F20"/>
          <w:spacing w:val="3"/>
        </w:rPr>
        <w:t>eliminar </w:t>
      </w:r>
      <w:r>
        <w:rPr>
          <w:color w:val="231F20"/>
        </w:rPr>
        <w:t>los </w:t>
      </w:r>
      <w:r>
        <w:rPr>
          <w:color w:val="231F20"/>
          <w:spacing w:val="2"/>
        </w:rPr>
        <w:t>rendimientos </w:t>
      </w:r>
      <w:r>
        <w:rPr>
          <w:color w:val="231F20"/>
        </w:rPr>
        <w:t>decrecientes a escala a través de </w:t>
      </w:r>
      <w:r>
        <w:rPr>
          <w:color w:val="231F20"/>
          <w:spacing w:val="2"/>
        </w:rPr>
        <w:t>externalidades </w:t>
      </w:r>
      <w:r>
        <w:rPr>
          <w:color w:val="231F20"/>
        </w:rPr>
        <w:t>o de </w:t>
      </w:r>
      <w:r>
        <w:rPr>
          <w:color w:val="231F20"/>
          <w:spacing w:val="2"/>
        </w:rPr>
        <w:t>introducir </w:t>
      </w:r>
      <w:r>
        <w:rPr>
          <w:color w:val="231F20"/>
        </w:rPr>
        <w:t>capital humano.</w:t>
      </w:r>
    </w:p>
    <w:p>
      <w:pPr>
        <w:pStyle w:val="BodyText"/>
        <w:spacing w:before="9"/>
        <w:rPr>
          <w:sz w:val="29"/>
        </w:rPr>
      </w:pPr>
    </w:p>
    <w:p>
      <w:pPr>
        <w:spacing w:before="74"/>
        <w:ind w:left="1575" w:right="1575" w:firstLine="0"/>
        <w:jc w:val="center"/>
        <w:rPr>
          <w:sz w:val="20"/>
        </w:rPr>
      </w:pPr>
      <w:r>
        <w:rPr>
          <w:color w:val="231F20"/>
          <w:sz w:val="20"/>
        </w:rPr>
        <w:t>33</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50"/>
        <w:jc w:val="both"/>
      </w:pPr>
      <w:r>
        <w:rPr>
          <w:color w:val="231F20"/>
        </w:rPr>
        <w:t>Un segundo grupo de aportaciones utilizó el entorno de competencia imperfecta para construir modelos en los que la inversión en INVESTIGACIÓN Y DESA- RROLLO (I+D) de las empresas generaban progreso tecnológico de forma endó- gena. Algunos ejemplos de estos trabajos los encontramos en Romer (1987, 1990), Aghion y Howitt (1992, 1998) Grossman y Helpman (1991). En estos modelos la sociedad premia a las empresas investigadoras con el disfrute de poder monopo- lístico si estas consiguen inventar un nuevo producto o si consiguen mejorar la calidad de productos existentes (Sala-I-Martín,  2010).</w:t>
      </w:r>
    </w:p>
    <w:p>
      <w:pPr>
        <w:pStyle w:val="BodyText"/>
      </w:pPr>
    </w:p>
    <w:p>
      <w:pPr>
        <w:pStyle w:val="BodyText"/>
        <w:spacing w:before="10"/>
        <w:rPr>
          <w:sz w:val="19"/>
        </w:rPr>
      </w:pPr>
    </w:p>
    <w:p>
      <w:pPr>
        <w:pStyle w:val="Heading2"/>
      </w:pPr>
      <w:r>
        <w:rPr>
          <w:color w:val="231F20"/>
        </w:rPr>
        <w:t>El Crecimiento Económico de México</w:t>
      </w:r>
    </w:p>
    <w:p>
      <w:pPr>
        <w:pStyle w:val="BodyText"/>
        <w:spacing w:before="8"/>
        <w:rPr>
          <w:b/>
          <w:sz w:val="20"/>
        </w:rPr>
      </w:pPr>
    </w:p>
    <w:p>
      <w:pPr>
        <w:pStyle w:val="BodyText"/>
        <w:spacing w:line="247" w:lineRule="auto"/>
        <w:ind w:left="1553" w:right="1550"/>
        <w:jc w:val="both"/>
      </w:pPr>
      <w:r>
        <w:rPr>
          <w:color w:val="231F20"/>
        </w:rPr>
        <w:t>Antes de los ochenta, México era una economía </w:t>
      </w:r>
      <w:r>
        <w:rPr>
          <w:color w:val="231F20"/>
          <w:spacing w:val="2"/>
        </w:rPr>
        <w:t>cerrada </w:t>
      </w:r>
      <w:r>
        <w:rPr>
          <w:color w:val="231F20"/>
        </w:rPr>
        <w:t>y estaba inmerso </w:t>
      </w:r>
      <w:r>
        <w:rPr>
          <w:color w:val="231F20"/>
          <w:spacing w:val="-3"/>
        </w:rPr>
        <w:t>bajo </w:t>
      </w:r>
      <w:r>
        <w:rPr>
          <w:color w:val="231F20"/>
          <w:spacing w:val="2"/>
        </w:rPr>
        <w:t>un </w:t>
      </w:r>
      <w:r>
        <w:rPr>
          <w:color w:val="231F20"/>
        </w:rPr>
        <w:t>modelo de Industrialización por Sustitución de Importaciones (ISI). Durante este periodo el crecimiento económico fue positivo, logrando una tasa máxima de </w:t>
      </w:r>
      <w:r>
        <w:rPr>
          <w:color w:val="231F20"/>
          <w:spacing w:val="-8"/>
        </w:rPr>
        <w:t>11.0% </w:t>
      </w:r>
      <w:r>
        <w:rPr>
          <w:color w:val="231F20"/>
        </w:rPr>
        <w:t>en </w:t>
      </w:r>
      <w:r>
        <w:rPr>
          <w:color w:val="231F20"/>
          <w:spacing w:val="-3"/>
        </w:rPr>
        <w:t>1964 </w:t>
      </w:r>
      <w:r>
        <w:rPr>
          <w:color w:val="231F20"/>
        </w:rPr>
        <w:t>y una </w:t>
      </w:r>
      <w:r>
        <w:rPr>
          <w:color w:val="231F20"/>
          <w:spacing w:val="2"/>
        </w:rPr>
        <w:t>mínima </w:t>
      </w:r>
      <w:r>
        <w:rPr>
          <w:color w:val="231F20"/>
        </w:rPr>
        <w:t>de </w:t>
      </w:r>
      <w:r>
        <w:rPr>
          <w:color w:val="231F20"/>
          <w:spacing w:val="-4"/>
        </w:rPr>
        <w:t>3.0% </w:t>
      </w:r>
      <w:r>
        <w:rPr>
          <w:color w:val="231F20"/>
        </w:rPr>
        <w:t>en </w:t>
      </w:r>
      <w:r>
        <w:rPr>
          <w:color w:val="231F20"/>
          <w:spacing w:val="-7"/>
        </w:rPr>
        <w:t>1959, </w:t>
      </w:r>
      <w:r>
        <w:rPr>
          <w:color w:val="231F20"/>
        </w:rPr>
        <w:t>se mantuvo </w:t>
      </w:r>
      <w:r>
        <w:rPr>
          <w:color w:val="231F20"/>
          <w:spacing w:val="2"/>
        </w:rPr>
        <w:t>un </w:t>
      </w:r>
      <w:r>
        <w:rPr>
          <w:color w:val="231F20"/>
        </w:rPr>
        <w:t>tipo de cambio estable de</w:t>
      </w:r>
    </w:p>
    <w:p>
      <w:pPr>
        <w:pStyle w:val="BodyText"/>
        <w:spacing w:line="247" w:lineRule="auto"/>
        <w:ind w:left="1553" w:right="1550"/>
        <w:jc w:val="both"/>
      </w:pPr>
      <w:r>
        <w:rPr>
          <w:color w:val="231F20"/>
          <w:spacing w:val="-5"/>
        </w:rPr>
        <w:t>$12.50</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de</w:t>
      </w:r>
      <w:r>
        <w:rPr>
          <w:color w:val="231F20"/>
          <w:spacing w:val="-7"/>
        </w:rPr>
        <w:t> </w:t>
      </w:r>
      <w:r>
        <w:rPr>
          <w:color w:val="231F20"/>
        </w:rPr>
        <w:t>bienes</w:t>
      </w:r>
      <w:r>
        <w:rPr>
          <w:color w:val="231F20"/>
          <w:spacing w:val="-7"/>
        </w:rPr>
        <w:t> </w:t>
      </w:r>
      <w:r>
        <w:rPr>
          <w:color w:val="231F20"/>
        </w:rPr>
        <w:t>era</w:t>
      </w:r>
      <w:r>
        <w:rPr>
          <w:color w:val="231F20"/>
          <w:spacing w:val="-7"/>
        </w:rPr>
        <w:t> </w:t>
      </w:r>
      <w:r>
        <w:rPr>
          <w:color w:val="231F20"/>
        </w:rPr>
        <w:t>destinada</w:t>
      </w:r>
      <w:r>
        <w:rPr>
          <w:color w:val="231F20"/>
          <w:spacing w:val="-7"/>
        </w:rPr>
        <w:t> </w:t>
      </w:r>
      <w:r>
        <w:rPr>
          <w:color w:val="231F20"/>
        </w:rPr>
        <w:t>para</w:t>
      </w:r>
      <w:r>
        <w:rPr>
          <w:color w:val="231F20"/>
          <w:spacing w:val="-7"/>
        </w:rPr>
        <w:t> </w:t>
      </w:r>
      <w:r>
        <w:rPr>
          <w:color w:val="231F20"/>
        </w:rPr>
        <w:t>cubrir</w:t>
      </w:r>
      <w:r>
        <w:rPr>
          <w:color w:val="231F20"/>
          <w:spacing w:val="-7"/>
        </w:rPr>
        <w:t> </w:t>
      </w:r>
      <w:r>
        <w:rPr>
          <w:color w:val="231F20"/>
        </w:rPr>
        <w:t>el</w:t>
      </w:r>
      <w:r>
        <w:rPr>
          <w:color w:val="231F20"/>
          <w:spacing w:val="-7"/>
        </w:rPr>
        <w:t> </w:t>
      </w:r>
      <w:r>
        <w:rPr>
          <w:color w:val="231F20"/>
        </w:rPr>
        <w:t>mercado</w:t>
      </w:r>
      <w:r>
        <w:rPr>
          <w:color w:val="231F20"/>
          <w:spacing w:val="-7"/>
        </w:rPr>
        <w:t> </w:t>
      </w:r>
      <w:r>
        <w:rPr>
          <w:color w:val="231F20"/>
        </w:rPr>
        <w:t>interno;</w:t>
      </w:r>
      <w:r>
        <w:rPr>
          <w:color w:val="231F20"/>
          <w:spacing w:val="-7"/>
        </w:rPr>
        <w:t> </w:t>
      </w:r>
      <w:r>
        <w:rPr>
          <w:color w:val="231F20"/>
        </w:rPr>
        <w:t>se</w:t>
      </w:r>
      <w:r>
        <w:rPr>
          <w:color w:val="231F20"/>
          <w:spacing w:val="-7"/>
        </w:rPr>
        <w:t> </w:t>
      </w:r>
      <w:r>
        <w:rPr>
          <w:color w:val="231F20"/>
        </w:rPr>
        <w:t>tenía una</w:t>
      </w:r>
      <w:r>
        <w:rPr>
          <w:color w:val="231F20"/>
          <w:spacing w:val="-7"/>
        </w:rPr>
        <w:t> </w:t>
      </w:r>
      <w:r>
        <w:rPr>
          <w:color w:val="231F20"/>
        </w:rPr>
        <w:t>política</w:t>
      </w:r>
      <w:r>
        <w:rPr>
          <w:color w:val="231F20"/>
          <w:spacing w:val="-7"/>
        </w:rPr>
        <w:t> </w:t>
      </w:r>
      <w:r>
        <w:rPr>
          <w:color w:val="231F20"/>
        </w:rPr>
        <w:t>de</w:t>
      </w:r>
      <w:r>
        <w:rPr>
          <w:color w:val="231F20"/>
          <w:spacing w:val="-7"/>
        </w:rPr>
        <w:t> </w:t>
      </w:r>
      <w:r>
        <w:rPr>
          <w:color w:val="231F20"/>
        </w:rPr>
        <w:t>control</w:t>
      </w:r>
      <w:r>
        <w:rPr>
          <w:color w:val="231F20"/>
          <w:spacing w:val="-7"/>
        </w:rPr>
        <w:t> </w:t>
      </w:r>
      <w:r>
        <w:rPr>
          <w:color w:val="231F20"/>
          <w:spacing w:val="-3"/>
        </w:rPr>
        <w:t>excesivo</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rPr>
        <w:t>importaciones</w:t>
      </w:r>
      <w:r>
        <w:rPr>
          <w:color w:val="231F20"/>
          <w:spacing w:val="-7"/>
        </w:rPr>
        <w:t> </w:t>
      </w:r>
      <w:r>
        <w:rPr>
          <w:color w:val="231F20"/>
        </w:rPr>
        <w:t>de</w:t>
      </w:r>
      <w:r>
        <w:rPr>
          <w:color w:val="231F20"/>
          <w:spacing w:val="-7"/>
        </w:rPr>
        <w:t> </w:t>
      </w:r>
      <w:r>
        <w:rPr>
          <w:color w:val="231F20"/>
        </w:rPr>
        <w:t>bienes</w:t>
      </w:r>
      <w:r>
        <w:rPr>
          <w:color w:val="231F20"/>
          <w:spacing w:val="-7"/>
        </w:rPr>
        <w:t> </w:t>
      </w:r>
      <w:r>
        <w:rPr>
          <w:color w:val="231F20"/>
        </w:rPr>
        <w:t>de</w:t>
      </w:r>
      <w:r>
        <w:rPr>
          <w:color w:val="231F20"/>
          <w:spacing w:val="-7"/>
        </w:rPr>
        <w:t> </w:t>
      </w:r>
      <w:r>
        <w:rPr>
          <w:color w:val="231F20"/>
        </w:rPr>
        <w:t>consumo</w:t>
      </w:r>
      <w:r>
        <w:rPr>
          <w:color w:val="231F20"/>
          <w:spacing w:val="-7"/>
        </w:rPr>
        <w:t> </w:t>
      </w:r>
      <w:r>
        <w:rPr>
          <w:color w:val="231F20"/>
        </w:rPr>
        <w:t>pero</w:t>
      </w:r>
      <w:r>
        <w:rPr>
          <w:color w:val="231F20"/>
          <w:spacing w:val="-7"/>
        </w:rPr>
        <w:t> </w:t>
      </w:r>
      <w:r>
        <w:rPr>
          <w:color w:val="231F20"/>
        </w:rPr>
        <w:t>se permitían las importaciones de bienes de capital, lo que propició que se dieran altas tasas de inversión dentro del país; se contaba con protección arancelaria y de licen- cias y el gobierno creó empresas básicas para apoyar las reformas, a todo esto se le llamó</w:t>
      </w:r>
      <w:r>
        <w:rPr>
          <w:color w:val="231F20"/>
          <w:spacing w:val="-14"/>
        </w:rPr>
        <w:t> </w:t>
      </w:r>
      <w:r>
        <w:rPr>
          <w:color w:val="231F20"/>
        </w:rPr>
        <w:t>Nacionalismo.</w:t>
      </w:r>
    </w:p>
    <w:p>
      <w:pPr>
        <w:pStyle w:val="BodyText"/>
        <w:spacing w:line="247" w:lineRule="auto"/>
        <w:ind w:left="1553" w:right="1544" w:firstLine="283"/>
        <w:jc w:val="both"/>
      </w:pPr>
      <w:r>
        <w:rPr>
          <w:color w:val="231F20"/>
        </w:rPr>
        <w:t>Posterior al modelo ISI, México ingresó al libre mercado y bajo un modelo neo- liberal abrió sus fronteras comerciales. En 1982, pasó a ser un país basado en la privatización, la desregulación y la apertura financiera y comercial, debido a esas ideas se creía que a mayor liberalización comercial mayor crecimiento económico. Lo anterior no fue muy cierto ya que al comparar el crecimiento económico del pe- riodo ISI con el de 1980-1993, en este último periodo se presentaron tasas de creci- miento negativas, situación que no se experimentó durante el ISI, llegando a ser la variación de menos 4.2% en 1983.</w:t>
      </w:r>
    </w:p>
    <w:p>
      <w:pPr>
        <w:pStyle w:val="BodyText"/>
        <w:spacing w:line="247" w:lineRule="auto"/>
        <w:ind w:left="1553" w:right="1550" w:firstLine="283"/>
        <w:jc w:val="both"/>
      </w:pPr>
      <w:r>
        <w:rPr>
          <w:color w:val="231F20"/>
        </w:rPr>
        <w:t>En</w:t>
      </w:r>
      <w:r>
        <w:rPr>
          <w:color w:val="231F20"/>
          <w:spacing w:val="-6"/>
        </w:rPr>
        <w:t> </w:t>
      </w:r>
      <w:r>
        <w:rPr>
          <w:color w:val="231F20"/>
        </w:rPr>
        <w:t>vías</w:t>
      </w:r>
      <w:r>
        <w:rPr>
          <w:color w:val="231F20"/>
          <w:spacing w:val="-5"/>
        </w:rPr>
        <w:t> </w:t>
      </w:r>
      <w:r>
        <w:rPr>
          <w:color w:val="231F20"/>
        </w:rPr>
        <w:t>de</w:t>
      </w:r>
      <w:r>
        <w:rPr>
          <w:color w:val="231F20"/>
          <w:spacing w:val="-6"/>
        </w:rPr>
        <w:t> </w:t>
      </w:r>
      <w:r>
        <w:rPr>
          <w:color w:val="231F20"/>
        </w:rPr>
        <w:t>obtener</w:t>
      </w:r>
      <w:r>
        <w:rPr>
          <w:color w:val="231F20"/>
          <w:spacing w:val="-6"/>
        </w:rPr>
        <w:t> </w:t>
      </w:r>
      <w:r>
        <w:rPr>
          <w:color w:val="231F20"/>
        </w:rPr>
        <w:t>beneficios</w:t>
      </w:r>
      <w:r>
        <w:rPr>
          <w:color w:val="231F20"/>
          <w:spacing w:val="-5"/>
        </w:rPr>
        <w:t> </w:t>
      </w:r>
      <w:r>
        <w:rPr>
          <w:color w:val="231F20"/>
        </w:rPr>
        <w:t>económicos</w:t>
      </w:r>
      <w:r>
        <w:rPr>
          <w:color w:val="231F20"/>
          <w:spacing w:val="-5"/>
        </w:rPr>
        <w:t> </w:t>
      </w:r>
      <w:r>
        <w:rPr>
          <w:color w:val="231F20"/>
        </w:rPr>
        <w:t>del</w:t>
      </w:r>
      <w:r>
        <w:rPr>
          <w:color w:val="231F20"/>
          <w:spacing w:val="-5"/>
        </w:rPr>
        <w:t> </w:t>
      </w:r>
      <w:r>
        <w:rPr>
          <w:color w:val="231F20"/>
        </w:rPr>
        <w:t>exterior,</w:t>
      </w:r>
      <w:r>
        <w:rPr>
          <w:color w:val="231F20"/>
          <w:spacing w:val="-5"/>
        </w:rPr>
        <w:t> </w:t>
      </w:r>
      <w:r>
        <w:rPr>
          <w:color w:val="231F20"/>
        </w:rPr>
        <w:t>México</w:t>
      </w:r>
      <w:r>
        <w:rPr>
          <w:color w:val="231F20"/>
          <w:spacing w:val="-5"/>
        </w:rPr>
        <w:t> </w:t>
      </w:r>
      <w:r>
        <w:rPr>
          <w:color w:val="231F20"/>
        </w:rPr>
        <w:t>ingresó</w:t>
      </w:r>
      <w:r>
        <w:rPr>
          <w:color w:val="231F20"/>
          <w:spacing w:val="-5"/>
        </w:rPr>
        <w:t> </w:t>
      </w:r>
      <w:r>
        <w:rPr>
          <w:color w:val="231F20"/>
        </w:rPr>
        <w:t>al</w:t>
      </w:r>
      <w:r>
        <w:rPr>
          <w:color w:val="231F20"/>
          <w:spacing w:val="-5"/>
        </w:rPr>
        <w:t> </w:t>
      </w:r>
      <w:r>
        <w:rPr>
          <w:color w:val="231F20"/>
          <w:spacing w:val="-3"/>
        </w:rPr>
        <w:t>Acuer- </w:t>
      </w:r>
      <w:r>
        <w:rPr>
          <w:color w:val="231F20"/>
        </w:rPr>
        <w:t>do General sobre Aranceles Aduaneros y comercio </w:t>
      </w:r>
      <w:r>
        <w:rPr>
          <w:color w:val="231F20"/>
          <w:spacing w:val="-4"/>
        </w:rPr>
        <w:t>(GATT) </w:t>
      </w:r>
      <w:r>
        <w:rPr>
          <w:color w:val="231F20"/>
        </w:rPr>
        <w:t>en </w:t>
      </w:r>
      <w:r>
        <w:rPr>
          <w:color w:val="231F20"/>
          <w:spacing w:val="-5"/>
        </w:rPr>
        <w:t>1986 </w:t>
      </w:r>
      <w:r>
        <w:rPr>
          <w:color w:val="231F20"/>
        </w:rPr>
        <w:t>con el propósi- to de impulsar crecimiento interno, aumentar la producción de bienes comercializa- bles</w:t>
      </w:r>
      <w:r>
        <w:rPr>
          <w:color w:val="231F20"/>
          <w:spacing w:val="-15"/>
        </w:rPr>
        <w:t> </w:t>
      </w:r>
      <w:r>
        <w:rPr>
          <w:color w:val="231F20"/>
        </w:rPr>
        <w:t>y</w:t>
      </w:r>
      <w:r>
        <w:rPr>
          <w:color w:val="231F20"/>
          <w:spacing w:val="-16"/>
        </w:rPr>
        <w:t> </w:t>
      </w:r>
      <w:r>
        <w:rPr>
          <w:color w:val="231F20"/>
        </w:rPr>
        <w:t>ser</w:t>
      </w:r>
      <w:r>
        <w:rPr>
          <w:color w:val="231F20"/>
          <w:spacing w:val="-16"/>
        </w:rPr>
        <w:t> </w:t>
      </w:r>
      <w:r>
        <w:rPr>
          <w:color w:val="231F20"/>
        </w:rPr>
        <w:t>más</w:t>
      </w:r>
      <w:r>
        <w:rPr>
          <w:color w:val="231F20"/>
          <w:spacing w:val="-16"/>
        </w:rPr>
        <w:t> </w:t>
      </w:r>
      <w:r>
        <w:rPr>
          <w:color w:val="231F20"/>
        </w:rPr>
        <w:t>competitivo</w:t>
      </w:r>
      <w:r>
        <w:rPr>
          <w:color w:val="231F20"/>
          <w:spacing w:val="-16"/>
        </w:rPr>
        <w:t> </w:t>
      </w:r>
      <w:r>
        <w:rPr>
          <w:color w:val="231F20"/>
        </w:rPr>
        <w:t>ante</w:t>
      </w:r>
      <w:r>
        <w:rPr>
          <w:color w:val="231F20"/>
          <w:spacing w:val="-15"/>
        </w:rPr>
        <w:t> </w:t>
      </w:r>
      <w:r>
        <w:rPr>
          <w:color w:val="231F20"/>
        </w:rPr>
        <w:t>el</w:t>
      </w:r>
      <w:r>
        <w:rPr>
          <w:color w:val="231F20"/>
          <w:spacing w:val="-15"/>
        </w:rPr>
        <w:t> </w:t>
      </w:r>
      <w:r>
        <w:rPr>
          <w:color w:val="231F20"/>
        </w:rPr>
        <w:t>mercado</w:t>
      </w:r>
      <w:r>
        <w:rPr>
          <w:color w:val="231F20"/>
          <w:spacing w:val="-16"/>
        </w:rPr>
        <w:t> </w:t>
      </w:r>
      <w:r>
        <w:rPr>
          <w:color w:val="231F20"/>
        </w:rPr>
        <w:t>mundial</w:t>
      </w:r>
      <w:r>
        <w:rPr>
          <w:color w:val="231F20"/>
          <w:spacing w:val="-16"/>
        </w:rPr>
        <w:t> </w:t>
      </w:r>
      <w:r>
        <w:rPr>
          <w:color w:val="231F20"/>
        </w:rPr>
        <w:t>a</w:t>
      </w:r>
      <w:r>
        <w:rPr>
          <w:color w:val="231F20"/>
          <w:spacing w:val="-16"/>
        </w:rPr>
        <w:t> </w:t>
      </w:r>
      <w:r>
        <w:rPr>
          <w:color w:val="231F20"/>
        </w:rPr>
        <w:t>través</w:t>
      </w:r>
      <w:r>
        <w:rPr>
          <w:color w:val="231F20"/>
          <w:spacing w:val="-15"/>
        </w:rPr>
        <w:t> </w:t>
      </w:r>
      <w:r>
        <w:rPr>
          <w:color w:val="231F20"/>
        </w:rPr>
        <w:t>de</w:t>
      </w:r>
      <w:r>
        <w:rPr>
          <w:color w:val="231F20"/>
          <w:spacing w:val="-16"/>
        </w:rPr>
        <w:t> </w:t>
      </w:r>
      <w:r>
        <w:rPr>
          <w:color w:val="231F20"/>
        </w:rPr>
        <w:t>la</w:t>
      </w:r>
      <w:r>
        <w:rPr>
          <w:color w:val="231F20"/>
          <w:spacing w:val="-16"/>
        </w:rPr>
        <w:t> </w:t>
      </w:r>
      <w:r>
        <w:rPr>
          <w:color w:val="231F20"/>
          <w:spacing w:val="2"/>
        </w:rPr>
        <w:t>apertura</w:t>
      </w:r>
      <w:r>
        <w:rPr>
          <w:color w:val="231F20"/>
          <w:spacing w:val="-15"/>
        </w:rPr>
        <w:t> </w:t>
      </w:r>
      <w:r>
        <w:rPr>
          <w:color w:val="231F20"/>
        </w:rPr>
        <w:t>comercial. Pero no se obtuvieron los resultados esperados, dado que </w:t>
      </w:r>
      <w:r>
        <w:rPr>
          <w:color w:val="231F20"/>
          <w:spacing w:val="-3"/>
        </w:rPr>
        <w:t>sólo </w:t>
      </w:r>
      <w:r>
        <w:rPr>
          <w:color w:val="231F20"/>
        </w:rPr>
        <w:t>se registró </w:t>
      </w:r>
      <w:r>
        <w:rPr>
          <w:color w:val="231F20"/>
          <w:spacing w:val="2"/>
        </w:rPr>
        <w:t>un </w:t>
      </w:r>
      <w:r>
        <w:rPr>
          <w:color w:val="231F20"/>
        </w:rPr>
        <w:t>creci- miento</w:t>
      </w:r>
      <w:r>
        <w:rPr>
          <w:color w:val="231F20"/>
          <w:spacing w:val="-8"/>
        </w:rPr>
        <w:t> </w:t>
      </w:r>
      <w:r>
        <w:rPr>
          <w:color w:val="231F20"/>
        </w:rPr>
        <w:t>promedio</w:t>
      </w:r>
      <w:r>
        <w:rPr>
          <w:color w:val="231F20"/>
          <w:spacing w:val="-8"/>
        </w:rPr>
        <w:t> </w:t>
      </w:r>
      <w:r>
        <w:rPr>
          <w:color w:val="231F20"/>
        </w:rPr>
        <w:t>de</w:t>
      </w:r>
      <w:r>
        <w:rPr>
          <w:color w:val="231F20"/>
          <w:spacing w:val="-8"/>
        </w:rPr>
        <w:t> </w:t>
      </w:r>
      <w:r>
        <w:rPr>
          <w:color w:val="231F20"/>
          <w:spacing w:val="-5"/>
        </w:rPr>
        <w:t>1.9%</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periodo</w:t>
      </w:r>
      <w:r>
        <w:rPr>
          <w:color w:val="231F20"/>
          <w:spacing w:val="-8"/>
        </w:rPr>
        <w:t> </w:t>
      </w:r>
      <w:r>
        <w:rPr>
          <w:color w:val="231F20"/>
        </w:rPr>
        <w:t>de</w:t>
      </w:r>
      <w:r>
        <w:rPr>
          <w:color w:val="231F20"/>
          <w:spacing w:val="-8"/>
        </w:rPr>
        <w:t> </w:t>
      </w:r>
      <w:r>
        <w:rPr>
          <w:color w:val="231F20"/>
          <w:spacing w:val="-4"/>
        </w:rPr>
        <w:t>1986-1994.</w:t>
      </w:r>
      <w:r>
        <w:rPr>
          <w:color w:val="231F20"/>
          <w:spacing w:val="-8"/>
        </w:rPr>
        <w:t> </w:t>
      </w:r>
      <w:r>
        <w:rPr>
          <w:color w:val="231F20"/>
        </w:rPr>
        <w:t>Un</w:t>
      </w:r>
      <w:r>
        <w:rPr>
          <w:color w:val="231F20"/>
          <w:spacing w:val="-8"/>
        </w:rPr>
        <w:t> </w:t>
      </w:r>
      <w:r>
        <w:rPr>
          <w:color w:val="231F20"/>
        </w:rPr>
        <w:t>esfuerzo</w:t>
      </w:r>
      <w:r>
        <w:rPr>
          <w:color w:val="231F20"/>
          <w:spacing w:val="-8"/>
        </w:rPr>
        <w:t> </w:t>
      </w:r>
      <w:r>
        <w:rPr>
          <w:color w:val="231F20"/>
        </w:rPr>
        <w:t>más</w:t>
      </w:r>
      <w:r>
        <w:rPr>
          <w:color w:val="231F20"/>
          <w:spacing w:val="-8"/>
        </w:rPr>
        <w:t> </w:t>
      </w:r>
      <w:r>
        <w:rPr>
          <w:color w:val="231F20"/>
        </w:rPr>
        <w:t>para</w:t>
      </w:r>
      <w:r>
        <w:rPr>
          <w:color w:val="231F20"/>
          <w:spacing w:val="-8"/>
        </w:rPr>
        <w:t> </w:t>
      </w:r>
      <w:r>
        <w:rPr>
          <w:color w:val="231F20"/>
        </w:rPr>
        <w:t>obtener beneficios del comercio internacional fue el ingreso al TLCAN </w:t>
      </w:r>
      <w:r>
        <w:rPr>
          <w:color w:val="231F20"/>
          <w:spacing w:val="-3"/>
        </w:rPr>
        <w:t>bajo </w:t>
      </w:r>
      <w:r>
        <w:rPr>
          <w:color w:val="231F20"/>
        </w:rPr>
        <w:t>el modelo de comercio</w:t>
      </w:r>
      <w:r>
        <w:rPr>
          <w:color w:val="231F20"/>
          <w:spacing w:val="-9"/>
        </w:rPr>
        <w:t> </w:t>
      </w:r>
      <w:r>
        <w:rPr>
          <w:color w:val="231F20"/>
        </w:rPr>
        <w:t>internacional</w:t>
      </w:r>
      <w:r>
        <w:rPr>
          <w:color w:val="231F20"/>
          <w:spacing w:val="-9"/>
        </w:rPr>
        <w:t> </w:t>
      </w:r>
      <w:r>
        <w:rPr>
          <w:color w:val="231F20"/>
        </w:rPr>
        <w:t>Heckscher-Ohlin,</w:t>
      </w:r>
      <w:r>
        <w:rPr>
          <w:color w:val="231F20"/>
          <w:spacing w:val="-9"/>
        </w:rPr>
        <w:t> </w:t>
      </w:r>
      <w:r>
        <w:rPr>
          <w:color w:val="231F20"/>
        </w:rPr>
        <w:t>donde</w:t>
      </w:r>
      <w:r>
        <w:rPr>
          <w:color w:val="231F20"/>
          <w:spacing w:val="-9"/>
        </w:rPr>
        <w:t> </w:t>
      </w:r>
      <w:r>
        <w:rPr>
          <w:color w:val="231F20"/>
        </w:rPr>
        <w:t>la</w:t>
      </w:r>
      <w:r>
        <w:rPr>
          <w:color w:val="231F20"/>
          <w:spacing w:val="-9"/>
        </w:rPr>
        <w:t> </w:t>
      </w:r>
      <w:r>
        <w:rPr>
          <w:color w:val="231F20"/>
          <w:spacing w:val="2"/>
        </w:rPr>
        <w:t>apertura</w:t>
      </w:r>
      <w:r>
        <w:rPr>
          <w:color w:val="231F20"/>
          <w:spacing w:val="-9"/>
        </w:rPr>
        <w:t> </w:t>
      </w:r>
      <w:r>
        <w:rPr>
          <w:color w:val="231F20"/>
        </w:rPr>
        <w:t>comercial</w:t>
      </w:r>
      <w:r>
        <w:rPr>
          <w:color w:val="231F20"/>
          <w:spacing w:val="-9"/>
        </w:rPr>
        <w:t> </w:t>
      </w:r>
      <w:r>
        <w:rPr>
          <w:color w:val="231F20"/>
        </w:rPr>
        <w:t>generaría</w:t>
      </w:r>
      <w:r>
        <w:rPr>
          <w:color w:val="231F20"/>
          <w:spacing w:val="-9"/>
        </w:rPr>
        <w:t> </w:t>
      </w:r>
      <w:r>
        <w:rPr>
          <w:color w:val="231F20"/>
        </w:rPr>
        <w:t>una</w:t>
      </w:r>
    </w:p>
    <w:p>
      <w:pPr>
        <w:pStyle w:val="BodyText"/>
        <w:rPr>
          <w:sz w:val="11"/>
        </w:rPr>
      </w:pPr>
    </w:p>
    <w:p>
      <w:pPr>
        <w:spacing w:before="74"/>
        <w:ind w:left="1575" w:right="1575" w:firstLine="0"/>
        <w:jc w:val="center"/>
        <w:rPr>
          <w:sz w:val="20"/>
        </w:rPr>
      </w:pPr>
      <w:r>
        <w:rPr>
          <w:color w:val="231F20"/>
          <w:sz w:val="20"/>
        </w:rPr>
        <w:t>34</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1576" w:right="1548" w:firstLine="0"/>
        <w:jc w:val="center"/>
        <w:rPr>
          <w:sz w:val="20"/>
        </w:rPr>
      </w:pPr>
      <w:r>
        <w:rPr>
          <w:color w:val="231F20"/>
          <w:sz w:val="20"/>
        </w:rPr>
        <w:t>L</w:t>
      </w:r>
      <w:r>
        <w:rPr>
          <w:color w:val="231F20"/>
          <w:sz w:val="14"/>
        </w:rPr>
        <w:t>A  INVERSIÓN  EXTRANJERA DIRECTA  EN EL  CRECIMIENTO ECONÓMICO DE  </w:t>
      </w:r>
      <w:r>
        <w:rPr>
          <w:color w:val="231F20"/>
          <w:sz w:val="20"/>
        </w:rPr>
        <w:t>M</w:t>
      </w:r>
      <w:r>
        <w:rPr>
          <w:color w:val="231F20"/>
          <w:sz w:val="14"/>
        </w:rPr>
        <w:t>ÉXICO</w:t>
      </w:r>
      <w:r>
        <w:rPr>
          <w:color w:val="231F20"/>
          <w:sz w:val="20"/>
        </w:rPr>
        <w:t>, 1970-2012</w:t>
      </w:r>
    </w:p>
    <w:p>
      <w:pPr>
        <w:pStyle w:val="BodyText"/>
        <w:rPr>
          <w:sz w:val="20"/>
        </w:rPr>
      </w:pPr>
    </w:p>
    <w:p>
      <w:pPr>
        <w:pStyle w:val="BodyText"/>
        <w:spacing w:before="8"/>
        <w:rPr>
          <w:sz w:val="17"/>
        </w:rPr>
      </w:pPr>
    </w:p>
    <w:p>
      <w:pPr>
        <w:pStyle w:val="BodyText"/>
        <w:spacing w:line="247" w:lineRule="auto" w:before="1"/>
        <w:ind w:left="1553" w:right="1549"/>
        <w:jc w:val="both"/>
      </w:pPr>
      <w:r>
        <w:rPr>
          <w:color w:val="231F20"/>
        </w:rPr>
        <w:t>situación de ganancia para las economías participantes si los países basados en la relación capital/trabajo se especializaban en las áreas donde mostraban ventajas comparativas.</w:t>
      </w:r>
    </w:p>
    <w:p>
      <w:pPr>
        <w:pStyle w:val="BodyText"/>
        <w:spacing w:line="247" w:lineRule="auto"/>
        <w:ind w:left="1553" w:right="1545" w:firstLine="283"/>
        <w:jc w:val="both"/>
      </w:pPr>
      <w:r>
        <w:rPr>
          <w:color w:val="231F20"/>
        </w:rPr>
        <w:t>La ventaja de México dentro del tratado estaba dada por los salarios tan bajos con los que contaba el país; y esto era por el tipo de capital humano que consistía en mano de obra o trabajo no especializado. Llegando a ser actualmente este factor una desventaja para México, dado que existen otras economías con mano de obra más barata y especializada, por lo que este agente actualmente no es relevante para el crecimiento económico; más bien, es necesario un nivel mayor de capital humano y capital físico (Tecnología e innovaciones). Lo que no se contempló en el tratado es que México no cambiaría su estatus de país en vías de desarrollo y no lograría converger al nivel económico de las otras dos economías (Estados Unidos de Norteamérica y Canadá) como lo plantea la teoría de creci- miento neoclásico. Además de que se contemplaban algunos factores como ex- ternos cuando ellos son los canales por los que una economía logra crecimiento; como son la especialización de acuerdo a una ventaja comparativa, la explota- ción de los rendimientos crecientes de escala, el intercambio de ideas, la dismi- nución de la brecha tecnológica y de conocimientos y la inversión en ellos y la exposición a nuevos bienes.</w:t>
      </w:r>
    </w:p>
    <w:p>
      <w:pPr>
        <w:pStyle w:val="BodyText"/>
        <w:spacing w:line="247" w:lineRule="auto"/>
        <w:ind w:left="1553" w:right="1543" w:firstLine="283"/>
        <w:jc w:val="both"/>
      </w:pPr>
      <w:r>
        <w:rPr>
          <w:color w:val="231F20"/>
        </w:rPr>
        <w:t>A pesar de que México cuenta con </w:t>
      </w:r>
      <w:r>
        <w:rPr>
          <w:color w:val="231F20"/>
          <w:spacing w:val="2"/>
        </w:rPr>
        <w:t>un gran </w:t>
      </w:r>
      <w:r>
        <w:rPr>
          <w:color w:val="231F20"/>
        </w:rPr>
        <w:t>número de acuerdos comerciales </w:t>
      </w:r>
      <w:r>
        <w:rPr>
          <w:color w:val="231F20"/>
          <w:spacing w:val="-7"/>
        </w:rPr>
        <w:t>(12 </w:t>
      </w:r>
      <w:r>
        <w:rPr>
          <w:color w:val="231F20"/>
        </w:rPr>
        <w:t>en total) con diferentes mercados </w:t>
      </w:r>
      <w:r>
        <w:rPr>
          <w:color w:val="231F20"/>
          <w:spacing w:val="-7"/>
        </w:rPr>
        <w:t>(42 </w:t>
      </w:r>
      <w:r>
        <w:rPr>
          <w:color w:val="231F20"/>
        </w:rPr>
        <w:t>mercados) en tres continentes, no se ha asegu- rado hasta este momento que el país experimente crecimiento económico con la </w:t>
      </w:r>
      <w:r>
        <w:rPr>
          <w:color w:val="231F20"/>
          <w:spacing w:val="2"/>
        </w:rPr>
        <w:t>apertura </w:t>
      </w:r>
      <w:r>
        <w:rPr>
          <w:color w:val="231F20"/>
        </w:rPr>
        <w:t>de su mercado, </w:t>
      </w:r>
      <w:r>
        <w:rPr>
          <w:color w:val="231F20"/>
          <w:spacing w:val="2"/>
        </w:rPr>
        <w:t>un </w:t>
      </w:r>
      <w:r>
        <w:rPr>
          <w:color w:val="231F20"/>
        </w:rPr>
        <w:t>ejemplo muy claro es que durante el periodo de 1994- 2009 la tasa de variación anual del PIB estuvo entre </w:t>
      </w:r>
      <w:r>
        <w:rPr>
          <w:color w:val="231F20"/>
          <w:spacing w:val="2"/>
        </w:rPr>
        <w:t>un </w:t>
      </w:r>
      <w:r>
        <w:rPr>
          <w:color w:val="231F20"/>
        </w:rPr>
        <w:t>rango </w:t>
      </w:r>
      <w:r>
        <w:rPr>
          <w:color w:val="231F20"/>
          <w:spacing w:val="2"/>
        </w:rPr>
        <w:t>mínimo </w:t>
      </w:r>
      <w:r>
        <w:rPr>
          <w:color w:val="231F20"/>
        </w:rPr>
        <w:t>de -6.5% en 2009 y máximo de </w:t>
      </w:r>
      <w:r>
        <w:rPr>
          <w:color w:val="231F20"/>
          <w:spacing w:val="-6"/>
        </w:rPr>
        <w:t>7.2% </w:t>
      </w:r>
      <w:r>
        <w:rPr>
          <w:color w:val="231F20"/>
        </w:rPr>
        <w:t>en </w:t>
      </w:r>
      <w:r>
        <w:rPr>
          <w:color w:val="231F20"/>
          <w:spacing w:val="-3"/>
        </w:rPr>
        <w:t>1997 </w:t>
      </w:r>
      <w:r>
        <w:rPr>
          <w:color w:val="231F20"/>
        </w:rPr>
        <w:t>y siendo el saldo de la balanza comercial negativo durante el periodo. La teoría económica neoclásica expresa que </w:t>
      </w:r>
      <w:r>
        <w:rPr>
          <w:color w:val="231F20"/>
          <w:spacing w:val="2"/>
        </w:rPr>
        <w:t>un </w:t>
      </w:r>
      <w:r>
        <w:rPr>
          <w:color w:val="231F20"/>
        </w:rPr>
        <w:t>país al abrir sus fronteras comerciales por medio de una política comercial adecuada (Disminución de barreras arancelarias y no arancelarias) donde se fomente la importación de pro- ductos</w:t>
      </w:r>
      <w:r>
        <w:rPr>
          <w:color w:val="231F20"/>
          <w:spacing w:val="-9"/>
        </w:rPr>
        <w:t> </w:t>
      </w:r>
      <w:r>
        <w:rPr>
          <w:color w:val="231F20"/>
        </w:rPr>
        <w:t>y</w:t>
      </w:r>
      <w:r>
        <w:rPr>
          <w:color w:val="231F20"/>
          <w:spacing w:val="-9"/>
        </w:rPr>
        <w:t> </w:t>
      </w:r>
      <w:r>
        <w:rPr>
          <w:color w:val="231F20"/>
        </w:rPr>
        <w:t>tecnología</w:t>
      </w:r>
      <w:r>
        <w:rPr>
          <w:color w:val="231F20"/>
          <w:spacing w:val="-9"/>
        </w:rPr>
        <w:t> </w:t>
      </w:r>
      <w:r>
        <w:rPr>
          <w:color w:val="231F20"/>
        </w:rPr>
        <w:t>se</w:t>
      </w:r>
      <w:r>
        <w:rPr>
          <w:color w:val="231F20"/>
          <w:spacing w:val="-9"/>
        </w:rPr>
        <w:t> </w:t>
      </w:r>
      <w:r>
        <w:rPr>
          <w:color w:val="231F20"/>
        </w:rPr>
        <w:t>experimentará</w:t>
      </w:r>
      <w:r>
        <w:rPr>
          <w:color w:val="231F20"/>
          <w:spacing w:val="-9"/>
        </w:rPr>
        <w:t> </w:t>
      </w:r>
      <w:r>
        <w:rPr>
          <w:color w:val="231F20"/>
          <w:spacing w:val="2"/>
        </w:rPr>
        <w:t>un</w:t>
      </w:r>
      <w:r>
        <w:rPr>
          <w:color w:val="231F20"/>
          <w:spacing w:val="-9"/>
        </w:rPr>
        <w:t> </w:t>
      </w:r>
      <w:r>
        <w:rPr>
          <w:color w:val="231F20"/>
        </w:rPr>
        <w:t>crecimiento</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producción</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nive- les de ingreso per cápita (Crecimiento económico) además de proporcionar una es- pecialización productiva en la economía por la entrada y adopción de tecnología e innovación tecnológica (Sánchez,</w:t>
      </w:r>
      <w:r>
        <w:rPr>
          <w:color w:val="231F20"/>
          <w:spacing w:val="-24"/>
        </w:rPr>
        <w:t> </w:t>
      </w:r>
      <w:r>
        <w:rPr>
          <w:color w:val="231F20"/>
          <w:spacing w:val="-8"/>
        </w:rPr>
        <w:t>2010).</w:t>
      </w:r>
    </w:p>
    <w:p>
      <w:pPr>
        <w:pStyle w:val="BodyText"/>
      </w:pPr>
    </w:p>
    <w:p>
      <w:pPr>
        <w:pStyle w:val="BodyText"/>
        <w:spacing w:before="9"/>
        <w:rPr>
          <w:sz w:val="19"/>
        </w:rPr>
      </w:pPr>
    </w:p>
    <w:p>
      <w:pPr>
        <w:pStyle w:val="Heading2"/>
      </w:pPr>
      <w:r>
        <w:rPr>
          <w:color w:val="231F20"/>
        </w:rPr>
        <w:t>Evolución de la IED</w:t>
      </w:r>
    </w:p>
    <w:p>
      <w:pPr>
        <w:pStyle w:val="BodyText"/>
        <w:spacing w:before="8"/>
        <w:rPr>
          <w:b/>
          <w:sz w:val="20"/>
        </w:rPr>
      </w:pPr>
    </w:p>
    <w:p>
      <w:pPr>
        <w:pStyle w:val="BodyText"/>
        <w:spacing w:line="247" w:lineRule="auto"/>
        <w:ind w:left="1553" w:right="1551"/>
        <w:jc w:val="both"/>
      </w:pPr>
      <w:r>
        <w:rPr/>
        <w:t>En</w:t>
      </w:r>
      <w:r>
        <w:rPr>
          <w:spacing w:val="-11"/>
        </w:rPr>
        <w:t> </w:t>
      </w:r>
      <w:r>
        <w:rPr/>
        <w:t>los</w:t>
      </w:r>
      <w:r>
        <w:rPr>
          <w:spacing w:val="-11"/>
        </w:rPr>
        <w:t> </w:t>
      </w:r>
      <w:r>
        <w:rPr/>
        <w:t>últimos</w:t>
      </w:r>
      <w:r>
        <w:rPr>
          <w:spacing w:val="-11"/>
        </w:rPr>
        <w:t> </w:t>
      </w:r>
      <w:r>
        <w:rPr/>
        <w:t>años,</w:t>
      </w:r>
      <w:r>
        <w:rPr>
          <w:spacing w:val="-11"/>
        </w:rPr>
        <w:t> </w:t>
      </w:r>
      <w:r>
        <w:rPr/>
        <w:t>en</w:t>
      </w:r>
      <w:r>
        <w:rPr>
          <w:spacing w:val="-11"/>
        </w:rPr>
        <w:t> </w:t>
      </w:r>
      <w:r>
        <w:rPr/>
        <w:t>México</w:t>
      </w:r>
      <w:r>
        <w:rPr>
          <w:spacing w:val="-11"/>
        </w:rPr>
        <w:t> </w:t>
      </w:r>
      <w:r>
        <w:rPr/>
        <w:t>no</w:t>
      </w:r>
      <w:r>
        <w:rPr>
          <w:spacing w:val="-11"/>
        </w:rPr>
        <w:t> </w:t>
      </w:r>
      <w:r>
        <w:rPr/>
        <w:t>ha</w:t>
      </w:r>
      <w:r>
        <w:rPr>
          <w:spacing w:val="-11"/>
        </w:rPr>
        <w:t> </w:t>
      </w:r>
      <w:r>
        <w:rPr/>
        <w:t>habido</w:t>
      </w:r>
      <w:r>
        <w:rPr>
          <w:spacing w:val="-11"/>
        </w:rPr>
        <w:t> </w:t>
      </w:r>
      <w:r>
        <w:rPr/>
        <w:t>una</w:t>
      </w:r>
      <w:r>
        <w:rPr>
          <w:spacing w:val="-11"/>
        </w:rPr>
        <w:t> </w:t>
      </w:r>
      <w:r>
        <w:rPr/>
        <w:t>tendencia</w:t>
      </w:r>
      <w:r>
        <w:rPr>
          <w:spacing w:val="-11"/>
        </w:rPr>
        <w:t> </w:t>
      </w:r>
      <w:r>
        <w:rPr/>
        <w:t>uniforme</w:t>
      </w:r>
      <w:r>
        <w:rPr>
          <w:spacing w:val="-11"/>
        </w:rPr>
        <w:t> </w:t>
      </w:r>
      <w:r>
        <w:rPr/>
        <w:t>en</w:t>
      </w:r>
      <w:r>
        <w:rPr>
          <w:spacing w:val="-11"/>
        </w:rPr>
        <w:t> </w:t>
      </w:r>
      <w:r>
        <w:rPr/>
        <w:t>la</w:t>
      </w:r>
      <w:r>
        <w:rPr>
          <w:spacing w:val="-11"/>
        </w:rPr>
        <w:t> </w:t>
      </w:r>
      <w:r>
        <w:rPr/>
        <w:t>recepción de</w:t>
      </w:r>
      <w:r>
        <w:rPr>
          <w:spacing w:val="-4"/>
        </w:rPr>
        <w:t> </w:t>
      </w:r>
      <w:r>
        <w:rPr/>
        <w:t>IED.</w:t>
      </w:r>
      <w:r>
        <w:rPr>
          <w:spacing w:val="-4"/>
        </w:rPr>
        <w:t> </w:t>
      </w:r>
      <w:r>
        <w:rPr/>
        <w:t>Con</w:t>
      </w:r>
      <w:r>
        <w:rPr>
          <w:spacing w:val="-4"/>
        </w:rPr>
        <w:t> </w:t>
      </w:r>
      <w:r>
        <w:rPr/>
        <w:t>la</w:t>
      </w:r>
      <w:r>
        <w:rPr>
          <w:spacing w:val="-4"/>
        </w:rPr>
        <w:t> </w:t>
      </w:r>
      <w:r>
        <w:rPr>
          <w:spacing w:val="2"/>
        </w:rPr>
        <w:t>apertura</w:t>
      </w:r>
      <w:r>
        <w:rPr>
          <w:spacing w:val="-4"/>
        </w:rPr>
        <w:t> </w:t>
      </w:r>
      <w:r>
        <w:rPr/>
        <w:t>de</w:t>
      </w:r>
      <w:r>
        <w:rPr>
          <w:spacing w:val="-4"/>
        </w:rPr>
        <w:t> </w:t>
      </w:r>
      <w:r>
        <w:rPr/>
        <w:t>su</w:t>
      </w:r>
      <w:r>
        <w:rPr>
          <w:spacing w:val="-4"/>
        </w:rPr>
        <w:t> </w:t>
      </w:r>
      <w:r>
        <w:rPr/>
        <w:t>economía</w:t>
      </w:r>
      <w:r>
        <w:rPr>
          <w:spacing w:val="-4"/>
        </w:rPr>
        <w:t> </w:t>
      </w:r>
      <w:r>
        <w:rPr/>
        <w:t>y</w:t>
      </w:r>
      <w:r>
        <w:rPr>
          <w:spacing w:val="-4"/>
        </w:rPr>
        <w:t> </w:t>
      </w:r>
      <w:r>
        <w:rPr/>
        <w:t>la</w:t>
      </w:r>
      <w:r>
        <w:rPr>
          <w:spacing w:val="-4"/>
        </w:rPr>
        <w:t> </w:t>
      </w:r>
      <w:r>
        <w:rPr/>
        <w:t>actualización</w:t>
      </w:r>
      <w:r>
        <w:rPr>
          <w:spacing w:val="-4"/>
        </w:rPr>
        <w:t> </w:t>
      </w:r>
      <w:r>
        <w:rPr/>
        <w:t>del</w:t>
      </w:r>
      <w:r>
        <w:rPr>
          <w:spacing w:val="-4"/>
        </w:rPr>
        <w:t> </w:t>
      </w:r>
      <w:r>
        <w:rPr/>
        <w:t>marco</w:t>
      </w:r>
      <w:r>
        <w:rPr>
          <w:spacing w:val="-4"/>
        </w:rPr>
        <w:t> </w:t>
      </w:r>
      <w:r>
        <w:rPr/>
        <w:t>legal,</w:t>
      </w:r>
      <w:r>
        <w:rPr>
          <w:spacing w:val="-4"/>
        </w:rPr>
        <w:t> </w:t>
      </w:r>
      <w:r>
        <w:rPr/>
        <w:t>ha</w:t>
      </w:r>
      <w:r>
        <w:rPr>
          <w:spacing w:val="-4"/>
        </w:rPr>
        <w:t> </w:t>
      </w:r>
      <w:r>
        <w:rPr/>
        <w:t>pasa-</w:t>
      </w:r>
    </w:p>
    <w:p>
      <w:pPr>
        <w:pStyle w:val="BodyText"/>
        <w:spacing w:before="1"/>
        <w:rPr>
          <w:sz w:val="11"/>
        </w:rPr>
      </w:pPr>
    </w:p>
    <w:p>
      <w:pPr>
        <w:spacing w:before="74"/>
        <w:ind w:left="1575" w:right="1575" w:firstLine="0"/>
        <w:jc w:val="center"/>
        <w:rPr>
          <w:sz w:val="20"/>
        </w:rPr>
      </w:pPr>
      <w:r>
        <w:rPr>
          <w:color w:val="231F20"/>
          <w:sz w:val="20"/>
        </w:rPr>
        <w:t>35</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46"/>
        <w:jc w:val="both"/>
      </w:pPr>
      <w:r>
        <w:rPr/>
        <w:t>do a ocupar </w:t>
      </w:r>
      <w:r>
        <w:rPr>
          <w:spacing w:val="2"/>
        </w:rPr>
        <w:t>un </w:t>
      </w:r>
      <w:r>
        <w:rPr/>
        <w:t>lugar protagónico como país receptor de IED, al absorber 86,000 millones de dólares por este concepto entre </w:t>
      </w:r>
      <w:r>
        <w:rPr>
          <w:spacing w:val="-3"/>
        </w:rPr>
        <w:t>1994 </w:t>
      </w:r>
      <w:r>
        <w:rPr/>
        <w:t>y 2000, lo que lo situó en el tercer lugar entre los países en desarrollo que más IED recibieron en dicho período </w:t>
      </w:r>
      <w:r>
        <w:rPr>
          <w:spacing w:val="-3"/>
        </w:rPr>
        <w:t>(Con- </w:t>
      </w:r>
      <w:r>
        <w:rPr/>
        <w:t>ferencia</w:t>
      </w:r>
      <w:r>
        <w:rPr>
          <w:spacing w:val="-6"/>
        </w:rPr>
        <w:t> </w:t>
      </w:r>
      <w:r>
        <w:rPr/>
        <w:t>de</w:t>
      </w:r>
      <w:r>
        <w:rPr>
          <w:spacing w:val="-6"/>
        </w:rPr>
        <w:t> </w:t>
      </w:r>
      <w:r>
        <w:rPr/>
        <w:t>las</w:t>
      </w:r>
      <w:r>
        <w:rPr>
          <w:spacing w:val="-6"/>
        </w:rPr>
        <w:t> </w:t>
      </w:r>
      <w:r>
        <w:rPr/>
        <w:t>Naciones</w:t>
      </w:r>
      <w:r>
        <w:rPr>
          <w:spacing w:val="-5"/>
        </w:rPr>
        <w:t> </w:t>
      </w:r>
      <w:r>
        <w:rPr/>
        <w:t>Unidas</w:t>
      </w:r>
      <w:r>
        <w:rPr>
          <w:spacing w:val="-5"/>
        </w:rPr>
        <w:t> </w:t>
      </w:r>
      <w:r>
        <w:rPr/>
        <w:t>sobre</w:t>
      </w:r>
      <w:r>
        <w:rPr>
          <w:spacing w:val="-6"/>
        </w:rPr>
        <w:t> </w:t>
      </w:r>
      <w:r>
        <w:rPr/>
        <w:t>Comercio</w:t>
      </w:r>
      <w:r>
        <w:rPr>
          <w:spacing w:val="-5"/>
        </w:rPr>
        <w:t> </w:t>
      </w:r>
      <w:r>
        <w:rPr/>
        <w:t>y</w:t>
      </w:r>
      <w:r>
        <w:rPr>
          <w:spacing w:val="-6"/>
        </w:rPr>
        <w:t> </w:t>
      </w:r>
      <w:r>
        <w:rPr/>
        <w:t>Desarrollo,</w:t>
      </w:r>
      <w:r>
        <w:rPr>
          <w:spacing w:val="-6"/>
        </w:rPr>
        <w:t> </w:t>
      </w:r>
      <w:r>
        <w:rPr/>
        <w:t>UNCTAD,</w:t>
      </w:r>
      <w:r>
        <w:rPr>
          <w:spacing w:val="-6"/>
        </w:rPr>
        <w:t> 2001).</w:t>
      </w:r>
      <w:r>
        <w:rPr>
          <w:spacing w:val="-5"/>
        </w:rPr>
        <w:t> </w:t>
      </w:r>
      <w:r>
        <w:rPr/>
        <w:t>En </w:t>
      </w:r>
      <w:r>
        <w:rPr>
          <w:spacing w:val="-3"/>
        </w:rPr>
        <w:t>1994, </w:t>
      </w:r>
      <w:r>
        <w:rPr/>
        <w:t>primer año de vigencia del TLCAN, México logró su máximo nivel histórico de captación de IED, lo que representó el </w:t>
      </w:r>
      <w:r>
        <w:rPr>
          <w:spacing w:val="-3"/>
        </w:rPr>
        <w:t>4.9% </w:t>
      </w:r>
      <w:r>
        <w:rPr/>
        <w:t>del flujo mundial, situación que se fue deteriorando hasta el año 2000, en que </w:t>
      </w:r>
      <w:r>
        <w:rPr>
          <w:spacing w:val="-3"/>
        </w:rPr>
        <w:t>sólo </w:t>
      </w:r>
      <w:r>
        <w:rPr/>
        <w:t>captó el </w:t>
      </w:r>
      <w:r>
        <w:rPr>
          <w:spacing w:val="-5"/>
        </w:rPr>
        <w:t>1.0% </w:t>
      </w:r>
      <w:r>
        <w:rPr/>
        <w:t>http://www.angelfire. com/tn/tiempos/economia/texto37.html </w:t>
      </w:r>
      <w:r>
        <w:rPr>
          <w:spacing w:val="-9"/>
        </w:rPr>
        <w:t>(10 </w:t>
      </w:r>
      <w:r>
        <w:rPr/>
        <w:t>de enero de</w:t>
      </w:r>
      <w:r>
        <w:rPr>
          <w:spacing w:val="-15"/>
        </w:rPr>
        <w:t> </w:t>
      </w:r>
      <w:r>
        <w:rPr>
          <w:spacing w:val="-8"/>
        </w:rPr>
        <w:t>2013).</w:t>
      </w:r>
    </w:p>
    <w:p>
      <w:pPr>
        <w:pStyle w:val="BodyText"/>
        <w:spacing w:line="247" w:lineRule="auto"/>
        <w:ind w:left="1553" w:right="1546" w:firstLine="283"/>
        <w:jc w:val="both"/>
      </w:pPr>
      <w:r>
        <w:rPr>
          <w:color w:val="231F20"/>
          <w:spacing w:val="4"/>
        </w:rPr>
        <w:t>Específicamente</w:t>
      </w:r>
      <w:r>
        <w:rPr>
          <w:color w:val="231F20"/>
          <w:spacing w:val="-2"/>
        </w:rPr>
        <w:t> </w:t>
      </w:r>
      <w:r>
        <w:rPr>
          <w:color w:val="231F20"/>
        </w:rPr>
        <w:t>de</w:t>
      </w:r>
      <w:r>
        <w:rPr>
          <w:color w:val="231F20"/>
          <w:spacing w:val="-2"/>
        </w:rPr>
        <w:t> </w:t>
      </w:r>
      <w:r>
        <w:rPr>
          <w:color w:val="231F20"/>
        </w:rPr>
        <w:t>1994</w:t>
      </w:r>
      <w:r>
        <w:rPr>
          <w:color w:val="231F20"/>
          <w:spacing w:val="-2"/>
        </w:rPr>
        <w:t> </w:t>
      </w:r>
      <w:r>
        <w:rPr>
          <w:color w:val="231F20"/>
        </w:rPr>
        <w:t>a</w:t>
      </w:r>
      <w:r>
        <w:rPr>
          <w:color w:val="231F20"/>
          <w:spacing w:val="-2"/>
        </w:rPr>
        <w:t> </w:t>
      </w:r>
      <w:r>
        <w:rPr>
          <w:color w:val="231F20"/>
        </w:rPr>
        <w:t>1999</w:t>
      </w:r>
      <w:r>
        <w:rPr>
          <w:color w:val="231F20"/>
          <w:spacing w:val="-2"/>
        </w:rPr>
        <w:t> </w:t>
      </w:r>
      <w:r>
        <w:rPr>
          <w:color w:val="231F20"/>
        </w:rPr>
        <w:t>la</w:t>
      </w:r>
      <w:r>
        <w:rPr>
          <w:color w:val="231F20"/>
          <w:spacing w:val="-2"/>
        </w:rPr>
        <w:t> </w:t>
      </w:r>
      <w:r>
        <w:rPr>
          <w:color w:val="231F20"/>
          <w:spacing w:val="3"/>
        </w:rPr>
        <w:t>IED</w:t>
      </w:r>
      <w:r>
        <w:rPr>
          <w:color w:val="231F20"/>
          <w:spacing w:val="-2"/>
        </w:rPr>
        <w:t> </w:t>
      </w:r>
      <w:r>
        <w:rPr>
          <w:color w:val="231F20"/>
          <w:spacing w:val="5"/>
        </w:rPr>
        <w:t>realizada</w:t>
      </w:r>
      <w:r>
        <w:rPr>
          <w:color w:val="231F20"/>
          <w:spacing w:val="-2"/>
        </w:rPr>
        <w:t> </w:t>
      </w:r>
      <w:r>
        <w:rPr>
          <w:color w:val="231F20"/>
          <w:spacing w:val="3"/>
        </w:rPr>
        <w:t>en</w:t>
      </w:r>
      <w:r>
        <w:rPr>
          <w:color w:val="231F20"/>
          <w:spacing w:val="-2"/>
        </w:rPr>
        <w:t> </w:t>
      </w:r>
      <w:r>
        <w:rPr>
          <w:color w:val="231F20"/>
          <w:spacing w:val="2"/>
        </w:rPr>
        <w:t>México</w:t>
      </w:r>
      <w:r>
        <w:rPr>
          <w:color w:val="231F20"/>
          <w:spacing w:val="-2"/>
        </w:rPr>
        <w:t> </w:t>
      </w:r>
      <w:r>
        <w:rPr>
          <w:color w:val="231F20"/>
        </w:rPr>
        <w:t>se</w:t>
      </w:r>
      <w:r>
        <w:rPr>
          <w:color w:val="231F20"/>
          <w:spacing w:val="-1"/>
        </w:rPr>
        <w:t> </w:t>
      </w:r>
      <w:r>
        <w:rPr>
          <w:color w:val="231F20"/>
          <w:spacing w:val="2"/>
        </w:rPr>
        <w:t>ubicó</w:t>
      </w:r>
      <w:r>
        <w:rPr>
          <w:color w:val="231F20"/>
          <w:spacing w:val="-2"/>
        </w:rPr>
        <w:t> </w:t>
      </w:r>
      <w:r>
        <w:rPr>
          <w:color w:val="231F20"/>
          <w:spacing w:val="4"/>
        </w:rPr>
        <w:t>entre</w:t>
      </w:r>
      <w:r>
        <w:rPr>
          <w:color w:val="231F20"/>
          <w:spacing w:val="-2"/>
        </w:rPr>
        <w:t> </w:t>
      </w:r>
      <w:r>
        <w:rPr>
          <w:color w:val="231F20"/>
          <w:spacing w:val="-8"/>
        </w:rPr>
        <w:t>7.7 </w:t>
      </w:r>
      <w:r>
        <w:rPr>
          <w:color w:val="231F20"/>
        </w:rPr>
        <w:t>y </w:t>
      </w:r>
      <w:r>
        <w:rPr>
          <w:color w:val="231F20"/>
          <w:spacing w:val="-3"/>
        </w:rPr>
        <w:t>12.7 </w:t>
      </w:r>
      <w:r>
        <w:rPr>
          <w:color w:val="231F20"/>
          <w:spacing w:val="4"/>
        </w:rPr>
        <w:t>mil millones </w:t>
      </w:r>
      <w:r>
        <w:rPr>
          <w:color w:val="231F20"/>
        </w:rPr>
        <w:t>de </w:t>
      </w:r>
      <w:r>
        <w:rPr>
          <w:color w:val="231F20"/>
          <w:spacing w:val="3"/>
        </w:rPr>
        <w:t>dólares, </w:t>
      </w:r>
      <w:r>
        <w:rPr>
          <w:color w:val="231F20"/>
          <w:spacing w:val="4"/>
        </w:rPr>
        <w:t>mostrando una tasa </w:t>
      </w:r>
      <w:r>
        <w:rPr>
          <w:color w:val="231F20"/>
          <w:spacing w:val="3"/>
        </w:rPr>
        <w:t>media </w:t>
      </w:r>
      <w:r>
        <w:rPr>
          <w:color w:val="231F20"/>
          <w:spacing w:val="4"/>
        </w:rPr>
        <w:t>anual </w:t>
      </w:r>
      <w:r>
        <w:rPr>
          <w:color w:val="231F20"/>
        </w:rPr>
        <w:t>de </w:t>
      </w:r>
      <w:r>
        <w:rPr>
          <w:color w:val="231F20"/>
          <w:spacing w:val="4"/>
        </w:rPr>
        <w:t>crecimiento </w:t>
      </w:r>
      <w:r>
        <w:rPr>
          <w:color w:val="231F20"/>
        </w:rPr>
        <w:t>de 3.6%. En el </w:t>
      </w:r>
      <w:r>
        <w:rPr>
          <w:color w:val="231F20"/>
          <w:spacing w:val="3"/>
        </w:rPr>
        <w:t>año </w:t>
      </w:r>
      <w:r>
        <w:rPr>
          <w:color w:val="231F20"/>
        </w:rPr>
        <w:t>2001, </w:t>
      </w:r>
      <w:r>
        <w:rPr>
          <w:color w:val="231F20"/>
          <w:spacing w:val="3"/>
        </w:rPr>
        <w:t>incluyendo </w:t>
      </w:r>
      <w:r>
        <w:rPr>
          <w:color w:val="231F20"/>
        </w:rPr>
        <w:t>a la </w:t>
      </w:r>
      <w:r>
        <w:rPr>
          <w:color w:val="231F20"/>
          <w:spacing w:val="3"/>
        </w:rPr>
        <w:t>operación </w:t>
      </w:r>
      <w:r>
        <w:rPr>
          <w:color w:val="231F20"/>
        </w:rPr>
        <w:t>del </w:t>
      </w:r>
      <w:r>
        <w:rPr>
          <w:color w:val="231F20"/>
          <w:spacing w:val="3"/>
        </w:rPr>
        <w:t>Banco Nacional </w:t>
      </w:r>
      <w:r>
        <w:rPr>
          <w:color w:val="231F20"/>
        </w:rPr>
        <w:t>de </w:t>
      </w:r>
      <w:r>
        <w:rPr>
          <w:color w:val="231F20"/>
          <w:spacing w:val="3"/>
        </w:rPr>
        <w:t>Mé- xico </w:t>
      </w:r>
      <w:r>
        <w:rPr>
          <w:color w:val="231F20"/>
          <w:spacing w:val="2"/>
        </w:rPr>
        <w:t>(Banamex), </w:t>
      </w:r>
      <w:r>
        <w:rPr>
          <w:color w:val="231F20"/>
        </w:rPr>
        <w:t>el </w:t>
      </w:r>
      <w:r>
        <w:rPr>
          <w:color w:val="231F20"/>
          <w:spacing w:val="3"/>
        </w:rPr>
        <w:t>país captó </w:t>
      </w:r>
      <w:r>
        <w:rPr>
          <w:color w:val="231F20"/>
        </w:rPr>
        <w:t>el 3.4% de los flujos de </w:t>
      </w:r>
      <w:r>
        <w:rPr>
          <w:color w:val="231F20"/>
          <w:spacing w:val="3"/>
        </w:rPr>
        <w:t>IED </w:t>
      </w:r>
      <w:r>
        <w:rPr>
          <w:color w:val="231F20"/>
          <w:spacing w:val="4"/>
        </w:rPr>
        <w:t>mundial, </w:t>
      </w:r>
      <w:r>
        <w:rPr>
          <w:color w:val="231F20"/>
          <w:spacing w:val="3"/>
        </w:rPr>
        <w:t>pero sin </w:t>
      </w:r>
      <w:r>
        <w:rPr>
          <w:color w:val="231F20"/>
          <w:spacing w:val="5"/>
        </w:rPr>
        <w:t>in- </w:t>
      </w:r>
      <w:r>
        <w:rPr>
          <w:color w:val="231F20"/>
          <w:spacing w:val="3"/>
        </w:rPr>
        <w:t>cluir </w:t>
      </w:r>
      <w:r>
        <w:rPr>
          <w:color w:val="231F20"/>
          <w:spacing w:val="4"/>
        </w:rPr>
        <w:t>ésta </w:t>
      </w:r>
      <w:r>
        <w:rPr>
          <w:color w:val="231F20"/>
          <w:spacing w:val="3"/>
        </w:rPr>
        <w:t>operación </w:t>
      </w:r>
      <w:r>
        <w:rPr>
          <w:color w:val="231F20"/>
        </w:rPr>
        <w:t>su </w:t>
      </w:r>
      <w:r>
        <w:rPr>
          <w:color w:val="231F20"/>
          <w:spacing w:val="3"/>
        </w:rPr>
        <w:t>porcentaje </w:t>
      </w:r>
      <w:r>
        <w:rPr>
          <w:color w:val="231F20"/>
        </w:rPr>
        <w:t>de </w:t>
      </w:r>
      <w:r>
        <w:rPr>
          <w:color w:val="231F20"/>
          <w:spacing w:val="3"/>
        </w:rPr>
        <w:t>captación </w:t>
      </w:r>
      <w:r>
        <w:rPr>
          <w:color w:val="231F20"/>
          <w:spacing w:val="4"/>
        </w:rPr>
        <w:t>fue </w:t>
      </w:r>
      <w:r>
        <w:rPr>
          <w:color w:val="231F20"/>
        </w:rPr>
        <w:t>de sólo 1.6%. De 1994 a  </w:t>
      </w:r>
      <w:r>
        <w:rPr>
          <w:color w:val="231F20"/>
          <w:spacing w:val="3"/>
        </w:rPr>
        <w:t>2000, </w:t>
      </w:r>
      <w:r>
        <w:rPr>
          <w:color w:val="231F20"/>
        </w:rPr>
        <w:t>la </w:t>
      </w:r>
      <w:r>
        <w:rPr>
          <w:color w:val="231F20"/>
          <w:spacing w:val="3"/>
        </w:rPr>
        <w:t>IED </w:t>
      </w:r>
      <w:r>
        <w:rPr>
          <w:color w:val="231F20"/>
          <w:spacing w:val="4"/>
        </w:rPr>
        <w:t>mundial registró un crecimiento </w:t>
      </w:r>
      <w:r>
        <w:rPr>
          <w:color w:val="231F20"/>
        </w:rPr>
        <w:t>de </w:t>
      </w:r>
      <w:r>
        <w:rPr>
          <w:color w:val="231F20"/>
          <w:spacing w:val="3"/>
        </w:rPr>
        <w:t>400.0%, </w:t>
      </w:r>
      <w:r>
        <w:rPr>
          <w:color w:val="231F20"/>
        </w:rPr>
        <w:t>y a </w:t>
      </w:r>
      <w:r>
        <w:rPr>
          <w:color w:val="231F20"/>
          <w:spacing w:val="4"/>
        </w:rPr>
        <w:t>pesar </w:t>
      </w:r>
      <w:r>
        <w:rPr>
          <w:color w:val="231F20"/>
        </w:rPr>
        <w:t>del </w:t>
      </w:r>
      <w:r>
        <w:rPr>
          <w:color w:val="231F20"/>
          <w:spacing w:val="4"/>
        </w:rPr>
        <w:t>decre- </w:t>
      </w:r>
      <w:r>
        <w:rPr>
          <w:color w:val="231F20"/>
          <w:spacing w:val="3"/>
        </w:rPr>
        <w:t>mento </w:t>
      </w:r>
      <w:r>
        <w:rPr>
          <w:color w:val="231F20"/>
        </w:rPr>
        <w:t>del </w:t>
      </w:r>
      <w:r>
        <w:rPr>
          <w:color w:val="231F20"/>
          <w:spacing w:val="3"/>
        </w:rPr>
        <w:t>año </w:t>
      </w:r>
      <w:r>
        <w:rPr>
          <w:color w:val="231F20"/>
        </w:rPr>
        <w:t>2001, </w:t>
      </w:r>
      <w:r>
        <w:rPr>
          <w:color w:val="231F20"/>
          <w:spacing w:val="4"/>
        </w:rPr>
        <w:t>este </w:t>
      </w:r>
      <w:r>
        <w:rPr>
          <w:color w:val="231F20"/>
        </w:rPr>
        <w:t>flujo </w:t>
      </w:r>
      <w:r>
        <w:rPr>
          <w:color w:val="231F20"/>
          <w:spacing w:val="4"/>
        </w:rPr>
        <w:t>mostró un crecimiento </w:t>
      </w:r>
      <w:r>
        <w:rPr>
          <w:color w:val="231F20"/>
        </w:rPr>
        <w:t>de 289.0% </w:t>
      </w:r>
      <w:r>
        <w:rPr>
          <w:color w:val="231F20"/>
          <w:spacing w:val="4"/>
        </w:rPr>
        <w:t>para </w:t>
      </w:r>
      <w:r>
        <w:rPr>
          <w:color w:val="231F20"/>
        </w:rPr>
        <w:t>el </w:t>
      </w:r>
      <w:r>
        <w:rPr>
          <w:color w:val="231F20"/>
          <w:spacing w:val="4"/>
        </w:rPr>
        <w:t>período </w:t>
      </w:r>
      <w:r>
        <w:rPr>
          <w:color w:val="231F20"/>
        </w:rPr>
        <w:t>1994-2001. En el </w:t>
      </w:r>
      <w:r>
        <w:rPr>
          <w:color w:val="231F20"/>
          <w:spacing w:val="3"/>
        </w:rPr>
        <w:t>mismo </w:t>
      </w:r>
      <w:r>
        <w:rPr>
          <w:color w:val="231F20"/>
          <w:spacing w:val="4"/>
        </w:rPr>
        <w:t>período, </w:t>
      </w:r>
      <w:r>
        <w:rPr>
          <w:color w:val="231F20"/>
        </w:rPr>
        <w:t>la </w:t>
      </w:r>
      <w:r>
        <w:rPr>
          <w:color w:val="231F20"/>
          <w:spacing w:val="3"/>
        </w:rPr>
        <w:t>captación </w:t>
      </w:r>
      <w:r>
        <w:rPr>
          <w:color w:val="231F20"/>
          <w:spacing w:val="2"/>
        </w:rPr>
        <w:t>ha </w:t>
      </w:r>
      <w:r>
        <w:rPr>
          <w:color w:val="231F20"/>
          <w:spacing w:val="4"/>
        </w:rPr>
        <w:t>permanecido </w:t>
      </w:r>
      <w:r>
        <w:rPr>
          <w:color w:val="231F20"/>
          <w:spacing w:val="3"/>
        </w:rPr>
        <w:t>en </w:t>
      </w:r>
      <w:r>
        <w:rPr>
          <w:color w:val="231F20"/>
        </w:rPr>
        <w:t>el </w:t>
      </w:r>
      <w:r>
        <w:rPr>
          <w:color w:val="231F20"/>
          <w:spacing w:val="3"/>
        </w:rPr>
        <w:t>mismo ni- </w:t>
      </w:r>
      <w:r>
        <w:rPr>
          <w:color w:val="231F20"/>
        </w:rPr>
        <w:t>vel, </w:t>
      </w:r>
      <w:r>
        <w:rPr>
          <w:color w:val="231F20"/>
          <w:spacing w:val="2"/>
        </w:rPr>
        <w:t>con </w:t>
      </w:r>
      <w:r>
        <w:rPr>
          <w:color w:val="231F20"/>
          <w:spacing w:val="4"/>
        </w:rPr>
        <w:t>un </w:t>
      </w:r>
      <w:r>
        <w:rPr>
          <w:color w:val="231F20"/>
          <w:spacing w:val="3"/>
        </w:rPr>
        <w:t>promedio </w:t>
      </w:r>
      <w:r>
        <w:rPr>
          <w:color w:val="231F20"/>
        </w:rPr>
        <w:t>de </w:t>
      </w:r>
      <w:r>
        <w:rPr>
          <w:color w:val="231F20"/>
          <w:spacing w:val="3"/>
        </w:rPr>
        <w:t>12,000 </w:t>
      </w:r>
      <w:r>
        <w:rPr>
          <w:color w:val="231F20"/>
          <w:spacing w:val="4"/>
        </w:rPr>
        <w:t>millones </w:t>
      </w:r>
      <w:r>
        <w:rPr>
          <w:color w:val="231F20"/>
        </w:rPr>
        <w:t>de </w:t>
      </w:r>
      <w:r>
        <w:rPr>
          <w:color w:val="231F20"/>
          <w:spacing w:val="3"/>
        </w:rPr>
        <w:t>dólares </w:t>
      </w:r>
      <w:r>
        <w:rPr>
          <w:color w:val="231F20"/>
          <w:spacing w:val="4"/>
        </w:rPr>
        <w:t>anuales, </w:t>
      </w:r>
      <w:r>
        <w:rPr>
          <w:color w:val="231F20"/>
          <w:spacing w:val="2"/>
        </w:rPr>
        <w:t>con excepción </w:t>
      </w:r>
      <w:r>
        <w:rPr>
          <w:color w:val="231F20"/>
        </w:rPr>
        <w:t>del </w:t>
      </w:r>
      <w:r>
        <w:rPr>
          <w:color w:val="231F20"/>
          <w:spacing w:val="3"/>
        </w:rPr>
        <w:t>año </w:t>
      </w:r>
      <w:r>
        <w:rPr>
          <w:color w:val="231F20"/>
        </w:rPr>
        <w:t>2001 </w:t>
      </w:r>
      <w:r>
        <w:rPr>
          <w:color w:val="231F20"/>
          <w:spacing w:val="3"/>
        </w:rPr>
        <w:t>en </w:t>
      </w:r>
      <w:r>
        <w:rPr>
          <w:color w:val="231F20"/>
          <w:spacing w:val="2"/>
        </w:rPr>
        <w:t>que </w:t>
      </w:r>
      <w:r>
        <w:rPr>
          <w:color w:val="231F20"/>
        </w:rPr>
        <w:t>se </w:t>
      </w:r>
      <w:r>
        <w:rPr>
          <w:color w:val="231F20"/>
          <w:spacing w:val="4"/>
        </w:rPr>
        <w:t>presentó </w:t>
      </w:r>
      <w:r>
        <w:rPr>
          <w:color w:val="231F20"/>
        </w:rPr>
        <w:t>la </w:t>
      </w:r>
      <w:r>
        <w:rPr>
          <w:color w:val="231F20"/>
          <w:spacing w:val="3"/>
        </w:rPr>
        <w:t>operación Banamex hecho </w:t>
      </w:r>
      <w:r>
        <w:rPr>
          <w:color w:val="231F20"/>
          <w:spacing w:val="2"/>
        </w:rPr>
        <w:t>que </w:t>
      </w:r>
      <w:r>
        <w:rPr>
          <w:color w:val="231F20"/>
        </w:rPr>
        <w:t>la elevó a </w:t>
      </w:r>
      <w:r>
        <w:rPr>
          <w:color w:val="231F20"/>
          <w:spacing w:val="-3"/>
        </w:rPr>
        <w:t>24,731 </w:t>
      </w:r>
      <w:r>
        <w:rPr>
          <w:color w:val="231F20"/>
          <w:spacing w:val="4"/>
        </w:rPr>
        <w:t>millones </w:t>
      </w:r>
      <w:r>
        <w:rPr>
          <w:color w:val="231F20"/>
        </w:rPr>
        <w:t>de</w:t>
      </w:r>
      <w:r>
        <w:rPr>
          <w:color w:val="231F20"/>
          <w:spacing w:val="19"/>
        </w:rPr>
        <w:t> </w:t>
      </w:r>
      <w:r>
        <w:rPr>
          <w:color w:val="231F20"/>
          <w:spacing w:val="3"/>
        </w:rPr>
        <w:t>dólares.</w:t>
      </w:r>
    </w:p>
    <w:p>
      <w:pPr>
        <w:pStyle w:val="BodyText"/>
        <w:spacing w:line="247" w:lineRule="auto"/>
        <w:ind w:left="1553" w:right="1549" w:firstLine="283"/>
        <w:jc w:val="both"/>
      </w:pPr>
      <w:r>
        <w:rPr>
          <w:color w:val="231F20"/>
        </w:rPr>
        <w:t>Para entender el papel actual de la IED en una economía como la de México se deben hacer algunas consideraciones: i) hay una alta concentración de capitales que ingresan y una parte de la IED se destina a activos y empresas en operación, de modo que el crecimiento de ésta no entraña necesariamente </w:t>
      </w:r>
      <w:r>
        <w:rPr>
          <w:color w:val="231F20"/>
          <w:spacing w:val="2"/>
        </w:rPr>
        <w:t>un </w:t>
      </w:r>
      <w:r>
        <w:rPr>
          <w:color w:val="231F20"/>
        </w:rPr>
        <w:t>aumento de la capa- cidad productiva; ii) las nuevas ventas de activos, las fusiones y la reubicación de recursos dominan el escenario internacional entre las grandes empresas, por lo que después de ciertas compras, se realizan de inmediato nuevas operaciones de venta y separación</w:t>
      </w:r>
      <w:r>
        <w:rPr>
          <w:color w:val="231F20"/>
          <w:spacing w:val="-8"/>
        </w:rPr>
        <w:t> </w:t>
      </w:r>
      <w:r>
        <w:rPr>
          <w:color w:val="231F20"/>
        </w:rPr>
        <w:t>de</w:t>
      </w:r>
      <w:r>
        <w:rPr>
          <w:color w:val="231F20"/>
          <w:spacing w:val="-8"/>
        </w:rPr>
        <w:t> </w:t>
      </w:r>
      <w:r>
        <w:rPr>
          <w:color w:val="231F20"/>
        </w:rPr>
        <w:t>activos;</w:t>
      </w:r>
      <w:r>
        <w:rPr>
          <w:color w:val="231F20"/>
          <w:spacing w:val="-8"/>
        </w:rPr>
        <w:t> </w:t>
      </w:r>
      <w:r>
        <w:rPr>
          <w:color w:val="231F20"/>
        </w:rPr>
        <w:t>iii)</w:t>
      </w:r>
      <w:r>
        <w:rPr>
          <w:color w:val="231F20"/>
          <w:spacing w:val="-8"/>
        </w:rPr>
        <w:t> </w:t>
      </w:r>
      <w:r>
        <w:rPr>
          <w:color w:val="231F20"/>
        </w:rPr>
        <w:t>una</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entradas</w:t>
      </w:r>
      <w:r>
        <w:rPr>
          <w:color w:val="231F20"/>
          <w:spacing w:val="-8"/>
        </w:rPr>
        <w:t> </w:t>
      </w:r>
      <w:r>
        <w:rPr>
          <w:color w:val="231F20"/>
        </w:rPr>
        <w:t>de</w:t>
      </w:r>
      <w:r>
        <w:rPr>
          <w:color w:val="231F20"/>
          <w:spacing w:val="-8"/>
        </w:rPr>
        <w:t> </w:t>
      </w:r>
      <w:r>
        <w:rPr>
          <w:color w:val="231F20"/>
        </w:rPr>
        <w:t>IED</w:t>
      </w:r>
      <w:r>
        <w:rPr>
          <w:color w:val="231F20"/>
          <w:spacing w:val="-8"/>
        </w:rPr>
        <w:t> </w:t>
      </w:r>
      <w:r>
        <w:rPr>
          <w:color w:val="231F20"/>
        </w:rPr>
        <w:t>puede</w:t>
      </w:r>
      <w:r>
        <w:rPr>
          <w:color w:val="231F20"/>
          <w:spacing w:val="-8"/>
        </w:rPr>
        <w:t> </w:t>
      </w:r>
      <w:r>
        <w:rPr>
          <w:color w:val="231F20"/>
        </w:rPr>
        <w:t>comportarse</w:t>
      </w:r>
      <w:r>
        <w:rPr>
          <w:color w:val="231F20"/>
          <w:spacing w:val="-8"/>
        </w:rPr>
        <w:t> </w:t>
      </w:r>
      <w:r>
        <w:rPr>
          <w:color w:val="231F20"/>
        </w:rPr>
        <w:t>como colocaciones ya que pueden negociarse en la bolsa de valores; </w:t>
      </w:r>
      <w:r>
        <w:rPr>
          <w:color w:val="231F20"/>
          <w:spacing w:val="-5"/>
        </w:rPr>
        <w:t>iv) </w:t>
      </w:r>
      <w:r>
        <w:rPr>
          <w:color w:val="231F20"/>
        </w:rPr>
        <w:t>otra parte de la IED</w:t>
      </w:r>
      <w:r>
        <w:rPr>
          <w:color w:val="231F20"/>
          <w:spacing w:val="-8"/>
        </w:rPr>
        <w:t> </w:t>
      </w:r>
      <w:r>
        <w:rPr>
          <w:color w:val="231F20"/>
        </w:rPr>
        <w:t>corresponde,</w:t>
      </w:r>
      <w:r>
        <w:rPr>
          <w:color w:val="231F20"/>
          <w:spacing w:val="-8"/>
        </w:rPr>
        <w:t> </w:t>
      </w:r>
      <w:r>
        <w:rPr>
          <w:color w:val="231F20"/>
        </w:rPr>
        <w:t>como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pasado,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reinversión</w:t>
      </w:r>
      <w:r>
        <w:rPr>
          <w:color w:val="231F20"/>
          <w:spacing w:val="-8"/>
        </w:rPr>
        <w:t> </w:t>
      </w:r>
      <w:r>
        <w:rPr>
          <w:color w:val="231F20"/>
        </w:rPr>
        <w:t>de</w:t>
      </w:r>
      <w:r>
        <w:rPr>
          <w:color w:val="231F20"/>
          <w:spacing w:val="-8"/>
        </w:rPr>
        <w:t> </w:t>
      </w:r>
      <w:r>
        <w:rPr>
          <w:color w:val="231F20"/>
        </w:rPr>
        <w:t>utilidades</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empresas extranjeras han obtenido en territorio</w:t>
      </w:r>
      <w:r>
        <w:rPr>
          <w:color w:val="231F20"/>
          <w:spacing w:val="10"/>
        </w:rPr>
        <w:t> </w:t>
      </w:r>
      <w:r>
        <w:rPr>
          <w:color w:val="231F20"/>
        </w:rPr>
        <w:t>nacional.</w:t>
      </w:r>
    </w:p>
    <w:p>
      <w:pPr>
        <w:pStyle w:val="BodyText"/>
        <w:spacing w:line="247" w:lineRule="auto"/>
        <w:ind w:left="1553" w:right="1550" w:firstLine="283"/>
        <w:jc w:val="both"/>
      </w:pPr>
      <w:r>
        <w:rPr>
          <w:color w:val="231F20"/>
        </w:rPr>
        <w:t>La</w:t>
      </w:r>
      <w:r>
        <w:rPr>
          <w:color w:val="231F20"/>
          <w:spacing w:val="-4"/>
        </w:rPr>
        <w:t> </w:t>
      </w:r>
      <w:r>
        <w:rPr>
          <w:color w:val="231F20"/>
        </w:rPr>
        <w:t>situación</w:t>
      </w:r>
      <w:r>
        <w:rPr>
          <w:color w:val="231F20"/>
          <w:spacing w:val="-4"/>
        </w:rPr>
        <w:t> </w:t>
      </w:r>
      <w:r>
        <w:rPr>
          <w:color w:val="231F20"/>
        </w:rPr>
        <w:t>revela</w:t>
      </w:r>
      <w:r>
        <w:rPr>
          <w:color w:val="231F20"/>
          <w:spacing w:val="-4"/>
        </w:rPr>
        <w:t> </w:t>
      </w:r>
      <w:r>
        <w:rPr>
          <w:color w:val="231F20"/>
        </w:rPr>
        <w:t>que</w:t>
      </w:r>
      <w:r>
        <w:rPr>
          <w:color w:val="231F20"/>
          <w:spacing w:val="-4"/>
        </w:rPr>
        <w:t> </w:t>
      </w:r>
      <w:r>
        <w:rPr>
          <w:color w:val="231F20"/>
        </w:rPr>
        <w:t>México,</w:t>
      </w:r>
      <w:r>
        <w:rPr>
          <w:color w:val="231F20"/>
          <w:spacing w:val="-4"/>
        </w:rPr>
        <w:t> </w:t>
      </w:r>
      <w:r>
        <w:rPr>
          <w:color w:val="231F20"/>
        </w:rPr>
        <w:t>a</w:t>
      </w:r>
      <w:r>
        <w:rPr>
          <w:color w:val="231F20"/>
          <w:spacing w:val="-4"/>
        </w:rPr>
        <w:t> </w:t>
      </w:r>
      <w:r>
        <w:rPr>
          <w:color w:val="231F20"/>
        </w:rPr>
        <w:t>pesar</w:t>
      </w:r>
      <w:r>
        <w:rPr>
          <w:color w:val="231F20"/>
          <w:spacing w:val="-4"/>
        </w:rPr>
        <w:t> </w:t>
      </w:r>
      <w:r>
        <w:rPr>
          <w:color w:val="231F20"/>
        </w:rPr>
        <w:t>de</w:t>
      </w:r>
      <w:r>
        <w:rPr>
          <w:color w:val="231F20"/>
          <w:spacing w:val="-4"/>
        </w:rPr>
        <w:t> </w:t>
      </w:r>
      <w:r>
        <w:rPr>
          <w:color w:val="231F20"/>
        </w:rPr>
        <w:t>estar</w:t>
      </w:r>
      <w:r>
        <w:rPr>
          <w:color w:val="231F20"/>
          <w:spacing w:val="-4"/>
        </w:rPr>
        <w:t> </w:t>
      </w:r>
      <w:r>
        <w:rPr>
          <w:color w:val="231F20"/>
        </w:rPr>
        <w:t>ubicado</w:t>
      </w:r>
      <w:r>
        <w:rPr>
          <w:color w:val="231F20"/>
          <w:spacing w:val="-4"/>
        </w:rPr>
        <w:t> </w:t>
      </w:r>
      <w:r>
        <w:rPr>
          <w:color w:val="231F20"/>
        </w:rPr>
        <w:t>junto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primera</w:t>
      </w:r>
      <w:r>
        <w:rPr>
          <w:color w:val="231F20"/>
          <w:spacing w:val="-4"/>
        </w:rPr>
        <w:t> </w:t>
      </w:r>
      <w:r>
        <w:rPr>
          <w:color w:val="231F20"/>
        </w:rPr>
        <w:t>fuen- te generadora de IED mundial, como lo es Estados Unidos de Norteamérica, no re- sulta </w:t>
      </w:r>
      <w:r>
        <w:rPr>
          <w:color w:val="231F20"/>
          <w:spacing w:val="2"/>
        </w:rPr>
        <w:t>tan </w:t>
      </w:r>
      <w:r>
        <w:rPr>
          <w:color w:val="231F20"/>
        </w:rPr>
        <w:t>atractivo como se pudiera pensar. La IED que ha llegado al país presenta características muy</w:t>
      </w:r>
      <w:r>
        <w:rPr>
          <w:color w:val="231F20"/>
          <w:spacing w:val="8"/>
        </w:rPr>
        <w:t> </w:t>
      </w:r>
      <w:r>
        <w:rPr>
          <w:color w:val="231F20"/>
        </w:rPr>
        <w:t>especiales:</w:t>
      </w:r>
    </w:p>
    <w:p>
      <w:pPr>
        <w:pStyle w:val="BodyText"/>
        <w:spacing w:before="3"/>
        <w:rPr>
          <w:sz w:val="31"/>
        </w:rPr>
      </w:pPr>
    </w:p>
    <w:p>
      <w:pPr>
        <w:pStyle w:val="ListParagraph"/>
        <w:numPr>
          <w:ilvl w:val="1"/>
          <w:numId w:val="1"/>
        </w:numPr>
        <w:tabs>
          <w:tab w:pos="2196" w:val="left" w:leader="none"/>
          <w:tab w:pos="2197" w:val="left" w:leader="none"/>
        </w:tabs>
        <w:spacing w:line="247" w:lineRule="auto" w:before="0" w:after="0"/>
        <w:ind w:left="2197" w:right="1552" w:hanging="360"/>
        <w:jc w:val="left"/>
        <w:rPr>
          <w:sz w:val="22"/>
        </w:rPr>
      </w:pPr>
      <w:r>
        <w:rPr>
          <w:color w:val="231F20"/>
          <w:spacing w:val="-3"/>
          <w:sz w:val="22"/>
        </w:rPr>
        <w:t>En </w:t>
      </w:r>
      <w:r>
        <w:rPr>
          <w:color w:val="231F20"/>
          <w:spacing w:val="-5"/>
          <w:sz w:val="22"/>
        </w:rPr>
        <w:t>principio, </w:t>
      </w:r>
      <w:r>
        <w:rPr>
          <w:color w:val="231F20"/>
          <w:spacing w:val="-3"/>
          <w:sz w:val="22"/>
        </w:rPr>
        <w:t>se ha </w:t>
      </w:r>
      <w:r>
        <w:rPr>
          <w:color w:val="231F20"/>
          <w:spacing w:val="-4"/>
          <w:sz w:val="22"/>
        </w:rPr>
        <w:t>mantenido </w:t>
      </w:r>
      <w:r>
        <w:rPr>
          <w:color w:val="231F20"/>
          <w:spacing w:val="-3"/>
          <w:sz w:val="22"/>
        </w:rPr>
        <w:t>al </w:t>
      </w:r>
      <w:r>
        <w:rPr>
          <w:color w:val="231F20"/>
          <w:spacing w:val="-4"/>
          <w:sz w:val="22"/>
        </w:rPr>
        <w:t>mismo </w:t>
      </w:r>
      <w:r>
        <w:rPr>
          <w:color w:val="231F20"/>
          <w:spacing w:val="-6"/>
          <w:sz w:val="22"/>
        </w:rPr>
        <w:t>nivel </w:t>
      </w:r>
      <w:r>
        <w:rPr>
          <w:color w:val="231F20"/>
          <w:spacing w:val="-3"/>
          <w:sz w:val="22"/>
        </w:rPr>
        <w:t>de </w:t>
      </w:r>
      <w:r>
        <w:rPr>
          <w:color w:val="231F20"/>
          <w:spacing w:val="-7"/>
          <w:sz w:val="22"/>
        </w:rPr>
        <w:t>1994, </w:t>
      </w:r>
      <w:r>
        <w:rPr>
          <w:color w:val="231F20"/>
          <w:sz w:val="22"/>
        </w:rPr>
        <w:t>es </w:t>
      </w:r>
      <w:r>
        <w:rPr>
          <w:color w:val="231F20"/>
          <w:spacing w:val="-5"/>
          <w:sz w:val="22"/>
        </w:rPr>
        <w:t>decir, </w:t>
      </w:r>
      <w:r>
        <w:rPr>
          <w:color w:val="231F20"/>
          <w:spacing w:val="-3"/>
          <w:sz w:val="22"/>
        </w:rPr>
        <w:t>se ha estancado </w:t>
      </w:r>
      <w:r>
        <w:rPr>
          <w:color w:val="231F20"/>
          <w:sz w:val="22"/>
        </w:rPr>
        <w:t>en</w:t>
      </w:r>
      <w:r>
        <w:rPr>
          <w:color w:val="231F20"/>
          <w:spacing w:val="-16"/>
          <w:sz w:val="22"/>
        </w:rPr>
        <w:t> </w:t>
      </w:r>
      <w:r>
        <w:rPr>
          <w:color w:val="231F20"/>
          <w:spacing w:val="-3"/>
          <w:sz w:val="22"/>
        </w:rPr>
        <w:t>tanto</w:t>
      </w:r>
      <w:r>
        <w:rPr>
          <w:color w:val="231F20"/>
          <w:spacing w:val="-16"/>
          <w:sz w:val="22"/>
        </w:rPr>
        <w:t> </w:t>
      </w:r>
      <w:r>
        <w:rPr>
          <w:color w:val="231F20"/>
          <w:spacing w:val="-4"/>
          <w:sz w:val="22"/>
        </w:rPr>
        <w:t>que</w:t>
      </w:r>
      <w:r>
        <w:rPr>
          <w:color w:val="231F20"/>
          <w:spacing w:val="-16"/>
          <w:sz w:val="22"/>
        </w:rPr>
        <w:t> </w:t>
      </w:r>
      <w:r>
        <w:rPr>
          <w:color w:val="231F20"/>
          <w:spacing w:val="-3"/>
          <w:sz w:val="22"/>
        </w:rPr>
        <w:t>la</w:t>
      </w:r>
      <w:r>
        <w:rPr>
          <w:color w:val="231F20"/>
          <w:spacing w:val="-16"/>
          <w:sz w:val="22"/>
        </w:rPr>
        <w:t> </w:t>
      </w:r>
      <w:r>
        <w:rPr>
          <w:color w:val="231F20"/>
          <w:sz w:val="22"/>
        </w:rPr>
        <w:t>IED</w:t>
      </w:r>
      <w:r>
        <w:rPr>
          <w:color w:val="231F20"/>
          <w:spacing w:val="-16"/>
          <w:sz w:val="22"/>
        </w:rPr>
        <w:t> </w:t>
      </w:r>
      <w:r>
        <w:rPr>
          <w:color w:val="231F20"/>
          <w:spacing w:val="-4"/>
          <w:sz w:val="22"/>
        </w:rPr>
        <w:t>mundial</w:t>
      </w:r>
      <w:r>
        <w:rPr>
          <w:color w:val="231F20"/>
          <w:spacing w:val="-16"/>
          <w:sz w:val="22"/>
        </w:rPr>
        <w:t> </w:t>
      </w:r>
      <w:r>
        <w:rPr>
          <w:color w:val="231F20"/>
          <w:spacing w:val="-3"/>
          <w:sz w:val="22"/>
        </w:rPr>
        <w:t>se</w:t>
      </w:r>
      <w:r>
        <w:rPr>
          <w:color w:val="231F20"/>
          <w:spacing w:val="-16"/>
          <w:sz w:val="22"/>
        </w:rPr>
        <w:t> </w:t>
      </w:r>
      <w:r>
        <w:rPr>
          <w:color w:val="231F20"/>
          <w:spacing w:val="-3"/>
          <w:sz w:val="22"/>
        </w:rPr>
        <w:t>ha</w:t>
      </w:r>
      <w:r>
        <w:rPr>
          <w:color w:val="231F20"/>
          <w:spacing w:val="-16"/>
          <w:sz w:val="22"/>
        </w:rPr>
        <w:t> </w:t>
      </w:r>
      <w:r>
        <w:rPr>
          <w:color w:val="231F20"/>
          <w:spacing w:val="-4"/>
          <w:sz w:val="22"/>
        </w:rPr>
        <w:t>incrementado,</w:t>
      </w:r>
      <w:r>
        <w:rPr>
          <w:color w:val="231F20"/>
          <w:spacing w:val="-16"/>
          <w:sz w:val="22"/>
        </w:rPr>
        <w:t> </w:t>
      </w:r>
      <w:r>
        <w:rPr>
          <w:color w:val="231F20"/>
          <w:sz w:val="22"/>
        </w:rPr>
        <w:t>en</w:t>
      </w:r>
      <w:r>
        <w:rPr>
          <w:color w:val="231F20"/>
          <w:spacing w:val="-16"/>
          <w:sz w:val="22"/>
        </w:rPr>
        <w:t> </w:t>
      </w:r>
      <w:r>
        <w:rPr>
          <w:color w:val="231F20"/>
          <w:spacing w:val="-4"/>
          <w:sz w:val="22"/>
        </w:rPr>
        <w:t>el</w:t>
      </w:r>
      <w:r>
        <w:rPr>
          <w:color w:val="231F20"/>
          <w:spacing w:val="-16"/>
          <w:sz w:val="22"/>
        </w:rPr>
        <w:t> </w:t>
      </w:r>
      <w:r>
        <w:rPr>
          <w:color w:val="231F20"/>
          <w:spacing w:val="-3"/>
          <w:sz w:val="22"/>
        </w:rPr>
        <w:t>peor</w:t>
      </w:r>
      <w:r>
        <w:rPr>
          <w:color w:val="231F20"/>
          <w:spacing w:val="-16"/>
          <w:sz w:val="22"/>
        </w:rPr>
        <w:t> </w:t>
      </w:r>
      <w:r>
        <w:rPr>
          <w:color w:val="231F20"/>
          <w:spacing w:val="-3"/>
          <w:sz w:val="22"/>
        </w:rPr>
        <w:t>de</w:t>
      </w:r>
      <w:r>
        <w:rPr>
          <w:color w:val="231F20"/>
          <w:spacing w:val="-16"/>
          <w:sz w:val="22"/>
        </w:rPr>
        <w:t> </w:t>
      </w:r>
      <w:r>
        <w:rPr>
          <w:color w:val="231F20"/>
          <w:spacing w:val="-5"/>
          <w:sz w:val="22"/>
        </w:rPr>
        <w:t>los</w:t>
      </w:r>
      <w:r>
        <w:rPr>
          <w:color w:val="231F20"/>
          <w:spacing w:val="-16"/>
          <w:sz w:val="22"/>
        </w:rPr>
        <w:t> </w:t>
      </w:r>
      <w:r>
        <w:rPr>
          <w:color w:val="231F20"/>
          <w:spacing w:val="-4"/>
          <w:sz w:val="22"/>
        </w:rPr>
        <w:t>casos,</w:t>
      </w:r>
      <w:r>
        <w:rPr>
          <w:color w:val="231F20"/>
          <w:spacing w:val="-16"/>
          <w:sz w:val="22"/>
        </w:rPr>
        <w:t> </w:t>
      </w:r>
      <w:r>
        <w:rPr>
          <w:color w:val="231F20"/>
          <w:spacing w:val="-8"/>
          <w:sz w:val="22"/>
        </w:rPr>
        <w:t>289.0%.</w:t>
      </w:r>
    </w:p>
    <w:p>
      <w:pPr>
        <w:pStyle w:val="BodyText"/>
        <w:spacing w:before="2"/>
        <w:rPr>
          <w:sz w:val="23"/>
        </w:rPr>
      </w:pPr>
    </w:p>
    <w:p>
      <w:pPr>
        <w:spacing w:before="74"/>
        <w:ind w:left="1575" w:right="1575" w:firstLine="0"/>
        <w:jc w:val="center"/>
        <w:rPr>
          <w:sz w:val="20"/>
        </w:rPr>
      </w:pPr>
      <w:r>
        <w:rPr>
          <w:color w:val="231F20"/>
          <w:sz w:val="20"/>
        </w:rPr>
        <w:t>36</w:t>
      </w:r>
    </w:p>
    <w:p>
      <w:pPr>
        <w:spacing w:after="0"/>
        <w:jc w:val="center"/>
        <w:rPr>
          <w:sz w:val="20"/>
        </w:rPr>
        <w:sectPr>
          <w:footerReference w:type="default" r:id="rId25"/>
          <w:pgSz w:w="10480" w:h="13880"/>
          <w:pgMar w:footer="222" w:header="0" w:top="420" w:bottom="420" w:left="0" w:right="0"/>
          <w:pgNumType w:start="36"/>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1576" w:right="1548" w:firstLine="0"/>
        <w:jc w:val="center"/>
        <w:rPr>
          <w:sz w:val="20"/>
        </w:rPr>
      </w:pPr>
      <w:r>
        <w:rPr>
          <w:color w:val="231F20"/>
          <w:sz w:val="20"/>
        </w:rPr>
        <w:t>L</w:t>
      </w:r>
      <w:r>
        <w:rPr>
          <w:color w:val="231F20"/>
          <w:sz w:val="14"/>
        </w:rPr>
        <w:t>A  INVERSIÓN  EXTRANJERA DIRECTA  EN EL  CRECIMIENTO ECONÓMICO DE  </w:t>
      </w:r>
      <w:r>
        <w:rPr>
          <w:color w:val="231F20"/>
          <w:sz w:val="20"/>
        </w:rPr>
        <w:t>M</w:t>
      </w:r>
      <w:r>
        <w:rPr>
          <w:color w:val="231F20"/>
          <w:sz w:val="14"/>
        </w:rPr>
        <w:t>ÉXICO</w:t>
      </w:r>
      <w:r>
        <w:rPr>
          <w:color w:val="231F20"/>
          <w:sz w:val="20"/>
        </w:rPr>
        <w:t>, 1970-2012</w:t>
      </w:r>
    </w:p>
    <w:p>
      <w:pPr>
        <w:pStyle w:val="BodyText"/>
        <w:rPr>
          <w:sz w:val="20"/>
        </w:rPr>
      </w:pPr>
    </w:p>
    <w:p>
      <w:pPr>
        <w:pStyle w:val="BodyText"/>
        <w:spacing w:before="8"/>
        <w:rPr>
          <w:sz w:val="17"/>
        </w:rPr>
      </w:pPr>
    </w:p>
    <w:p>
      <w:pPr>
        <w:pStyle w:val="ListParagraph"/>
        <w:numPr>
          <w:ilvl w:val="1"/>
          <w:numId w:val="1"/>
        </w:numPr>
        <w:tabs>
          <w:tab w:pos="2198" w:val="left" w:leader="none"/>
        </w:tabs>
        <w:spacing w:line="247" w:lineRule="auto" w:before="1" w:after="0"/>
        <w:ind w:left="2197" w:right="1551" w:hanging="360"/>
        <w:jc w:val="both"/>
        <w:rPr>
          <w:sz w:val="22"/>
        </w:rPr>
      </w:pPr>
      <w:r>
        <w:rPr>
          <w:color w:val="231F20"/>
          <w:spacing w:val="-3"/>
          <w:sz w:val="22"/>
        </w:rPr>
        <w:t>Si </w:t>
      </w:r>
      <w:r>
        <w:rPr>
          <w:color w:val="231F20"/>
          <w:sz w:val="22"/>
        </w:rPr>
        <w:t>se considera que México está situado junto a Estados Unidos de Nortea- mérica, la principal fuente generadora de IED a nivel mundial, el monto que recibió en el </w:t>
      </w:r>
      <w:r>
        <w:rPr>
          <w:color w:val="231F20"/>
          <w:spacing w:val="-3"/>
          <w:sz w:val="22"/>
        </w:rPr>
        <w:t>2001 </w:t>
      </w:r>
      <w:r>
        <w:rPr>
          <w:color w:val="231F20"/>
          <w:sz w:val="22"/>
        </w:rPr>
        <w:t>procedente de ese país, descontando a la operación de Banamex, fue de </w:t>
      </w:r>
      <w:r>
        <w:rPr>
          <w:color w:val="231F20"/>
          <w:spacing w:val="-3"/>
          <w:sz w:val="22"/>
        </w:rPr>
        <w:t>sólo </w:t>
      </w:r>
      <w:r>
        <w:rPr>
          <w:color w:val="231F20"/>
          <w:spacing w:val="-6"/>
          <w:sz w:val="22"/>
        </w:rPr>
        <w:t>6,615 </w:t>
      </w:r>
      <w:r>
        <w:rPr>
          <w:color w:val="231F20"/>
          <w:sz w:val="22"/>
        </w:rPr>
        <w:t>millones de dólares (2,000 millones de dólares fueron a la industria maquiladora), es decir, el </w:t>
      </w:r>
      <w:r>
        <w:rPr>
          <w:color w:val="231F20"/>
          <w:spacing w:val="-4"/>
          <w:sz w:val="22"/>
        </w:rPr>
        <w:t>5.8% </w:t>
      </w:r>
      <w:r>
        <w:rPr>
          <w:color w:val="231F20"/>
          <w:sz w:val="22"/>
        </w:rPr>
        <w:t>de los </w:t>
      </w:r>
      <w:r>
        <w:rPr>
          <w:color w:val="231F20"/>
          <w:spacing w:val="-7"/>
          <w:sz w:val="22"/>
        </w:rPr>
        <w:t>113,977 </w:t>
      </w:r>
      <w:r>
        <w:rPr>
          <w:color w:val="231F20"/>
          <w:sz w:val="22"/>
        </w:rPr>
        <w:t>millones que invirtió en el</w:t>
      </w:r>
      <w:r>
        <w:rPr>
          <w:color w:val="231F20"/>
          <w:spacing w:val="2"/>
          <w:sz w:val="22"/>
        </w:rPr>
        <w:t> </w:t>
      </w:r>
      <w:r>
        <w:rPr>
          <w:color w:val="231F20"/>
          <w:sz w:val="22"/>
        </w:rPr>
        <w:t>extranjero.</w:t>
      </w:r>
    </w:p>
    <w:p>
      <w:pPr>
        <w:pStyle w:val="BodyText"/>
        <w:spacing w:before="6"/>
      </w:pPr>
    </w:p>
    <w:p>
      <w:pPr>
        <w:pStyle w:val="BodyText"/>
        <w:spacing w:line="247" w:lineRule="auto" w:before="1"/>
        <w:ind w:left="1553" w:right="1547" w:firstLine="283"/>
        <w:jc w:val="both"/>
      </w:pPr>
      <w:r>
        <w:rPr>
          <w:color w:val="231F20"/>
        </w:rPr>
        <w:t>Estos</w:t>
      </w:r>
      <w:r>
        <w:rPr>
          <w:color w:val="231F20"/>
          <w:spacing w:val="-4"/>
        </w:rPr>
        <w:t> </w:t>
      </w:r>
      <w:r>
        <w:rPr>
          <w:color w:val="231F20"/>
        </w:rPr>
        <w:t>ejemplos</w:t>
      </w:r>
      <w:r>
        <w:rPr>
          <w:color w:val="231F20"/>
          <w:spacing w:val="-4"/>
        </w:rPr>
        <w:t> </w:t>
      </w:r>
      <w:r>
        <w:rPr>
          <w:color w:val="231F20"/>
        </w:rPr>
        <w:t>muestran</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spacing w:val="-3"/>
        </w:rPr>
        <w:t>evolución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IED</w:t>
      </w:r>
      <w:r>
        <w:rPr>
          <w:color w:val="231F20"/>
          <w:spacing w:val="-4"/>
        </w:rPr>
        <w:t> </w:t>
      </w:r>
      <w:r>
        <w:rPr>
          <w:color w:val="231F20"/>
        </w:rPr>
        <w:t>en</w:t>
      </w:r>
      <w:r>
        <w:rPr>
          <w:color w:val="231F20"/>
          <w:spacing w:val="-4"/>
        </w:rPr>
        <w:t> </w:t>
      </w:r>
      <w:r>
        <w:rPr>
          <w:color w:val="231F20"/>
        </w:rPr>
        <w:t>México</w:t>
      </w:r>
      <w:r>
        <w:rPr>
          <w:color w:val="231F20"/>
          <w:spacing w:val="-4"/>
        </w:rPr>
        <w:t> </w:t>
      </w:r>
      <w:r>
        <w:rPr>
          <w:color w:val="231F20"/>
        </w:rPr>
        <w:t>ha</w:t>
      </w:r>
      <w:r>
        <w:rPr>
          <w:color w:val="231F20"/>
          <w:spacing w:val="-4"/>
        </w:rPr>
        <w:t> </w:t>
      </w:r>
      <w:r>
        <w:rPr>
          <w:color w:val="231F20"/>
        </w:rPr>
        <w:t>sido</w:t>
      </w:r>
      <w:r>
        <w:rPr>
          <w:color w:val="231F20"/>
          <w:spacing w:val="-4"/>
        </w:rPr>
        <w:t> </w:t>
      </w:r>
      <w:r>
        <w:rPr>
          <w:color w:val="231F20"/>
        </w:rPr>
        <w:t>resultado de una inercia de la economía mundial, en donde los inversionistas buscan alcanzar beneficios para sus empresas exportadoras, por lo que sólo se obtienen resultados positivos para una pequeña </w:t>
      </w:r>
      <w:r>
        <w:rPr>
          <w:color w:val="231F20"/>
          <w:spacing w:val="2"/>
        </w:rPr>
        <w:t>parte </w:t>
      </w:r>
      <w:r>
        <w:rPr>
          <w:color w:val="231F20"/>
        </w:rPr>
        <w:t>de la industria ubicada en el país. Es indiscutible que</w:t>
      </w:r>
      <w:r>
        <w:rPr>
          <w:color w:val="231F20"/>
          <w:spacing w:val="-10"/>
        </w:rPr>
        <w:t> </w:t>
      </w:r>
      <w:r>
        <w:rPr>
          <w:color w:val="231F20"/>
        </w:rPr>
        <w:t>se</w:t>
      </w:r>
      <w:r>
        <w:rPr>
          <w:color w:val="231F20"/>
          <w:spacing w:val="-9"/>
        </w:rPr>
        <w:t> </w:t>
      </w:r>
      <w:r>
        <w:rPr>
          <w:color w:val="231F20"/>
        </w:rPr>
        <w:t>deben</w:t>
      </w:r>
      <w:r>
        <w:rPr>
          <w:color w:val="231F20"/>
          <w:spacing w:val="-10"/>
        </w:rPr>
        <w:t> </w:t>
      </w:r>
      <w:r>
        <w:rPr>
          <w:color w:val="231F20"/>
        </w:rPr>
        <w:t>buscar</w:t>
      </w:r>
      <w:r>
        <w:rPr>
          <w:color w:val="231F20"/>
          <w:spacing w:val="-10"/>
        </w:rPr>
        <w:t> </w:t>
      </w:r>
      <w:r>
        <w:rPr>
          <w:color w:val="231F20"/>
        </w:rPr>
        <w:t>fuentes</w:t>
      </w:r>
      <w:r>
        <w:rPr>
          <w:color w:val="231F20"/>
          <w:spacing w:val="-10"/>
        </w:rPr>
        <w:t> </w:t>
      </w:r>
      <w:r>
        <w:rPr>
          <w:color w:val="231F20"/>
        </w:rPr>
        <w:t>de</w:t>
      </w:r>
      <w:r>
        <w:rPr>
          <w:color w:val="231F20"/>
          <w:spacing w:val="-10"/>
        </w:rPr>
        <w:t> </w:t>
      </w:r>
      <w:r>
        <w:rPr>
          <w:color w:val="231F20"/>
        </w:rPr>
        <w:t>financiamiento</w:t>
      </w:r>
      <w:r>
        <w:rPr>
          <w:color w:val="231F20"/>
          <w:spacing w:val="-10"/>
        </w:rPr>
        <w:t> </w:t>
      </w:r>
      <w:r>
        <w:rPr>
          <w:color w:val="231F20"/>
        </w:rPr>
        <w:t>para</w:t>
      </w:r>
      <w:r>
        <w:rPr>
          <w:color w:val="231F20"/>
          <w:spacing w:val="-10"/>
        </w:rPr>
        <w:t> </w:t>
      </w:r>
      <w:r>
        <w:rPr>
          <w:color w:val="231F20"/>
        </w:rPr>
        <w:t>el</w:t>
      </w:r>
      <w:r>
        <w:rPr>
          <w:color w:val="231F20"/>
          <w:spacing w:val="-10"/>
        </w:rPr>
        <w:t> </w:t>
      </w:r>
      <w:r>
        <w:rPr>
          <w:color w:val="231F20"/>
        </w:rPr>
        <w:t>déficit</w:t>
      </w:r>
      <w:r>
        <w:rPr>
          <w:color w:val="231F20"/>
          <w:spacing w:val="-10"/>
        </w:rPr>
        <w:t> </w:t>
      </w:r>
      <w:r>
        <w:rPr>
          <w:color w:val="231F20"/>
        </w:rPr>
        <w:t>en</w:t>
      </w:r>
      <w:r>
        <w:rPr>
          <w:color w:val="231F20"/>
          <w:spacing w:val="-10"/>
        </w:rPr>
        <w:t> </w:t>
      </w:r>
      <w:r>
        <w:rPr>
          <w:color w:val="231F20"/>
        </w:rPr>
        <w:t>cuenta</w:t>
      </w:r>
      <w:r>
        <w:rPr>
          <w:color w:val="231F20"/>
          <w:spacing w:val="-9"/>
        </w:rPr>
        <w:t> </w:t>
      </w:r>
      <w:r>
        <w:rPr>
          <w:color w:val="231F20"/>
        </w:rPr>
        <w:t>corriente</w:t>
      </w:r>
      <w:r>
        <w:rPr>
          <w:color w:val="231F20"/>
          <w:spacing w:val="-10"/>
        </w:rPr>
        <w:t> </w:t>
      </w:r>
      <w:r>
        <w:rPr>
          <w:color w:val="231F20"/>
        </w:rPr>
        <w:t>que presenta la economía mexicana de forma recurrente. </w:t>
      </w:r>
      <w:r>
        <w:rPr>
          <w:color w:val="231F20"/>
          <w:spacing w:val="-3"/>
        </w:rPr>
        <w:t>Por </w:t>
      </w:r>
      <w:r>
        <w:rPr>
          <w:color w:val="231F20"/>
        </w:rPr>
        <w:t>otra parte, después del 2000 se observó </w:t>
      </w:r>
      <w:r>
        <w:rPr>
          <w:color w:val="231F20"/>
          <w:spacing w:val="2"/>
        </w:rPr>
        <w:t>un </w:t>
      </w:r>
      <w:r>
        <w:rPr>
          <w:color w:val="231F20"/>
        </w:rPr>
        <w:t>incremento en los flujos hasta alcanzar otro máximo en </w:t>
      </w:r>
      <w:r>
        <w:rPr>
          <w:color w:val="231F20"/>
          <w:spacing w:val="-5"/>
        </w:rPr>
        <w:t>2001, </w:t>
      </w:r>
      <w:r>
        <w:rPr>
          <w:color w:val="231F20"/>
        </w:rPr>
        <w:t>tendencia contraria a la de los flujos mundiales que registraron desplomes. Fue en 2002 y 2003 que se registraron caídas consecutivas, otra en 2006 y la más reciente en </w:t>
      </w:r>
      <w:r>
        <w:rPr>
          <w:color w:val="231F20"/>
          <w:spacing w:val="-3"/>
        </w:rPr>
        <w:t>2009, </w:t>
      </w:r>
      <w:r>
        <w:rPr>
          <w:color w:val="231F20"/>
        </w:rPr>
        <w:t>en que el monto recibido fue </w:t>
      </w:r>
      <w:r>
        <w:rPr>
          <w:color w:val="231F20"/>
          <w:spacing w:val="2"/>
        </w:rPr>
        <w:t>tan </w:t>
      </w:r>
      <w:r>
        <w:rPr>
          <w:color w:val="231F20"/>
          <w:spacing w:val="-3"/>
        </w:rPr>
        <w:t>sólo </w:t>
      </w:r>
      <w:r>
        <w:rPr>
          <w:color w:val="231F20"/>
        </w:rPr>
        <w:t>de </w:t>
      </w:r>
      <w:r>
        <w:rPr>
          <w:color w:val="231F20"/>
          <w:spacing w:val="-9"/>
        </w:rPr>
        <w:t>11.4 </w:t>
      </w:r>
      <w:r>
        <w:rPr>
          <w:color w:val="231F20"/>
        </w:rPr>
        <w:t>miles de millones de dólares, la menor de las cifras en el periodo señalado </w:t>
      </w:r>
      <w:r>
        <w:rPr>
          <w:color w:val="231F20"/>
          <w:spacing w:val="-4"/>
        </w:rPr>
        <w:t>(Tabla </w:t>
      </w:r>
      <w:r>
        <w:rPr>
          <w:color w:val="231F20"/>
          <w:spacing w:val="-8"/>
        </w:rPr>
        <w:t>1). </w:t>
      </w:r>
      <w:r>
        <w:rPr>
          <w:color w:val="231F20"/>
        </w:rPr>
        <w:t>La volatilidad del periodo se explica por las crisis económicas de los países donde se ubican los corporativos de las empresas transnacionales localizadas en </w:t>
      </w:r>
      <w:r>
        <w:rPr>
          <w:color w:val="231F20"/>
          <w:spacing w:val="-3"/>
        </w:rPr>
        <w:t>México; </w:t>
      </w:r>
      <w:r>
        <w:rPr>
          <w:color w:val="231F20"/>
        </w:rPr>
        <w:t>estas empresas relocalizan sus plantas hacia países que les proporcionan mayores beneficios económicos, con ma- yores ventajas comparativas y mercados con mayor demanda para sus productos, factores que han reducido la presunta estabilidad de la IED </w:t>
      </w:r>
      <w:r>
        <w:rPr>
          <w:color w:val="231F20"/>
          <w:spacing w:val="-3"/>
        </w:rPr>
        <w:t>(Simón </w:t>
      </w:r>
      <w:r>
        <w:rPr>
          <w:color w:val="231F20"/>
        </w:rPr>
        <w:t>y </w:t>
      </w:r>
      <w:r>
        <w:rPr>
          <w:color w:val="231F20"/>
          <w:spacing w:val="-3"/>
        </w:rPr>
        <w:t>Vera,</w:t>
      </w:r>
      <w:r>
        <w:rPr>
          <w:color w:val="231F20"/>
          <w:spacing w:val="11"/>
        </w:rPr>
        <w:t> </w:t>
      </w:r>
      <w:r>
        <w:rPr>
          <w:color w:val="231F20"/>
          <w:spacing w:val="-8"/>
        </w:rPr>
        <w:t>2010).</w:t>
      </w:r>
    </w:p>
    <w:p>
      <w:pPr>
        <w:pStyle w:val="BodyText"/>
        <w:spacing w:before="1"/>
        <w:rPr>
          <w:sz w:val="27"/>
        </w:rPr>
      </w:pPr>
    </w:p>
    <w:p>
      <w:pPr>
        <w:pStyle w:val="Heading5"/>
        <w:spacing w:line="247" w:lineRule="auto"/>
      </w:pPr>
      <w:r>
        <w:rPr>
          <w:color w:val="231F20"/>
        </w:rPr>
        <w:t>Tabla 1. Flujos de IED en América Latina y el Caribe, 2000-2009 (Miles de millones de dólares)</w:t>
      </w:r>
    </w:p>
    <w:p>
      <w:pPr>
        <w:pStyle w:val="BodyText"/>
        <w:spacing w:before="11"/>
        <w:rPr>
          <w:b/>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86"/>
        <w:gridCol w:w="622"/>
        <w:gridCol w:w="624"/>
        <w:gridCol w:w="567"/>
        <w:gridCol w:w="567"/>
        <w:gridCol w:w="595"/>
        <w:gridCol w:w="567"/>
        <w:gridCol w:w="624"/>
        <w:gridCol w:w="652"/>
        <w:gridCol w:w="652"/>
        <w:gridCol w:w="675"/>
      </w:tblGrid>
      <w:tr>
        <w:trPr>
          <w:trHeight w:val="299" w:hRule="exact"/>
        </w:trPr>
        <w:tc>
          <w:tcPr>
            <w:tcW w:w="1186" w:type="dxa"/>
          </w:tcPr>
          <w:p>
            <w:pPr/>
          </w:p>
        </w:tc>
        <w:tc>
          <w:tcPr>
            <w:tcW w:w="622" w:type="dxa"/>
          </w:tcPr>
          <w:p>
            <w:pPr>
              <w:pStyle w:val="TableParagraph"/>
              <w:spacing w:before="39"/>
              <w:ind w:left="38" w:right="38"/>
              <w:jc w:val="center"/>
              <w:rPr>
                <w:i/>
                <w:sz w:val="18"/>
              </w:rPr>
            </w:pPr>
            <w:r>
              <w:rPr>
                <w:i/>
                <w:color w:val="231F20"/>
                <w:sz w:val="18"/>
              </w:rPr>
              <w:t>2000</w:t>
            </w:r>
          </w:p>
        </w:tc>
        <w:tc>
          <w:tcPr>
            <w:tcW w:w="624" w:type="dxa"/>
          </w:tcPr>
          <w:p>
            <w:pPr>
              <w:pStyle w:val="TableParagraph"/>
              <w:spacing w:before="39"/>
              <w:ind w:right="126"/>
              <w:jc w:val="right"/>
              <w:rPr>
                <w:i/>
                <w:sz w:val="18"/>
              </w:rPr>
            </w:pPr>
            <w:r>
              <w:rPr>
                <w:i/>
                <w:color w:val="231F20"/>
                <w:sz w:val="18"/>
              </w:rPr>
              <w:t>2001</w:t>
            </w:r>
          </w:p>
        </w:tc>
        <w:tc>
          <w:tcPr>
            <w:tcW w:w="567" w:type="dxa"/>
          </w:tcPr>
          <w:p>
            <w:pPr>
              <w:pStyle w:val="TableParagraph"/>
              <w:spacing w:before="39"/>
              <w:ind w:left="97"/>
              <w:rPr>
                <w:i/>
                <w:sz w:val="18"/>
              </w:rPr>
            </w:pPr>
            <w:r>
              <w:rPr>
                <w:i/>
                <w:color w:val="231F20"/>
                <w:sz w:val="18"/>
              </w:rPr>
              <w:t>2002</w:t>
            </w:r>
          </w:p>
        </w:tc>
        <w:tc>
          <w:tcPr>
            <w:tcW w:w="567" w:type="dxa"/>
          </w:tcPr>
          <w:p>
            <w:pPr>
              <w:pStyle w:val="TableParagraph"/>
              <w:spacing w:before="39"/>
              <w:ind w:left="54" w:right="55"/>
              <w:jc w:val="center"/>
              <w:rPr>
                <w:i/>
                <w:sz w:val="18"/>
              </w:rPr>
            </w:pPr>
            <w:r>
              <w:rPr>
                <w:i/>
                <w:color w:val="231F20"/>
                <w:sz w:val="18"/>
              </w:rPr>
              <w:t>2003</w:t>
            </w:r>
          </w:p>
        </w:tc>
        <w:tc>
          <w:tcPr>
            <w:tcW w:w="595" w:type="dxa"/>
          </w:tcPr>
          <w:p>
            <w:pPr>
              <w:pStyle w:val="TableParagraph"/>
              <w:spacing w:before="27"/>
              <w:ind w:left="68" w:right="69"/>
              <w:jc w:val="center"/>
              <w:rPr>
                <w:i/>
                <w:sz w:val="20"/>
              </w:rPr>
            </w:pPr>
            <w:r>
              <w:rPr>
                <w:i/>
                <w:color w:val="231F20"/>
                <w:sz w:val="20"/>
              </w:rPr>
              <w:t>2004</w:t>
            </w:r>
          </w:p>
        </w:tc>
        <w:tc>
          <w:tcPr>
            <w:tcW w:w="567" w:type="dxa"/>
          </w:tcPr>
          <w:p>
            <w:pPr>
              <w:pStyle w:val="TableParagraph"/>
              <w:spacing w:before="27"/>
              <w:ind w:left="55" w:right="55"/>
              <w:jc w:val="center"/>
              <w:rPr>
                <w:i/>
                <w:sz w:val="20"/>
              </w:rPr>
            </w:pPr>
            <w:r>
              <w:rPr>
                <w:i/>
                <w:color w:val="231F20"/>
                <w:sz w:val="20"/>
              </w:rPr>
              <w:t>2005</w:t>
            </w:r>
          </w:p>
        </w:tc>
        <w:tc>
          <w:tcPr>
            <w:tcW w:w="624" w:type="dxa"/>
          </w:tcPr>
          <w:p>
            <w:pPr>
              <w:pStyle w:val="TableParagraph"/>
              <w:spacing w:before="27"/>
              <w:ind w:left="36" w:right="36"/>
              <w:jc w:val="center"/>
              <w:rPr>
                <w:i/>
                <w:sz w:val="20"/>
              </w:rPr>
            </w:pPr>
            <w:r>
              <w:rPr>
                <w:i/>
                <w:color w:val="231F20"/>
                <w:sz w:val="20"/>
              </w:rPr>
              <w:t>2006</w:t>
            </w:r>
          </w:p>
        </w:tc>
        <w:tc>
          <w:tcPr>
            <w:tcW w:w="652" w:type="dxa"/>
          </w:tcPr>
          <w:p>
            <w:pPr>
              <w:pStyle w:val="TableParagraph"/>
              <w:spacing w:before="27"/>
              <w:ind w:right="118"/>
              <w:jc w:val="right"/>
              <w:rPr>
                <w:i/>
                <w:sz w:val="20"/>
              </w:rPr>
            </w:pPr>
            <w:r>
              <w:rPr>
                <w:i/>
                <w:color w:val="231F20"/>
                <w:sz w:val="20"/>
              </w:rPr>
              <w:t>2007</w:t>
            </w:r>
          </w:p>
        </w:tc>
        <w:tc>
          <w:tcPr>
            <w:tcW w:w="652" w:type="dxa"/>
          </w:tcPr>
          <w:p>
            <w:pPr>
              <w:pStyle w:val="TableParagraph"/>
              <w:spacing w:before="27"/>
              <w:ind w:left="118"/>
              <w:rPr>
                <w:i/>
                <w:sz w:val="20"/>
              </w:rPr>
            </w:pPr>
            <w:r>
              <w:rPr>
                <w:i/>
                <w:color w:val="231F20"/>
                <w:sz w:val="20"/>
              </w:rPr>
              <w:t>2008</w:t>
            </w:r>
          </w:p>
        </w:tc>
        <w:tc>
          <w:tcPr>
            <w:tcW w:w="675" w:type="dxa"/>
          </w:tcPr>
          <w:p>
            <w:pPr>
              <w:pStyle w:val="TableParagraph"/>
              <w:spacing w:before="27"/>
              <w:ind w:right="128"/>
              <w:jc w:val="right"/>
              <w:rPr>
                <w:i/>
                <w:sz w:val="20"/>
              </w:rPr>
            </w:pPr>
            <w:r>
              <w:rPr>
                <w:i/>
                <w:color w:val="231F20"/>
                <w:sz w:val="20"/>
              </w:rPr>
              <w:t>2009</w:t>
            </w:r>
          </w:p>
        </w:tc>
      </w:tr>
      <w:tr>
        <w:trPr>
          <w:trHeight w:val="285" w:hRule="exact"/>
        </w:trPr>
        <w:tc>
          <w:tcPr>
            <w:tcW w:w="1186" w:type="dxa"/>
          </w:tcPr>
          <w:p>
            <w:pPr>
              <w:pStyle w:val="TableParagraph"/>
              <w:spacing w:before="31"/>
              <w:ind w:left="292" w:right="292"/>
              <w:jc w:val="center"/>
              <w:rPr>
                <w:sz w:val="18"/>
              </w:rPr>
            </w:pPr>
            <w:r>
              <w:rPr>
                <w:color w:val="231F20"/>
                <w:sz w:val="18"/>
              </w:rPr>
              <w:t>Mundo</w:t>
            </w:r>
          </w:p>
        </w:tc>
        <w:tc>
          <w:tcPr>
            <w:tcW w:w="622" w:type="dxa"/>
          </w:tcPr>
          <w:p>
            <w:pPr>
              <w:pStyle w:val="TableParagraph"/>
              <w:spacing w:before="31"/>
              <w:ind w:left="38" w:right="38"/>
              <w:jc w:val="center"/>
              <w:rPr>
                <w:sz w:val="18"/>
              </w:rPr>
            </w:pPr>
            <w:r>
              <w:rPr>
                <w:color w:val="231F20"/>
                <w:sz w:val="18"/>
              </w:rPr>
              <w:t>1381.7</w:t>
            </w:r>
          </w:p>
        </w:tc>
        <w:tc>
          <w:tcPr>
            <w:tcW w:w="624" w:type="dxa"/>
          </w:tcPr>
          <w:p>
            <w:pPr>
              <w:pStyle w:val="TableParagraph"/>
              <w:spacing w:before="31"/>
              <w:ind w:right="104"/>
              <w:jc w:val="right"/>
              <w:rPr>
                <w:sz w:val="18"/>
              </w:rPr>
            </w:pPr>
            <w:r>
              <w:rPr>
                <w:color w:val="231F20"/>
                <w:sz w:val="18"/>
              </w:rPr>
              <w:t>820.4</w:t>
            </w:r>
          </w:p>
        </w:tc>
        <w:tc>
          <w:tcPr>
            <w:tcW w:w="567" w:type="dxa"/>
          </w:tcPr>
          <w:p>
            <w:pPr>
              <w:pStyle w:val="TableParagraph"/>
              <w:spacing w:before="31"/>
              <w:ind w:left="88"/>
              <w:rPr>
                <w:sz w:val="18"/>
              </w:rPr>
            </w:pPr>
            <w:r>
              <w:rPr>
                <w:color w:val="231F20"/>
                <w:sz w:val="18"/>
              </w:rPr>
              <w:t>629.7</w:t>
            </w:r>
          </w:p>
        </w:tc>
        <w:tc>
          <w:tcPr>
            <w:tcW w:w="567" w:type="dxa"/>
          </w:tcPr>
          <w:p>
            <w:pPr>
              <w:pStyle w:val="TableParagraph"/>
              <w:spacing w:before="31"/>
              <w:ind w:left="55" w:right="55"/>
              <w:jc w:val="center"/>
              <w:rPr>
                <w:sz w:val="18"/>
              </w:rPr>
            </w:pPr>
            <w:r>
              <w:rPr>
                <w:color w:val="231F20"/>
                <w:sz w:val="18"/>
              </w:rPr>
              <w:t>565.2</w:t>
            </w:r>
          </w:p>
        </w:tc>
        <w:tc>
          <w:tcPr>
            <w:tcW w:w="595" w:type="dxa"/>
          </w:tcPr>
          <w:p>
            <w:pPr>
              <w:pStyle w:val="TableParagraph"/>
              <w:spacing w:before="31"/>
              <w:ind w:left="70" w:right="69"/>
              <w:jc w:val="center"/>
              <w:rPr>
                <w:sz w:val="18"/>
              </w:rPr>
            </w:pPr>
            <w:r>
              <w:rPr>
                <w:color w:val="231F20"/>
                <w:sz w:val="18"/>
              </w:rPr>
              <w:t>739.9</w:t>
            </w:r>
          </w:p>
        </w:tc>
        <w:tc>
          <w:tcPr>
            <w:tcW w:w="567" w:type="dxa"/>
          </w:tcPr>
          <w:p>
            <w:pPr>
              <w:pStyle w:val="TableParagraph"/>
              <w:spacing w:before="31"/>
              <w:ind w:left="55" w:right="54"/>
              <w:jc w:val="center"/>
              <w:rPr>
                <w:sz w:val="18"/>
              </w:rPr>
            </w:pPr>
            <w:r>
              <w:rPr>
                <w:color w:val="231F20"/>
                <w:sz w:val="18"/>
              </w:rPr>
              <w:t>973.3</w:t>
            </w:r>
          </w:p>
        </w:tc>
        <w:tc>
          <w:tcPr>
            <w:tcW w:w="624" w:type="dxa"/>
          </w:tcPr>
          <w:p>
            <w:pPr>
              <w:pStyle w:val="TableParagraph"/>
              <w:spacing w:before="31"/>
              <w:ind w:left="36" w:right="42"/>
              <w:jc w:val="center"/>
              <w:rPr>
                <w:sz w:val="18"/>
              </w:rPr>
            </w:pPr>
            <w:r>
              <w:rPr>
                <w:color w:val="231F20"/>
                <w:sz w:val="18"/>
              </w:rPr>
              <w:t>1461.1</w:t>
            </w:r>
          </w:p>
        </w:tc>
        <w:tc>
          <w:tcPr>
            <w:tcW w:w="652" w:type="dxa"/>
          </w:tcPr>
          <w:p>
            <w:pPr>
              <w:pStyle w:val="TableParagraph"/>
              <w:spacing w:before="31"/>
              <w:ind w:right="76"/>
              <w:jc w:val="right"/>
              <w:rPr>
                <w:sz w:val="18"/>
              </w:rPr>
            </w:pPr>
            <w:r>
              <w:rPr>
                <w:color w:val="231F20"/>
                <w:sz w:val="18"/>
              </w:rPr>
              <w:t>1978.8</w:t>
            </w:r>
          </w:p>
        </w:tc>
        <w:tc>
          <w:tcPr>
            <w:tcW w:w="652" w:type="dxa"/>
          </w:tcPr>
          <w:p>
            <w:pPr>
              <w:pStyle w:val="TableParagraph"/>
              <w:spacing w:before="31"/>
              <w:ind w:left="86"/>
              <w:rPr>
                <w:sz w:val="18"/>
              </w:rPr>
            </w:pPr>
            <w:r>
              <w:rPr>
                <w:color w:val="231F20"/>
                <w:sz w:val="18"/>
              </w:rPr>
              <w:t>1697.4</w:t>
            </w:r>
          </w:p>
        </w:tc>
        <w:tc>
          <w:tcPr>
            <w:tcW w:w="675" w:type="dxa"/>
          </w:tcPr>
          <w:p>
            <w:pPr>
              <w:pStyle w:val="TableParagraph"/>
              <w:spacing w:before="31"/>
              <w:ind w:right="84"/>
              <w:jc w:val="right"/>
              <w:rPr>
                <w:sz w:val="18"/>
              </w:rPr>
            </w:pPr>
            <w:r>
              <w:rPr>
                <w:color w:val="231F20"/>
                <w:sz w:val="18"/>
              </w:rPr>
              <w:t>1040.3</w:t>
            </w:r>
          </w:p>
        </w:tc>
      </w:tr>
      <w:tr>
        <w:trPr>
          <w:trHeight w:val="505" w:hRule="exact"/>
        </w:trPr>
        <w:tc>
          <w:tcPr>
            <w:tcW w:w="1186" w:type="dxa"/>
          </w:tcPr>
          <w:p>
            <w:pPr>
              <w:pStyle w:val="TableParagraph"/>
              <w:spacing w:line="254" w:lineRule="auto" w:before="31"/>
              <w:ind w:left="218" w:firstLine="32"/>
              <w:rPr>
                <w:sz w:val="18"/>
              </w:rPr>
            </w:pPr>
            <w:r>
              <w:rPr>
                <w:color w:val="231F20"/>
                <w:sz w:val="18"/>
              </w:rPr>
              <w:t>Países en desarrollo</w:t>
            </w:r>
          </w:p>
        </w:tc>
        <w:tc>
          <w:tcPr>
            <w:tcW w:w="622" w:type="dxa"/>
          </w:tcPr>
          <w:p>
            <w:pPr>
              <w:pStyle w:val="TableParagraph"/>
              <w:spacing w:before="10"/>
              <w:rPr>
                <w:b/>
                <w:sz w:val="21"/>
              </w:rPr>
            </w:pPr>
          </w:p>
          <w:p>
            <w:pPr>
              <w:pStyle w:val="TableParagraph"/>
              <w:spacing w:before="0"/>
              <w:ind w:left="38" w:right="38"/>
              <w:jc w:val="center"/>
              <w:rPr>
                <w:sz w:val="18"/>
              </w:rPr>
            </w:pPr>
            <w:r>
              <w:rPr>
                <w:color w:val="231F20"/>
                <w:sz w:val="18"/>
              </w:rPr>
              <w:t>256.9</w:t>
            </w:r>
          </w:p>
        </w:tc>
        <w:tc>
          <w:tcPr>
            <w:tcW w:w="624" w:type="dxa"/>
          </w:tcPr>
          <w:p>
            <w:pPr>
              <w:pStyle w:val="TableParagraph"/>
              <w:spacing w:before="141"/>
              <w:ind w:right="113"/>
              <w:jc w:val="right"/>
              <w:rPr>
                <w:sz w:val="18"/>
              </w:rPr>
            </w:pPr>
            <w:r>
              <w:rPr>
                <w:color w:val="231F20"/>
                <w:sz w:val="18"/>
              </w:rPr>
              <w:t>215.4</w:t>
            </w:r>
          </w:p>
        </w:tc>
        <w:tc>
          <w:tcPr>
            <w:tcW w:w="567" w:type="dxa"/>
          </w:tcPr>
          <w:p>
            <w:pPr>
              <w:pStyle w:val="TableParagraph"/>
              <w:spacing w:before="141"/>
              <w:ind w:left="89"/>
              <w:rPr>
                <w:sz w:val="18"/>
              </w:rPr>
            </w:pPr>
            <w:r>
              <w:rPr>
                <w:color w:val="231F20"/>
                <w:sz w:val="18"/>
              </w:rPr>
              <w:t>175.9</w:t>
            </w:r>
          </w:p>
        </w:tc>
        <w:tc>
          <w:tcPr>
            <w:tcW w:w="567" w:type="dxa"/>
          </w:tcPr>
          <w:p>
            <w:pPr>
              <w:pStyle w:val="TableParagraph"/>
              <w:spacing w:before="141"/>
              <w:ind w:left="55" w:right="55"/>
              <w:jc w:val="center"/>
              <w:rPr>
                <w:sz w:val="18"/>
              </w:rPr>
            </w:pPr>
            <w:r>
              <w:rPr>
                <w:color w:val="231F20"/>
                <w:sz w:val="18"/>
              </w:rPr>
              <w:t>184.0</w:t>
            </w:r>
          </w:p>
        </w:tc>
        <w:tc>
          <w:tcPr>
            <w:tcW w:w="595" w:type="dxa"/>
          </w:tcPr>
          <w:p>
            <w:pPr>
              <w:pStyle w:val="TableParagraph"/>
              <w:spacing w:before="141"/>
              <w:ind w:left="69" w:right="69"/>
              <w:jc w:val="center"/>
              <w:rPr>
                <w:sz w:val="18"/>
              </w:rPr>
            </w:pPr>
            <w:r>
              <w:rPr>
                <w:color w:val="231F20"/>
                <w:sz w:val="18"/>
              </w:rPr>
              <w:t>290.4</w:t>
            </w:r>
          </w:p>
        </w:tc>
        <w:tc>
          <w:tcPr>
            <w:tcW w:w="567" w:type="dxa"/>
          </w:tcPr>
          <w:p>
            <w:pPr>
              <w:pStyle w:val="TableParagraph"/>
              <w:spacing w:before="141"/>
              <w:ind w:left="55" w:right="55"/>
              <w:jc w:val="center"/>
              <w:rPr>
                <w:sz w:val="18"/>
              </w:rPr>
            </w:pPr>
            <w:r>
              <w:rPr>
                <w:color w:val="231F20"/>
                <w:sz w:val="18"/>
              </w:rPr>
              <w:t>329.3</w:t>
            </w:r>
          </w:p>
        </w:tc>
        <w:tc>
          <w:tcPr>
            <w:tcW w:w="624" w:type="dxa"/>
          </w:tcPr>
          <w:p>
            <w:pPr>
              <w:pStyle w:val="TableParagraph"/>
              <w:spacing w:before="10"/>
              <w:rPr>
                <w:b/>
                <w:sz w:val="21"/>
              </w:rPr>
            </w:pPr>
          </w:p>
          <w:p>
            <w:pPr>
              <w:pStyle w:val="TableParagraph"/>
              <w:spacing w:before="0"/>
              <w:ind w:left="36" w:right="36"/>
              <w:jc w:val="center"/>
              <w:rPr>
                <w:sz w:val="18"/>
              </w:rPr>
            </w:pPr>
            <w:r>
              <w:rPr>
                <w:color w:val="231F20"/>
                <w:sz w:val="18"/>
              </w:rPr>
              <w:t>433.8</w:t>
            </w:r>
          </w:p>
        </w:tc>
        <w:tc>
          <w:tcPr>
            <w:tcW w:w="652" w:type="dxa"/>
          </w:tcPr>
          <w:p>
            <w:pPr>
              <w:pStyle w:val="TableParagraph"/>
              <w:spacing w:before="141"/>
              <w:ind w:right="79"/>
              <w:jc w:val="right"/>
              <w:rPr>
                <w:sz w:val="18"/>
              </w:rPr>
            </w:pPr>
            <w:r>
              <w:rPr>
                <w:color w:val="231F20"/>
                <w:sz w:val="18"/>
              </w:rPr>
              <w:t>529.3</w:t>
            </w:r>
          </w:p>
        </w:tc>
        <w:tc>
          <w:tcPr>
            <w:tcW w:w="652" w:type="dxa"/>
          </w:tcPr>
          <w:p>
            <w:pPr>
              <w:pStyle w:val="TableParagraph"/>
              <w:spacing w:before="141"/>
              <w:ind w:left="170"/>
              <w:rPr>
                <w:sz w:val="18"/>
              </w:rPr>
            </w:pPr>
            <w:r>
              <w:rPr>
                <w:color w:val="231F20"/>
                <w:sz w:val="18"/>
              </w:rPr>
              <w:t>620.7</w:t>
            </w:r>
          </w:p>
        </w:tc>
        <w:tc>
          <w:tcPr>
            <w:tcW w:w="675" w:type="dxa"/>
          </w:tcPr>
          <w:p>
            <w:pPr>
              <w:pStyle w:val="TableParagraph"/>
              <w:spacing w:before="141"/>
              <w:ind w:right="84"/>
              <w:jc w:val="right"/>
              <w:rPr>
                <w:sz w:val="18"/>
              </w:rPr>
            </w:pPr>
            <w:r>
              <w:rPr>
                <w:color w:val="231F20"/>
                <w:sz w:val="18"/>
              </w:rPr>
              <w:t>405.5</w:t>
            </w:r>
          </w:p>
        </w:tc>
      </w:tr>
      <w:tr>
        <w:trPr>
          <w:trHeight w:val="725" w:hRule="exact"/>
        </w:trPr>
        <w:tc>
          <w:tcPr>
            <w:tcW w:w="1186" w:type="dxa"/>
          </w:tcPr>
          <w:p>
            <w:pPr>
              <w:pStyle w:val="TableParagraph"/>
              <w:spacing w:line="254" w:lineRule="auto" w:before="31"/>
              <w:ind w:left="196" w:right="194" w:hanging="1"/>
              <w:jc w:val="center"/>
              <w:rPr>
                <w:sz w:val="18"/>
              </w:rPr>
            </w:pPr>
            <w:r>
              <w:rPr>
                <w:color w:val="231F20"/>
                <w:sz w:val="18"/>
              </w:rPr>
              <w:t>América Latina y el Caribe</w:t>
            </w:r>
          </w:p>
        </w:tc>
        <w:tc>
          <w:tcPr>
            <w:tcW w:w="622" w:type="dxa"/>
          </w:tcPr>
          <w:p>
            <w:pPr>
              <w:pStyle w:val="TableParagraph"/>
              <w:spacing w:before="10"/>
              <w:rPr>
                <w:b/>
                <w:sz w:val="21"/>
              </w:rPr>
            </w:pPr>
          </w:p>
          <w:p>
            <w:pPr>
              <w:pStyle w:val="TableParagraph"/>
              <w:spacing w:before="0"/>
              <w:ind w:left="38" w:right="38"/>
              <w:jc w:val="center"/>
              <w:rPr>
                <w:sz w:val="18"/>
              </w:rPr>
            </w:pPr>
            <w:r>
              <w:rPr>
                <w:color w:val="231F20"/>
                <w:sz w:val="18"/>
              </w:rPr>
              <w:t>98.4</w:t>
            </w:r>
          </w:p>
        </w:tc>
        <w:tc>
          <w:tcPr>
            <w:tcW w:w="624" w:type="dxa"/>
          </w:tcPr>
          <w:p>
            <w:pPr>
              <w:pStyle w:val="TableParagraph"/>
              <w:spacing w:before="10"/>
              <w:rPr>
                <w:b/>
                <w:sz w:val="21"/>
              </w:rPr>
            </w:pPr>
          </w:p>
          <w:p>
            <w:pPr>
              <w:pStyle w:val="TableParagraph"/>
              <w:spacing w:before="0"/>
              <w:ind w:right="155"/>
              <w:jc w:val="right"/>
              <w:rPr>
                <w:sz w:val="18"/>
              </w:rPr>
            </w:pPr>
            <w:r>
              <w:rPr>
                <w:color w:val="231F20"/>
                <w:sz w:val="18"/>
              </w:rPr>
              <w:t>81.3</w:t>
            </w:r>
          </w:p>
        </w:tc>
        <w:tc>
          <w:tcPr>
            <w:tcW w:w="567" w:type="dxa"/>
          </w:tcPr>
          <w:p>
            <w:pPr>
              <w:pStyle w:val="TableParagraph"/>
              <w:spacing w:before="10"/>
              <w:rPr>
                <w:b/>
                <w:sz w:val="21"/>
              </w:rPr>
            </w:pPr>
          </w:p>
          <w:p>
            <w:pPr>
              <w:pStyle w:val="TableParagraph"/>
              <w:spacing w:before="0"/>
              <w:ind w:left="123"/>
              <w:rPr>
                <w:sz w:val="18"/>
              </w:rPr>
            </w:pPr>
            <w:r>
              <w:rPr>
                <w:color w:val="231F20"/>
                <w:sz w:val="18"/>
              </w:rPr>
              <w:t>58.6</w:t>
            </w:r>
          </w:p>
        </w:tc>
        <w:tc>
          <w:tcPr>
            <w:tcW w:w="567" w:type="dxa"/>
          </w:tcPr>
          <w:p>
            <w:pPr>
              <w:pStyle w:val="TableParagraph"/>
              <w:spacing w:before="10"/>
              <w:rPr>
                <w:b/>
                <w:sz w:val="21"/>
              </w:rPr>
            </w:pPr>
          </w:p>
          <w:p>
            <w:pPr>
              <w:pStyle w:val="TableParagraph"/>
              <w:spacing w:before="0"/>
              <w:ind w:left="55" w:right="55"/>
              <w:jc w:val="center"/>
              <w:rPr>
                <w:sz w:val="18"/>
              </w:rPr>
            </w:pPr>
            <w:r>
              <w:rPr>
                <w:color w:val="231F20"/>
                <w:sz w:val="18"/>
              </w:rPr>
              <w:t>45.9</w:t>
            </w:r>
          </w:p>
        </w:tc>
        <w:tc>
          <w:tcPr>
            <w:tcW w:w="595" w:type="dxa"/>
          </w:tcPr>
          <w:p>
            <w:pPr>
              <w:pStyle w:val="TableParagraph"/>
              <w:spacing w:before="10"/>
              <w:rPr>
                <w:b/>
                <w:sz w:val="21"/>
              </w:rPr>
            </w:pPr>
          </w:p>
          <w:p>
            <w:pPr>
              <w:pStyle w:val="TableParagraph"/>
              <w:spacing w:before="0"/>
              <w:ind w:left="62" w:right="69"/>
              <w:jc w:val="center"/>
              <w:rPr>
                <w:sz w:val="18"/>
              </w:rPr>
            </w:pPr>
            <w:r>
              <w:rPr>
                <w:color w:val="231F20"/>
                <w:sz w:val="18"/>
              </w:rPr>
              <w:t>95.1</w:t>
            </w:r>
          </w:p>
        </w:tc>
        <w:tc>
          <w:tcPr>
            <w:tcW w:w="567" w:type="dxa"/>
          </w:tcPr>
          <w:p>
            <w:pPr>
              <w:pStyle w:val="TableParagraph"/>
              <w:spacing w:before="10"/>
              <w:rPr>
                <w:b/>
                <w:sz w:val="21"/>
              </w:rPr>
            </w:pPr>
          </w:p>
          <w:p>
            <w:pPr>
              <w:pStyle w:val="TableParagraph"/>
              <w:spacing w:before="0"/>
              <w:ind w:left="48" w:right="55"/>
              <w:jc w:val="center"/>
              <w:rPr>
                <w:sz w:val="18"/>
              </w:rPr>
            </w:pPr>
            <w:r>
              <w:rPr>
                <w:color w:val="231F20"/>
                <w:sz w:val="18"/>
              </w:rPr>
              <w:t>77.1</w:t>
            </w:r>
          </w:p>
        </w:tc>
        <w:tc>
          <w:tcPr>
            <w:tcW w:w="624" w:type="dxa"/>
          </w:tcPr>
          <w:p>
            <w:pPr>
              <w:pStyle w:val="TableParagraph"/>
              <w:spacing w:before="10"/>
              <w:rPr>
                <w:b/>
                <w:sz w:val="21"/>
              </w:rPr>
            </w:pPr>
          </w:p>
          <w:p>
            <w:pPr>
              <w:pStyle w:val="TableParagraph"/>
              <w:spacing w:before="0"/>
              <w:ind w:left="36" w:right="36"/>
              <w:jc w:val="center"/>
              <w:rPr>
                <w:sz w:val="18"/>
              </w:rPr>
            </w:pPr>
            <w:r>
              <w:rPr>
                <w:color w:val="231F20"/>
                <w:sz w:val="18"/>
              </w:rPr>
              <w:t>93.3</w:t>
            </w:r>
          </w:p>
        </w:tc>
        <w:tc>
          <w:tcPr>
            <w:tcW w:w="652" w:type="dxa"/>
          </w:tcPr>
          <w:p>
            <w:pPr>
              <w:pStyle w:val="TableParagraph"/>
              <w:spacing w:before="10"/>
              <w:rPr>
                <w:b/>
                <w:sz w:val="21"/>
              </w:rPr>
            </w:pPr>
          </w:p>
          <w:p>
            <w:pPr>
              <w:pStyle w:val="TableParagraph"/>
              <w:spacing w:before="0"/>
              <w:ind w:right="125"/>
              <w:jc w:val="right"/>
              <w:rPr>
                <w:sz w:val="18"/>
              </w:rPr>
            </w:pPr>
            <w:r>
              <w:rPr>
                <w:color w:val="231F20"/>
                <w:sz w:val="18"/>
              </w:rPr>
              <w:t>127.5</w:t>
            </w:r>
          </w:p>
        </w:tc>
        <w:tc>
          <w:tcPr>
            <w:tcW w:w="652" w:type="dxa"/>
          </w:tcPr>
          <w:p>
            <w:pPr>
              <w:pStyle w:val="TableParagraph"/>
              <w:spacing w:before="10"/>
              <w:rPr>
                <w:b/>
                <w:sz w:val="21"/>
              </w:rPr>
            </w:pPr>
          </w:p>
          <w:p>
            <w:pPr>
              <w:pStyle w:val="TableParagraph"/>
              <w:spacing w:before="0"/>
              <w:ind w:left="122"/>
              <w:rPr>
                <w:sz w:val="18"/>
              </w:rPr>
            </w:pPr>
            <w:r>
              <w:rPr>
                <w:color w:val="231F20"/>
                <w:sz w:val="18"/>
              </w:rPr>
              <w:t>144.4</w:t>
            </w:r>
          </w:p>
        </w:tc>
        <w:tc>
          <w:tcPr>
            <w:tcW w:w="675" w:type="dxa"/>
          </w:tcPr>
          <w:p>
            <w:pPr>
              <w:pStyle w:val="TableParagraph"/>
              <w:spacing w:before="10"/>
              <w:rPr>
                <w:b/>
                <w:sz w:val="21"/>
              </w:rPr>
            </w:pPr>
          </w:p>
          <w:p>
            <w:pPr>
              <w:pStyle w:val="TableParagraph"/>
              <w:spacing w:before="0"/>
              <w:ind w:right="176"/>
              <w:jc w:val="right"/>
              <w:rPr>
                <w:sz w:val="18"/>
              </w:rPr>
            </w:pPr>
            <w:r>
              <w:rPr>
                <w:color w:val="231F20"/>
                <w:sz w:val="18"/>
              </w:rPr>
              <w:t>85.5</w:t>
            </w:r>
          </w:p>
        </w:tc>
      </w:tr>
      <w:tr>
        <w:trPr>
          <w:trHeight w:val="285" w:hRule="exact"/>
        </w:trPr>
        <w:tc>
          <w:tcPr>
            <w:tcW w:w="1186" w:type="dxa"/>
          </w:tcPr>
          <w:p>
            <w:pPr>
              <w:pStyle w:val="TableParagraph"/>
              <w:spacing w:before="31"/>
              <w:ind w:left="292" w:right="292"/>
              <w:jc w:val="center"/>
              <w:rPr>
                <w:sz w:val="18"/>
              </w:rPr>
            </w:pPr>
            <w:r>
              <w:rPr>
                <w:color w:val="231F20"/>
                <w:sz w:val="18"/>
              </w:rPr>
              <w:t>Brasil</w:t>
            </w:r>
          </w:p>
        </w:tc>
        <w:tc>
          <w:tcPr>
            <w:tcW w:w="622" w:type="dxa"/>
          </w:tcPr>
          <w:p>
            <w:pPr>
              <w:pStyle w:val="TableParagraph"/>
              <w:spacing w:before="31"/>
              <w:ind w:left="38" w:right="38"/>
              <w:jc w:val="center"/>
              <w:rPr>
                <w:sz w:val="18"/>
              </w:rPr>
            </w:pPr>
            <w:r>
              <w:rPr>
                <w:color w:val="231F20"/>
                <w:sz w:val="18"/>
              </w:rPr>
              <w:t>32.8</w:t>
            </w:r>
          </w:p>
        </w:tc>
        <w:tc>
          <w:tcPr>
            <w:tcW w:w="624" w:type="dxa"/>
          </w:tcPr>
          <w:p>
            <w:pPr>
              <w:pStyle w:val="TableParagraph"/>
              <w:spacing w:before="31"/>
              <w:ind w:right="145"/>
              <w:jc w:val="right"/>
              <w:rPr>
                <w:sz w:val="18"/>
              </w:rPr>
            </w:pPr>
            <w:r>
              <w:rPr>
                <w:color w:val="231F20"/>
                <w:sz w:val="18"/>
              </w:rPr>
              <w:t>22.5</w:t>
            </w:r>
          </w:p>
        </w:tc>
        <w:tc>
          <w:tcPr>
            <w:tcW w:w="567" w:type="dxa"/>
          </w:tcPr>
          <w:p>
            <w:pPr>
              <w:pStyle w:val="TableParagraph"/>
              <w:spacing w:before="31"/>
              <w:ind w:left="127"/>
              <w:rPr>
                <w:sz w:val="18"/>
              </w:rPr>
            </w:pPr>
            <w:r>
              <w:rPr>
                <w:color w:val="231F20"/>
                <w:sz w:val="18"/>
              </w:rPr>
              <w:t>16.6</w:t>
            </w:r>
          </w:p>
        </w:tc>
        <w:tc>
          <w:tcPr>
            <w:tcW w:w="567" w:type="dxa"/>
          </w:tcPr>
          <w:p>
            <w:pPr>
              <w:pStyle w:val="TableParagraph"/>
              <w:spacing w:before="31"/>
              <w:ind w:left="50" w:right="55"/>
              <w:jc w:val="center"/>
              <w:rPr>
                <w:sz w:val="18"/>
              </w:rPr>
            </w:pPr>
            <w:r>
              <w:rPr>
                <w:color w:val="231F20"/>
                <w:sz w:val="18"/>
              </w:rPr>
              <w:t>10.1</w:t>
            </w:r>
          </w:p>
        </w:tc>
        <w:tc>
          <w:tcPr>
            <w:tcW w:w="595" w:type="dxa"/>
          </w:tcPr>
          <w:p>
            <w:pPr>
              <w:pStyle w:val="TableParagraph"/>
              <w:spacing w:before="31"/>
              <w:ind w:left="64" w:right="69"/>
              <w:jc w:val="center"/>
              <w:rPr>
                <w:sz w:val="18"/>
              </w:rPr>
            </w:pPr>
            <w:r>
              <w:rPr>
                <w:color w:val="231F20"/>
                <w:sz w:val="18"/>
              </w:rPr>
              <w:t>18.1</w:t>
            </w:r>
          </w:p>
        </w:tc>
        <w:tc>
          <w:tcPr>
            <w:tcW w:w="567" w:type="dxa"/>
          </w:tcPr>
          <w:p>
            <w:pPr>
              <w:pStyle w:val="TableParagraph"/>
              <w:spacing w:before="31"/>
              <w:ind w:left="50" w:right="55"/>
              <w:jc w:val="center"/>
              <w:rPr>
                <w:sz w:val="18"/>
              </w:rPr>
            </w:pPr>
            <w:r>
              <w:rPr>
                <w:color w:val="231F20"/>
                <w:sz w:val="18"/>
              </w:rPr>
              <w:t>15.1</w:t>
            </w:r>
          </w:p>
        </w:tc>
        <w:tc>
          <w:tcPr>
            <w:tcW w:w="624" w:type="dxa"/>
          </w:tcPr>
          <w:p>
            <w:pPr>
              <w:pStyle w:val="TableParagraph"/>
              <w:spacing w:before="31"/>
              <w:ind w:left="36" w:right="36"/>
              <w:jc w:val="center"/>
              <w:rPr>
                <w:sz w:val="18"/>
              </w:rPr>
            </w:pPr>
            <w:r>
              <w:rPr>
                <w:color w:val="231F20"/>
                <w:sz w:val="18"/>
              </w:rPr>
              <w:t>18.8</w:t>
            </w:r>
          </w:p>
        </w:tc>
        <w:tc>
          <w:tcPr>
            <w:tcW w:w="652" w:type="dxa"/>
          </w:tcPr>
          <w:p>
            <w:pPr>
              <w:pStyle w:val="TableParagraph"/>
              <w:spacing w:before="31"/>
              <w:ind w:left="165"/>
              <w:rPr>
                <w:sz w:val="18"/>
              </w:rPr>
            </w:pPr>
            <w:r>
              <w:rPr>
                <w:color w:val="231F20"/>
                <w:sz w:val="18"/>
              </w:rPr>
              <w:t>34.6</w:t>
            </w:r>
          </w:p>
        </w:tc>
        <w:tc>
          <w:tcPr>
            <w:tcW w:w="652" w:type="dxa"/>
          </w:tcPr>
          <w:p>
            <w:pPr>
              <w:pStyle w:val="TableParagraph"/>
              <w:spacing w:before="31"/>
              <w:ind w:left="173"/>
              <w:rPr>
                <w:sz w:val="18"/>
              </w:rPr>
            </w:pPr>
            <w:r>
              <w:rPr>
                <w:color w:val="231F20"/>
                <w:sz w:val="18"/>
              </w:rPr>
              <w:t>45.1</w:t>
            </w:r>
          </w:p>
        </w:tc>
        <w:tc>
          <w:tcPr>
            <w:tcW w:w="675" w:type="dxa"/>
          </w:tcPr>
          <w:p>
            <w:pPr>
              <w:pStyle w:val="TableParagraph"/>
              <w:spacing w:before="31"/>
              <w:ind w:right="171"/>
              <w:jc w:val="right"/>
              <w:rPr>
                <w:sz w:val="18"/>
              </w:rPr>
            </w:pPr>
            <w:r>
              <w:rPr>
                <w:color w:val="231F20"/>
                <w:sz w:val="18"/>
              </w:rPr>
              <w:t>22.8</w:t>
            </w:r>
          </w:p>
        </w:tc>
      </w:tr>
      <w:tr>
        <w:trPr>
          <w:trHeight w:val="285" w:hRule="exact"/>
        </w:trPr>
        <w:tc>
          <w:tcPr>
            <w:tcW w:w="1186" w:type="dxa"/>
          </w:tcPr>
          <w:p>
            <w:pPr>
              <w:pStyle w:val="TableParagraph"/>
              <w:spacing w:before="31"/>
              <w:ind w:left="292" w:right="292"/>
              <w:jc w:val="center"/>
              <w:rPr>
                <w:sz w:val="18"/>
              </w:rPr>
            </w:pPr>
            <w:r>
              <w:rPr>
                <w:color w:val="231F20"/>
                <w:sz w:val="18"/>
              </w:rPr>
              <w:t>México</w:t>
            </w:r>
          </w:p>
        </w:tc>
        <w:tc>
          <w:tcPr>
            <w:tcW w:w="622" w:type="dxa"/>
          </w:tcPr>
          <w:p>
            <w:pPr>
              <w:pStyle w:val="TableParagraph"/>
              <w:spacing w:before="31"/>
              <w:ind w:left="38" w:right="38"/>
              <w:jc w:val="center"/>
              <w:rPr>
                <w:sz w:val="18"/>
              </w:rPr>
            </w:pPr>
            <w:r>
              <w:rPr>
                <w:color w:val="231F20"/>
                <w:sz w:val="18"/>
              </w:rPr>
              <w:t>18.0</w:t>
            </w:r>
          </w:p>
        </w:tc>
        <w:tc>
          <w:tcPr>
            <w:tcW w:w="624" w:type="dxa"/>
          </w:tcPr>
          <w:p>
            <w:pPr>
              <w:pStyle w:val="TableParagraph"/>
              <w:spacing w:before="31"/>
              <w:ind w:right="153"/>
              <w:jc w:val="right"/>
              <w:rPr>
                <w:sz w:val="18"/>
              </w:rPr>
            </w:pPr>
            <w:r>
              <w:rPr>
                <w:color w:val="231F20"/>
                <w:sz w:val="18"/>
              </w:rPr>
              <w:t>29.8</w:t>
            </w:r>
          </w:p>
        </w:tc>
        <w:tc>
          <w:tcPr>
            <w:tcW w:w="567" w:type="dxa"/>
          </w:tcPr>
          <w:p>
            <w:pPr>
              <w:pStyle w:val="TableParagraph"/>
              <w:spacing w:before="31"/>
              <w:ind w:left="127"/>
              <w:rPr>
                <w:sz w:val="18"/>
              </w:rPr>
            </w:pPr>
            <w:r>
              <w:rPr>
                <w:color w:val="231F20"/>
                <w:sz w:val="18"/>
              </w:rPr>
              <w:t>23.7</w:t>
            </w:r>
          </w:p>
        </w:tc>
        <w:tc>
          <w:tcPr>
            <w:tcW w:w="567" w:type="dxa"/>
          </w:tcPr>
          <w:p>
            <w:pPr>
              <w:pStyle w:val="TableParagraph"/>
              <w:spacing w:before="31"/>
              <w:ind w:left="55" w:right="55"/>
              <w:jc w:val="center"/>
              <w:rPr>
                <w:sz w:val="18"/>
              </w:rPr>
            </w:pPr>
            <w:r>
              <w:rPr>
                <w:color w:val="231F20"/>
                <w:sz w:val="18"/>
              </w:rPr>
              <w:t>16.5</w:t>
            </w:r>
          </w:p>
        </w:tc>
        <w:tc>
          <w:tcPr>
            <w:tcW w:w="595" w:type="dxa"/>
          </w:tcPr>
          <w:p>
            <w:pPr>
              <w:pStyle w:val="TableParagraph"/>
              <w:spacing w:before="31"/>
              <w:ind w:left="69" w:right="69"/>
              <w:jc w:val="center"/>
              <w:rPr>
                <w:sz w:val="18"/>
              </w:rPr>
            </w:pPr>
            <w:r>
              <w:rPr>
                <w:color w:val="231F20"/>
                <w:sz w:val="18"/>
              </w:rPr>
              <w:t>23.7</w:t>
            </w:r>
          </w:p>
        </w:tc>
        <w:tc>
          <w:tcPr>
            <w:tcW w:w="567" w:type="dxa"/>
          </w:tcPr>
          <w:p>
            <w:pPr>
              <w:pStyle w:val="TableParagraph"/>
              <w:spacing w:before="31"/>
              <w:ind w:left="55" w:right="55"/>
              <w:jc w:val="center"/>
              <w:rPr>
                <w:sz w:val="18"/>
              </w:rPr>
            </w:pPr>
            <w:r>
              <w:rPr>
                <w:color w:val="231F20"/>
                <w:sz w:val="18"/>
              </w:rPr>
              <w:t>21.9</w:t>
            </w:r>
          </w:p>
        </w:tc>
        <w:tc>
          <w:tcPr>
            <w:tcW w:w="624" w:type="dxa"/>
          </w:tcPr>
          <w:p>
            <w:pPr>
              <w:pStyle w:val="TableParagraph"/>
              <w:spacing w:before="31"/>
              <w:ind w:left="36" w:right="36"/>
              <w:jc w:val="center"/>
              <w:rPr>
                <w:sz w:val="18"/>
              </w:rPr>
            </w:pPr>
            <w:r>
              <w:rPr>
                <w:color w:val="231F20"/>
                <w:sz w:val="18"/>
              </w:rPr>
              <w:t>19.3</w:t>
            </w:r>
          </w:p>
        </w:tc>
        <w:tc>
          <w:tcPr>
            <w:tcW w:w="652" w:type="dxa"/>
          </w:tcPr>
          <w:p>
            <w:pPr>
              <w:pStyle w:val="TableParagraph"/>
              <w:spacing w:before="31"/>
              <w:ind w:left="170"/>
              <w:rPr>
                <w:sz w:val="18"/>
              </w:rPr>
            </w:pPr>
            <w:r>
              <w:rPr>
                <w:color w:val="231F20"/>
                <w:sz w:val="18"/>
              </w:rPr>
              <w:t>27.3</w:t>
            </w:r>
          </w:p>
        </w:tc>
        <w:tc>
          <w:tcPr>
            <w:tcW w:w="652" w:type="dxa"/>
          </w:tcPr>
          <w:p>
            <w:pPr>
              <w:pStyle w:val="TableParagraph"/>
              <w:spacing w:before="31"/>
              <w:ind w:left="164"/>
              <w:rPr>
                <w:sz w:val="18"/>
              </w:rPr>
            </w:pPr>
            <w:r>
              <w:rPr>
                <w:color w:val="231F20"/>
                <w:sz w:val="18"/>
              </w:rPr>
              <w:t>23.2</w:t>
            </w:r>
          </w:p>
        </w:tc>
        <w:tc>
          <w:tcPr>
            <w:tcW w:w="675" w:type="dxa"/>
          </w:tcPr>
          <w:p>
            <w:pPr>
              <w:pStyle w:val="TableParagraph"/>
              <w:spacing w:before="31"/>
              <w:ind w:right="184"/>
              <w:jc w:val="right"/>
              <w:rPr>
                <w:sz w:val="18"/>
              </w:rPr>
            </w:pPr>
            <w:r>
              <w:rPr>
                <w:color w:val="231F20"/>
                <w:sz w:val="18"/>
              </w:rPr>
              <w:t>11.4</w:t>
            </w:r>
          </w:p>
        </w:tc>
      </w:tr>
    </w:tbl>
    <w:p>
      <w:pPr>
        <w:spacing w:before="28"/>
        <w:ind w:left="1553" w:right="4279" w:firstLine="0"/>
        <w:jc w:val="left"/>
        <w:rPr>
          <w:sz w:val="18"/>
        </w:rPr>
      </w:pPr>
      <w:r>
        <w:rPr>
          <w:color w:val="231F20"/>
          <w:sz w:val="18"/>
        </w:rPr>
        <w:t>Fuente: Simón  y Vera, 2010.</w:t>
      </w:r>
    </w:p>
    <w:p>
      <w:pPr>
        <w:pStyle w:val="BodyText"/>
        <w:spacing w:before="6"/>
        <w:rPr>
          <w:sz w:val="24"/>
        </w:rPr>
      </w:pPr>
    </w:p>
    <w:p>
      <w:pPr>
        <w:spacing w:before="74"/>
        <w:ind w:left="1575" w:right="1575" w:firstLine="0"/>
        <w:jc w:val="center"/>
        <w:rPr>
          <w:sz w:val="20"/>
        </w:rPr>
      </w:pPr>
      <w:r>
        <w:rPr>
          <w:color w:val="231F20"/>
          <w:sz w:val="20"/>
        </w:rPr>
        <w:t>37</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48" w:firstLine="283"/>
        <w:jc w:val="both"/>
      </w:pPr>
      <w:r>
        <w:rPr>
          <w:color w:val="231F20"/>
        </w:rPr>
        <w:t>Si bien en 2007 la </w:t>
      </w:r>
      <w:r>
        <w:rPr>
          <w:color w:val="231F20"/>
          <w:spacing w:val="2"/>
        </w:rPr>
        <w:t>IED </w:t>
      </w:r>
      <w:r>
        <w:rPr>
          <w:color w:val="231F20"/>
        </w:rPr>
        <w:t>presentó </w:t>
      </w:r>
      <w:r>
        <w:rPr>
          <w:color w:val="231F20"/>
          <w:spacing w:val="3"/>
        </w:rPr>
        <w:t>un importante </w:t>
      </w:r>
      <w:r>
        <w:rPr>
          <w:color w:val="231F20"/>
          <w:spacing w:val="2"/>
        </w:rPr>
        <w:t>repunte </w:t>
      </w:r>
      <w:r>
        <w:rPr>
          <w:color w:val="231F20"/>
        </w:rPr>
        <w:t>de 27 </w:t>
      </w:r>
      <w:r>
        <w:rPr>
          <w:color w:val="231F20"/>
          <w:spacing w:val="2"/>
        </w:rPr>
        <w:t>millones </w:t>
      </w:r>
      <w:r>
        <w:rPr>
          <w:color w:val="231F20"/>
        </w:rPr>
        <w:t>de dóla- res, en el 2008 </w:t>
      </w:r>
      <w:r>
        <w:rPr>
          <w:color w:val="231F20"/>
          <w:spacing w:val="2"/>
        </w:rPr>
        <w:t>mostró índices decrecientes. </w:t>
      </w:r>
      <w:r>
        <w:rPr>
          <w:color w:val="231F20"/>
        </w:rPr>
        <w:t>No </w:t>
      </w:r>
      <w:r>
        <w:rPr>
          <w:color w:val="231F20"/>
          <w:spacing w:val="2"/>
        </w:rPr>
        <w:t>obstante, </w:t>
      </w:r>
      <w:r>
        <w:rPr>
          <w:color w:val="231F20"/>
        </w:rPr>
        <w:t>de </w:t>
      </w:r>
      <w:r>
        <w:rPr>
          <w:color w:val="231F20"/>
          <w:spacing w:val="2"/>
        </w:rPr>
        <w:t>acuerdo </w:t>
      </w:r>
      <w:r>
        <w:rPr>
          <w:color w:val="231F20"/>
        </w:rPr>
        <w:t>con la Comi- sión Económica </w:t>
      </w:r>
      <w:r>
        <w:rPr>
          <w:color w:val="231F20"/>
          <w:spacing w:val="3"/>
        </w:rPr>
        <w:t>para </w:t>
      </w:r>
      <w:r>
        <w:rPr>
          <w:color w:val="231F20"/>
          <w:spacing w:val="2"/>
        </w:rPr>
        <w:t>América Latina </w:t>
      </w:r>
      <w:r>
        <w:rPr>
          <w:color w:val="231F20"/>
        </w:rPr>
        <w:t>y el </w:t>
      </w:r>
      <w:r>
        <w:rPr>
          <w:color w:val="231F20"/>
          <w:spacing w:val="3"/>
        </w:rPr>
        <w:t>Caribe </w:t>
      </w:r>
      <w:r>
        <w:rPr>
          <w:color w:val="231F20"/>
          <w:spacing w:val="-5"/>
        </w:rPr>
        <w:t>(CEPAL), </w:t>
      </w:r>
      <w:r>
        <w:rPr>
          <w:color w:val="231F20"/>
        </w:rPr>
        <w:t>la IED en México </w:t>
      </w:r>
      <w:r>
        <w:rPr>
          <w:color w:val="231F20"/>
          <w:spacing w:val="3"/>
        </w:rPr>
        <w:t>to- talizó </w:t>
      </w:r>
      <w:r>
        <w:rPr>
          <w:color w:val="231F20"/>
        </w:rPr>
        <w:t>en 2007, </w:t>
      </w:r>
      <w:r>
        <w:rPr>
          <w:color w:val="231F20"/>
          <w:spacing w:val="-8"/>
        </w:rPr>
        <w:t>11 </w:t>
      </w:r>
      <w:r>
        <w:rPr>
          <w:color w:val="231F20"/>
          <w:spacing w:val="3"/>
        </w:rPr>
        <w:t>mil </w:t>
      </w:r>
      <w:r>
        <w:rPr>
          <w:color w:val="231F20"/>
          <w:spacing w:val="-10"/>
        </w:rPr>
        <w:t>417 </w:t>
      </w:r>
      <w:r>
        <w:rPr>
          <w:color w:val="231F20"/>
          <w:spacing w:val="2"/>
        </w:rPr>
        <w:t>millones </w:t>
      </w:r>
      <w:r>
        <w:rPr>
          <w:color w:val="231F20"/>
        </w:rPr>
        <w:t>de dólares, lo que </w:t>
      </w:r>
      <w:r>
        <w:rPr>
          <w:color w:val="231F20"/>
          <w:spacing w:val="2"/>
        </w:rPr>
        <w:t>representó </w:t>
      </w:r>
      <w:r>
        <w:rPr>
          <w:color w:val="231F20"/>
          <w:spacing w:val="3"/>
        </w:rPr>
        <w:t>una </w:t>
      </w:r>
      <w:r>
        <w:rPr>
          <w:color w:val="231F20"/>
        </w:rPr>
        <w:t>caída de </w:t>
      </w:r>
      <w:r>
        <w:rPr>
          <w:color w:val="231F20"/>
          <w:spacing w:val="-5"/>
        </w:rPr>
        <w:t>51.0% </w:t>
      </w:r>
      <w:r>
        <w:rPr>
          <w:color w:val="231F20"/>
          <w:spacing w:val="2"/>
        </w:rPr>
        <w:t>respecto </w:t>
      </w:r>
      <w:r>
        <w:rPr>
          <w:color w:val="231F20"/>
        </w:rPr>
        <w:t>a 2008. En su </w:t>
      </w:r>
      <w:r>
        <w:rPr>
          <w:color w:val="231F20"/>
          <w:spacing w:val="2"/>
        </w:rPr>
        <w:t>informe </w:t>
      </w:r>
      <w:r>
        <w:rPr>
          <w:color w:val="231F20"/>
        </w:rPr>
        <w:t>“La Inversión </w:t>
      </w:r>
      <w:r>
        <w:rPr>
          <w:color w:val="231F20"/>
          <w:spacing w:val="2"/>
        </w:rPr>
        <w:t>Extranjera </w:t>
      </w:r>
      <w:r>
        <w:rPr>
          <w:color w:val="231F20"/>
          <w:spacing w:val="3"/>
        </w:rPr>
        <w:t>Directa </w:t>
      </w:r>
      <w:r>
        <w:rPr>
          <w:color w:val="231F20"/>
        </w:rPr>
        <w:t>en </w:t>
      </w:r>
      <w:r>
        <w:rPr>
          <w:color w:val="231F20"/>
          <w:spacing w:val="3"/>
        </w:rPr>
        <w:t>Amé- </w:t>
      </w:r>
      <w:r>
        <w:rPr>
          <w:color w:val="231F20"/>
        </w:rPr>
        <w:t>rica </w:t>
      </w:r>
      <w:r>
        <w:rPr>
          <w:color w:val="231F20"/>
          <w:spacing w:val="3"/>
        </w:rPr>
        <w:t>Latina </w:t>
      </w:r>
      <w:r>
        <w:rPr>
          <w:color w:val="231F20"/>
        </w:rPr>
        <w:t>y el </w:t>
      </w:r>
      <w:r>
        <w:rPr>
          <w:color w:val="231F20"/>
          <w:spacing w:val="2"/>
        </w:rPr>
        <w:t>Caribe </w:t>
      </w:r>
      <w:r>
        <w:rPr>
          <w:color w:val="231F20"/>
        </w:rPr>
        <w:t>2009”, el </w:t>
      </w:r>
      <w:r>
        <w:rPr>
          <w:color w:val="231F20"/>
          <w:spacing w:val="2"/>
        </w:rPr>
        <w:t>organismo </w:t>
      </w:r>
      <w:r>
        <w:rPr>
          <w:color w:val="231F20"/>
        </w:rPr>
        <w:t>de Naciones </w:t>
      </w:r>
      <w:r>
        <w:rPr>
          <w:color w:val="231F20"/>
          <w:spacing w:val="2"/>
        </w:rPr>
        <w:t>Unidas </w:t>
      </w:r>
      <w:r>
        <w:rPr>
          <w:color w:val="231F20"/>
        </w:rPr>
        <w:t>precisó que pese  a la </w:t>
      </w:r>
      <w:r>
        <w:rPr>
          <w:color w:val="231F20"/>
          <w:spacing w:val="4"/>
        </w:rPr>
        <w:t>fuerte </w:t>
      </w:r>
      <w:r>
        <w:rPr>
          <w:color w:val="231F20"/>
          <w:spacing w:val="2"/>
        </w:rPr>
        <w:t>caída, </w:t>
      </w:r>
      <w:r>
        <w:rPr>
          <w:color w:val="231F20"/>
        </w:rPr>
        <w:t>México </w:t>
      </w:r>
      <w:r>
        <w:rPr>
          <w:color w:val="231F20"/>
          <w:spacing w:val="3"/>
        </w:rPr>
        <w:t>fue </w:t>
      </w:r>
      <w:r>
        <w:rPr>
          <w:color w:val="231F20"/>
        </w:rPr>
        <w:t>el </w:t>
      </w:r>
      <w:r>
        <w:rPr>
          <w:color w:val="231F20"/>
          <w:spacing w:val="3"/>
        </w:rPr>
        <w:t>segundo </w:t>
      </w:r>
      <w:r>
        <w:rPr>
          <w:color w:val="231F20"/>
        </w:rPr>
        <w:t>mayor inversionista en la región, </w:t>
      </w:r>
      <w:r>
        <w:rPr>
          <w:color w:val="231F20"/>
          <w:spacing w:val="2"/>
        </w:rPr>
        <w:t>con</w:t>
      </w:r>
      <w:r>
        <w:rPr>
          <w:color w:val="231F20"/>
          <w:spacing w:val="59"/>
        </w:rPr>
        <w:t> </w:t>
      </w:r>
      <w:r>
        <w:rPr>
          <w:color w:val="231F20"/>
        </w:rPr>
        <w:t>siete </w:t>
      </w:r>
      <w:r>
        <w:rPr>
          <w:color w:val="231F20"/>
          <w:spacing w:val="3"/>
        </w:rPr>
        <w:t>mil </w:t>
      </w:r>
      <w:r>
        <w:rPr>
          <w:color w:val="231F20"/>
          <w:spacing w:val="-3"/>
        </w:rPr>
        <w:t>598 </w:t>
      </w:r>
      <w:r>
        <w:rPr>
          <w:color w:val="231F20"/>
          <w:spacing w:val="2"/>
        </w:rPr>
        <w:t>millones </w:t>
      </w:r>
      <w:r>
        <w:rPr>
          <w:color w:val="231F20"/>
        </w:rPr>
        <w:t>de dólares </w:t>
      </w:r>
      <w:hyperlink r:id="rId26">
        <w:r>
          <w:rPr>
            <w:color w:val="231F20"/>
          </w:rPr>
          <w:t>http://csh.izt.uam.mx/cen_doc/cedefna/entrega/</w:t>
        </w:r>
      </w:hyperlink>
      <w:r>
        <w:rPr>
          <w:color w:val="231F20"/>
        </w:rPr>
        <w:t> </w:t>
      </w:r>
      <w:r>
        <w:rPr>
          <w:color w:val="231F20"/>
          <w:spacing w:val="2"/>
        </w:rPr>
        <w:t>ied.html </w:t>
      </w:r>
      <w:r>
        <w:rPr>
          <w:color w:val="231F20"/>
          <w:spacing w:val="-6"/>
        </w:rPr>
        <w:t>(12 </w:t>
      </w:r>
      <w:r>
        <w:rPr>
          <w:color w:val="231F20"/>
        </w:rPr>
        <w:t>de enero de</w:t>
      </w:r>
      <w:r>
        <w:rPr>
          <w:color w:val="231F20"/>
          <w:spacing w:val="44"/>
        </w:rPr>
        <w:t> </w:t>
      </w:r>
      <w:r>
        <w:rPr>
          <w:color w:val="231F20"/>
          <w:spacing w:val="-6"/>
        </w:rPr>
        <w:t>2013).</w:t>
      </w:r>
    </w:p>
    <w:p>
      <w:pPr>
        <w:pStyle w:val="BodyText"/>
      </w:pPr>
    </w:p>
    <w:p>
      <w:pPr>
        <w:pStyle w:val="BodyText"/>
        <w:spacing w:before="10"/>
        <w:rPr>
          <w:sz w:val="19"/>
        </w:rPr>
      </w:pPr>
    </w:p>
    <w:p>
      <w:pPr>
        <w:pStyle w:val="Heading2"/>
      </w:pPr>
      <w:r>
        <w:rPr>
          <w:color w:val="231F20"/>
        </w:rPr>
        <w:t>IED por país de origen</w:t>
      </w:r>
    </w:p>
    <w:p>
      <w:pPr>
        <w:pStyle w:val="BodyText"/>
        <w:spacing w:before="8"/>
        <w:rPr>
          <w:b/>
          <w:sz w:val="20"/>
        </w:rPr>
      </w:pPr>
    </w:p>
    <w:p>
      <w:pPr>
        <w:pStyle w:val="BodyText"/>
        <w:spacing w:line="247" w:lineRule="auto"/>
        <w:ind w:left="1554" w:right="1548" w:hanging="1"/>
        <w:jc w:val="both"/>
      </w:pPr>
      <w:r>
        <w:rPr>
          <w:color w:val="231F20"/>
        </w:rPr>
        <w:t>El flujo de capitales hacia los países en desarrollo fue aproximadamente de </w:t>
      </w:r>
      <w:r>
        <w:rPr>
          <w:color w:val="231F20"/>
          <w:spacing w:val="-4"/>
        </w:rPr>
        <w:t>25.0% </w:t>
      </w:r>
      <w:r>
        <w:rPr>
          <w:color w:val="231F20"/>
        </w:rPr>
        <w:t>del</w:t>
      </w:r>
      <w:r>
        <w:rPr>
          <w:color w:val="231F20"/>
          <w:spacing w:val="-8"/>
        </w:rPr>
        <w:t> </w:t>
      </w:r>
      <w:r>
        <w:rPr>
          <w:color w:val="231F20"/>
        </w:rPr>
        <w:t>total</w:t>
      </w:r>
      <w:r>
        <w:rPr>
          <w:color w:val="231F20"/>
          <w:spacing w:val="-8"/>
        </w:rPr>
        <w:t> </w:t>
      </w:r>
      <w:r>
        <w:rPr>
          <w:color w:val="231F20"/>
        </w:rPr>
        <w:t>de</w:t>
      </w:r>
      <w:r>
        <w:rPr>
          <w:color w:val="231F20"/>
          <w:spacing w:val="-8"/>
        </w:rPr>
        <w:t> </w:t>
      </w:r>
      <w:r>
        <w:rPr>
          <w:color w:val="231F20"/>
        </w:rPr>
        <w:t>inversión</w:t>
      </w:r>
      <w:r>
        <w:rPr>
          <w:color w:val="231F20"/>
          <w:spacing w:val="-8"/>
        </w:rPr>
        <w:t> </w:t>
      </w:r>
      <w:r>
        <w:rPr>
          <w:color w:val="231F20"/>
        </w:rPr>
        <w:t>extranjera.</w:t>
      </w:r>
      <w:r>
        <w:rPr>
          <w:color w:val="231F20"/>
          <w:spacing w:val="-8"/>
        </w:rPr>
        <w:t> </w:t>
      </w:r>
      <w:r>
        <w:rPr>
          <w:color w:val="231F20"/>
        </w:rPr>
        <w:t>De</w:t>
      </w:r>
      <w:r>
        <w:rPr>
          <w:color w:val="231F20"/>
          <w:spacing w:val="-8"/>
        </w:rPr>
        <w:t> </w:t>
      </w:r>
      <w:r>
        <w:rPr>
          <w:color w:val="231F20"/>
        </w:rPr>
        <w:t>ese</w:t>
      </w:r>
      <w:r>
        <w:rPr>
          <w:color w:val="231F20"/>
          <w:spacing w:val="-8"/>
        </w:rPr>
        <w:t> </w:t>
      </w:r>
      <w:r>
        <w:rPr>
          <w:color w:val="231F20"/>
        </w:rPr>
        <w:t>total,</w:t>
      </w:r>
      <w:r>
        <w:rPr>
          <w:color w:val="231F20"/>
          <w:spacing w:val="-8"/>
        </w:rPr>
        <w:t> </w:t>
      </w:r>
      <w:r>
        <w:rPr>
          <w:color w:val="231F20"/>
        </w:rPr>
        <w:t>aproximadamente</w:t>
      </w:r>
      <w:r>
        <w:rPr>
          <w:color w:val="231F20"/>
          <w:spacing w:val="-8"/>
        </w:rPr>
        <w:t> </w:t>
      </w:r>
      <w:r>
        <w:rPr>
          <w:color w:val="231F20"/>
        </w:rPr>
        <w:t>el</w:t>
      </w:r>
      <w:r>
        <w:rPr>
          <w:color w:val="231F20"/>
          <w:spacing w:val="-8"/>
        </w:rPr>
        <w:t> </w:t>
      </w:r>
      <w:r>
        <w:rPr>
          <w:color w:val="231F20"/>
          <w:spacing w:val="-5"/>
        </w:rPr>
        <w:t>13.0%</w:t>
      </w:r>
      <w:r>
        <w:rPr>
          <w:color w:val="231F20"/>
          <w:spacing w:val="-8"/>
        </w:rPr>
        <w:t> </w:t>
      </w:r>
      <w:r>
        <w:rPr>
          <w:color w:val="231F20"/>
        </w:rPr>
        <w:t>es</w:t>
      </w:r>
      <w:r>
        <w:rPr>
          <w:color w:val="231F20"/>
          <w:spacing w:val="-8"/>
        </w:rPr>
        <w:t> </w:t>
      </w:r>
      <w:r>
        <w:rPr>
          <w:color w:val="231F20"/>
        </w:rPr>
        <w:t>captado por América Latina y dentro de estos países México se encuentra entre los mayores receptores de capital, junto a Brasil, Chile, Colombia y Argentina. No obstante, es sabido</w:t>
      </w:r>
      <w:r>
        <w:rPr>
          <w:color w:val="231F20"/>
          <w:spacing w:val="-5"/>
        </w:rPr>
        <w:t> </w:t>
      </w:r>
      <w:r>
        <w:rPr>
          <w:color w:val="231F20"/>
        </w:rPr>
        <w:t>que</w:t>
      </w:r>
      <w:r>
        <w:rPr>
          <w:color w:val="231F20"/>
          <w:spacing w:val="-5"/>
        </w:rPr>
        <w:t> </w:t>
      </w:r>
      <w:r>
        <w:rPr>
          <w:color w:val="231F20"/>
        </w:rPr>
        <w:t>a</w:t>
      </w:r>
      <w:r>
        <w:rPr>
          <w:color w:val="231F20"/>
          <w:spacing w:val="-5"/>
        </w:rPr>
        <w:t> </w:t>
      </w:r>
      <w:r>
        <w:rPr>
          <w:color w:val="231F20"/>
        </w:rPr>
        <w:t>pesar</w:t>
      </w:r>
      <w:r>
        <w:rPr>
          <w:color w:val="231F20"/>
          <w:spacing w:val="-5"/>
        </w:rPr>
        <w:t> </w:t>
      </w:r>
      <w:r>
        <w:rPr>
          <w:color w:val="231F20"/>
        </w:rPr>
        <w:t>del</w:t>
      </w:r>
      <w:r>
        <w:rPr>
          <w:color w:val="231F20"/>
          <w:spacing w:val="-5"/>
        </w:rPr>
        <w:t> </w:t>
      </w:r>
      <w:r>
        <w:rPr>
          <w:color w:val="231F20"/>
        </w:rPr>
        <w:t>crecimiento</w:t>
      </w:r>
      <w:r>
        <w:rPr>
          <w:color w:val="231F20"/>
          <w:spacing w:val="-5"/>
        </w:rPr>
        <w:t> </w:t>
      </w:r>
      <w:r>
        <w:rPr>
          <w:color w:val="231F20"/>
        </w:rPr>
        <w:t>del</w:t>
      </w:r>
      <w:r>
        <w:rPr>
          <w:color w:val="231F20"/>
          <w:spacing w:val="-5"/>
        </w:rPr>
        <w:t> </w:t>
      </w:r>
      <w:r>
        <w:rPr>
          <w:color w:val="231F20"/>
        </w:rPr>
        <w:t>flujo</w:t>
      </w:r>
      <w:r>
        <w:rPr>
          <w:color w:val="231F20"/>
          <w:spacing w:val="-5"/>
        </w:rPr>
        <w:t> </w:t>
      </w:r>
      <w:r>
        <w:rPr>
          <w:color w:val="231F20"/>
        </w:rPr>
        <w:t>de</w:t>
      </w:r>
      <w:r>
        <w:rPr>
          <w:color w:val="231F20"/>
          <w:spacing w:val="-5"/>
        </w:rPr>
        <w:t> </w:t>
      </w:r>
      <w:r>
        <w:rPr>
          <w:color w:val="231F20"/>
        </w:rPr>
        <w:t>capital</w:t>
      </w:r>
      <w:r>
        <w:rPr>
          <w:color w:val="231F20"/>
          <w:spacing w:val="-5"/>
        </w:rPr>
        <w:t> </w:t>
      </w:r>
      <w:r>
        <w:rPr>
          <w:color w:val="231F20"/>
        </w:rPr>
        <w:t>hacia</w:t>
      </w:r>
      <w:r>
        <w:rPr>
          <w:color w:val="231F20"/>
          <w:spacing w:val="-5"/>
        </w:rPr>
        <w:t> </w:t>
      </w:r>
      <w:r>
        <w:rPr>
          <w:color w:val="231F20"/>
        </w:rPr>
        <w:t>los</w:t>
      </w:r>
      <w:r>
        <w:rPr>
          <w:color w:val="231F20"/>
          <w:spacing w:val="-5"/>
        </w:rPr>
        <w:t> </w:t>
      </w:r>
      <w:r>
        <w:rPr>
          <w:color w:val="231F20"/>
        </w:rPr>
        <w:t>países</w:t>
      </w:r>
      <w:r>
        <w:rPr>
          <w:color w:val="231F20"/>
          <w:spacing w:val="-5"/>
        </w:rPr>
        <w:t> </w:t>
      </w:r>
      <w:r>
        <w:rPr>
          <w:color w:val="231F20"/>
        </w:rPr>
        <w:t>en</w:t>
      </w:r>
      <w:r>
        <w:rPr>
          <w:color w:val="231F20"/>
          <w:spacing w:val="-5"/>
        </w:rPr>
        <w:t> </w:t>
      </w:r>
      <w:r>
        <w:rPr>
          <w:color w:val="231F20"/>
        </w:rPr>
        <w:t>desarrollo, México</w:t>
      </w:r>
      <w:r>
        <w:rPr>
          <w:color w:val="231F20"/>
          <w:spacing w:val="-7"/>
        </w:rPr>
        <w:t> </w:t>
      </w:r>
      <w:r>
        <w:rPr>
          <w:color w:val="231F20"/>
        </w:rPr>
        <w:t>no</w:t>
      </w:r>
      <w:r>
        <w:rPr>
          <w:color w:val="231F20"/>
          <w:spacing w:val="-7"/>
        </w:rPr>
        <w:t> </w:t>
      </w:r>
      <w:r>
        <w:rPr>
          <w:color w:val="231F20"/>
        </w:rPr>
        <w:t>ha</w:t>
      </w:r>
      <w:r>
        <w:rPr>
          <w:color w:val="231F20"/>
          <w:spacing w:val="-7"/>
        </w:rPr>
        <w:t> </w:t>
      </w:r>
      <w:r>
        <w:rPr>
          <w:color w:val="231F20"/>
        </w:rPr>
        <w:t>podido</w:t>
      </w:r>
      <w:r>
        <w:rPr>
          <w:color w:val="231F20"/>
          <w:spacing w:val="-7"/>
        </w:rPr>
        <w:t> </w:t>
      </w:r>
      <w:r>
        <w:rPr>
          <w:color w:val="231F20"/>
        </w:rPr>
        <w:t>aprovechar</w:t>
      </w:r>
      <w:r>
        <w:rPr>
          <w:color w:val="231F20"/>
          <w:spacing w:val="-7"/>
        </w:rPr>
        <w:t> </w:t>
      </w:r>
      <w:r>
        <w:rPr>
          <w:color w:val="231F20"/>
        </w:rPr>
        <w:t>dichos</w:t>
      </w:r>
      <w:r>
        <w:rPr>
          <w:color w:val="231F20"/>
          <w:spacing w:val="-7"/>
        </w:rPr>
        <w:t> </w:t>
      </w:r>
      <w:r>
        <w:rPr>
          <w:color w:val="231F20"/>
        </w:rPr>
        <w:t>ingresos,</w:t>
      </w:r>
      <w:r>
        <w:rPr>
          <w:color w:val="231F20"/>
          <w:spacing w:val="-7"/>
        </w:rPr>
        <w:t> </w:t>
      </w:r>
      <w:r>
        <w:rPr>
          <w:color w:val="231F20"/>
        </w:rPr>
        <w:t>pues</w:t>
      </w:r>
      <w:r>
        <w:rPr>
          <w:color w:val="231F20"/>
          <w:spacing w:val="-7"/>
        </w:rPr>
        <w:t> </w:t>
      </w:r>
      <w:r>
        <w:rPr>
          <w:color w:val="231F20"/>
        </w:rPr>
        <w:t>se</w:t>
      </w:r>
      <w:r>
        <w:rPr>
          <w:color w:val="231F20"/>
          <w:spacing w:val="-7"/>
        </w:rPr>
        <w:t> </w:t>
      </w:r>
      <w:r>
        <w:rPr>
          <w:color w:val="231F20"/>
        </w:rPr>
        <w:t>encuentra</w:t>
      </w:r>
      <w:r>
        <w:rPr>
          <w:color w:val="231F20"/>
          <w:spacing w:val="-7"/>
        </w:rPr>
        <w:t> </w:t>
      </w:r>
      <w:r>
        <w:rPr>
          <w:color w:val="231F20"/>
        </w:rPr>
        <w:t>entre</w:t>
      </w:r>
      <w:r>
        <w:rPr>
          <w:color w:val="231F20"/>
          <w:spacing w:val="-7"/>
        </w:rPr>
        <w:t> </w:t>
      </w:r>
      <w:r>
        <w:rPr>
          <w:color w:val="231F20"/>
        </w:rPr>
        <w:t>los</w:t>
      </w:r>
      <w:r>
        <w:rPr>
          <w:color w:val="231F20"/>
          <w:spacing w:val="-7"/>
        </w:rPr>
        <w:t> </w:t>
      </w:r>
      <w:r>
        <w:rPr>
          <w:color w:val="231F20"/>
        </w:rPr>
        <w:t>peores desempeños económicos en América Latina. Los flujos de IED hacia México, pro- venientes de Estados Unidos de Norteamérica son los que han predominado, sin embargo, en </w:t>
      </w:r>
      <w:r>
        <w:rPr>
          <w:color w:val="231F20"/>
          <w:spacing w:val="-3"/>
        </w:rPr>
        <w:t>2001 </w:t>
      </w:r>
      <w:r>
        <w:rPr>
          <w:color w:val="231F20"/>
        </w:rPr>
        <w:t>inició una tendencia claramente declinante, cuando desciende la actividad económica de dicho país, debido a que la IED se liga directamente al in- greso generado por éste país, pero además hay una mayor competencia de las eco- nomías asiáticas y especialmente de la economía China, pues la IED fundamental- mente se transforma en empresas transnacionales y en la llamada “maquila”. Ello sugiere que parte de la IED se ha trasladado hacia las economías asiáticas </w:t>
      </w:r>
      <w:r>
        <w:rPr>
          <w:color w:val="231F20"/>
          <w:spacing w:val="-7"/>
        </w:rPr>
        <w:t>y, </w:t>
      </w:r>
      <w:r>
        <w:rPr>
          <w:color w:val="231F20"/>
        </w:rPr>
        <w:t>en menor</w:t>
      </w:r>
      <w:r>
        <w:rPr>
          <w:color w:val="231F20"/>
          <w:spacing w:val="-11"/>
        </w:rPr>
        <w:t> </w:t>
      </w:r>
      <w:r>
        <w:rPr>
          <w:color w:val="231F20"/>
        </w:rPr>
        <w:t>medida</w:t>
      </w:r>
      <w:r>
        <w:rPr>
          <w:color w:val="231F20"/>
          <w:spacing w:val="-10"/>
        </w:rPr>
        <w:t> </w:t>
      </w:r>
      <w:r>
        <w:rPr>
          <w:color w:val="231F20"/>
        </w:rPr>
        <w:t>hacia</w:t>
      </w:r>
      <w:r>
        <w:rPr>
          <w:color w:val="231F20"/>
          <w:spacing w:val="-11"/>
        </w:rPr>
        <w:t> </w:t>
      </w:r>
      <w:r>
        <w:rPr>
          <w:color w:val="231F20"/>
        </w:rPr>
        <w:t>las</w:t>
      </w:r>
      <w:r>
        <w:rPr>
          <w:color w:val="231F20"/>
          <w:spacing w:val="-11"/>
        </w:rPr>
        <w:t> </w:t>
      </w:r>
      <w:r>
        <w:rPr>
          <w:color w:val="231F20"/>
        </w:rPr>
        <w:t>economías</w:t>
      </w:r>
      <w:r>
        <w:rPr>
          <w:color w:val="231F20"/>
          <w:spacing w:val="-11"/>
        </w:rPr>
        <w:t> </w:t>
      </w:r>
      <w:r>
        <w:rPr>
          <w:color w:val="231F20"/>
        </w:rPr>
        <w:t>centroamericanas,</w:t>
      </w:r>
      <w:r>
        <w:rPr>
          <w:color w:val="231F20"/>
          <w:spacing w:val="-11"/>
        </w:rPr>
        <w:t> </w:t>
      </w:r>
      <w:r>
        <w:rPr>
          <w:color w:val="231F20"/>
        </w:rPr>
        <w:t>como</w:t>
      </w:r>
      <w:r>
        <w:rPr>
          <w:color w:val="231F20"/>
          <w:spacing w:val="-11"/>
        </w:rPr>
        <w:t> </w:t>
      </w:r>
      <w:r>
        <w:rPr>
          <w:color w:val="231F20"/>
        </w:rPr>
        <w:t>Guatemala,</w:t>
      </w:r>
      <w:r>
        <w:rPr>
          <w:color w:val="231F20"/>
          <w:spacing w:val="-10"/>
        </w:rPr>
        <w:t> </w:t>
      </w:r>
      <w:r>
        <w:rPr>
          <w:color w:val="231F20"/>
        </w:rPr>
        <w:t>El</w:t>
      </w:r>
      <w:r>
        <w:rPr>
          <w:color w:val="231F20"/>
          <w:spacing w:val="-10"/>
        </w:rPr>
        <w:t> </w:t>
      </w:r>
      <w:r>
        <w:rPr>
          <w:color w:val="231F20"/>
        </w:rPr>
        <w:t>Salvador y Honduras (De la Rosa,</w:t>
      </w:r>
      <w:r>
        <w:rPr>
          <w:color w:val="231F20"/>
          <w:spacing w:val="9"/>
        </w:rPr>
        <w:t> </w:t>
      </w:r>
      <w:r>
        <w:rPr>
          <w:color w:val="231F20"/>
          <w:spacing w:val="-10"/>
        </w:rPr>
        <w:t>2011).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p>
    <w:p>
      <w:pPr>
        <w:spacing w:before="0"/>
        <w:ind w:left="1575" w:right="1575" w:firstLine="0"/>
        <w:jc w:val="center"/>
        <w:rPr>
          <w:sz w:val="20"/>
        </w:rPr>
      </w:pPr>
      <w:r>
        <w:rPr>
          <w:color w:val="231F20"/>
          <w:sz w:val="20"/>
        </w:rPr>
        <w:t>38</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1576" w:right="1548" w:firstLine="0"/>
        <w:jc w:val="center"/>
        <w:rPr>
          <w:sz w:val="20"/>
        </w:rPr>
      </w:pPr>
      <w:r>
        <w:rPr>
          <w:color w:val="231F20"/>
          <w:sz w:val="20"/>
        </w:rPr>
        <w:t>L</w:t>
      </w:r>
      <w:r>
        <w:rPr>
          <w:color w:val="231F20"/>
          <w:sz w:val="14"/>
        </w:rPr>
        <w:t>A  INVERSIÓN  EXTRANJERA DIRECTA  EN EL  CRECIMIENTO ECONÓMICO DE  </w:t>
      </w:r>
      <w:r>
        <w:rPr>
          <w:color w:val="231F20"/>
          <w:sz w:val="20"/>
        </w:rPr>
        <w:t>M</w:t>
      </w:r>
      <w:r>
        <w:rPr>
          <w:color w:val="231F20"/>
          <w:sz w:val="14"/>
        </w:rPr>
        <w:t>ÉXICO</w:t>
      </w:r>
      <w:r>
        <w:rPr>
          <w:color w:val="231F20"/>
          <w:sz w:val="20"/>
        </w:rPr>
        <w:t>, 1970-2012</w:t>
      </w:r>
    </w:p>
    <w:p>
      <w:pPr>
        <w:pStyle w:val="BodyText"/>
        <w:rPr>
          <w:sz w:val="20"/>
        </w:rPr>
      </w:pPr>
    </w:p>
    <w:p>
      <w:pPr>
        <w:pStyle w:val="BodyText"/>
        <w:spacing w:before="5"/>
        <w:rPr>
          <w:sz w:val="17"/>
        </w:rPr>
      </w:pPr>
    </w:p>
    <w:p>
      <w:pPr>
        <w:pStyle w:val="Heading5"/>
        <w:spacing w:line="247" w:lineRule="auto"/>
      </w:pPr>
      <w:r>
        <w:rPr>
          <w:color w:val="231F20"/>
        </w:rPr>
        <w:t>Figura 1. IED a México por país de origen, 1980-1993 (Participación porcentual de flujos acumulados)</w:t>
      </w:r>
    </w:p>
    <w:p>
      <w:pPr>
        <w:pStyle w:val="BodyText"/>
        <w:spacing w:before="7"/>
        <w:rPr>
          <w:b/>
          <w:sz w:val="21"/>
        </w:rPr>
      </w:pPr>
      <w:r>
        <w:rPr/>
        <w:drawing>
          <wp:anchor distT="0" distB="0" distL="0" distR="0" allowOverlap="1" layoutInCell="1" locked="0" behindDoc="0" simplePos="0" relativeHeight="1072">
            <wp:simplePos x="0" y="0"/>
            <wp:positionH relativeFrom="page">
              <wp:posOffset>1151026</wp:posOffset>
            </wp:positionH>
            <wp:positionV relativeFrom="paragraph">
              <wp:posOffset>183111</wp:posOffset>
            </wp:positionV>
            <wp:extent cx="4307058" cy="1786889"/>
            <wp:effectExtent l="0" t="0" r="0" b="0"/>
            <wp:wrapTopAndBottom/>
            <wp:docPr id="3" name="image5.jpeg" descr=""/>
            <wp:cNvGraphicFramePr>
              <a:graphicFrameLocks noChangeAspect="1"/>
            </wp:cNvGraphicFramePr>
            <a:graphic>
              <a:graphicData uri="http://schemas.openxmlformats.org/drawingml/2006/picture">
                <pic:pic>
                  <pic:nvPicPr>
                    <pic:cNvPr id="4" name="image5.jpeg"/>
                    <pic:cNvPicPr/>
                  </pic:nvPicPr>
                  <pic:blipFill>
                    <a:blip r:embed="rId27" cstate="print"/>
                    <a:stretch>
                      <a:fillRect/>
                    </a:stretch>
                  </pic:blipFill>
                  <pic:spPr>
                    <a:xfrm>
                      <a:off x="0" y="0"/>
                      <a:ext cx="4307058" cy="1786889"/>
                    </a:xfrm>
                    <a:prstGeom prst="rect">
                      <a:avLst/>
                    </a:prstGeom>
                  </pic:spPr>
                </pic:pic>
              </a:graphicData>
            </a:graphic>
          </wp:anchor>
        </w:drawing>
      </w:r>
    </w:p>
    <w:p>
      <w:pPr>
        <w:spacing w:before="100"/>
        <w:ind w:left="1553" w:right="0" w:firstLine="0"/>
        <w:jc w:val="left"/>
        <w:rPr>
          <w:sz w:val="18"/>
        </w:rPr>
      </w:pPr>
      <w:r>
        <w:rPr>
          <w:color w:val="231F20"/>
          <w:sz w:val="18"/>
        </w:rPr>
        <w:t>Fuente: Secretaría de Economía, 2013. Dirección General de Inversión Extranjera.</w:t>
      </w:r>
    </w:p>
    <w:p>
      <w:pPr>
        <w:pStyle w:val="BodyText"/>
        <w:rPr>
          <w:sz w:val="18"/>
        </w:rPr>
      </w:pPr>
    </w:p>
    <w:p>
      <w:pPr>
        <w:pStyle w:val="Heading5"/>
        <w:spacing w:line="247" w:lineRule="auto" w:before="120"/>
      </w:pPr>
      <w:r>
        <w:rPr>
          <w:color w:val="231F20"/>
        </w:rPr>
        <w:t>Figura 2. IED a México por país de origen, 1994-2012 (Participación porcentual de flujos acumulados)</w:t>
      </w:r>
    </w:p>
    <w:p>
      <w:pPr>
        <w:pStyle w:val="BodyText"/>
        <w:spacing w:before="7"/>
        <w:rPr>
          <w:b/>
          <w:sz w:val="21"/>
        </w:rPr>
      </w:pPr>
      <w:r>
        <w:rPr/>
        <w:drawing>
          <wp:anchor distT="0" distB="0" distL="0" distR="0" allowOverlap="1" layoutInCell="1" locked="0" behindDoc="0" simplePos="0" relativeHeight="1096">
            <wp:simplePos x="0" y="0"/>
            <wp:positionH relativeFrom="page">
              <wp:posOffset>1123289</wp:posOffset>
            </wp:positionH>
            <wp:positionV relativeFrom="paragraph">
              <wp:posOffset>183110</wp:posOffset>
            </wp:positionV>
            <wp:extent cx="4419367" cy="2231136"/>
            <wp:effectExtent l="0" t="0" r="0" b="0"/>
            <wp:wrapTopAndBottom/>
            <wp:docPr id="5" name="image6.jpeg" descr=""/>
            <wp:cNvGraphicFramePr>
              <a:graphicFrameLocks noChangeAspect="1"/>
            </wp:cNvGraphicFramePr>
            <a:graphic>
              <a:graphicData uri="http://schemas.openxmlformats.org/drawingml/2006/picture">
                <pic:pic>
                  <pic:nvPicPr>
                    <pic:cNvPr id="6" name="image6.jpeg"/>
                    <pic:cNvPicPr/>
                  </pic:nvPicPr>
                  <pic:blipFill>
                    <a:blip r:embed="rId28" cstate="print"/>
                    <a:stretch>
                      <a:fillRect/>
                    </a:stretch>
                  </pic:blipFill>
                  <pic:spPr>
                    <a:xfrm>
                      <a:off x="0" y="0"/>
                      <a:ext cx="4419367" cy="2231136"/>
                    </a:xfrm>
                    <a:prstGeom prst="rect">
                      <a:avLst/>
                    </a:prstGeom>
                  </pic:spPr>
                </pic:pic>
              </a:graphicData>
            </a:graphic>
          </wp:anchor>
        </w:drawing>
      </w:r>
    </w:p>
    <w:p>
      <w:pPr>
        <w:spacing w:before="59"/>
        <w:ind w:left="1553" w:right="0" w:firstLine="0"/>
        <w:jc w:val="left"/>
        <w:rPr>
          <w:sz w:val="18"/>
        </w:rPr>
      </w:pPr>
      <w:r>
        <w:rPr>
          <w:color w:val="231F20"/>
          <w:sz w:val="18"/>
        </w:rPr>
        <w:t>Fuente: Secretaría de Economía, 2013. Dirección General de Inversión Extranjera.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p>
    <w:p>
      <w:pPr>
        <w:spacing w:before="0"/>
        <w:ind w:left="1575" w:right="1575" w:firstLine="0"/>
        <w:jc w:val="center"/>
        <w:rPr>
          <w:sz w:val="20"/>
        </w:rPr>
      </w:pPr>
      <w:r>
        <w:rPr>
          <w:color w:val="231F20"/>
          <w:sz w:val="20"/>
        </w:rPr>
        <w:t>39</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51" w:firstLine="283"/>
        <w:jc w:val="both"/>
      </w:pPr>
      <w:r>
        <w:rPr>
          <w:color w:val="231F20"/>
        </w:rPr>
        <w:t>Lo</w:t>
      </w:r>
      <w:r>
        <w:rPr>
          <w:color w:val="231F20"/>
          <w:spacing w:val="-7"/>
        </w:rPr>
        <w:t> </w:t>
      </w:r>
      <w:r>
        <w:rPr>
          <w:color w:val="231F20"/>
        </w:rPr>
        <w:t>anterior</w:t>
      </w:r>
      <w:r>
        <w:rPr>
          <w:color w:val="231F20"/>
          <w:spacing w:val="-7"/>
        </w:rPr>
        <w:t> </w:t>
      </w:r>
      <w:r>
        <w:rPr>
          <w:color w:val="231F20"/>
        </w:rPr>
        <w:t>se</w:t>
      </w:r>
      <w:r>
        <w:rPr>
          <w:color w:val="231F20"/>
          <w:spacing w:val="-7"/>
        </w:rPr>
        <w:t> </w:t>
      </w:r>
      <w:r>
        <w:rPr>
          <w:color w:val="231F20"/>
        </w:rPr>
        <w:t>corrobora</w:t>
      </w:r>
      <w:r>
        <w:rPr>
          <w:color w:val="231F20"/>
          <w:spacing w:val="-7"/>
        </w:rPr>
        <w:t> </w:t>
      </w:r>
      <w:r>
        <w:rPr>
          <w:color w:val="231F20"/>
        </w:rPr>
        <w:t>con</w:t>
      </w:r>
      <w:r>
        <w:rPr>
          <w:color w:val="231F20"/>
          <w:spacing w:val="-7"/>
        </w:rPr>
        <w:t> </w:t>
      </w:r>
      <w:r>
        <w:rPr>
          <w:color w:val="231F20"/>
        </w:rPr>
        <w:t>lo</w:t>
      </w:r>
      <w:r>
        <w:rPr>
          <w:color w:val="231F20"/>
          <w:spacing w:val="-7"/>
        </w:rPr>
        <w:t> </w:t>
      </w:r>
      <w:r>
        <w:rPr>
          <w:color w:val="231F20"/>
        </w:rPr>
        <w:t>siguiente:</w:t>
      </w:r>
      <w:r>
        <w:rPr>
          <w:color w:val="231F20"/>
          <w:spacing w:val="-7"/>
        </w:rPr>
        <w:t> </w:t>
      </w:r>
      <w:r>
        <w:rPr>
          <w:color w:val="231F20"/>
        </w:rPr>
        <w:t>durante</w:t>
      </w:r>
      <w:r>
        <w:rPr>
          <w:color w:val="231F20"/>
          <w:spacing w:val="-7"/>
        </w:rPr>
        <w:t> </w:t>
      </w:r>
      <w:r>
        <w:rPr>
          <w:color w:val="231F20"/>
        </w:rPr>
        <w:t>el</w:t>
      </w:r>
      <w:r>
        <w:rPr>
          <w:color w:val="231F20"/>
          <w:spacing w:val="-7"/>
        </w:rPr>
        <w:t> </w:t>
      </w:r>
      <w:r>
        <w:rPr>
          <w:color w:val="231F20"/>
        </w:rPr>
        <w:t>periodo</w:t>
      </w:r>
      <w:r>
        <w:rPr>
          <w:color w:val="231F20"/>
          <w:spacing w:val="-7"/>
        </w:rPr>
        <w:t> </w:t>
      </w:r>
      <w:r>
        <w:rPr>
          <w:color w:val="231F20"/>
          <w:spacing w:val="-5"/>
        </w:rPr>
        <w:t>1980-1993</w:t>
      </w:r>
      <w:r>
        <w:rPr>
          <w:color w:val="231F20"/>
          <w:spacing w:val="-7"/>
        </w:rPr>
        <w:t> </w:t>
      </w:r>
      <w:r>
        <w:rPr>
          <w:color w:val="231F20"/>
        </w:rPr>
        <w:t>predomi- nó el capital proveniente de Estados Unidos de Norteamérica, con </w:t>
      </w:r>
      <w:r>
        <w:rPr>
          <w:color w:val="231F20"/>
          <w:spacing w:val="2"/>
        </w:rPr>
        <w:t>un </w:t>
      </w:r>
      <w:r>
        <w:rPr>
          <w:color w:val="231F20"/>
          <w:spacing w:val="-5"/>
        </w:rPr>
        <w:t>61.5%, </w:t>
      </w:r>
      <w:r>
        <w:rPr>
          <w:color w:val="231F20"/>
        </w:rPr>
        <w:t>mien- </w:t>
      </w:r>
      <w:r>
        <w:rPr>
          <w:color w:val="231F20"/>
          <w:spacing w:val="2"/>
        </w:rPr>
        <w:t>tras </w:t>
      </w:r>
      <w:r>
        <w:rPr>
          <w:color w:val="231F20"/>
        </w:rPr>
        <w:t>que para el periodo </w:t>
      </w:r>
      <w:r>
        <w:rPr>
          <w:color w:val="231F20"/>
          <w:spacing w:val="-5"/>
        </w:rPr>
        <w:t>1994-2012 </w:t>
      </w:r>
      <w:r>
        <w:rPr>
          <w:color w:val="231F20"/>
        </w:rPr>
        <w:t>descendió a </w:t>
      </w:r>
      <w:r>
        <w:rPr>
          <w:color w:val="231F20"/>
          <w:spacing w:val="-6"/>
        </w:rPr>
        <w:t>51.6%, </w:t>
      </w:r>
      <w:r>
        <w:rPr>
          <w:color w:val="231F20"/>
        </w:rPr>
        <w:t>ver figuras 1 y 2 (Secretaría de Economía,</w:t>
      </w:r>
      <w:r>
        <w:rPr>
          <w:color w:val="231F20"/>
          <w:spacing w:val="5"/>
        </w:rPr>
        <w:t> </w:t>
      </w:r>
      <w:r>
        <w:rPr>
          <w:color w:val="231F20"/>
          <w:spacing w:val="-8"/>
        </w:rPr>
        <w:t>2013).</w:t>
      </w:r>
    </w:p>
    <w:p>
      <w:pPr>
        <w:pStyle w:val="BodyText"/>
      </w:pPr>
    </w:p>
    <w:p>
      <w:pPr>
        <w:pStyle w:val="BodyText"/>
        <w:spacing w:before="10"/>
        <w:rPr>
          <w:sz w:val="19"/>
        </w:rPr>
      </w:pPr>
    </w:p>
    <w:p>
      <w:pPr>
        <w:pStyle w:val="Heading2"/>
        <w:spacing w:before="1"/>
      </w:pPr>
      <w:r>
        <w:rPr>
          <w:color w:val="231F20"/>
        </w:rPr>
        <w:t>IED por sectores económicos</w:t>
      </w:r>
    </w:p>
    <w:p>
      <w:pPr>
        <w:pStyle w:val="BodyText"/>
        <w:spacing w:before="8"/>
        <w:rPr>
          <w:b/>
          <w:sz w:val="20"/>
        </w:rPr>
      </w:pPr>
    </w:p>
    <w:p>
      <w:pPr>
        <w:pStyle w:val="BodyText"/>
        <w:spacing w:line="247" w:lineRule="auto"/>
        <w:ind w:left="1553" w:right="1550"/>
        <w:jc w:val="both"/>
      </w:pPr>
      <w:r>
        <w:rPr>
          <w:color w:val="231F20"/>
        </w:rPr>
        <w:t>A</w:t>
      </w:r>
      <w:r>
        <w:rPr>
          <w:color w:val="231F20"/>
          <w:spacing w:val="-6"/>
        </w:rPr>
        <w:t> </w:t>
      </w:r>
      <w:r>
        <w:rPr>
          <w:color w:val="231F20"/>
        </w:rPr>
        <w:t>nivel</w:t>
      </w:r>
      <w:r>
        <w:rPr>
          <w:color w:val="231F20"/>
          <w:spacing w:val="-6"/>
        </w:rPr>
        <w:t> </w:t>
      </w:r>
      <w:r>
        <w:rPr>
          <w:color w:val="231F20"/>
        </w:rPr>
        <w:t>de</w:t>
      </w:r>
      <w:r>
        <w:rPr>
          <w:color w:val="231F20"/>
          <w:spacing w:val="-6"/>
        </w:rPr>
        <w:t> </w:t>
      </w:r>
      <w:r>
        <w:rPr>
          <w:color w:val="231F20"/>
          <w:spacing w:val="2"/>
        </w:rPr>
        <w:t>gran</w:t>
      </w:r>
      <w:r>
        <w:rPr>
          <w:color w:val="231F20"/>
          <w:spacing w:val="-6"/>
        </w:rPr>
        <w:t> </w:t>
      </w:r>
      <w:r>
        <w:rPr>
          <w:color w:val="231F20"/>
        </w:rPr>
        <w:t>sector</w:t>
      </w:r>
      <w:r>
        <w:rPr>
          <w:color w:val="231F20"/>
          <w:spacing w:val="-6"/>
        </w:rPr>
        <w:t> </w:t>
      </w:r>
      <w:r>
        <w:rPr>
          <w:color w:val="231F20"/>
        </w:rPr>
        <w:t>de</w:t>
      </w:r>
      <w:r>
        <w:rPr>
          <w:color w:val="231F20"/>
          <w:spacing w:val="-6"/>
        </w:rPr>
        <w:t> </w:t>
      </w:r>
      <w:r>
        <w:rPr>
          <w:color w:val="231F20"/>
        </w:rPr>
        <w:t>destino,</w:t>
      </w:r>
      <w:r>
        <w:rPr>
          <w:color w:val="231F20"/>
          <w:spacing w:val="-6"/>
        </w:rPr>
        <w:t> </w:t>
      </w:r>
      <w:r>
        <w:rPr>
          <w:color w:val="231F20"/>
        </w:rPr>
        <w:t>la</w:t>
      </w:r>
      <w:r>
        <w:rPr>
          <w:color w:val="231F20"/>
          <w:spacing w:val="-6"/>
        </w:rPr>
        <w:t> </w:t>
      </w:r>
      <w:r>
        <w:rPr>
          <w:color w:val="231F20"/>
        </w:rPr>
        <w:t>IED</w:t>
      </w:r>
      <w:r>
        <w:rPr>
          <w:color w:val="231F20"/>
          <w:spacing w:val="-6"/>
        </w:rPr>
        <w:t> </w:t>
      </w:r>
      <w:r>
        <w:rPr>
          <w:color w:val="231F20"/>
        </w:rPr>
        <w:t>a</w:t>
      </w:r>
      <w:r>
        <w:rPr>
          <w:color w:val="231F20"/>
          <w:spacing w:val="-6"/>
        </w:rPr>
        <w:t> </w:t>
      </w:r>
      <w:r>
        <w:rPr>
          <w:color w:val="231F20"/>
        </w:rPr>
        <w:t>México,</w:t>
      </w:r>
      <w:r>
        <w:rPr>
          <w:color w:val="231F20"/>
          <w:spacing w:val="-6"/>
        </w:rPr>
        <w:t> </w:t>
      </w:r>
      <w:r>
        <w:rPr>
          <w:color w:val="231F20"/>
        </w:rPr>
        <w:t>no</w:t>
      </w:r>
      <w:r>
        <w:rPr>
          <w:color w:val="231F20"/>
          <w:spacing w:val="-6"/>
        </w:rPr>
        <w:t> </w:t>
      </w:r>
      <w:r>
        <w:rPr>
          <w:color w:val="231F20"/>
        </w:rPr>
        <w:t>ha</w:t>
      </w:r>
      <w:r>
        <w:rPr>
          <w:color w:val="231F20"/>
          <w:spacing w:val="-6"/>
        </w:rPr>
        <w:t> </w:t>
      </w:r>
      <w:r>
        <w:rPr>
          <w:color w:val="231F20"/>
        </w:rPr>
        <w:t>sufrido</w:t>
      </w:r>
      <w:r>
        <w:rPr>
          <w:color w:val="231F20"/>
          <w:spacing w:val="-6"/>
        </w:rPr>
        <w:t> </w:t>
      </w:r>
      <w:r>
        <w:rPr>
          <w:color w:val="231F20"/>
        </w:rPr>
        <w:t>cambios</w:t>
      </w:r>
      <w:r>
        <w:rPr>
          <w:color w:val="231F20"/>
          <w:spacing w:val="-6"/>
        </w:rPr>
        <w:t> </w:t>
      </w:r>
      <w:r>
        <w:rPr>
          <w:color w:val="231F20"/>
        </w:rPr>
        <w:t>significa- tivos, ya que en el periodo </w:t>
      </w:r>
      <w:r>
        <w:rPr>
          <w:color w:val="231F20"/>
          <w:spacing w:val="-5"/>
        </w:rPr>
        <w:t>1980-1993, </w:t>
      </w:r>
      <w:r>
        <w:rPr>
          <w:color w:val="231F20"/>
        </w:rPr>
        <w:t>el sector industrial </w:t>
      </w:r>
      <w:r>
        <w:rPr>
          <w:color w:val="231F20"/>
          <w:spacing w:val="-4"/>
        </w:rPr>
        <w:t>(que </w:t>
      </w:r>
      <w:r>
        <w:rPr>
          <w:color w:val="231F20"/>
        </w:rPr>
        <w:t>incluye la construc- ción, electricidad y manufacturas) captó </w:t>
      </w:r>
      <w:r>
        <w:rPr>
          <w:color w:val="231F20"/>
          <w:spacing w:val="-6"/>
        </w:rPr>
        <w:t>50.7% </w:t>
      </w:r>
      <w:r>
        <w:rPr>
          <w:color w:val="231F20"/>
        </w:rPr>
        <w:t>de ésta, mientras que el mismo sec- tor, en el periodo </w:t>
      </w:r>
      <w:r>
        <w:rPr>
          <w:color w:val="231F20"/>
          <w:spacing w:val="-5"/>
        </w:rPr>
        <w:t>1994-2012 </w:t>
      </w:r>
      <w:r>
        <w:rPr>
          <w:color w:val="231F20"/>
        </w:rPr>
        <w:t>captó el </w:t>
      </w:r>
      <w:r>
        <w:rPr>
          <w:color w:val="231F20"/>
          <w:spacing w:val="-7"/>
        </w:rPr>
        <w:t>49.7%. </w:t>
      </w:r>
      <w:r>
        <w:rPr>
          <w:color w:val="231F20"/>
        </w:rPr>
        <w:t>En ambos periodos al sector industrial siguieron, el sector servicios con </w:t>
      </w:r>
      <w:r>
        <w:rPr>
          <w:color w:val="231F20"/>
          <w:spacing w:val="-6"/>
        </w:rPr>
        <w:t>38.7 </w:t>
      </w:r>
      <w:r>
        <w:rPr>
          <w:color w:val="231F20"/>
        </w:rPr>
        <w:t>y </w:t>
      </w:r>
      <w:r>
        <w:rPr>
          <w:color w:val="231F20"/>
          <w:spacing w:val="-6"/>
        </w:rPr>
        <w:t>37.2% </w:t>
      </w:r>
      <w:r>
        <w:rPr>
          <w:color w:val="231F20"/>
        </w:rPr>
        <w:t>respectivamente para cada periodo, y el sector comercio con </w:t>
      </w:r>
      <w:r>
        <w:rPr>
          <w:color w:val="231F20"/>
          <w:spacing w:val="-5"/>
        </w:rPr>
        <w:t>9.3 </w:t>
      </w:r>
      <w:r>
        <w:rPr>
          <w:color w:val="231F20"/>
        </w:rPr>
        <w:t>y </w:t>
      </w:r>
      <w:r>
        <w:rPr>
          <w:color w:val="231F20"/>
          <w:spacing w:val="-7"/>
        </w:rPr>
        <w:t>9.4% </w:t>
      </w:r>
      <w:r>
        <w:rPr>
          <w:color w:val="231F20"/>
        </w:rPr>
        <w:t>respectivamente para cada periodo. Asimismo, durante el periodo </w:t>
      </w:r>
      <w:r>
        <w:rPr>
          <w:color w:val="231F20"/>
          <w:spacing w:val="-4"/>
        </w:rPr>
        <w:t>1994-2012, </w:t>
      </w:r>
      <w:r>
        <w:rPr>
          <w:color w:val="231F20"/>
        </w:rPr>
        <w:t>las manufacturas captaron el mayor porcentaje de IED</w:t>
      </w:r>
      <w:r>
        <w:rPr>
          <w:color w:val="231F20"/>
          <w:spacing w:val="-7"/>
        </w:rPr>
        <w:t> </w:t>
      </w:r>
      <w:r>
        <w:rPr>
          <w:color w:val="231F20"/>
        </w:rPr>
        <w:t>a</w:t>
      </w:r>
      <w:r>
        <w:rPr>
          <w:color w:val="231F20"/>
          <w:spacing w:val="-7"/>
        </w:rPr>
        <w:t> </w:t>
      </w:r>
      <w:r>
        <w:rPr>
          <w:color w:val="231F20"/>
        </w:rPr>
        <w:t>México</w:t>
      </w:r>
      <w:r>
        <w:rPr>
          <w:color w:val="231F20"/>
          <w:spacing w:val="-7"/>
        </w:rPr>
        <w:t> </w:t>
      </w:r>
      <w:r>
        <w:rPr>
          <w:color w:val="231F20"/>
        </w:rPr>
        <w:t>con</w:t>
      </w:r>
      <w:r>
        <w:rPr>
          <w:color w:val="231F20"/>
          <w:spacing w:val="-7"/>
        </w:rPr>
        <w:t> </w:t>
      </w:r>
      <w:r>
        <w:rPr>
          <w:color w:val="231F20"/>
          <w:spacing w:val="2"/>
        </w:rPr>
        <w:t>un</w:t>
      </w:r>
      <w:r>
        <w:rPr>
          <w:color w:val="231F20"/>
          <w:spacing w:val="-7"/>
        </w:rPr>
        <w:t> </w:t>
      </w:r>
      <w:r>
        <w:rPr>
          <w:color w:val="231F20"/>
          <w:spacing w:val="-4"/>
        </w:rPr>
        <w:t>45.8%,</w:t>
      </w:r>
      <w:r>
        <w:rPr>
          <w:color w:val="231F20"/>
          <w:spacing w:val="-7"/>
        </w:rPr>
        <w:t> </w:t>
      </w:r>
      <w:r>
        <w:rPr>
          <w:color w:val="231F20"/>
        </w:rPr>
        <w:t>siguiéndole</w:t>
      </w:r>
      <w:r>
        <w:rPr>
          <w:color w:val="231F20"/>
          <w:spacing w:val="-7"/>
        </w:rPr>
        <w:t> </w:t>
      </w:r>
      <w:r>
        <w:rPr>
          <w:color w:val="231F20"/>
        </w:rPr>
        <w:t>los</w:t>
      </w:r>
      <w:r>
        <w:rPr>
          <w:color w:val="231F20"/>
          <w:spacing w:val="-7"/>
        </w:rPr>
        <w:t> </w:t>
      </w:r>
      <w:r>
        <w:rPr>
          <w:color w:val="231F20"/>
        </w:rPr>
        <w:t>servicios</w:t>
      </w:r>
      <w:r>
        <w:rPr>
          <w:color w:val="231F20"/>
          <w:spacing w:val="-7"/>
        </w:rPr>
        <w:t> </w:t>
      </w:r>
      <w:r>
        <w:rPr>
          <w:color w:val="231F20"/>
        </w:rPr>
        <w:t>financieros</w:t>
      </w:r>
      <w:r>
        <w:rPr>
          <w:color w:val="231F20"/>
          <w:spacing w:val="-7"/>
        </w:rPr>
        <w:t> </w:t>
      </w:r>
      <w:r>
        <w:rPr>
          <w:color w:val="231F20"/>
        </w:rPr>
        <w:t>con</w:t>
      </w:r>
      <w:r>
        <w:rPr>
          <w:color w:val="231F20"/>
          <w:spacing w:val="-7"/>
        </w:rPr>
        <w:t> </w:t>
      </w:r>
      <w:r>
        <w:rPr>
          <w:color w:val="231F20"/>
          <w:spacing w:val="2"/>
        </w:rPr>
        <w:t>un</w:t>
      </w:r>
      <w:r>
        <w:rPr>
          <w:color w:val="231F20"/>
          <w:spacing w:val="-7"/>
        </w:rPr>
        <w:t> </w:t>
      </w:r>
      <w:r>
        <w:rPr>
          <w:color w:val="231F20"/>
          <w:spacing w:val="-5"/>
        </w:rPr>
        <w:t>18.0%</w:t>
      </w:r>
      <w:r>
        <w:rPr>
          <w:color w:val="231F20"/>
          <w:spacing w:val="-7"/>
        </w:rPr>
        <w:t> </w:t>
      </w:r>
      <w:r>
        <w:rPr>
          <w:color w:val="231F20"/>
        </w:rPr>
        <w:t>y</w:t>
      </w:r>
      <w:r>
        <w:rPr>
          <w:color w:val="231F20"/>
          <w:spacing w:val="-7"/>
        </w:rPr>
        <w:t> </w:t>
      </w:r>
      <w:r>
        <w:rPr>
          <w:color w:val="231F20"/>
        </w:rPr>
        <w:t>el comercio con </w:t>
      </w:r>
      <w:r>
        <w:rPr>
          <w:color w:val="231F20"/>
          <w:spacing w:val="-5"/>
        </w:rPr>
        <w:t>9.4%, </w:t>
      </w:r>
      <w:r>
        <w:rPr>
          <w:color w:val="231F20"/>
        </w:rPr>
        <w:t>ver figuras </w:t>
      </w:r>
      <w:r>
        <w:rPr>
          <w:color w:val="231F20"/>
          <w:spacing w:val="-3"/>
        </w:rPr>
        <w:t>3, </w:t>
      </w:r>
      <w:r>
        <w:rPr>
          <w:color w:val="231F20"/>
        </w:rPr>
        <w:t>4 y 5 (Secretaría de Economía,</w:t>
      </w:r>
      <w:r>
        <w:rPr>
          <w:color w:val="231F20"/>
          <w:spacing w:val="-6"/>
        </w:rPr>
        <w:t> </w:t>
      </w:r>
      <w:r>
        <w:rPr>
          <w:color w:val="231F20"/>
          <w:spacing w:val="-8"/>
        </w:rPr>
        <w:t>2013).</w:t>
      </w:r>
    </w:p>
    <w:p>
      <w:pPr>
        <w:pStyle w:val="BodyText"/>
        <w:spacing w:before="1"/>
        <w:rPr>
          <w:sz w:val="27"/>
        </w:rPr>
      </w:pPr>
    </w:p>
    <w:p>
      <w:pPr>
        <w:pStyle w:val="Heading5"/>
        <w:spacing w:line="247" w:lineRule="auto"/>
        <w:ind w:left="2999" w:right="1864" w:hanging="657"/>
        <w:jc w:val="left"/>
      </w:pPr>
      <w:r>
        <w:rPr>
          <w:color w:val="231F20"/>
        </w:rPr>
        <w:t>Figura 3. IED a México por gran sector de destino, 1980-1993 (Participación porcentual de flujos acumulados)</w:t>
      </w:r>
    </w:p>
    <w:p>
      <w:pPr>
        <w:pStyle w:val="BodyText"/>
        <w:spacing w:before="7"/>
        <w:rPr>
          <w:b/>
          <w:sz w:val="21"/>
        </w:rPr>
      </w:pPr>
      <w:r>
        <w:rPr/>
        <w:drawing>
          <wp:anchor distT="0" distB="0" distL="0" distR="0" allowOverlap="1" layoutInCell="1" locked="0" behindDoc="0" simplePos="0" relativeHeight="1120">
            <wp:simplePos x="0" y="0"/>
            <wp:positionH relativeFrom="page">
              <wp:posOffset>1068819</wp:posOffset>
            </wp:positionH>
            <wp:positionV relativeFrom="paragraph">
              <wp:posOffset>182894</wp:posOffset>
            </wp:positionV>
            <wp:extent cx="4512833" cy="2346483"/>
            <wp:effectExtent l="0" t="0" r="0" b="0"/>
            <wp:wrapTopAndBottom/>
            <wp:docPr id="7" name="image7.png" descr=""/>
            <wp:cNvGraphicFramePr>
              <a:graphicFrameLocks noChangeAspect="1"/>
            </wp:cNvGraphicFramePr>
            <a:graphic>
              <a:graphicData uri="http://schemas.openxmlformats.org/drawingml/2006/picture">
                <pic:pic>
                  <pic:nvPicPr>
                    <pic:cNvPr id="8" name="image7.png"/>
                    <pic:cNvPicPr/>
                  </pic:nvPicPr>
                  <pic:blipFill>
                    <a:blip r:embed="rId30" cstate="print"/>
                    <a:stretch>
                      <a:fillRect/>
                    </a:stretch>
                  </pic:blipFill>
                  <pic:spPr>
                    <a:xfrm>
                      <a:off x="0" y="0"/>
                      <a:ext cx="4512833" cy="2346483"/>
                    </a:xfrm>
                    <a:prstGeom prst="rect">
                      <a:avLst/>
                    </a:prstGeom>
                  </pic:spPr>
                </pic:pic>
              </a:graphicData>
            </a:graphic>
          </wp:anchor>
        </w:drawing>
      </w:r>
    </w:p>
    <w:p>
      <w:pPr>
        <w:spacing w:before="71"/>
        <w:ind w:left="1553" w:right="0" w:firstLine="0"/>
        <w:jc w:val="both"/>
        <w:rPr>
          <w:sz w:val="18"/>
        </w:rPr>
      </w:pPr>
      <w:r>
        <w:rPr>
          <w:color w:val="231F20"/>
          <w:sz w:val="18"/>
        </w:rPr>
        <w:t>Fuente: Secretaría de Economía, 2013. Dirección General de Inversión Extranjera.</w:t>
      </w:r>
    </w:p>
    <w:p>
      <w:pPr>
        <w:pStyle w:val="BodyText"/>
        <w:rPr>
          <w:sz w:val="20"/>
        </w:rPr>
      </w:pPr>
    </w:p>
    <w:p>
      <w:pPr>
        <w:pStyle w:val="BodyText"/>
        <w:spacing w:before="4"/>
        <w:rPr>
          <w:sz w:val="20"/>
        </w:rPr>
      </w:pPr>
    </w:p>
    <w:p>
      <w:pPr>
        <w:spacing w:before="74"/>
        <w:ind w:left="1575" w:right="1575" w:firstLine="0"/>
        <w:jc w:val="center"/>
        <w:rPr>
          <w:sz w:val="20"/>
        </w:rPr>
      </w:pPr>
      <w:r>
        <w:rPr>
          <w:color w:val="231F20"/>
          <w:sz w:val="20"/>
        </w:rPr>
        <w:t>40</w:t>
      </w:r>
    </w:p>
    <w:p>
      <w:pPr>
        <w:spacing w:after="0"/>
        <w:jc w:val="center"/>
        <w:rPr>
          <w:sz w:val="20"/>
        </w:rPr>
        <w:sectPr>
          <w:footerReference w:type="default" r:id="rId29"/>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1576" w:right="1548" w:firstLine="0"/>
        <w:jc w:val="center"/>
        <w:rPr>
          <w:sz w:val="20"/>
        </w:rPr>
      </w:pPr>
      <w:r>
        <w:rPr>
          <w:color w:val="231F20"/>
          <w:sz w:val="20"/>
        </w:rPr>
        <w:t>L</w:t>
      </w:r>
      <w:r>
        <w:rPr>
          <w:color w:val="231F20"/>
          <w:sz w:val="14"/>
        </w:rPr>
        <w:t>A  INVERSIÓN  EXTRANJERA DIRECTA  EN EL  CRECIMIENTO ECONÓMICO DE  </w:t>
      </w:r>
      <w:r>
        <w:rPr>
          <w:color w:val="231F20"/>
          <w:sz w:val="20"/>
        </w:rPr>
        <w:t>M</w:t>
      </w:r>
      <w:r>
        <w:rPr>
          <w:color w:val="231F20"/>
          <w:sz w:val="14"/>
        </w:rPr>
        <w:t>ÉXICO</w:t>
      </w:r>
      <w:r>
        <w:rPr>
          <w:color w:val="231F20"/>
          <w:sz w:val="20"/>
        </w:rPr>
        <w:t>, 1970-2012</w:t>
      </w:r>
    </w:p>
    <w:p>
      <w:pPr>
        <w:pStyle w:val="BodyText"/>
        <w:rPr>
          <w:sz w:val="20"/>
        </w:rPr>
      </w:pPr>
    </w:p>
    <w:p>
      <w:pPr>
        <w:pStyle w:val="BodyText"/>
        <w:spacing w:before="5"/>
        <w:rPr>
          <w:sz w:val="17"/>
        </w:rPr>
      </w:pPr>
    </w:p>
    <w:p>
      <w:pPr>
        <w:pStyle w:val="Heading5"/>
        <w:ind w:left="1575" w:right="1575"/>
      </w:pPr>
      <w:r>
        <w:rPr>
          <w:color w:val="231F20"/>
        </w:rPr>
        <w:t>Figura 4. IED a México por gran sector de destino, 1994-2012</w:t>
      </w:r>
    </w:p>
    <w:p>
      <w:pPr>
        <w:spacing w:before="16"/>
        <w:ind w:left="1575" w:right="1575" w:firstLine="0"/>
        <w:jc w:val="center"/>
        <w:rPr>
          <w:b/>
          <w:sz w:val="24"/>
        </w:rPr>
      </w:pPr>
      <w:r>
        <w:rPr>
          <w:b/>
          <w:color w:val="231F20"/>
          <w:sz w:val="24"/>
        </w:rPr>
        <w:t>(Participación porcentual de flujos acumulados)</w:t>
      </w:r>
    </w:p>
    <w:p>
      <w:pPr>
        <w:pStyle w:val="BodyText"/>
        <w:spacing w:before="10"/>
        <w:rPr>
          <w:b/>
          <w:sz w:val="21"/>
        </w:rPr>
      </w:pPr>
      <w:r>
        <w:rPr/>
        <w:drawing>
          <wp:anchor distT="0" distB="0" distL="0" distR="0" allowOverlap="1" layoutInCell="1" locked="0" behindDoc="0" simplePos="0" relativeHeight="1144">
            <wp:simplePos x="0" y="0"/>
            <wp:positionH relativeFrom="page">
              <wp:posOffset>1204874</wp:posOffset>
            </wp:positionH>
            <wp:positionV relativeFrom="paragraph">
              <wp:posOffset>185029</wp:posOffset>
            </wp:positionV>
            <wp:extent cx="4252023" cy="2318289"/>
            <wp:effectExtent l="0" t="0" r="0" b="0"/>
            <wp:wrapTopAndBottom/>
            <wp:docPr id="9" name="image8.png" descr=""/>
            <wp:cNvGraphicFramePr>
              <a:graphicFrameLocks noChangeAspect="1"/>
            </wp:cNvGraphicFramePr>
            <a:graphic>
              <a:graphicData uri="http://schemas.openxmlformats.org/drawingml/2006/picture">
                <pic:pic>
                  <pic:nvPicPr>
                    <pic:cNvPr id="10" name="image8.png"/>
                    <pic:cNvPicPr/>
                  </pic:nvPicPr>
                  <pic:blipFill>
                    <a:blip r:embed="rId32" cstate="print"/>
                    <a:stretch>
                      <a:fillRect/>
                    </a:stretch>
                  </pic:blipFill>
                  <pic:spPr>
                    <a:xfrm>
                      <a:off x="0" y="0"/>
                      <a:ext cx="4252023" cy="2318289"/>
                    </a:xfrm>
                    <a:prstGeom prst="rect">
                      <a:avLst/>
                    </a:prstGeom>
                  </pic:spPr>
                </pic:pic>
              </a:graphicData>
            </a:graphic>
          </wp:anchor>
        </w:drawing>
      </w:r>
    </w:p>
    <w:p>
      <w:pPr>
        <w:spacing w:before="61"/>
        <w:ind w:left="1553" w:right="0" w:firstLine="0"/>
        <w:jc w:val="left"/>
        <w:rPr>
          <w:sz w:val="18"/>
        </w:rPr>
      </w:pPr>
      <w:r>
        <w:rPr>
          <w:color w:val="231F20"/>
          <w:sz w:val="18"/>
        </w:rPr>
        <w:t>Fuente: Secretaría de Economía, 2013. Dirección General de Inversión Extranjera.</w:t>
      </w:r>
    </w:p>
    <w:p>
      <w:pPr>
        <w:pStyle w:val="BodyText"/>
        <w:rPr>
          <w:sz w:val="18"/>
        </w:rPr>
      </w:pPr>
    </w:p>
    <w:p>
      <w:pPr>
        <w:pStyle w:val="Heading5"/>
        <w:spacing w:line="247" w:lineRule="auto" w:before="120"/>
      </w:pPr>
      <w:r>
        <w:rPr>
          <w:color w:val="231F20"/>
        </w:rPr>
        <w:t>Figura 5. IED a México por sectores de destino, 1994-2012 (Participación porcentual de flujos acumulados)</w:t>
      </w:r>
    </w:p>
    <w:p>
      <w:pPr>
        <w:pStyle w:val="BodyText"/>
        <w:spacing w:before="7"/>
        <w:rPr>
          <w:b/>
          <w:sz w:val="21"/>
        </w:rPr>
      </w:pPr>
      <w:r>
        <w:rPr/>
        <w:drawing>
          <wp:anchor distT="0" distB="0" distL="0" distR="0" allowOverlap="1" layoutInCell="1" locked="0" behindDoc="0" simplePos="0" relativeHeight="1168">
            <wp:simplePos x="0" y="0"/>
            <wp:positionH relativeFrom="page">
              <wp:posOffset>1252143</wp:posOffset>
            </wp:positionH>
            <wp:positionV relativeFrom="paragraph">
              <wp:posOffset>183097</wp:posOffset>
            </wp:positionV>
            <wp:extent cx="4112469" cy="2275998"/>
            <wp:effectExtent l="0" t="0" r="0" b="0"/>
            <wp:wrapTopAndBottom/>
            <wp:docPr id="11" name="image9.jpeg" descr=""/>
            <wp:cNvGraphicFramePr>
              <a:graphicFrameLocks noChangeAspect="1"/>
            </wp:cNvGraphicFramePr>
            <a:graphic>
              <a:graphicData uri="http://schemas.openxmlformats.org/drawingml/2006/picture">
                <pic:pic>
                  <pic:nvPicPr>
                    <pic:cNvPr id="12" name="image9.jpeg"/>
                    <pic:cNvPicPr/>
                  </pic:nvPicPr>
                  <pic:blipFill>
                    <a:blip r:embed="rId33" cstate="print"/>
                    <a:stretch>
                      <a:fillRect/>
                    </a:stretch>
                  </pic:blipFill>
                  <pic:spPr>
                    <a:xfrm>
                      <a:off x="0" y="0"/>
                      <a:ext cx="4112469" cy="2275998"/>
                    </a:xfrm>
                    <a:prstGeom prst="rect">
                      <a:avLst/>
                    </a:prstGeom>
                  </pic:spPr>
                </pic:pic>
              </a:graphicData>
            </a:graphic>
          </wp:anchor>
        </w:drawing>
      </w:r>
    </w:p>
    <w:p>
      <w:pPr>
        <w:spacing w:before="100"/>
        <w:ind w:left="1553" w:right="0" w:firstLine="0"/>
        <w:jc w:val="left"/>
        <w:rPr>
          <w:sz w:val="18"/>
        </w:rPr>
      </w:pPr>
      <w:r>
        <w:rPr>
          <w:color w:val="231F20"/>
          <w:sz w:val="18"/>
        </w:rPr>
        <w:t>Fuente: Secretaría de Economía, 2013. Dirección General de Inversión Extranjera.</w:t>
      </w:r>
    </w:p>
    <w:p>
      <w:pPr>
        <w:pStyle w:val="BodyText"/>
        <w:spacing w:before="11"/>
        <w:rPr>
          <w:sz w:val="12"/>
        </w:rPr>
      </w:pPr>
    </w:p>
    <w:p>
      <w:pPr>
        <w:spacing w:before="74"/>
        <w:ind w:left="1575" w:right="1575" w:firstLine="0"/>
        <w:jc w:val="center"/>
        <w:rPr>
          <w:sz w:val="20"/>
        </w:rPr>
      </w:pPr>
      <w:r>
        <w:rPr>
          <w:color w:val="231F20"/>
          <w:sz w:val="20"/>
        </w:rPr>
        <w:t>41</w:t>
      </w:r>
    </w:p>
    <w:p>
      <w:pPr>
        <w:spacing w:after="0"/>
        <w:jc w:val="center"/>
        <w:rPr>
          <w:sz w:val="20"/>
        </w:rPr>
        <w:sectPr>
          <w:footerReference w:type="default" r:id="rId31"/>
          <w:pgSz w:w="10480" w:h="13880"/>
          <w:pgMar w:footer="222" w:header="0" w:top="420" w:bottom="420" w:left="0" w:right="0"/>
          <w:pgNumType w:start="41"/>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Heading2"/>
        <w:spacing w:before="179"/>
      </w:pPr>
      <w:r>
        <w:rPr>
          <w:color w:val="231F20"/>
        </w:rPr>
        <w:t>Vínculos de la IED con el Crecimiento Económico</w:t>
      </w:r>
    </w:p>
    <w:p>
      <w:pPr>
        <w:pStyle w:val="BodyText"/>
        <w:spacing w:before="8"/>
        <w:rPr>
          <w:b/>
          <w:sz w:val="20"/>
        </w:rPr>
      </w:pPr>
    </w:p>
    <w:p>
      <w:pPr>
        <w:pStyle w:val="BodyText"/>
        <w:spacing w:line="247" w:lineRule="auto"/>
        <w:ind w:left="1554" w:right="1549" w:hanging="1"/>
        <w:jc w:val="both"/>
      </w:pPr>
      <w:r>
        <w:rPr>
          <w:color w:val="231F20"/>
        </w:rPr>
        <w:t>La participación de las diferentes economías se ha visto reflejada en el incremento de las transacciones financieras y en particular de los flujos de IED, considerados como uno de los elementos fundamentales para que los países en vías de desarrollo salgan de su condición actual. </w:t>
      </w:r>
      <w:r>
        <w:rPr>
          <w:color w:val="231F20"/>
          <w:spacing w:val="-12"/>
        </w:rPr>
        <w:t>Ya </w:t>
      </w:r>
      <w:r>
        <w:rPr>
          <w:color w:val="231F20"/>
        </w:rPr>
        <w:t>que se ha revelado como </w:t>
      </w:r>
      <w:r>
        <w:rPr>
          <w:color w:val="231F20"/>
          <w:spacing w:val="2"/>
        </w:rPr>
        <w:t>un </w:t>
      </w:r>
      <w:r>
        <w:rPr>
          <w:color w:val="231F20"/>
        </w:rPr>
        <w:t>canal para poder ac- ceder</w:t>
      </w:r>
      <w:r>
        <w:rPr>
          <w:color w:val="231F20"/>
          <w:spacing w:val="-10"/>
        </w:rPr>
        <w:t> </w:t>
      </w:r>
      <w:r>
        <w:rPr>
          <w:color w:val="231F20"/>
        </w:rPr>
        <w:t>a</w:t>
      </w:r>
      <w:r>
        <w:rPr>
          <w:color w:val="231F20"/>
          <w:spacing w:val="-10"/>
        </w:rPr>
        <w:t> </w:t>
      </w:r>
      <w:r>
        <w:rPr>
          <w:color w:val="231F20"/>
        </w:rPr>
        <w:t>nuevos</w:t>
      </w:r>
      <w:r>
        <w:rPr>
          <w:color w:val="231F20"/>
          <w:spacing w:val="-10"/>
        </w:rPr>
        <w:t> </w:t>
      </w:r>
      <w:r>
        <w:rPr>
          <w:color w:val="231F20"/>
        </w:rPr>
        <w:t>recursos</w:t>
      </w:r>
      <w:r>
        <w:rPr>
          <w:color w:val="231F20"/>
          <w:spacing w:val="-10"/>
        </w:rPr>
        <w:t> </w:t>
      </w:r>
      <w:r>
        <w:rPr>
          <w:color w:val="231F20"/>
        </w:rPr>
        <w:t>tecnológicos,</w:t>
      </w:r>
      <w:r>
        <w:rPr>
          <w:color w:val="231F20"/>
          <w:spacing w:val="-10"/>
        </w:rPr>
        <w:t> </w:t>
      </w:r>
      <w:r>
        <w:rPr>
          <w:color w:val="231F20"/>
        </w:rPr>
        <w:t>nuevas</w:t>
      </w:r>
      <w:r>
        <w:rPr>
          <w:color w:val="231F20"/>
          <w:spacing w:val="-10"/>
        </w:rPr>
        <w:t> </w:t>
      </w:r>
      <w:r>
        <w:rPr>
          <w:color w:val="231F20"/>
        </w:rPr>
        <w:t>técnicas</w:t>
      </w:r>
      <w:r>
        <w:rPr>
          <w:color w:val="231F20"/>
          <w:spacing w:val="-10"/>
        </w:rPr>
        <w:t> </w:t>
      </w:r>
      <w:r>
        <w:rPr>
          <w:color w:val="231F20"/>
        </w:rPr>
        <w:t>empresariales</w:t>
      </w:r>
      <w:r>
        <w:rPr>
          <w:color w:val="231F20"/>
          <w:spacing w:val="-10"/>
        </w:rPr>
        <w:t> </w:t>
      </w:r>
      <w:r>
        <w:rPr>
          <w:color w:val="231F20"/>
        </w:rPr>
        <w:t>y</w:t>
      </w:r>
      <w:r>
        <w:rPr>
          <w:color w:val="231F20"/>
          <w:spacing w:val="-10"/>
        </w:rPr>
        <w:t> </w:t>
      </w:r>
      <w:r>
        <w:rPr>
          <w:color w:val="231F20"/>
        </w:rPr>
        <w:t>otros</w:t>
      </w:r>
      <w:r>
        <w:rPr>
          <w:color w:val="231F20"/>
          <w:spacing w:val="-10"/>
        </w:rPr>
        <w:t> </w:t>
      </w:r>
      <w:r>
        <w:rPr>
          <w:color w:val="231F20"/>
        </w:rPr>
        <w:t>elemen- tos</w:t>
      </w:r>
      <w:r>
        <w:rPr>
          <w:color w:val="231F20"/>
          <w:spacing w:val="-6"/>
        </w:rPr>
        <w:t> </w:t>
      </w:r>
      <w:r>
        <w:rPr>
          <w:color w:val="231F20"/>
        </w:rPr>
        <w:t>que</w:t>
      </w:r>
      <w:r>
        <w:rPr>
          <w:color w:val="231F20"/>
          <w:spacing w:val="-5"/>
        </w:rPr>
        <w:t> </w:t>
      </w:r>
      <w:r>
        <w:rPr>
          <w:color w:val="231F20"/>
        </w:rPr>
        <w:t>provocan</w:t>
      </w:r>
      <w:r>
        <w:rPr>
          <w:color w:val="231F20"/>
          <w:spacing w:val="-5"/>
        </w:rPr>
        <w:t> </w:t>
      </w:r>
      <w:r>
        <w:rPr>
          <w:color w:val="231F20"/>
          <w:spacing w:val="2"/>
        </w:rPr>
        <w:t>un</w:t>
      </w:r>
      <w:r>
        <w:rPr>
          <w:color w:val="231F20"/>
          <w:spacing w:val="-5"/>
        </w:rPr>
        <w:t> </w:t>
      </w:r>
      <w:r>
        <w:rPr>
          <w:color w:val="231F20"/>
        </w:rPr>
        <w:t>incremento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stock</w:t>
      </w:r>
      <w:r>
        <w:rPr>
          <w:color w:val="231F20"/>
          <w:spacing w:val="-5"/>
        </w:rPr>
        <w:t> </w:t>
      </w:r>
      <w:r>
        <w:rPr>
          <w:color w:val="231F20"/>
        </w:rPr>
        <w:t>de</w:t>
      </w:r>
      <w:r>
        <w:rPr>
          <w:color w:val="231F20"/>
          <w:spacing w:val="-5"/>
        </w:rPr>
        <w:t> </w:t>
      </w:r>
      <w:r>
        <w:rPr>
          <w:color w:val="231F20"/>
        </w:rPr>
        <w:t>capital</w:t>
      </w:r>
      <w:r>
        <w:rPr>
          <w:color w:val="231F20"/>
          <w:spacing w:val="-5"/>
        </w:rPr>
        <w:t> </w:t>
      </w:r>
      <w:r>
        <w:rPr>
          <w:color w:val="231F20"/>
        </w:rPr>
        <w:t>del</w:t>
      </w:r>
      <w:r>
        <w:rPr>
          <w:color w:val="231F20"/>
          <w:spacing w:val="-5"/>
        </w:rPr>
        <w:t> </w:t>
      </w:r>
      <w:r>
        <w:rPr>
          <w:color w:val="231F20"/>
        </w:rPr>
        <w:t>país</w:t>
      </w:r>
      <w:r>
        <w:rPr>
          <w:color w:val="231F20"/>
          <w:spacing w:val="-5"/>
        </w:rPr>
        <w:t> </w:t>
      </w:r>
      <w:r>
        <w:rPr>
          <w:color w:val="231F20"/>
        </w:rPr>
        <w:t>receptor</w:t>
      </w:r>
      <w:r>
        <w:rPr>
          <w:color w:val="231F20"/>
          <w:spacing w:val="-5"/>
        </w:rPr>
        <w:t> </w:t>
      </w:r>
      <w:r>
        <w:rPr>
          <w:color w:val="231F20"/>
        </w:rPr>
        <w:t>con</w:t>
      </w:r>
      <w:r>
        <w:rPr>
          <w:color w:val="231F20"/>
          <w:spacing w:val="-6"/>
        </w:rPr>
        <w:t> </w:t>
      </w:r>
      <w:r>
        <w:rPr>
          <w:color w:val="231F20"/>
        </w:rPr>
        <w:t>la</w:t>
      </w:r>
      <w:r>
        <w:rPr>
          <w:color w:val="231F20"/>
          <w:spacing w:val="-6"/>
        </w:rPr>
        <w:t> </w:t>
      </w:r>
      <w:r>
        <w:rPr>
          <w:color w:val="231F20"/>
        </w:rPr>
        <w:t>finali- dad de impulsar el crecimiento económico (Bengoa y Sánchez-Robles,</w:t>
      </w:r>
      <w:r>
        <w:rPr>
          <w:color w:val="231F20"/>
          <w:spacing w:val="-32"/>
        </w:rPr>
        <w:t> </w:t>
      </w:r>
      <w:r>
        <w:rPr>
          <w:color w:val="231F20"/>
        </w:rPr>
        <w:t>2000).</w:t>
      </w:r>
    </w:p>
    <w:p>
      <w:pPr>
        <w:pStyle w:val="BodyText"/>
        <w:spacing w:line="247" w:lineRule="auto"/>
        <w:ind w:left="1554" w:right="1549" w:firstLine="283"/>
        <w:jc w:val="both"/>
      </w:pPr>
      <w:r>
        <w:rPr>
          <w:color w:val="231F20"/>
        </w:rPr>
        <w:t>De</w:t>
      </w:r>
      <w:r>
        <w:rPr>
          <w:color w:val="231F20"/>
          <w:spacing w:val="-6"/>
        </w:rPr>
        <w:t> </w:t>
      </w:r>
      <w:r>
        <w:rPr>
          <w:color w:val="231F20"/>
        </w:rPr>
        <w:t>acuerdo</w:t>
      </w:r>
      <w:r>
        <w:rPr>
          <w:color w:val="231F20"/>
          <w:spacing w:val="-6"/>
        </w:rPr>
        <w:t> </w:t>
      </w:r>
      <w:r>
        <w:rPr>
          <w:color w:val="231F20"/>
        </w:rPr>
        <w:t>con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Rosa</w:t>
      </w:r>
      <w:r>
        <w:rPr>
          <w:color w:val="231F20"/>
          <w:spacing w:val="-6"/>
        </w:rPr>
        <w:t> </w:t>
      </w:r>
      <w:r>
        <w:rPr>
          <w:color w:val="231F20"/>
          <w:spacing w:val="-9"/>
        </w:rPr>
        <w:t>(2011),</w:t>
      </w:r>
      <w:r>
        <w:rPr>
          <w:color w:val="231F20"/>
          <w:spacing w:val="-6"/>
        </w:rPr>
        <w:t> </w:t>
      </w:r>
      <w:r>
        <w:rPr>
          <w:color w:val="231F20"/>
        </w:rPr>
        <w:t>la</w:t>
      </w:r>
      <w:r>
        <w:rPr>
          <w:color w:val="231F20"/>
          <w:spacing w:val="-6"/>
        </w:rPr>
        <w:t> </w:t>
      </w:r>
      <w:r>
        <w:rPr>
          <w:color w:val="231F20"/>
        </w:rPr>
        <w:t>IED</w:t>
      </w:r>
      <w:r>
        <w:rPr>
          <w:color w:val="231F20"/>
          <w:spacing w:val="-6"/>
        </w:rPr>
        <w:t> </w:t>
      </w:r>
      <w:r>
        <w:rPr>
          <w:color w:val="231F20"/>
        </w:rPr>
        <w:t>está</w:t>
      </w:r>
      <w:r>
        <w:rPr>
          <w:color w:val="231F20"/>
          <w:spacing w:val="-6"/>
        </w:rPr>
        <w:t> </w:t>
      </w:r>
      <w:r>
        <w:rPr>
          <w:color w:val="231F20"/>
        </w:rPr>
        <w:t>relacionada</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mayor</w:t>
      </w:r>
      <w:r>
        <w:rPr>
          <w:color w:val="231F20"/>
          <w:spacing w:val="-6"/>
        </w:rPr>
        <w:t> </w:t>
      </w:r>
      <w:r>
        <w:rPr>
          <w:color w:val="231F20"/>
        </w:rPr>
        <w:t>posibili- dad de generar crecimiento y desarrollo. Esta se acaba convirtiendo en la existencia de empresas transnacionales y a </w:t>
      </w:r>
      <w:r>
        <w:rPr>
          <w:color w:val="231F20"/>
          <w:spacing w:val="2"/>
        </w:rPr>
        <w:t>partir </w:t>
      </w:r>
      <w:r>
        <w:rPr>
          <w:color w:val="231F20"/>
        </w:rPr>
        <w:t>de la liberalización de la economía, en la proliferación de maquiladoras.</w:t>
      </w:r>
    </w:p>
    <w:p>
      <w:pPr>
        <w:pStyle w:val="BodyText"/>
        <w:spacing w:line="247" w:lineRule="auto"/>
        <w:ind w:left="1554" w:right="1550" w:firstLine="283"/>
        <w:jc w:val="both"/>
      </w:pPr>
      <w:r>
        <w:rPr>
          <w:color w:val="231F20"/>
        </w:rPr>
        <w:t>La IED generalmente se asocia a la posibilidad de generar crecimiento económi- co porque actúa por varias vías:</w:t>
      </w:r>
    </w:p>
    <w:p>
      <w:pPr>
        <w:pStyle w:val="BodyText"/>
        <w:spacing w:before="6"/>
      </w:pPr>
    </w:p>
    <w:p>
      <w:pPr>
        <w:pStyle w:val="ListParagraph"/>
        <w:numPr>
          <w:ilvl w:val="0"/>
          <w:numId w:val="2"/>
        </w:numPr>
        <w:tabs>
          <w:tab w:pos="2197" w:val="left" w:leader="none"/>
          <w:tab w:pos="2198" w:val="left" w:leader="none"/>
        </w:tabs>
        <w:spacing w:line="247" w:lineRule="auto" w:before="1" w:after="0"/>
        <w:ind w:left="2197" w:right="1553" w:hanging="360"/>
        <w:jc w:val="left"/>
        <w:rPr>
          <w:sz w:val="22"/>
        </w:rPr>
      </w:pPr>
      <w:r>
        <w:rPr>
          <w:color w:val="231F20"/>
          <w:sz w:val="22"/>
        </w:rPr>
        <w:t>Ampliación de la posibilidad de formación de capital, como añadido a la in- versión</w:t>
      </w:r>
      <w:r>
        <w:rPr>
          <w:color w:val="231F20"/>
          <w:spacing w:val="-13"/>
          <w:sz w:val="22"/>
        </w:rPr>
        <w:t> </w:t>
      </w:r>
      <w:r>
        <w:rPr>
          <w:color w:val="231F20"/>
          <w:sz w:val="22"/>
        </w:rPr>
        <w:t>nacional</w:t>
      </w:r>
    </w:p>
    <w:p>
      <w:pPr>
        <w:pStyle w:val="ListParagraph"/>
        <w:numPr>
          <w:ilvl w:val="0"/>
          <w:numId w:val="2"/>
        </w:numPr>
        <w:tabs>
          <w:tab w:pos="2197" w:val="left" w:leader="none"/>
          <w:tab w:pos="2198" w:val="left" w:leader="none"/>
        </w:tabs>
        <w:spacing w:line="247" w:lineRule="auto" w:before="0" w:after="0"/>
        <w:ind w:left="2197" w:right="1551" w:hanging="360"/>
        <w:jc w:val="left"/>
        <w:rPr>
          <w:sz w:val="22"/>
        </w:rPr>
      </w:pPr>
      <w:r>
        <w:rPr>
          <w:color w:val="231F20"/>
          <w:sz w:val="22"/>
        </w:rPr>
        <w:t>Mayor difusión tecnológica por la posibilidad de generación de externalida- des</w:t>
      </w:r>
    </w:p>
    <w:p>
      <w:pPr>
        <w:pStyle w:val="ListParagraph"/>
        <w:numPr>
          <w:ilvl w:val="0"/>
          <w:numId w:val="2"/>
        </w:numPr>
        <w:tabs>
          <w:tab w:pos="2197" w:val="left" w:leader="none"/>
          <w:tab w:pos="2198" w:val="left" w:leader="none"/>
        </w:tabs>
        <w:spacing w:line="253" w:lineRule="exact" w:before="0" w:after="0"/>
        <w:ind w:left="2197" w:right="0" w:hanging="360"/>
        <w:jc w:val="left"/>
        <w:rPr>
          <w:sz w:val="22"/>
        </w:rPr>
      </w:pPr>
      <w:r>
        <w:rPr>
          <w:color w:val="231F20"/>
          <w:sz w:val="22"/>
        </w:rPr>
        <w:t>Prácticas administrativas y de</w:t>
      </w:r>
      <w:r>
        <w:rPr>
          <w:color w:val="231F20"/>
          <w:spacing w:val="23"/>
          <w:sz w:val="22"/>
        </w:rPr>
        <w:t> </w:t>
      </w:r>
      <w:r>
        <w:rPr>
          <w:color w:val="231F20"/>
          <w:sz w:val="22"/>
        </w:rPr>
        <w:t>mercado</w:t>
      </w:r>
    </w:p>
    <w:p>
      <w:pPr>
        <w:pStyle w:val="ListParagraph"/>
        <w:numPr>
          <w:ilvl w:val="0"/>
          <w:numId w:val="2"/>
        </w:numPr>
        <w:tabs>
          <w:tab w:pos="2198" w:val="left" w:leader="none"/>
        </w:tabs>
        <w:spacing w:line="240" w:lineRule="auto" w:before="7" w:after="0"/>
        <w:ind w:left="2197" w:right="0" w:hanging="360"/>
        <w:jc w:val="left"/>
        <w:rPr>
          <w:sz w:val="22"/>
        </w:rPr>
      </w:pPr>
      <w:r>
        <w:rPr>
          <w:color w:val="231F20"/>
          <w:sz w:val="22"/>
        </w:rPr>
        <w:t>Prácticas de mercado de alcance</w:t>
      </w:r>
      <w:r>
        <w:rPr>
          <w:color w:val="231F20"/>
          <w:spacing w:val="-3"/>
          <w:sz w:val="22"/>
        </w:rPr>
        <w:t> </w:t>
      </w:r>
      <w:r>
        <w:rPr>
          <w:color w:val="231F20"/>
          <w:sz w:val="22"/>
        </w:rPr>
        <w:t>mundial</w:t>
      </w:r>
    </w:p>
    <w:p>
      <w:pPr>
        <w:pStyle w:val="BodyText"/>
      </w:pPr>
    </w:p>
    <w:p>
      <w:pPr>
        <w:pStyle w:val="BodyText"/>
        <w:spacing w:before="6"/>
        <w:rPr>
          <w:sz w:val="20"/>
        </w:rPr>
      </w:pPr>
    </w:p>
    <w:p>
      <w:pPr>
        <w:pStyle w:val="Heading2"/>
      </w:pPr>
      <w:r>
        <w:rPr>
          <w:color w:val="231F20"/>
        </w:rPr>
        <w:t>Balanza de pagos y la IED</w:t>
      </w:r>
    </w:p>
    <w:p>
      <w:pPr>
        <w:pStyle w:val="BodyText"/>
        <w:spacing w:before="8"/>
        <w:rPr>
          <w:b/>
          <w:sz w:val="20"/>
        </w:rPr>
      </w:pPr>
    </w:p>
    <w:p>
      <w:pPr>
        <w:pStyle w:val="BodyText"/>
        <w:spacing w:line="247" w:lineRule="auto"/>
        <w:ind w:left="1553" w:right="1547"/>
        <w:jc w:val="both"/>
      </w:pPr>
      <w:r>
        <w:rPr>
          <w:color w:val="231F20"/>
        </w:rPr>
        <w:t>La balanza de pagos es una cuenta en donde se detalla la relación que mantiene una economía con el exterior. Así, la balanza de pagos es el registro sistemático de las transacciones comerciales y de capitales realizadas entre los residentes, fami- lias, empresas, instituciones públicas o privadas de un país frente al resto del mun- do y muestra los resultados positivos o negativos de las transacciones realizadas con el exterior en un período determinado. En México, la balanza de pagos se encuentra integrada por dos grandes cuentas: La cuenta corriente y la cuenta de capital.</w:t>
      </w:r>
    </w:p>
    <w:p>
      <w:pPr>
        <w:pStyle w:val="BodyText"/>
        <w:spacing w:line="247" w:lineRule="auto"/>
        <w:ind w:left="1553" w:right="1551" w:firstLine="283"/>
        <w:jc w:val="both"/>
      </w:pPr>
      <w:r>
        <w:rPr>
          <w:color w:val="231F20"/>
        </w:rPr>
        <w:t>La cuenta corriente que es la que registra todas las transacciones de bienes y servicios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economía.</w:t>
      </w:r>
      <w:r>
        <w:rPr>
          <w:color w:val="231F20"/>
          <w:spacing w:val="-7"/>
        </w:rPr>
        <w:t> </w:t>
      </w:r>
      <w:r>
        <w:rPr>
          <w:color w:val="231F20"/>
        </w:rPr>
        <w:t>Se</w:t>
      </w:r>
      <w:r>
        <w:rPr>
          <w:color w:val="231F20"/>
          <w:spacing w:val="-7"/>
        </w:rPr>
        <w:t> </w:t>
      </w:r>
      <w:r>
        <w:rPr>
          <w:color w:val="231F20"/>
        </w:rPr>
        <w:t>divide</w:t>
      </w:r>
      <w:r>
        <w:rPr>
          <w:color w:val="231F20"/>
          <w:spacing w:val="-7"/>
        </w:rPr>
        <w:t> </w:t>
      </w:r>
      <w:r>
        <w:rPr>
          <w:color w:val="231F20"/>
        </w:rPr>
        <w:t>en</w:t>
      </w:r>
      <w:r>
        <w:rPr>
          <w:color w:val="231F20"/>
          <w:spacing w:val="-7"/>
        </w:rPr>
        <w:t> </w:t>
      </w:r>
      <w:r>
        <w:rPr>
          <w:color w:val="231F20"/>
        </w:rPr>
        <w:t>ingresos</w:t>
      </w:r>
      <w:r>
        <w:rPr>
          <w:color w:val="231F20"/>
          <w:spacing w:val="-7"/>
        </w:rPr>
        <w:t> </w:t>
      </w:r>
      <w:r>
        <w:rPr>
          <w:color w:val="231F20"/>
        </w:rPr>
        <w:t>y</w:t>
      </w:r>
      <w:r>
        <w:rPr>
          <w:color w:val="231F20"/>
          <w:spacing w:val="-7"/>
        </w:rPr>
        <w:t> </w:t>
      </w:r>
      <w:r>
        <w:rPr>
          <w:color w:val="231F20"/>
        </w:rPr>
        <w:t>egresos.</w:t>
      </w:r>
      <w:r>
        <w:rPr>
          <w:color w:val="231F20"/>
          <w:spacing w:val="-7"/>
        </w:rPr>
        <w:t> </w:t>
      </w:r>
      <w:r>
        <w:rPr>
          <w:color w:val="231F20"/>
        </w:rPr>
        <w:t>Los</w:t>
      </w:r>
      <w:r>
        <w:rPr>
          <w:color w:val="231F20"/>
          <w:spacing w:val="-7"/>
        </w:rPr>
        <w:t> </w:t>
      </w:r>
      <w:r>
        <w:rPr>
          <w:color w:val="231F20"/>
        </w:rPr>
        <w:t>primeros</w:t>
      </w:r>
      <w:r>
        <w:rPr>
          <w:color w:val="231F20"/>
          <w:spacing w:val="-7"/>
        </w:rPr>
        <w:t> </w:t>
      </w:r>
      <w:r>
        <w:rPr>
          <w:color w:val="231F20"/>
        </w:rPr>
        <w:t>por</w:t>
      </w:r>
      <w:r>
        <w:rPr>
          <w:color w:val="231F20"/>
          <w:spacing w:val="-7"/>
        </w:rPr>
        <w:t> </w:t>
      </w:r>
      <w:r>
        <w:rPr>
          <w:color w:val="231F20"/>
        </w:rPr>
        <w:t>concep- to de exportaciones de mercancías, servicios no factoriales, servicios factoriales  </w:t>
      </w:r>
      <w:r>
        <w:rPr>
          <w:color w:val="231F20"/>
          <w:spacing w:val="40"/>
        </w:rPr>
        <w:t> </w:t>
      </w:r>
      <w:r>
        <w:rPr>
          <w:color w:val="231F20"/>
        </w:rPr>
        <w:t>y</w:t>
      </w:r>
    </w:p>
    <w:p>
      <w:pPr>
        <w:pStyle w:val="BodyText"/>
        <w:rPr>
          <w:sz w:val="20"/>
        </w:rPr>
      </w:pPr>
    </w:p>
    <w:p>
      <w:pPr>
        <w:pStyle w:val="BodyText"/>
        <w:spacing w:before="9"/>
        <w:rPr>
          <w:sz w:val="19"/>
        </w:rPr>
      </w:pPr>
    </w:p>
    <w:p>
      <w:pPr>
        <w:spacing w:before="0"/>
        <w:ind w:left="1575" w:right="1575" w:firstLine="0"/>
        <w:jc w:val="center"/>
        <w:rPr>
          <w:sz w:val="20"/>
        </w:rPr>
      </w:pPr>
      <w:r>
        <w:rPr>
          <w:color w:val="231F20"/>
          <w:sz w:val="20"/>
        </w:rPr>
        <w:t>42</w:t>
      </w:r>
    </w:p>
    <w:p>
      <w:pPr>
        <w:spacing w:after="0"/>
        <w:jc w:val="center"/>
        <w:rPr>
          <w:sz w:val="20"/>
        </w:rPr>
        <w:sectPr>
          <w:footerReference w:type="default" r:id="rId34"/>
          <w:pgSz w:w="10480" w:h="13880"/>
          <w:pgMar w:footer="222" w:header="0" w:top="420" w:bottom="420" w:left="0" w:right="0"/>
          <w:pgNumType w:start="42"/>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1576" w:right="1548" w:firstLine="0"/>
        <w:jc w:val="center"/>
        <w:rPr>
          <w:sz w:val="20"/>
        </w:rPr>
      </w:pPr>
      <w:r>
        <w:rPr>
          <w:color w:val="231F20"/>
          <w:sz w:val="20"/>
        </w:rPr>
        <w:t>L</w:t>
      </w:r>
      <w:r>
        <w:rPr>
          <w:color w:val="231F20"/>
          <w:sz w:val="14"/>
        </w:rPr>
        <w:t>A  INVERSIÓN  EXTRANJERA DIRECTA  EN EL  CRECIMIENTO ECONÓMICO DE  </w:t>
      </w:r>
      <w:r>
        <w:rPr>
          <w:color w:val="231F20"/>
          <w:sz w:val="20"/>
        </w:rPr>
        <w:t>M</w:t>
      </w:r>
      <w:r>
        <w:rPr>
          <w:color w:val="231F20"/>
          <w:sz w:val="14"/>
        </w:rPr>
        <w:t>ÉXICO</w:t>
      </w:r>
      <w:r>
        <w:rPr>
          <w:color w:val="231F20"/>
          <w:sz w:val="20"/>
        </w:rPr>
        <w:t>, 1970-2012</w:t>
      </w:r>
    </w:p>
    <w:p>
      <w:pPr>
        <w:pStyle w:val="BodyText"/>
        <w:rPr>
          <w:sz w:val="20"/>
        </w:rPr>
      </w:pPr>
    </w:p>
    <w:p>
      <w:pPr>
        <w:pStyle w:val="BodyText"/>
        <w:spacing w:before="8"/>
        <w:rPr>
          <w:sz w:val="17"/>
        </w:rPr>
      </w:pPr>
    </w:p>
    <w:p>
      <w:pPr>
        <w:pStyle w:val="BodyText"/>
        <w:spacing w:line="247" w:lineRule="auto" w:before="1"/>
        <w:ind w:left="1553" w:right="1551"/>
      </w:pPr>
      <w:r>
        <w:rPr>
          <w:color w:val="231F20"/>
        </w:rPr>
        <w:t>transferencias. Los segundos por concepto de la importación de mercancías, servi- cios factoriales y transferencias.</w:t>
      </w:r>
    </w:p>
    <w:p>
      <w:pPr>
        <w:pStyle w:val="BodyText"/>
        <w:spacing w:line="247" w:lineRule="auto"/>
        <w:ind w:left="1553" w:right="1550" w:firstLine="283"/>
        <w:jc w:val="both"/>
      </w:pPr>
      <w:r>
        <w:rPr>
          <w:color w:val="231F20"/>
        </w:rPr>
        <w:t>La cuenta de capital es la cuenta que registra todo lo que representa flujos de capital. Se divide en pasivos y activos. Los primeros son los créditos que se le </w:t>
      </w:r>
      <w:r>
        <w:rPr>
          <w:color w:val="231F20"/>
          <w:spacing w:val="-3"/>
        </w:rPr>
        <w:t>otor- </w:t>
      </w:r>
      <w:r>
        <w:rPr>
          <w:color w:val="231F20"/>
        </w:rPr>
        <w:t>gan al país en forma de préstamos o depósitos. A su vez esta subcuenta se divide en créditos</w:t>
      </w:r>
      <w:r>
        <w:rPr>
          <w:color w:val="231F20"/>
          <w:spacing w:val="-7"/>
        </w:rPr>
        <w:t> </w:t>
      </w:r>
      <w:r>
        <w:rPr>
          <w:color w:val="231F20"/>
        </w:rPr>
        <w:t>y</w:t>
      </w:r>
      <w:r>
        <w:rPr>
          <w:color w:val="231F20"/>
          <w:spacing w:val="-7"/>
        </w:rPr>
        <w:t> </w:t>
      </w:r>
      <w:r>
        <w:rPr>
          <w:color w:val="231F20"/>
        </w:rPr>
        <w:t>depósitos</w:t>
      </w:r>
      <w:r>
        <w:rPr>
          <w:color w:val="231F20"/>
          <w:spacing w:val="-7"/>
        </w:rPr>
        <w:t> </w:t>
      </w:r>
      <w:r>
        <w:rPr>
          <w:color w:val="231F20"/>
        </w:rPr>
        <w:t>e</w:t>
      </w:r>
      <w:r>
        <w:rPr>
          <w:color w:val="231F20"/>
          <w:spacing w:val="-7"/>
        </w:rPr>
        <w:t> </w:t>
      </w:r>
      <w:r>
        <w:rPr>
          <w:color w:val="231F20"/>
        </w:rPr>
        <w:t>IED.</w:t>
      </w:r>
      <w:r>
        <w:rPr>
          <w:color w:val="231F20"/>
          <w:spacing w:val="-7"/>
        </w:rPr>
        <w:t> </w:t>
      </w:r>
      <w:r>
        <w:rPr>
          <w:color w:val="231F20"/>
        </w:rPr>
        <w:t>Los</w:t>
      </w:r>
      <w:r>
        <w:rPr>
          <w:color w:val="231F20"/>
          <w:spacing w:val="-7"/>
        </w:rPr>
        <w:t> </w:t>
      </w:r>
      <w:r>
        <w:rPr>
          <w:color w:val="231F20"/>
        </w:rPr>
        <w:t>segundos</w:t>
      </w:r>
      <w:r>
        <w:rPr>
          <w:color w:val="231F20"/>
          <w:spacing w:val="-7"/>
        </w:rPr>
        <w:t> </w:t>
      </w:r>
      <w:r>
        <w:rPr>
          <w:color w:val="231F20"/>
        </w:rPr>
        <w:t>son</w:t>
      </w:r>
      <w:r>
        <w:rPr>
          <w:color w:val="231F20"/>
          <w:spacing w:val="-7"/>
        </w:rPr>
        <w:t> </w:t>
      </w:r>
      <w:r>
        <w:rPr>
          <w:color w:val="231F20"/>
        </w:rPr>
        <w:t>los</w:t>
      </w:r>
      <w:r>
        <w:rPr>
          <w:color w:val="231F20"/>
          <w:spacing w:val="-7"/>
        </w:rPr>
        <w:t> </w:t>
      </w:r>
      <w:r>
        <w:rPr>
          <w:color w:val="231F20"/>
        </w:rPr>
        <w:t>bienes</w:t>
      </w:r>
      <w:r>
        <w:rPr>
          <w:color w:val="231F20"/>
          <w:spacing w:val="-7"/>
        </w:rPr>
        <w:t> </w:t>
      </w:r>
      <w:r>
        <w:rPr>
          <w:color w:val="231F20"/>
        </w:rPr>
        <w:t>en</w:t>
      </w:r>
      <w:r>
        <w:rPr>
          <w:color w:val="231F20"/>
          <w:spacing w:val="-7"/>
        </w:rPr>
        <w:t> </w:t>
      </w:r>
      <w:r>
        <w:rPr>
          <w:color w:val="231F20"/>
        </w:rPr>
        <w:t>términos</w:t>
      </w:r>
      <w:r>
        <w:rPr>
          <w:color w:val="231F20"/>
          <w:spacing w:val="-8"/>
        </w:rPr>
        <w:t> </w:t>
      </w:r>
      <w:r>
        <w:rPr>
          <w:color w:val="231F20"/>
        </w:rPr>
        <w:t>financieros</w:t>
      </w:r>
      <w:r>
        <w:rPr>
          <w:color w:val="231F20"/>
          <w:spacing w:val="-7"/>
        </w:rPr>
        <w:t> </w:t>
      </w:r>
      <w:r>
        <w:rPr>
          <w:color w:val="231F20"/>
        </w:rPr>
        <w:t>que tiene el país en el exterior o con el exterior. Se subdivide en bancas del exterior, créditos al exterior, garantías de deuda externa y otras (Santiago,</w:t>
      </w:r>
      <w:r>
        <w:rPr>
          <w:color w:val="231F20"/>
          <w:spacing w:val="-4"/>
        </w:rPr>
        <w:t> </w:t>
      </w:r>
      <w:r>
        <w:rPr>
          <w:color w:val="231F20"/>
          <w:spacing w:val="-3"/>
        </w:rPr>
        <w:t>2008).</w:t>
      </w:r>
    </w:p>
    <w:p>
      <w:pPr>
        <w:pStyle w:val="BodyText"/>
      </w:pPr>
    </w:p>
    <w:p>
      <w:pPr>
        <w:pStyle w:val="Heading3"/>
        <w:spacing w:line="312" w:lineRule="auto" w:before="187"/>
        <w:ind w:left="2188" w:right="2186"/>
      </w:pPr>
      <w:r>
        <w:rPr/>
        <w:drawing>
          <wp:anchor distT="0" distB="0" distL="0" distR="0" allowOverlap="1" layoutInCell="1" locked="0" behindDoc="0" simplePos="0" relativeHeight="1192">
            <wp:simplePos x="0" y="0"/>
            <wp:positionH relativeFrom="page">
              <wp:posOffset>1086256</wp:posOffset>
            </wp:positionH>
            <wp:positionV relativeFrom="paragraph">
              <wp:posOffset>591211</wp:posOffset>
            </wp:positionV>
            <wp:extent cx="4443569" cy="2273808"/>
            <wp:effectExtent l="0" t="0" r="0" b="0"/>
            <wp:wrapTopAndBottom/>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35" cstate="print"/>
                    <a:stretch>
                      <a:fillRect/>
                    </a:stretch>
                  </pic:blipFill>
                  <pic:spPr>
                    <a:xfrm>
                      <a:off x="0" y="0"/>
                      <a:ext cx="4443569" cy="2273808"/>
                    </a:xfrm>
                    <a:prstGeom prst="rect">
                      <a:avLst/>
                    </a:prstGeom>
                  </pic:spPr>
                </pic:pic>
              </a:graphicData>
            </a:graphic>
          </wp:anchor>
        </w:drawing>
      </w:r>
      <w:r>
        <w:rPr>
          <w:color w:val="231F20"/>
        </w:rPr>
        <w:t>Figura 6. La Balanza de Pagos en México, 1970-2012 (Millones de dólares)</w:t>
      </w:r>
    </w:p>
    <w:p>
      <w:pPr>
        <w:spacing w:line="254" w:lineRule="auto" w:before="132"/>
        <w:ind w:left="1553" w:right="1551" w:firstLine="0"/>
        <w:jc w:val="left"/>
        <w:rPr>
          <w:sz w:val="18"/>
        </w:rPr>
      </w:pPr>
      <w:r>
        <w:rPr>
          <w:color w:val="231F20"/>
          <w:sz w:val="18"/>
        </w:rPr>
        <w:t>Fuente: INEGI, 2010 y CEFP, 1980-2012. Indicadores macroeconómicos 1980-2012, Balanza de pa- gos1980-2011, anual.</w:t>
      </w:r>
    </w:p>
    <w:p>
      <w:pPr>
        <w:pStyle w:val="BodyText"/>
        <w:spacing w:before="4"/>
        <w:rPr>
          <w:sz w:val="26"/>
        </w:rPr>
      </w:pPr>
    </w:p>
    <w:p>
      <w:pPr>
        <w:pStyle w:val="BodyText"/>
        <w:spacing w:line="247" w:lineRule="auto"/>
        <w:ind w:left="1553" w:right="1545" w:firstLine="283"/>
        <w:jc w:val="both"/>
      </w:pPr>
      <w:r>
        <w:rPr>
          <w:color w:val="231F20"/>
        </w:rPr>
        <w:t>En México las dos cuentas fundamentales de la balanza de pagos (Cuenta co- rriente</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capital)</w:t>
      </w:r>
      <w:r>
        <w:rPr>
          <w:color w:val="231F20"/>
          <w:spacing w:val="-10"/>
        </w:rPr>
        <w:t> </w:t>
      </w:r>
      <w:r>
        <w:rPr>
          <w:color w:val="231F20"/>
        </w:rPr>
        <w:t>se</w:t>
      </w:r>
      <w:r>
        <w:rPr>
          <w:color w:val="231F20"/>
          <w:spacing w:val="-10"/>
        </w:rPr>
        <w:t> </w:t>
      </w:r>
      <w:r>
        <w:rPr>
          <w:color w:val="231F20"/>
        </w:rPr>
        <w:t>han</w:t>
      </w:r>
      <w:r>
        <w:rPr>
          <w:color w:val="231F20"/>
          <w:spacing w:val="-10"/>
        </w:rPr>
        <w:t> </w:t>
      </w:r>
      <w:r>
        <w:rPr>
          <w:color w:val="231F20"/>
        </w:rPr>
        <w:t>comportado</w:t>
      </w:r>
      <w:r>
        <w:rPr>
          <w:color w:val="231F20"/>
          <w:spacing w:val="-10"/>
        </w:rPr>
        <w:t> </w:t>
      </w:r>
      <w:r>
        <w:rPr>
          <w:color w:val="231F20"/>
        </w:rPr>
        <w:t>desde</w:t>
      </w:r>
      <w:r>
        <w:rPr>
          <w:color w:val="231F20"/>
          <w:spacing w:val="-10"/>
        </w:rPr>
        <w:t> </w:t>
      </w:r>
      <w:r>
        <w:rPr>
          <w:color w:val="231F20"/>
          <w:spacing w:val="-5"/>
        </w:rPr>
        <w:t>1970-2012</w:t>
      </w:r>
      <w:r>
        <w:rPr>
          <w:color w:val="231F20"/>
          <w:spacing w:val="-10"/>
        </w:rPr>
        <w:t> </w:t>
      </w:r>
      <w:r>
        <w:rPr>
          <w:color w:val="231F20"/>
        </w:rPr>
        <w:t>de</w:t>
      </w:r>
      <w:r>
        <w:rPr>
          <w:color w:val="231F20"/>
          <w:spacing w:val="-10"/>
        </w:rPr>
        <w:t> </w:t>
      </w:r>
      <w:r>
        <w:rPr>
          <w:color w:val="231F20"/>
        </w:rPr>
        <w:t>acuerdo</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spacing w:val="-3"/>
        </w:rPr>
        <w:t>evolución </w:t>
      </w:r>
      <w:r>
        <w:rPr>
          <w:color w:val="231F20"/>
        </w:rPr>
        <w:t>que se puede observar en la figura 6. La cuenta corriente de la balanza de pagos ha estado financiada en </w:t>
      </w:r>
      <w:r>
        <w:rPr>
          <w:color w:val="231F20"/>
          <w:spacing w:val="2"/>
        </w:rPr>
        <w:t>gran </w:t>
      </w:r>
      <w:r>
        <w:rPr>
          <w:color w:val="231F20"/>
        </w:rPr>
        <w:t>medida por la cuenta de capital. La cuenta corriente pre- senta en general déficit originado por la combinación de los déficit en la balanza comercial, de servicios factoriales y no factoriales, y por el superávit en las transfe- rencias (Santiago,</w:t>
      </w:r>
      <w:r>
        <w:rPr>
          <w:color w:val="231F20"/>
          <w:spacing w:val="-17"/>
        </w:rPr>
        <w:t> </w:t>
      </w:r>
      <w:r>
        <w:rPr>
          <w:color w:val="231F20"/>
          <w:spacing w:val="-3"/>
        </w:rPr>
        <w:t>2008).</w:t>
      </w:r>
    </w:p>
    <w:p>
      <w:pPr>
        <w:pStyle w:val="BodyText"/>
        <w:rPr>
          <w:sz w:val="20"/>
        </w:rPr>
      </w:pPr>
    </w:p>
    <w:p>
      <w:pPr>
        <w:pStyle w:val="BodyText"/>
        <w:spacing w:before="2"/>
        <w:rPr>
          <w:sz w:val="16"/>
        </w:rPr>
      </w:pPr>
    </w:p>
    <w:p>
      <w:pPr>
        <w:spacing w:before="75"/>
        <w:ind w:left="1575" w:right="1575" w:firstLine="0"/>
        <w:jc w:val="center"/>
        <w:rPr>
          <w:sz w:val="20"/>
        </w:rPr>
      </w:pPr>
      <w:r>
        <w:rPr>
          <w:color w:val="231F20"/>
          <w:sz w:val="20"/>
        </w:rPr>
        <w:t>43</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1575" w:right="1575" w:firstLine="0"/>
        <w:jc w:val="center"/>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5"/>
        <w:rPr>
          <w:sz w:val="16"/>
        </w:rPr>
      </w:pPr>
    </w:p>
    <w:p>
      <w:pPr>
        <w:pStyle w:val="Heading5"/>
        <w:spacing w:line="247" w:lineRule="auto"/>
        <w:ind w:left="2902" w:right="2901"/>
      </w:pPr>
      <w:r>
        <w:rPr>
          <w:color w:val="231F20"/>
        </w:rPr>
        <w:t>Figura 7. Cuenta de capital en México, 1980-2012 (Millones de dólares)</w:t>
      </w:r>
    </w:p>
    <w:p>
      <w:pPr>
        <w:pStyle w:val="BodyText"/>
        <w:spacing w:before="7"/>
        <w:rPr>
          <w:b/>
          <w:sz w:val="21"/>
        </w:rPr>
      </w:pPr>
      <w:r>
        <w:rPr/>
        <w:drawing>
          <wp:anchor distT="0" distB="0" distL="0" distR="0" allowOverlap="1" layoutInCell="1" locked="0" behindDoc="0" simplePos="0" relativeHeight="1216">
            <wp:simplePos x="0" y="0"/>
            <wp:positionH relativeFrom="page">
              <wp:posOffset>1072819</wp:posOffset>
            </wp:positionH>
            <wp:positionV relativeFrom="paragraph">
              <wp:posOffset>183111</wp:posOffset>
            </wp:positionV>
            <wp:extent cx="4485556" cy="2438400"/>
            <wp:effectExtent l="0" t="0" r="0" b="0"/>
            <wp:wrapTopAndBottom/>
            <wp:docPr id="15" name="image11.jpeg" descr=""/>
            <wp:cNvGraphicFramePr>
              <a:graphicFrameLocks noChangeAspect="1"/>
            </wp:cNvGraphicFramePr>
            <a:graphic>
              <a:graphicData uri="http://schemas.openxmlformats.org/drawingml/2006/picture">
                <pic:pic>
                  <pic:nvPicPr>
                    <pic:cNvPr id="16" name="image11.jpeg"/>
                    <pic:cNvPicPr/>
                  </pic:nvPicPr>
                  <pic:blipFill>
                    <a:blip r:embed="rId36" cstate="print"/>
                    <a:stretch>
                      <a:fillRect/>
                    </a:stretch>
                  </pic:blipFill>
                  <pic:spPr>
                    <a:xfrm>
                      <a:off x="0" y="0"/>
                      <a:ext cx="4485556" cy="2438400"/>
                    </a:xfrm>
                    <a:prstGeom prst="rect">
                      <a:avLst/>
                    </a:prstGeom>
                  </pic:spPr>
                </pic:pic>
              </a:graphicData>
            </a:graphic>
          </wp:anchor>
        </w:drawing>
      </w:r>
    </w:p>
    <w:p>
      <w:pPr>
        <w:spacing w:line="220" w:lineRule="exact" w:before="90"/>
        <w:ind w:left="1553" w:right="1551" w:hanging="1"/>
        <w:jc w:val="left"/>
        <w:rPr>
          <w:sz w:val="20"/>
        </w:rPr>
      </w:pPr>
      <w:r>
        <w:rPr>
          <w:color w:val="231F20"/>
          <w:sz w:val="18"/>
        </w:rPr>
        <w:t>Fuente: </w:t>
      </w:r>
      <w:r>
        <w:rPr>
          <w:color w:val="231F20"/>
          <w:sz w:val="20"/>
        </w:rPr>
        <w:t>CEFP, 1980-2012. Indicadores macroeconómicos 1980-2012, Balanza de pagos 1980-2011, anual</w:t>
      </w:r>
    </w:p>
    <w:p>
      <w:pPr>
        <w:pStyle w:val="BodyText"/>
        <w:rPr>
          <w:sz w:val="27"/>
        </w:rPr>
      </w:pPr>
    </w:p>
    <w:p>
      <w:pPr>
        <w:pStyle w:val="BodyText"/>
        <w:spacing w:line="247" w:lineRule="auto"/>
        <w:ind w:left="1553" w:right="1546" w:firstLine="283"/>
        <w:jc w:val="both"/>
      </w:pPr>
      <w:r>
        <w:rPr>
          <w:color w:val="231F20"/>
        </w:rPr>
        <w:t>En México, a lo largo de casi todo el periodo de estudio, la mayoría de las veces la cuenta de capital presentó superávit debido a la entrada de inversión extranjera al país, tanto en forma directa como de </w:t>
      </w:r>
      <w:r>
        <w:rPr>
          <w:color w:val="231F20"/>
          <w:spacing w:val="2"/>
        </w:rPr>
        <w:t>cartera, </w:t>
      </w:r>
      <w:r>
        <w:rPr>
          <w:color w:val="231F20"/>
        </w:rPr>
        <w:t>así como por el endeudamiento con el exterior.</w:t>
      </w:r>
      <w:r>
        <w:rPr>
          <w:color w:val="231F20"/>
          <w:spacing w:val="-8"/>
        </w:rPr>
        <w:t> </w:t>
      </w:r>
      <w:r>
        <w:rPr>
          <w:color w:val="231F20"/>
        </w:rPr>
        <w:t>Es</w:t>
      </w:r>
      <w:r>
        <w:rPr>
          <w:color w:val="231F20"/>
          <w:spacing w:val="-8"/>
        </w:rPr>
        <w:t> </w:t>
      </w:r>
      <w:r>
        <w:rPr>
          <w:color w:val="231F20"/>
        </w:rPr>
        <w:t>decir</w:t>
      </w:r>
      <w:r>
        <w:rPr>
          <w:color w:val="231F20"/>
          <w:spacing w:val="-8"/>
        </w:rPr>
        <w:t> </w:t>
      </w:r>
      <w:r>
        <w:rPr>
          <w:color w:val="231F20"/>
        </w:rPr>
        <w:t>que</w:t>
      </w:r>
      <w:r>
        <w:rPr>
          <w:color w:val="231F20"/>
          <w:spacing w:val="-7"/>
        </w:rPr>
        <w:t> </w:t>
      </w:r>
      <w:r>
        <w:rPr>
          <w:color w:val="231F20"/>
        </w:rPr>
        <w:t>los</w:t>
      </w:r>
      <w:r>
        <w:rPr>
          <w:color w:val="231F20"/>
          <w:spacing w:val="-8"/>
        </w:rPr>
        <w:t> </w:t>
      </w:r>
      <w:r>
        <w:rPr>
          <w:color w:val="231F20"/>
        </w:rPr>
        <w:t>pasivos</w:t>
      </w:r>
      <w:r>
        <w:rPr>
          <w:color w:val="231F20"/>
          <w:spacing w:val="-8"/>
        </w:rPr>
        <w:t> </w:t>
      </w:r>
      <w:r>
        <w:rPr>
          <w:color w:val="231F20"/>
        </w:rPr>
        <w:t>son</w:t>
      </w:r>
      <w:r>
        <w:rPr>
          <w:color w:val="231F20"/>
          <w:spacing w:val="-7"/>
        </w:rPr>
        <w:t> </w:t>
      </w:r>
      <w:r>
        <w:rPr>
          <w:color w:val="231F20"/>
        </w:rPr>
        <w:t>mayores</w:t>
      </w:r>
      <w:r>
        <w:rPr>
          <w:color w:val="231F20"/>
          <w:spacing w:val="-8"/>
        </w:rPr>
        <w:t> </w:t>
      </w:r>
      <w:r>
        <w:rPr>
          <w:color w:val="231F20"/>
        </w:rPr>
        <w:t>que</w:t>
      </w:r>
      <w:r>
        <w:rPr>
          <w:color w:val="231F20"/>
          <w:spacing w:val="-7"/>
        </w:rPr>
        <w:t> </w:t>
      </w:r>
      <w:r>
        <w:rPr>
          <w:color w:val="231F20"/>
        </w:rPr>
        <w:t>los</w:t>
      </w:r>
      <w:r>
        <w:rPr>
          <w:color w:val="231F20"/>
          <w:spacing w:val="-8"/>
        </w:rPr>
        <w:t> </w:t>
      </w:r>
      <w:r>
        <w:rPr>
          <w:color w:val="231F20"/>
        </w:rPr>
        <w:t>activos</w:t>
      </w:r>
      <w:r>
        <w:rPr>
          <w:color w:val="231F20"/>
          <w:spacing w:val="-8"/>
        </w:rPr>
        <w:t> </w:t>
      </w:r>
      <w:r>
        <w:rPr>
          <w:color w:val="231F20"/>
        </w:rPr>
        <w:t>como</w:t>
      </w:r>
      <w:r>
        <w:rPr>
          <w:color w:val="231F20"/>
          <w:spacing w:val="-8"/>
        </w:rPr>
        <w:t> </w:t>
      </w:r>
      <w:r>
        <w:rPr>
          <w:color w:val="231F20"/>
        </w:rPr>
        <w:t>se</w:t>
      </w:r>
      <w:r>
        <w:rPr>
          <w:color w:val="231F20"/>
          <w:spacing w:val="-7"/>
        </w:rPr>
        <w:t> </w:t>
      </w:r>
      <w:r>
        <w:rPr>
          <w:color w:val="231F20"/>
        </w:rPr>
        <w:t>muestra</w:t>
      </w:r>
      <w:r>
        <w:rPr>
          <w:color w:val="231F20"/>
          <w:spacing w:val="-7"/>
        </w:rPr>
        <w:t> </w:t>
      </w:r>
      <w:r>
        <w:rPr>
          <w:color w:val="231F20"/>
        </w:rPr>
        <w:t>en</w:t>
      </w:r>
      <w:r>
        <w:rPr>
          <w:color w:val="231F20"/>
          <w:spacing w:val="-8"/>
        </w:rPr>
        <w:t> </w:t>
      </w:r>
      <w:r>
        <w:rPr>
          <w:color w:val="231F20"/>
        </w:rPr>
        <w:t>la figura</w:t>
      </w:r>
      <w:r>
        <w:rPr>
          <w:color w:val="231F20"/>
          <w:spacing w:val="-4"/>
        </w:rPr>
        <w:t> </w:t>
      </w:r>
      <w:r>
        <w:rPr>
          <w:color w:val="231F20"/>
          <w:spacing w:val="-9"/>
        </w:rPr>
        <w:t>7.</w:t>
      </w:r>
    </w:p>
    <w:p>
      <w:pPr>
        <w:pStyle w:val="BodyText"/>
        <w:spacing w:line="247" w:lineRule="auto"/>
        <w:ind w:left="1553" w:right="1547" w:firstLine="283"/>
        <w:jc w:val="both"/>
      </w:pPr>
      <w:r>
        <w:rPr>
          <w:color w:val="231F20"/>
        </w:rPr>
        <w:t>La</w:t>
      </w:r>
      <w:r>
        <w:rPr>
          <w:color w:val="231F20"/>
          <w:spacing w:val="-6"/>
        </w:rPr>
        <w:t> </w:t>
      </w:r>
      <w:r>
        <w:rPr>
          <w:color w:val="231F20"/>
        </w:rPr>
        <w:t>IED</w:t>
      </w:r>
      <w:r>
        <w:rPr>
          <w:color w:val="231F20"/>
          <w:spacing w:val="-6"/>
        </w:rPr>
        <w:t> </w:t>
      </w:r>
      <w:r>
        <w:rPr>
          <w:color w:val="231F20"/>
        </w:rPr>
        <w:t>cobró</w:t>
      </w:r>
      <w:r>
        <w:rPr>
          <w:color w:val="231F20"/>
          <w:spacing w:val="-6"/>
        </w:rPr>
        <w:t> </w:t>
      </w:r>
      <w:r>
        <w:rPr>
          <w:color w:val="231F20"/>
        </w:rPr>
        <w:t>mayor</w:t>
      </w:r>
      <w:r>
        <w:rPr>
          <w:color w:val="231F20"/>
          <w:spacing w:val="-6"/>
        </w:rPr>
        <w:t> </w:t>
      </w:r>
      <w:r>
        <w:rPr>
          <w:color w:val="231F20"/>
        </w:rPr>
        <w:t>relevancia</w:t>
      </w:r>
      <w:r>
        <w:rPr>
          <w:color w:val="231F20"/>
          <w:spacing w:val="-6"/>
        </w:rPr>
        <w:t> </w:t>
      </w:r>
      <w:r>
        <w:rPr>
          <w:color w:val="231F20"/>
        </w:rPr>
        <w:t>después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crisis</w:t>
      </w:r>
      <w:r>
        <w:rPr>
          <w:color w:val="231F20"/>
          <w:spacing w:val="-6"/>
        </w:rPr>
        <w:t> </w:t>
      </w:r>
      <w:r>
        <w:rPr>
          <w:color w:val="231F20"/>
        </w:rPr>
        <w:t>cambiaria</w:t>
      </w:r>
      <w:r>
        <w:rPr>
          <w:color w:val="231F20"/>
          <w:spacing w:val="-8"/>
        </w:rPr>
        <w:t> </w:t>
      </w:r>
      <w:r>
        <w:rPr>
          <w:color w:val="231F20"/>
        </w:rPr>
        <w:t>financiera</w:t>
      </w:r>
      <w:r>
        <w:rPr>
          <w:color w:val="231F20"/>
          <w:spacing w:val="-6"/>
        </w:rPr>
        <w:t> </w:t>
      </w:r>
      <w:r>
        <w:rPr>
          <w:color w:val="231F20"/>
        </w:rPr>
        <w:t>de</w:t>
      </w:r>
      <w:r>
        <w:rPr>
          <w:color w:val="231F20"/>
          <w:spacing w:val="-6"/>
        </w:rPr>
        <w:t> </w:t>
      </w:r>
      <w:r>
        <w:rPr>
          <w:color w:val="231F20"/>
          <w:spacing w:val="-4"/>
        </w:rPr>
        <w:t>1995 </w:t>
      </w:r>
      <w:r>
        <w:rPr>
          <w:color w:val="231F20"/>
        </w:rPr>
        <w:t>ya que fue la principal fuente de financiamiento de la cuenta corriente de la balanza de</w:t>
      </w:r>
      <w:r>
        <w:rPr>
          <w:color w:val="231F20"/>
          <w:spacing w:val="-13"/>
        </w:rPr>
        <w:t> </w:t>
      </w:r>
      <w:r>
        <w:rPr>
          <w:color w:val="231F20"/>
        </w:rPr>
        <w:t>pagos,</w:t>
      </w:r>
      <w:r>
        <w:rPr>
          <w:color w:val="231F20"/>
          <w:spacing w:val="-13"/>
        </w:rPr>
        <w:t> </w:t>
      </w:r>
      <w:r>
        <w:rPr>
          <w:color w:val="231F20"/>
        </w:rPr>
        <w:t>por</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economía</w:t>
      </w:r>
      <w:r>
        <w:rPr>
          <w:color w:val="231F20"/>
          <w:spacing w:val="-13"/>
        </w:rPr>
        <w:t> </w:t>
      </w:r>
      <w:r>
        <w:rPr>
          <w:color w:val="231F20"/>
        </w:rPr>
        <w:t>mexicana</w:t>
      </w:r>
      <w:r>
        <w:rPr>
          <w:color w:val="231F20"/>
          <w:spacing w:val="-13"/>
        </w:rPr>
        <w:t> </w:t>
      </w:r>
      <w:r>
        <w:rPr>
          <w:color w:val="231F20"/>
        </w:rPr>
        <w:t>se</w:t>
      </w:r>
      <w:r>
        <w:rPr>
          <w:color w:val="231F20"/>
          <w:spacing w:val="-13"/>
        </w:rPr>
        <w:t> </w:t>
      </w:r>
      <w:r>
        <w:rPr>
          <w:color w:val="231F20"/>
          <w:spacing w:val="-3"/>
        </w:rPr>
        <w:t>volvió</w:t>
      </w:r>
      <w:r>
        <w:rPr>
          <w:color w:val="231F20"/>
          <w:spacing w:val="-13"/>
        </w:rPr>
        <w:t> </w:t>
      </w:r>
      <w:r>
        <w:rPr>
          <w:color w:val="231F20"/>
        </w:rPr>
        <w:t>menos</w:t>
      </w:r>
      <w:r>
        <w:rPr>
          <w:color w:val="231F20"/>
          <w:spacing w:val="-13"/>
        </w:rPr>
        <w:t> </w:t>
      </w:r>
      <w:r>
        <w:rPr>
          <w:color w:val="231F20"/>
        </w:rPr>
        <w:t>vulnerable</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cambios bruscos que se dieron en los mercados internacionales (Vidal, 2000). Esta es la ra- zón</w:t>
      </w:r>
      <w:r>
        <w:rPr>
          <w:color w:val="231F20"/>
          <w:spacing w:val="-9"/>
        </w:rPr>
        <w:t> </w:t>
      </w:r>
      <w:r>
        <w:rPr>
          <w:color w:val="231F20"/>
        </w:rPr>
        <w:t>de</w:t>
      </w:r>
      <w:r>
        <w:rPr>
          <w:color w:val="231F20"/>
          <w:spacing w:val="-9"/>
        </w:rPr>
        <w:t> </w:t>
      </w:r>
      <w:r>
        <w:rPr>
          <w:color w:val="231F20"/>
        </w:rPr>
        <w:t>porque</w:t>
      </w:r>
      <w:r>
        <w:rPr>
          <w:color w:val="231F20"/>
          <w:spacing w:val="-9"/>
        </w:rPr>
        <w:t> </w:t>
      </w:r>
      <w:r>
        <w:rPr>
          <w:color w:val="231F20"/>
        </w:rPr>
        <w:t>la</w:t>
      </w:r>
      <w:r>
        <w:rPr>
          <w:color w:val="231F20"/>
          <w:spacing w:val="-9"/>
        </w:rPr>
        <w:t> </w:t>
      </w:r>
      <w:r>
        <w:rPr>
          <w:color w:val="231F20"/>
        </w:rPr>
        <w:t>economía</w:t>
      </w:r>
      <w:r>
        <w:rPr>
          <w:color w:val="231F20"/>
          <w:spacing w:val="-9"/>
        </w:rPr>
        <w:t> </w:t>
      </w:r>
      <w:r>
        <w:rPr>
          <w:color w:val="231F20"/>
        </w:rPr>
        <w:t>mexicana</w:t>
      </w:r>
      <w:r>
        <w:rPr>
          <w:color w:val="231F20"/>
          <w:spacing w:val="-9"/>
        </w:rPr>
        <w:t> </w:t>
      </w:r>
      <w:r>
        <w:rPr>
          <w:color w:val="231F20"/>
        </w:rPr>
        <w:t>pudo</w:t>
      </w:r>
      <w:r>
        <w:rPr>
          <w:color w:val="231F20"/>
          <w:spacing w:val="-9"/>
        </w:rPr>
        <w:t> </w:t>
      </w:r>
      <w:r>
        <w:rPr>
          <w:color w:val="231F20"/>
        </w:rPr>
        <w:t>soportar</w:t>
      </w:r>
      <w:r>
        <w:rPr>
          <w:color w:val="231F20"/>
          <w:spacing w:val="-9"/>
        </w:rPr>
        <w:t> </w:t>
      </w:r>
      <w:r>
        <w:rPr>
          <w:color w:val="231F20"/>
        </w:rPr>
        <w:t>con</w:t>
      </w:r>
      <w:r>
        <w:rPr>
          <w:color w:val="231F20"/>
          <w:spacing w:val="-9"/>
        </w:rPr>
        <w:t> </w:t>
      </w:r>
      <w:r>
        <w:rPr>
          <w:color w:val="231F20"/>
        </w:rPr>
        <w:t>relativa</w:t>
      </w:r>
      <w:r>
        <w:rPr>
          <w:color w:val="231F20"/>
          <w:spacing w:val="-9"/>
        </w:rPr>
        <w:t> </w:t>
      </w:r>
      <w:r>
        <w:rPr>
          <w:color w:val="231F20"/>
        </w:rPr>
        <w:t>facilidad</w:t>
      </w:r>
      <w:r>
        <w:rPr>
          <w:color w:val="231F20"/>
          <w:spacing w:val="-9"/>
        </w:rPr>
        <w:t> </w:t>
      </w:r>
      <w:r>
        <w:rPr>
          <w:color w:val="231F20"/>
        </w:rPr>
        <w:t>los</w:t>
      </w:r>
      <w:r>
        <w:rPr>
          <w:color w:val="231F20"/>
          <w:spacing w:val="-9"/>
        </w:rPr>
        <w:t> </w:t>
      </w:r>
      <w:r>
        <w:rPr>
          <w:color w:val="231F20"/>
        </w:rPr>
        <w:t>efectos concomitantes de la crisis financiera del sudeste asiático. De ahí radica como una fuente importante de ingresos, no solo porque gracias a esto se puede reducir el dé- ficit que se presenta en la cuenta corriente sino porque es una forma de poder finan- ciar actividades económicas dentro del</w:t>
      </w:r>
      <w:r>
        <w:rPr>
          <w:color w:val="231F20"/>
          <w:spacing w:val="-4"/>
        </w:rPr>
        <w:t> </w:t>
      </w:r>
      <w:r>
        <w:rPr>
          <w:color w:val="231F20"/>
        </w:rPr>
        <w:t>país.</w:t>
      </w:r>
    </w:p>
    <w:p>
      <w:pPr>
        <w:pStyle w:val="BodyText"/>
        <w:rPr>
          <w:sz w:val="20"/>
        </w:rPr>
      </w:pPr>
    </w:p>
    <w:p>
      <w:pPr>
        <w:pStyle w:val="BodyText"/>
        <w:rPr>
          <w:sz w:val="20"/>
        </w:rPr>
      </w:pPr>
    </w:p>
    <w:p>
      <w:pPr>
        <w:pStyle w:val="BodyText"/>
        <w:rPr>
          <w:sz w:val="20"/>
        </w:rPr>
      </w:pPr>
    </w:p>
    <w:p>
      <w:pPr>
        <w:pStyle w:val="BodyText"/>
        <w:spacing w:before="8"/>
        <w:rPr>
          <w:sz w:val="18"/>
        </w:rPr>
      </w:pPr>
    </w:p>
    <w:p>
      <w:pPr>
        <w:spacing w:before="1"/>
        <w:ind w:left="1575" w:right="1575" w:firstLine="0"/>
        <w:jc w:val="center"/>
        <w:rPr>
          <w:sz w:val="20"/>
        </w:rPr>
      </w:pPr>
      <w:r>
        <w:rPr>
          <w:color w:val="231F20"/>
          <w:sz w:val="20"/>
        </w:rPr>
        <w:t>44</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1576" w:right="1548" w:firstLine="0"/>
        <w:jc w:val="center"/>
        <w:rPr>
          <w:sz w:val="20"/>
        </w:rPr>
      </w:pPr>
      <w:r>
        <w:rPr>
          <w:color w:val="231F20"/>
          <w:sz w:val="20"/>
        </w:rPr>
        <w:t>L</w:t>
      </w:r>
      <w:r>
        <w:rPr>
          <w:color w:val="231F20"/>
          <w:sz w:val="14"/>
        </w:rPr>
        <w:t>A  INVERSIÓN  EXTRANJERA DIRECTA  EN EL  CRECIMIENTO ECONÓMICO DE  </w:t>
      </w:r>
      <w:r>
        <w:rPr>
          <w:color w:val="231F20"/>
          <w:sz w:val="20"/>
        </w:rPr>
        <w:t>M</w:t>
      </w:r>
      <w:r>
        <w:rPr>
          <w:color w:val="231F20"/>
          <w:sz w:val="14"/>
        </w:rPr>
        <w:t>ÉXICO</w:t>
      </w:r>
      <w:r>
        <w:rPr>
          <w:color w:val="231F20"/>
          <w:sz w:val="20"/>
        </w:rPr>
        <w:t>, 1970-2012</w:t>
      </w:r>
    </w:p>
    <w:p>
      <w:pPr>
        <w:pStyle w:val="BodyText"/>
        <w:rPr>
          <w:sz w:val="20"/>
        </w:rPr>
      </w:pPr>
    </w:p>
    <w:p>
      <w:pPr>
        <w:pStyle w:val="BodyText"/>
        <w:spacing w:before="5"/>
        <w:rPr>
          <w:sz w:val="17"/>
        </w:rPr>
      </w:pPr>
    </w:p>
    <w:p>
      <w:pPr>
        <w:pStyle w:val="Heading5"/>
        <w:spacing w:line="247" w:lineRule="auto"/>
        <w:ind w:left="2187"/>
      </w:pPr>
      <w:r>
        <w:rPr>
          <w:color w:val="231F20"/>
        </w:rPr>
        <w:t>Figura 8. Pasivos de la cuenta de capital en México 1980-2012 (Millones de dólares)</w:t>
      </w:r>
    </w:p>
    <w:p>
      <w:pPr>
        <w:pStyle w:val="BodyText"/>
        <w:spacing w:before="7"/>
        <w:rPr>
          <w:b/>
          <w:sz w:val="21"/>
        </w:rPr>
      </w:pPr>
      <w:r>
        <w:rPr/>
        <w:drawing>
          <wp:anchor distT="0" distB="0" distL="0" distR="0" allowOverlap="1" layoutInCell="1" locked="0" behindDoc="0" simplePos="0" relativeHeight="1240">
            <wp:simplePos x="0" y="0"/>
            <wp:positionH relativeFrom="page">
              <wp:posOffset>1098283</wp:posOffset>
            </wp:positionH>
            <wp:positionV relativeFrom="paragraph">
              <wp:posOffset>183111</wp:posOffset>
            </wp:positionV>
            <wp:extent cx="4479206" cy="2493264"/>
            <wp:effectExtent l="0" t="0" r="0" b="0"/>
            <wp:wrapTopAndBottom/>
            <wp:docPr id="17" name="image12.jpeg" descr=""/>
            <wp:cNvGraphicFramePr>
              <a:graphicFrameLocks noChangeAspect="1"/>
            </wp:cNvGraphicFramePr>
            <a:graphic>
              <a:graphicData uri="http://schemas.openxmlformats.org/drawingml/2006/picture">
                <pic:pic>
                  <pic:nvPicPr>
                    <pic:cNvPr id="18" name="image12.jpeg"/>
                    <pic:cNvPicPr/>
                  </pic:nvPicPr>
                  <pic:blipFill>
                    <a:blip r:embed="rId37" cstate="print"/>
                    <a:stretch>
                      <a:fillRect/>
                    </a:stretch>
                  </pic:blipFill>
                  <pic:spPr>
                    <a:xfrm>
                      <a:off x="0" y="0"/>
                      <a:ext cx="4479206" cy="2493264"/>
                    </a:xfrm>
                    <a:prstGeom prst="rect">
                      <a:avLst/>
                    </a:prstGeom>
                  </pic:spPr>
                </pic:pic>
              </a:graphicData>
            </a:graphic>
          </wp:anchor>
        </w:drawing>
      </w:r>
    </w:p>
    <w:p>
      <w:pPr>
        <w:spacing w:line="254" w:lineRule="auto" w:before="60"/>
        <w:ind w:left="1553" w:right="1551" w:firstLine="0"/>
        <w:jc w:val="both"/>
        <w:rPr>
          <w:sz w:val="18"/>
        </w:rPr>
      </w:pPr>
      <w:r>
        <w:rPr>
          <w:color w:val="231F20"/>
          <w:sz w:val="18"/>
        </w:rPr>
        <w:t>Fuente: CEFP, 1980-2012. Indicadores macroeconómicos 1980-2012, Balanza de pagos 1980-2011, anual</w:t>
      </w:r>
    </w:p>
    <w:p>
      <w:pPr>
        <w:pStyle w:val="BodyText"/>
        <w:spacing w:before="4"/>
        <w:rPr>
          <w:sz w:val="26"/>
        </w:rPr>
      </w:pPr>
    </w:p>
    <w:p>
      <w:pPr>
        <w:pStyle w:val="BodyText"/>
        <w:spacing w:line="247" w:lineRule="auto"/>
        <w:ind w:left="1553" w:right="1552" w:firstLine="283"/>
        <w:jc w:val="both"/>
      </w:pPr>
      <w:r>
        <w:rPr>
          <w:color w:val="231F20"/>
        </w:rPr>
        <w:t>Como se puede apreciar en la figura 8, la IED constituye el rubro más importan- te</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pasivos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cuenta</w:t>
      </w:r>
      <w:r>
        <w:rPr>
          <w:color w:val="231F20"/>
          <w:spacing w:val="-10"/>
        </w:rPr>
        <w:t> </w:t>
      </w:r>
      <w:r>
        <w:rPr>
          <w:color w:val="231F20"/>
        </w:rPr>
        <w:t>de</w:t>
      </w:r>
      <w:r>
        <w:rPr>
          <w:color w:val="231F20"/>
          <w:spacing w:val="-10"/>
        </w:rPr>
        <w:t> </w:t>
      </w:r>
      <w:r>
        <w:rPr>
          <w:color w:val="231F20"/>
        </w:rPr>
        <w:t>capital.</w:t>
      </w:r>
      <w:r>
        <w:rPr>
          <w:color w:val="231F20"/>
          <w:spacing w:val="-10"/>
        </w:rPr>
        <w:t> </w:t>
      </w:r>
      <w:r>
        <w:rPr>
          <w:color w:val="231F20"/>
        </w:rPr>
        <w:t>Aunque</w:t>
      </w:r>
      <w:r>
        <w:rPr>
          <w:color w:val="231F20"/>
          <w:spacing w:val="-10"/>
        </w:rPr>
        <w:t> </w:t>
      </w:r>
      <w:r>
        <w:rPr>
          <w:color w:val="231F20"/>
        </w:rPr>
        <w:t>en</w:t>
      </w:r>
      <w:r>
        <w:rPr>
          <w:color w:val="231F20"/>
          <w:spacing w:val="-10"/>
        </w:rPr>
        <w:t> </w:t>
      </w:r>
      <w:r>
        <w:rPr>
          <w:color w:val="231F20"/>
        </w:rPr>
        <w:t>algunos</w:t>
      </w:r>
      <w:r>
        <w:rPr>
          <w:color w:val="231F20"/>
          <w:spacing w:val="-10"/>
        </w:rPr>
        <w:t> </w:t>
      </w:r>
      <w:r>
        <w:rPr>
          <w:color w:val="231F20"/>
        </w:rPr>
        <w:t>años</w:t>
      </w:r>
      <w:r>
        <w:rPr>
          <w:color w:val="231F20"/>
          <w:spacing w:val="-10"/>
        </w:rPr>
        <w:t> </w:t>
      </w:r>
      <w:r>
        <w:rPr>
          <w:color w:val="231F20"/>
        </w:rPr>
        <w:t>la</w:t>
      </w:r>
      <w:r>
        <w:rPr>
          <w:color w:val="231F20"/>
          <w:spacing w:val="-10"/>
        </w:rPr>
        <w:t> </w:t>
      </w:r>
      <w:r>
        <w:rPr>
          <w:color w:val="231F20"/>
        </w:rPr>
        <w:t>inversión</w:t>
      </w:r>
      <w:r>
        <w:rPr>
          <w:color w:val="231F20"/>
          <w:spacing w:val="-10"/>
        </w:rPr>
        <w:t> </w:t>
      </w:r>
      <w:r>
        <w:rPr>
          <w:color w:val="231F20"/>
        </w:rPr>
        <w:t>extran- jera de cartera ha sido </w:t>
      </w:r>
      <w:r>
        <w:rPr>
          <w:color w:val="231F20"/>
          <w:spacing w:val="-3"/>
        </w:rPr>
        <w:t>mayor, </w:t>
      </w:r>
      <w:r>
        <w:rPr>
          <w:color w:val="231F20"/>
        </w:rPr>
        <w:t>a lo largo del tiempo de estudio es la IED la que aporta una mayor cantidad de divisas al país (Santiago,</w:t>
      </w:r>
      <w:r>
        <w:rPr>
          <w:color w:val="231F20"/>
          <w:spacing w:val="6"/>
        </w:rPr>
        <w:t> </w:t>
      </w:r>
      <w:r>
        <w:rPr>
          <w:color w:val="231F20"/>
          <w:spacing w:val="-3"/>
        </w:rPr>
        <w:t>2008).</w:t>
      </w:r>
    </w:p>
    <w:p>
      <w:pPr>
        <w:pStyle w:val="BodyText"/>
      </w:pPr>
    </w:p>
    <w:p>
      <w:pPr>
        <w:pStyle w:val="BodyText"/>
        <w:spacing w:before="10"/>
        <w:rPr>
          <w:sz w:val="19"/>
        </w:rPr>
      </w:pPr>
    </w:p>
    <w:p>
      <w:pPr>
        <w:pStyle w:val="Heading2"/>
        <w:spacing w:before="1"/>
      </w:pPr>
      <w:r>
        <w:rPr>
          <w:color w:val="231F20"/>
        </w:rPr>
        <w:t>La Deuda Externa y la IED</w:t>
      </w:r>
    </w:p>
    <w:p>
      <w:pPr>
        <w:pStyle w:val="BodyText"/>
        <w:spacing w:before="8"/>
        <w:rPr>
          <w:b/>
          <w:sz w:val="20"/>
        </w:rPr>
      </w:pPr>
    </w:p>
    <w:p>
      <w:pPr>
        <w:pStyle w:val="BodyText"/>
        <w:spacing w:line="247" w:lineRule="auto"/>
        <w:ind w:left="1553" w:right="1550"/>
        <w:jc w:val="both"/>
      </w:pPr>
      <w:r>
        <w:rPr>
          <w:color w:val="231F20"/>
        </w:rPr>
        <w:t>El endeudamiento ha sido una estrategia que desde los años cuarenta se plantea como</w:t>
      </w:r>
      <w:r>
        <w:rPr>
          <w:color w:val="231F20"/>
          <w:spacing w:val="-9"/>
        </w:rPr>
        <w:t> </w:t>
      </w:r>
      <w:r>
        <w:rPr>
          <w:color w:val="231F20"/>
        </w:rPr>
        <w:t>el</w:t>
      </w:r>
      <w:r>
        <w:rPr>
          <w:color w:val="231F20"/>
          <w:spacing w:val="-9"/>
        </w:rPr>
        <w:t> </w:t>
      </w:r>
      <w:r>
        <w:rPr>
          <w:color w:val="231F20"/>
        </w:rPr>
        <w:t>financiamiento</w:t>
      </w:r>
      <w:r>
        <w:rPr>
          <w:color w:val="231F20"/>
          <w:spacing w:val="-9"/>
        </w:rPr>
        <w:t> </w:t>
      </w:r>
      <w:r>
        <w:rPr>
          <w:color w:val="231F20"/>
        </w:rPr>
        <w:t>al</w:t>
      </w:r>
      <w:r>
        <w:rPr>
          <w:color w:val="231F20"/>
          <w:spacing w:val="-9"/>
        </w:rPr>
        <w:t> </w:t>
      </w:r>
      <w:r>
        <w:rPr>
          <w:color w:val="231F20"/>
        </w:rPr>
        <w:t>desarrollo</w:t>
      </w:r>
      <w:r>
        <w:rPr>
          <w:color w:val="231F20"/>
          <w:spacing w:val="-9"/>
        </w:rPr>
        <w:t> </w:t>
      </w:r>
      <w:r>
        <w:rPr>
          <w:color w:val="231F20"/>
        </w:rPr>
        <w:t>económico</w:t>
      </w:r>
      <w:r>
        <w:rPr>
          <w:color w:val="231F20"/>
          <w:spacing w:val="-9"/>
        </w:rPr>
        <w:t> </w:t>
      </w:r>
      <w:r>
        <w:rPr>
          <w:color w:val="231F20"/>
        </w:rPr>
        <w:t>de</w:t>
      </w:r>
      <w:r>
        <w:rPr>
          <w:color w:val="231F20"/>
          <w:spacing w:val="-9"/>
        </w:rPr>
        <w:t> </w:t>
      </w:r>
      <w:r>
        <w:rPr>
          <w:color w:val="231F20"/>
        </w:rPr>
        <w:t>México.</w:t>
      </w:r>
      <w:r>
        <w:rPr>
          <w:color w:val="231F20"/>
          <w:spacing w:val="-9"/>
        </w:rPr>
        <w:t> </w:t>
      </w:r>
      <w:r>
        <w:rPr>
          <w:color w:val="231F20"/>
        </w:rPr>
        <w:t>El</w:t>
      </w:r>
      <w:r>
        <w:rPr>
          <w:color w:val="231F20"/>
          <w:spacing w:val="-9"/>
        </w:rPr>
        <w:t> </w:t>
      </w:r>
      <w:r>
        <w:rPr>
          <w:color w:val="231F20"/>
        </w:rPr>
        <w:t>auge</w:t>
      </w:r>
      <w:r>
        <w:rPr>
          <w:color w:val="231F20"/>
          <w:spacing w:val="-9"/>
        </w:rPr>
        <w:t> </w:t>
      </w:r>
      <w:r>
        <w:rPr>
          <w:color w:val="231F20"/>
        </w:rPr>
        <w:t>petrolero</w:t>
      </w:r>
      <w:r>
        <w:rPr>
          <w:color w:val="231F20"/>
          <w:spacing w:val="-9"/>
        </w:rPr>
        <w:t> </w:t>
      </w:r>
      <w:r>
        <w:rPr>
          <w:color w:val="231F20"/>
        </w:rPr>
        <w:t>de</w:t>
      </w:r>
      <w:r>
        <w:rPr>
          <w:color w:val="231F20"/>
          <w:spacing w:val="-9"/>
        </w:rPr>
        <w:t> </w:t>
      </w:r>
      <w:r>
        <w:rPr>
          <w:color w:val="231F20"/>
        </w:rPr>
        <w:t>los años setenta fue asociado a una vulnerabilidad financiera que contribuyó al desen- cadenamiento de la crisis de</w:t>
      </w:r>
      <w:r>
        <w:rPr>
          <w:color w:val="231F20"/>
          <w:spacing w:val="4"/>
        </w:rPr>
        <w:t> </w:t>
      </w:r>
      <w:r>
        <w:rPr>
          <w:color w:val="231F20"/>
          <w:spacing w:val="-4"/>
        </w:rPr>
        <w:t>1982.</w:t>
      </w:r>
    </w:p>
    <w:p>
      <w:pPr>
        <w:pStyle w:val="BodyText"/>
        <w:spacing w:line="247" w:lineRule="auto"/>
        <w:ind w:left="1553" w:right="1549" w:firstLine="283"/>
        <w:jc w:val="both"/>
      </w:pPr>
      <w:r>
        <w:rPr>
          <w:color w:val="231F20"/>
        </w:rPr>
        <w:t>A partir de esa fecha y hasta finales de los ochenta, el endeudamiento se convir- tió en una variable que no permitía el crecimiento económico, altas tasas de infla- ción, baja real de los salarios, entre otros. Ante esta situación se definieron como objetivos de política económica reducir la inflación y fortalecer la balanza de pagos</w:t>
      </w:r>
    </w:p>
    <w:p>
      <w:pPr>
        <w:pStyle w:val="BodyText"/>
        <w:spacing w:before="8"/>
        <w:rPr>
          <w:sz w:val="24"/>
        </w:rPr>
      </w:pPr>
    </w:p>
    <w:p>
      <w:pPr>
        <w:spacing w:before="74"/>
        <w:ind w:left="1575" w:right="1575" w:firstLine="0"/>
        <w:jc w:val="center"/>
        <w:rPr>
          <w:sz w:val="20"/>
        </w:rPr>
      </w:pPr>
      <w:r>
        <w:rPr>
          <w:color w:val="231F20"/>
          <w:sz w:val="20"/>
        </w:rPr>
        <w:t>45</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553" w:right="1548"/>
        <w:jc w:val="both"/>
      </w:pPr>
      <w:r>
        <w:rPr>
          <w:color w:val="231F20"/>
        </w:rPr>
        <w:t>a través de </w:t>
      </w:r>
      <w:r>
        <w:rPr>
          <w:color w:val="231F20"/>
          <w:spacing w:val="2"/>
        </w:rPr>
        <w:t>un </w:t>
      </w:r>
      <w:r>
        <w:rPr>
          <w:color w:val="231F20"/>
        </w:rPr>
        <w:t>programa. Este programa contenía alteraciones de la </w:t>
      </w:r>
      <w:r>
        <w:rPr>
          <w:color w:val="231F20"/>
          <w:spacing w:val="2"/>
        </w:rPr>
        <w:t>estructura </w:t>
      </w:r>
      <w:r>
        <w:rPr>
          <w:color w:val="231F20"/>
        </w:rPr>
        <w:t>de precios relativos y la eliminación de la intervención del Estado sobre la producción y el comercio internacional. Esto suponía </w:t>
      </w:r>
      <w:r>
        <w:rPr>
          <w:color w:val="231F20"/>
          <w:spacing w:val="2"/>
        </w:rPr>
        <w:t>un </w:t>
      </w:r>
      <w:r>
        <w:rPr>
          <w:color w:val="231F20"/>
        </w:rPr>
        <w:t>papel importante del mercado y del sector privado, así como una inducción de crecimiento liderado por las exportacio- nes.</w:t>
      </w:r>
      <w:r>
        <w:rPr>
          <w:color w:val="231F20"/>
          <w:spacing w:val="-6"/>
        </w:rPr>
        <w:t> </w:t>
      </w:r>
      <w:r>
        <w:rPr>
          <w:color w:val="231F20"/>
        </w:rPr>
        <w:t>La</w:t>
      </w:r>
      <w:r>
        <w:rPr>
          <w:color w:val="231F20"/>
          <w:spacing w:val="-6"/>
        </w:rPr>
        <w:t> </w:t>
      </w:r>
      <w:r>
        <w:rPr>
          <w:color w:val="231F20"/>
        </w:rPr>
        <w:t>política</w:t>
      </w:r>
      <w:r>
        <w:rPr>
          <w:color w:val="231F20"/>
          <w:spacing w:val="-6"/>
        </w:rPr>
        <w:t> </w:t>
      </w:r>
      <w:r>
        <w:rPr>
          <w:color w:val="231F20"/>
        </w:rPr>
        <w:t>económica</w:t>
      </w:r>
      <w:r>
        <w:rPr>
          <w:color w:val="231F20"/>
          <w:spacing w:val="-6"/>
        </w:rPr>
        <w:t> </w:t>
      </w:r>
      <w:r>
        <w:rPr>
          <w:color w:val="231F20"/>
        </w:rPr>
        <w:t>se</w:t>
      </w:r>
      <w:r>
        <w:rPr>
          <w:color w:val="231F20"/>
          <w:spacing w:val="-6"/>
        </w:rPr>
        <w:t> </w:t>
      </w:r>
      <w:r>
        <w:rPr>
          <w:color w:val="231F20"/>
        </w:rPr>
        <w:t>acompañó</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ampliación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deuda</w:t>
      </w:r>
      <w:r>
        <w:rPr>
          <w:color w:val="231F20"/>
          <w:spacing w:val="-6"/>
        </w:rPr>
        <w:t> </w:t>
      </w:r>
      <w:r>
        <w:rPr>
          <w:color w:val="231F20"/>
        </w:rPr>
        <w:t>que</w:t>
      </w:r>
      <w:r>
        <w:rPr>
          <w:color w:val="231F20"/>
          <w:spacing w:val="-6"/>
        </w:rPr>
        <w:t> </w:t>
      </w:r>
      <w:r>
        <w:rPr>
          <w:color w:val="231F20"/>
        </w:rPr>
        <w:t>condujo a la estimulación de cualquier actividad económica capaz de generar divisas. Así, las industrias de maquila y el ingreso de capitales del exterior, a la vez, contribuye- ron a profundizar la dependencia rompiendo las cadenas productivas internas y so- metiendo las decisiones de política económica al arbitraje de los prestamistas </w:t>
      </w:r>
      <w:r>
        <w:rPr>
          <w:color w:val="231F20"/>
          <w:spacing w:val="-5"/>
        </w:rPr>
        <w:t>ex- </w:t>
      </w:r>
      <w:r>
        <w:rPr>
          <w:color w:val="231F20"/>
        </w:rPr>
        <w:t>tranjeros (Contreras,</w:t>
      </w:r>
      <w:r>
        <w:rPr>
          <w:color w:val="231F20"/>
          <w:spacing w:val="-6"/>
        </w:rPr>
        <w:t> </w:t>
      </w:r>
      <w:r>
        <w:rPr>
          <w:color w:val="231F20"/>
        </w:rPr>
        <w:t>2007).</w:t>
      </w:r>
    </w:p>
    <w:p>
      <w:pPr>
        <w:pStyle w:val="BodyText"/>
        <w:spacing w:line="247" w:lineRule="auto"/>
        <w:ind w:left="1553" w:right="1547" w:firstLine="283"/>
        <w:jc w:val="both"/>
      </w:pPr>
      <w:r>
        <w:rPr>
          <w:color w:val="231F20"/>
        </w:rPr>
        <w:t>Los excesivos niveles de endeudamiento determinaron </w:t>
      </w:r>
      <w:r>
        <w:rPr>
          <w:color w:val="231F20"/>
          <w:spacing w:val="2"/>
        </w:rPr>
        <w:t>un </w:t>
      </w:r>
      <w:r>
        <w:rPr>
          <w:color w:val="231F20"/>
        </w:rPr>
        <w:t>estrechamiento de los márgenes de definición de las estrategias de desarrollo obligando a privilegiar los resultados inmediatos que permitían disponer de los dólares necesarios para hacer frente a la deuda externa y a las importaciones indiscriminadas que siguieron a la </w:t>
      </w:r>
      <w:r>
        <w:rPr>
          <w:color w:val="231F20"/>
          <w:spacing w:val="2"/>
        </w:rPr>
        <w:t>apertura </w:t>
      </w:r>
      <w:r>
        <w:rPr>
          <w:color w:val="231F20"/>
        </w:rPr>
        <w:t>comercial. De tal manera que buena </w:t>
      </w:r>
      <w:r>
        <w:rPr>
          <w:color w:val="231F20"/>
          <w:spacing w:val="2"/>
        </w:rPr>
        <w:t>parte </w:t>
      </w:r>
      <w:r>
        <w:rPr>
          <w:color w:val="231F20"/>
        </w:rPr>
        <w:t>de la planta productiva se </w:t>
      </w:r>
      <w:r>
        <w:rPr>
          <w:color w:val="231F20"/>
          <w:spacing w:val="2"/>
        </w:rPr>
        <w:t>trans- </w:t>
      </w:r>
      <w:r>
        <w:rPr>
          <w:color w:val="231F20"/>
        </w:rPr>
        <w:t>formó</w:t>
      </w:r>
      <w:r>
        <w:rPr>
          <w:color w:val="231F20"/>
          <w:spacing w:val="-5"/>
        </w:rPr>
        <w:t> </w:t>
      </w:r>
      <w:r>
        <w:rPr>
          <w:color w:val="231F20"/>
        </w:rPr>
        <w:t>hacia</w:t>
      </w:r>
      <w:r>
        <w:rPr>
          <w:color w:val="231F20"/>
          <w:spacing w:val="-5"/>
        </w:rPr>
        <w:t> </w:t>
      </w:r>
      <w:r>
        <w:rPr>
          <w:color w:val="231F20"/>
        </w:rPr>
        <w:t>las</w:t>
      </w:r>
      <w:r>
        <w:rPr>
          <w:color w:val="231F20"/>
          <w:spacing w:val="-5"/>
        </w:rPr>
        <w:t> </w:t>
      </w:r>
      <w:r>
        <w:rPr>
          <w:color w:val="231F20"/>
        </w:rPr>
        <w:t>actividades</w:t>
      </w:r>
      <w:r>
        <w:rPr>
          <w:color w:val="231F20"/>
          <w:spacing w:val="-5"/>
        </w:rPr>
        <w:t> </w:t>
      </w:r>
      <w:r>
        <w:rPr>
          <w:color w:val="231F20"/>
        </w:rPr>
        <w:t>de</w:t>
      </w:r>
      <w:r>
        <w:rPr>
          <w:color w:val="231F20"/>
          <w:spacing w:val="-5"/>
        </w:rPr>
        <w:t> </w:t>
      </w:r>
      <w:r>
        <w:rPr>
          <w:color w:val="231F20"/>
        </w:rPr>
        <w:t>maquila</w:t>
      </w:r>
      <w:r>
        <w:rPr>
          <w:color w:val="231F20"/>
          <w:spacing w:val="-5"/>
        </w:rPr>
        <w:t> </w:t>
      </w:r>
      <w:r>
        <w:rPr>
          <w:color w:val="231F20"/>
        </w:rPr>
        <w:t>netamente</w:t>
      </w:r>
      <w:r>
        <w:rPr>
          <w:color w:val="231F20"/>
          <w:spacing w:val="-5"/>
        </w:rPr>
        <w:t> </w:t>
      </w:r>
      <w:r>
        <w:rPr>
          <w:color w:val="231F20"/>
        </w:rPr>
        <w:t>exportadoras</w:t>
      </w:r>
      <w:r>
        <w:rPr>
          <w:color w:val="231F20"/>
          <w:spacing w:val="-5"/>
        </w:rPr>
        <w:t> </w:t>
      </w:r>
      <w:r>
        <w:rPr>
          <w:color w:val="231F20"/>
        </w:rPr>
        <w:t>para</w:t>
      </w:r>
      <w:r>
        <w:rPr>
          <w:color w:val="231F20"/>
          <w:spacing w:val="-5"/>
        </w:rPr>
        <w:t> </w:t>
      </w:r>
      <w:r>
        <w:rPr>
          <w:color w:val="231F20"/>
        </w:rPr>
        <w:t>la</w:t>
      </w:r>
      <w:r>
        <w:rPr>
          <w:color w:val="231F20"/>
          <w:spacing w:val="-5"/>
        </w:rPr>
        <w:t> </w:t>
      </w:r>
      <w:r>
        <w:rPr>
          <w:color w:val="231F20"/>
        </w:rPr>
        <w:t>captación</w:t>
      </w:r>
      <w:r>
        <w:rPr>
          <w:color w:val="231F20"/>
          <w:spacing w:val="-5"/>
        </w:rPr>
        <w:t> </w:t>
      </w:r>
      <w:r>
        <w:rPr>
          <w:color w:val="231F20"/>
        </w:rPr>
        <w:t>en divisas. Debido al mal manejo de la política de endeudamiento externo sin el apoyo de los recursos internos y la falta de </w:t>
      </w:r>
      <w:r>
        <w:rPr>
          <w:color w:val="231F20"/>
          <w:spacing w:val="2"/>
        </w:rPr>
        <w:t>un </w:t>
      </w:r>
      <w:r>
        <w:rPr>
          <w:color w:val="231F20"/>
        </w:rPr>
        <w:t>adecuado presupuesto de divisas, a finales de la década de los ochenta se tornó a la búsqueda de una política fiscal más agresi- va, acompañada de </w:t>
      </w:r>
      <w:r>
        <w:rPr>
          <w:color w:val="231F20"/>
          <w:spacing w:val="2"/>
        </w:rPr>
        <w:t>un </w:t>
      </w:r>
      <w:r>
        <w:rPr>
          <w:color w:val="231F20"/>
        </w:rPr>
        <w:t>incremento de la deuda interna para satisfacer los requeri- mientos financieros del Estado (Girón,</w:t>
      </w:r>
      <w:r>
        <w:rPr>
          <w:color w:val="231F20"/>
          <w:spacing w:val="-21"/>
        </w:rPr>
        <w:t> </w:t>
      </w:r>
      <w:r>
        <w:rPr>
          <w:color w:val="231F20"/>
          <w:spacing w:val="-6"/>
        </w:rPr>
        <w:t>2001).</w:t>
      </w:r>
    </w:p>
    <w:p>
      <w:pPr>
        <w:pStyle w:val="BodyText"/>
        <w:spacing w:line="247" w:lineRule="auto"/>
        <w:ind w:left="1554" w:right="1549" w:firstLine="283"/>
        <w:jc w:val="both"/>
      </w:pPr>
      <w:r>
        <w:rPr>
          <w:color w:val="231F20"/>
        </w:rPr>
        <w:t>A </w:t>
      </w:r>
      <w:r>
        <w:rPr>
          <w:color w:val="231F20"/>
          <w:spacing w:val="2"/>
        </w:rPr>
        <w:t>partir </w:t>
      </w:r>
      <w:r>
        <w:rPr>
          <w:color w:val="231F20"/>
        </w:rPr>
        <w:t>de </w:t>
      </w:r>
      <w:r>
        <w:rPr>
          <w:color w:val="231F20"/>
          <w:spacing w:val="-3"/>
        </w:rPr>
        <w:t>1990, </w:t>
      </w:r>
      <w:r>
        <w:rPr>
          <w:color w:val="231F20"/>
        </w:rPr>
        <w:t>la apreciación cambiaria se vio reforzada por el ingreso de ca- pitales, que ayudó a mejorar el desempeño económico de los años siguientes eva- diendo las restricciones del </w:t>
      </w:r>
      <w:r>
        <w:rPr>
          <w:color w:val="231F20"/>
          <w:spacing w:val="-3"/>
        </w:rPr>
        <w:t>bajo </w:t>
      </w:r>
      <w:r>
        <w:rPr>
          <w:color w:val="231F20"/>
        </w:rPr>
        <w:t>ahorro interno y posibilitó el manejo flexible de las políticas</w:t>
      </w:r>
      <w:r>
        <w:rPr>
          <w:color w:val="231F20"/>
          <w:spacing w:val="-8"/>
        </w:rPr>
        <w:t> </w:t>
      </w:r>
      <w:r>
        <w:rPr>
          <w:color w:val="231F20"/>
        </w:rPr>
        <w:t>monetaria</w:t>
      </w:r>
      <w:r>
        <w:rPr>
          <w:color w:val="231F20"/>
          <w:spacing w:val="-8"/>
        </w:rPr>
        <w:t> </w:t>
      </w:r>
      <w:r>
        <w:rPr>
          <w:color w:val="231F20"/>
        </w:rPr>
        <w:t>y</w:t>
      </w:r>
      <w:r>
        <w:rPr>
          <w:color w:val="231F20"/>
          <w:spacing w:val="-9"/>
        </w:rPr>
        <w:t> </w:t>
      </w:r>
      <w:r>
        <w:rPr>
          <w:color w:val="231F20"/>
        </w:rPr>
        <w:t>fiscal,</w:t>
      </w:r>
      <w:r>
        <w:rPr>
          <w:color w:val="231F20"/>
          <w:spacing w:val="-7"/>
        </w:rPr>
        <w:t> </w:t>
      </w:r>
      <w:r>
        <w:rPr>
          <w:color w:val="231F20"/>
        </w:rPr>
        <w:t>compensó</w:t>
      </w:r>
      <w:r>
        <w:rPr>
          <w:color w:val="231F20"/>
          <w:spacing w:val="-7"/>
        </w:rPr>
        <w:t> </w:t>
      </w:r>
      <w:r>
        <w:rPr>
          <w:color w:val="231F20"/>
        </w:rPr>
        <w:t>el</w:t>
      </w:r>
      <w:r>
        <w:rPr>
          <w:color w:val="231F20"/>
          <w:spacing w:val="-8"/>
        </w:rPr>
        <w:t> </w:t>
      </w:r>
      <w:r>
        <w:rPr>
          <w:color w:val="231F20"/>
        </w:rPr>
        <w:t>déficit</w:t>
      </w:r>
      <w:r>
        <w:rPr>
          <w:color w:val="231F20"/>
          <w:spacing w:val="-8"/>
        </w:rPr>
        <w:t> </w:t>
      </w:r>
      <w:r>
        <w:rPr>
          <w:color w:val="231F20"/>
        </w:rPr>
        <w:t>externo</w:t>
      </w:r>
      <w:r>
        <w:rPr>
          <w:color w:val="231F20"/>
          <w:spacing w:val="-8"/>
        </w:rPr>
        <w:t> </w:t>
      </w:r>
      <w:r>
        <w:rPr>
          <w:color w:val="231F20"/>
        </w:rPr>
        <w:t>y</w:t>
      </w:r>
      <w:r>
        <w:rPr>
          <w:color w:val="231F20"/>
          <w:spacing w:val="-8"/>
        </w:rPr>
        <w:t> </w:t>
      </w:r>
      <w:r>
        <w:rPr>
          <w:color w:val="231F20"/>
          <w:spacing w:val="-3"/>
        </w:rPr>
        <w:t>elevó</w:t>
      </w:r>
      <w:r>
        <w:rPr>
          <w:color w:val="231F20"/>
          <w:spacing w:val="-8"/>
        </w:rPr>
        <w:t> </w:t>
      </w:r>
      <w:r>
        <w:rPr>
          <w:color w:val="231F20"/>
        </w:rPr>
        <w:t>las</w:t>
      </w:r>
      <w:r>
        <w:rPr>
          <w:color w:val="231F20"/>
          <w:spacing w:val="-8"/>
        </w:rPr>
        <w:t> </w:t>
      </w:r>
      <w:r>
        <w:rPr>
          <w:color w:val="231F20"/>
        </w:rPr>
        <w:t>reservas</w:t>
      </w:r>
      <w:r>
        <w:rPr>
          <w:color w:val="231F20"/>
          <w:spacing w:val="-8"/>
        </w:rPr>
        <w:t> </w:t>
      </w:r>
      <w:r>
        <w:rPr>
          <w:color w:val="231F20"/>
        </w:rPr>
        <w:t>interna- cionales. Sin embargo, en diciembre de </w:t>
      </w:r>
      <w:r>
        <w:rPr>
          <w:color w:val="231F20"/>
          <w:spacing w:val="-4"/>
        </w:rPr>
        <w:t>1994 </w:t>
      </w:r>
      <w:r>
        <w:rPr>
          <w:color w:val="231F20"/>
        </w:rPr>
        <w:t>se presenta nuevamente </w:t>
      </w:r>
      <w:r>
        <w:rPr>
          <w:color w:val="231F20"/>
          <w:spacing w:val="2"/>
        </w:rPr>
        <w:t>un </w:t>
      </w:r>
      <w:r>
        <w:rPr>
          <w:color w:val="231F20"/>
        </w:rPr>
        <w:t>período de crisis económica generado de manera significativa por la caída del ahorro domésti- </w:t>
      </w:r>
      <w:r>
        <w:rPr>
          <w:color w:val="231F20"/>
          <w:spacing w:val="-3"/>
        </w:rPr>
        <w:t>co. </w:t>
      </w:r>
      <w:r>
        <w:rPr>
          <w:color w:val="231F20"/>
        </w:rPr>
        <w:t>Esta escasez de ahorro doméstico hizo más vulnerable a la economía mexicana frente a los movimientos de capital extranjero. La emisión de los tesobonos para mantener el flujo de recursos externos indispensable para financiar el déficit de la cuenta corriente, estos bonos eran a corto plazo y dolarizaban la deuda interna lo cual también influyó de manera importante a que se desatara la crisis. La crisis de este año obligó al gobierno a intervenir a </w:t>
      </w:r>
      <w:r>
        <w:rPr>
          <w:color w:val="231F20"/>
          <w:spacing w:val="2"/>
        </w:rPr>
        <w:t>partir </w:t>
      </w:r>
      <w:r>
        <w:rPr>
          <w:color w:val="231F20"/>
        </w:rPr>
        <w:t>de la constitución del </w:t>
      </w:r>
      <w:r>
        <w:rPr>
          <w:color w:val="231F20"/>
          <w:spacing w:val="-3"/>
        </w:rPr>
        <w:t>Fondo </w:t>
      </w:r>
      <w:r>
        <w:rPr>
          <w:color w:val="231F20"/>
        </w:rPr>
        <w:t>Banca- rio</w:t>
      </w:r>
      <w:r>
        <w:rPr>
          <w:color w:val="231F20"/>
          <w:spacing w:val="-11"/>
        </w:rPr>
        <w:t> </w:t>
      </w:r>
      <w:r>
        <w:rPr>
          <w:color w:val="231F20"/>
        </w:rPr>
        <w:t>de</w:t>
      </w:r>
      <w:r>
        <w:rPr>
          <w:color w:val="231F20"/>
          <w:spacing w:val="-11"/>
        </w:rPr>
        <w:t> </w:t>
      </w:r>
      <w:r>
        <w:rPr>
          <w:color w:val="231F20"/>
        </w:rPr>
        <w:t>Protección</w:t>
      </w:r>
      <w:r>
        <w:rPr>
          <w:color w:val="231F20"/>
          <w:spacing w:val="-11"/>
        </w:rPr>
        <w:t> </w:t>
      </w:r>
      <w:r>
        <w:rPr>
          <w:color w:val="231F20"/>
        </w:rPr>
        <w:t>al</w:t>
      </w:r>
      <w:r>
        <w:rPr>
          <w:color w:val="231F20"/>
          <w:spacing w:val="-11"/>
        </w:rPr>
        <w:t> </w:t>
      </w:r>
      <w:r>
        <w:rPr>
          <w:color w:val="231F20"/>
        </w:rPr>
        <w:t>Ahorro</w:t>
      </w:r>
      <w:r>
        <w:rPr>
          <w:color w:val="231F20"/>
          <w:spacing w:val="-11"/>
        </w:rPr>
        <w:t> </w:t>
      </w:r>
      <w:r>
        <w:rPr>
          <w:color w:val="231F20"/>
          <w:spacing w:val="-5"/>
        </w:rPr>
        <w:t>(FOBAPROA),</w:t>
      </w:r>
      <w:r>
        <w:rPr>
          <w:color w:val="231F20"/>
          <w:spacing w:val="-11"/>
        </w:rPr>
        <w:t> </w:t>
      </w:r>
      <w:r>
        <w:rPr>
          <w:color w:val="231F20"/>
        </w:rPr>
        <w:t>así</w:t>
      </w:r>
      <w:r>
        <w:rPr>
          <w:color w:val="231F20"/>
          <w:spacing w:val="-11"/>
        </w:rPr>
        <w:t> </w:t>
      </w:r>
      <w:r>
        <w:rPr>
          <w:color w:val="231F20"/>
        </w:rPr>
        <w:t>como</w:t>
      </w:r>
      <w:r>
        <w:rPr>
          <w:color w:val="231F20"/>
          <w:spacing w:val="-11"/>
        </w:rPr>
        <w:t> </w:t>
      </w:r>
      <w:r>
        <w:rPr>
          <w:color w:val="231F20"/>
        </w:rPr>
        <w:t>del</w:t>
      </w:r>
      <w:r>
        <w:rPr>
          <w:color w:val="231F20"/>
          <w:spacing w:val="-11"/>
        </w:rPr>
        <w:t> </w:t>
      </w:r>
      <w:r>
        <w:rPr>
          <w:color w:val="231F20"/>
        </w:rPr>
        <w:t>Programa</w:t>
      </w:r>
      <w:r>
        <w:rPr>
          <w:color w:val="231F20"/>
          <w:spacing w:val="-11"/>
        </w:rPr>
        <w:t> </w:t>
      </w:r>
      <w:r>
        <w:rPr>
          <w:color w:val="231F20"/>
        </w:rPr>
        <w:t>de</w:t>
      </w:r>
      <w:r>
        <w:rPr>
          <w:color w:val="231F20"/>
          <w:spacing w:val="-11"/>
        </w:rPr>
        <w:t> </w:t>
      </w:r>
      <w:r>
        <w:rPr>
          <w:color w:val="231F20"/>
        </w:rPr>
        <w:t>Capitalización </w:t>
      </w:r>
      <w:r>
        <w:rPr>
          <w:color w:val="231F20"/>
          <w:spacing w:val="-3"/>
        </w:rPr>
        <w:t>Temporal</w:t>
      </w:r>
      <w:r>
        <w:rPr>
          <w:color w:val="231F20"/>
          <w:spacing w:val="-5"/>
        </w:rPr>
        <w:t> </w:t>
      </w:r>
      <w:r>
        <w:rPr>
          <w:color w:val="231F20"/>
        </w:rPr>
        <w:t>(PROCAPTE).</w:t>
      </w:r>
      <w:r>
        <w:rPr>
          <w:color w:val="231F20"/>
          <w:spacing w:val="-5"/>
        </w:rPr>
        <w:t> </w:t>
      </w:r>
      <w:r>
        <w:rPr>
          <w:color w:val="231F20"/>
        </w:rPr>
        <w:t>El</w:t>
      </w:r>
      <w:r>
        <w:rPr>
          <w:color w:val="231F20"/>
          <w:spacing w:val="-5"/>
        </w:rPr>
        <w:t> </w:t>
      </w:r>
      <w:r>
        <w:rPr>
          <w:color w:val="231F20"/>
        </w:rPr>
        <w:t>programa</w:t>
      </w:r>
      <w:r>
        <w:rPr>
          <w:color w:val="231F20"/>
          <w:spacing w:val="-5"/>
        </w:rPr>
        <w:t> </w:t>
      </w:r>
      <w:r>
        <w:rPr>
          <w:color w:val="231F20"/>
        </w:rPr>
        <w:t>inicialmente</w:t>
      </w:r>
      <w:r>
        <w:rPr>
          <w:color w:val="231F20"/>
          <w:spacing w:val="-5"/>
        </w:rPr>
        <w:t> </w:t>
      </w:r>
      <w:r>
        <w:rPr>
          <w:color w:val="231F20"/>
        </w:rPr>
        <w:t>respondía</w:t>
      </w:r>
      <w:r>
        <w:rPr>
          <w:color w:val="231F20"/>
          <w:spacing w:val="-5"/>
        </w:rPr>
        <w:t> </w:t>
      </w:r>
      <w:r>
        <w:rPr>
          <w:color w:val="231F20"/>
        </w:rPr>
        <w:t>al</w:t>
      </w:r>
      <w:r>
        <w:rPr>
          <w:color w:val="231F20"/>
          <w:spacing w:val="-5"/>
        </w:rPr>
        <w:t> </w:t>
      </w:r>
      <w:r>
        <w:rPr>
          <w:color w:val="231F20"/>
        </w:rPr>
        <w:t>problema</w:t>
      </w:r>
      <w:r>
        <w:rPr>
          <w:color w:val="231F20"/>
          <w:spacing w:val="-5"/>
        </w:rPr>
        <w:t> </w:t>
      </w:r>
      <w:r>
        <w:rPr>
          <w:color w:val="231F20"/>
        </w:rPr>
        <w:t>de</w:t>
      </w:r>
      <w:r>
        <w:rPr>
          <w:color w:val="231F20"/>
          <w:spacing w:val="-5"/>
        </w:rPr>
        <w:t> </w:t>
      </w:r>
      <w:r>
        <w:rPr>
          <w:color w:val="231F20"/>
        </w:rPr>
        <w:t>venci- miento de las obligaciones de corto plazo y cambiarlas por obligaciones de largo plazo. Pero esto significó sustituir deuda pública interna por deuda pública externa (Girón,</w:t>
      </w:r>
      <w:r>
        <w:rPr>
          <w:color w:val="231F20"/>
          <w:spacing w:val="-3"/>
        </w:rPr>
        <w:t> </w:t>
      </w:r>
      <w:r>
        <w:rPr>
          <w:color w:val="231F20"/>
          <w:spacing w:val="-6"/>
        </w:rPr>
        <w:t>2001).</w:t>
      </w:r>
    </w:p>
    <w:p>
      <w:pPr>
        <w:pStyle w:val="BodyText"/>
        <w:spacing w:before="2"/>
        <w:rPr>
          <w:sz w:val="9"/>
        </w:rPr>
      </w:pPr>
    </w:p>
    <w:p>
      <w:pPr>
        <w:spacing w:before="75"/>
        <w:ind w:left="1575" w:right="1575" w:firstLine="0"/>
        <w:jc w:val="center"/>
        <w:rPr>
          <w:sz w:val="20"/>
        </w:rPr>
      </w:pPr>
      <w:r>
        <w:rPr>
          <w:color w:val="231F20"/>
          <w:sz w:val="20"/>
        </w:rPr>
        <w:t>46</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1576" w:right="1548" w:firstLine="0"/>
        <w:jc w:val="center"/>
        <w:rPr>
          <w:sz w:val="20"/>
        </w:rPr>
      </w:pPr>
      <w:r>
        <w:rPr>
          <w:color w:val="231F20"/>
          <w:sz w:val="20"/>
        </w:rPr>
        <w:t>L</w:t>
      </w:r>
      <w:r>
        <w:rPr>
          <w:color w:val="231F20"/>
          <w:sz w:val="14"/>
        </w:rPr>
        <w:t>A  INVERSIÓN  EXTRANJERA DIRECTA  EN EL  CRECIMIENTO ECONÓMICO DE  </w:t>
      </w:r>
      <w:r>
        <w:rPr>
          <w:color w:val="231F20"/>
          <w:sz w:val="20"/>
        </w:rPr>
        <w:t>M</w:t>
      </w:r>
      <w:r>
        <w:rPr>
          <w:color w:val="231F20"/>
          <w:sz w:val="14"/>
        </w:rPr>
        <w:t>ÉXICO</w:t>
      </w:r>
      <w:r>
        <w:rPr>
          <w:color w:val="231F20"/>
          <w:sz w:val="20"/>
        </w:rPr>
        <w:t>, 1970-2012</w:t>
      </w:r>
    </w:p>
    <w:p>
      <w:pPr>
        <w:pStyle w:val="BodyText"/>
        <w:rPr>
          <w:sz w:val="20"/>
        </w:rPr>
      </w:pPr>
    </w:p>
    <w:p>
      <w:pPr>
        <w:pStyle w:val="BodyText"/>
        <w:spacing w:before="8"/>
        <w:rPr>
          <w:sz w:val="17"/>
        </w:rPr>
      </w:pPr>
    </w:p>
    <w:p>
      <w:pPr>
        <w:pStyle w:val="BodyText"/>
        <w:spacing w:line="247" w:lineRule="auto" w:before="1"/>
        <w:ind w:left="1553" w:right="1550" w:firstLine="283"/>
        <w:jc w:val="both"/>
      </w:pPr>
      <w:r>
        <w:rPr>
          <w:color w:val="231F20"/>
        </w:rPr>
        <w:t>La deuda externa total se presenta como stock. Incorpora la deuda pública y pri- vada, de corto y largo plazo. </w:t>
      </w:r>
      <w:r>
        <w:rPr>
          <w:color w:val="231F20"/>
          <w:spacing w:val="-3"/>
        </w:rPr>
        <w:t>Si </w:t>
      </w:r>
      <w:r>
        <w:rPr>
          <w:color w:val="231F20"/>
        </w:rPr>
        <w:t>se convierte este stock a flujos de capital anual, y se comparan</w:t>
      </w:r>
      <w:r>
        <w:rPr>
          <w:color w:val="231F20"/>
          <w:spacing w:val="-6"/>
        </w:rPr>
        <w:t> </w:t>
      </w:r>
      <w:r>
        <w:rPr>
          <w:color w:val="231F20"/>
        </w:rPr>
        <w:t>con</w:t>
      </w:r>
      <w:r>
        <w:rPr>
          <w:color w:val="231F20"/>
          <w:spacing w:val="-6"/>
        </w:rPr>
        <w:t> </w:t>
      </w:r>
      <w:r>
        <w:rPr>
          <w:color w:val="231F20"/>
        </w:rPr>
        <w:t>los</w:t>
      </w:r>
      <w:r>
        <w:rPr>
          <w:color w:val="231F20"/>
          <w:spacing w:val="-6"/>
        </w:rPr>
        <w:t> </w:t>
      </w:r>
      <w:r>
        <w:rPr>
          <w:color w:val="231F20"/>
        </w:rPr>
        <w:t>flujos</w:t>
      </w:r>
      <w:r>
        <w:rPr>
          <w:color w:val="231F20"/>
          <w:spacing w:val="-6"/>
        </w:rPr>
        <w:t> </w:t>
      </w:r>
      <w:r>
        <w:rPr>
          <w:color w:val="231F20"/>
        </w:rPr>
        <w:t>de</w:t>
      </w:r>
      <w:r>
        <w:rPr>
          <w:color w:val="231F20"/>
          <w:spacing w:val="-6"/>
        </w:rPr>
        <w:t> </w:t>
      </w:r>
      <w:r>
        <w:rPr>
          <w:color w:val="231F20"/>
        </w:rPr>
        <w:t>IED,</w:t>
      </w:r>
      <w:r>
        <w:rPr>
          <w:color w:val="231F20"/>
          <w:spacing w:val="-6"/>
        </w:rPr>
        <w:t> </w:t>
      </w:r>
      <w:r>
        <w:rPr>
          <w:color w:val="231F20"/>
        </w:rPr>
        <w:t>se</w:t>
      </w:r>
      <w:r>
        <w:rPr>
          <w:color w:val="231F20"/>
          <w:spacing w:val="-6"/>
        </w:rPr>
        <w:t> </w:t>
      </w:r>
      <w:r>
        <w:rPr>
          <w:color w:val="231F20"/>
        </w:rPr>
        <w:t>tiene</w:t>
      </w:r>
      <w:r>
        <w:rPr>
          <w:color w:val="231F20"/>
          <w:spacing w:val="-6"/>
        </w:rPr>
        <w:t> </w:t>
      </w:r>
      <w:r>
        <w:rPr>
          <w:color w:val="231F20"/>
        </w:rPr>
        <w:t>que</w:t>
      </w:r>
      <w:r>
        <w:rPr>
          <w:color w:val="231F20"/>
          <w:spacing w:val="-6"/>
        </w:rPr>
        <w:t> </w:t>
      </w:r>
      <w:r>
        <w:rPr>
          <w:color w:val="231F20"/>
        </w:rPr>
        <w:t>a</w:t>
      </w:r>
      <w:r>
        <w:rPr>
          <w:color w:val="231F20"/>
          <w:spacing w:val="-6"/>
        </w:rPr>
        <w:t> </w:t>
      </w:r>
      <w:r>
        <w:rPr>
          <w:color w:val="231F20"/>
          <w:spacing w:val="2"/>
        </w:rPr>
        <w:t>partir</w:t>
      </w:r>
      <w:r>
        <w:rPr>
          <w:color w:val="231F20"/>
          <w:spacing w:val="-6"/>
        </w:rPr>
        <w:t> </w:t>
      </w:r>
      <w:r>
        <w:rPr>
          <w:color w:val="231F20"/>
        </w:rPr>
        <w:t>de</w:t>
      </w:r>
      <w:r>
        <w:rPr>
          <w:color w:val="231F20"/>
          <w:spacing w:val="-6"/>
        </w:rPr>
        <w:t> </w:t>
      </w:r>
      <w:r>
        <w:rPr>
          <w:color w:val="231F20"/>
          <w:spacing w:val="-4"/>
        </w:rPr>
        <w:t>1982,</w:t>
      </w:r>
      <w:r>
        <w:rPr>
          <w:color w:val="231F20"/>
          <w:spacing w:val="-6"/>
        </w:rPr>
        <w:t> </w:t>
      </w:r>
      <w:r>
        <w:rPr>
          <w:color w:val="231F20"/>
        </w:rPr>
        <w:t>existe</w:t>
      </w:r>
      <w:r>
        <w:rPr>
          <w:color w:val="231F20"/>
          <w:spacing w:val="-6"/>
        </w:rPr>
        <w:t> </w:t>
      </w:r>
      <w:r>
        <w:rPr>
          <w:color w:val="231F20"/>
        </w:rPr>
        <w:t>una</w:t>
      </w:r>
      <w:r>
        <w:rPr>
          <w:color w:val="231F20"/>
          <w:spacing w:val="-6"/>
        </w:rPr>
        <w:t> </w:t>
      </w:r>
      <w:r>
        <w:rPr>
          <w:color w:val="231F20"/>
        </w:rPr>
        <w:t>tendencia</w:t>
      </w:r>
      <w:r>
        <w:rPr>
          <w:color w:val="231F20"/>
          <w:spacing w:val="-6"/>
        </w:rPr>
        <w:t> </w:t>
      </w:r>
      <w:r>
        <w:rPr>
          <w:color w:val="231F20"/>
        </w:rPr>
        <w:t>a sustituir la deuda externa por IED, ver tabla 2 (Santiago,</w:t>
      </w:r>
      <w:r>
        <w:rPr>
          <w:color w:val="231F20"/>
          <w:spacing w:val="3"/>
        </w:rPr>
        <w:t> </w:t>
      </w:r>
      <w:r>
        <w:rPr>
          <w:color w:val="231F20"/>
          <w:spacing w:val="-3"/>
        </w:rPr>
        <w:t>2008).</w:t>
      </w:r>
    </w:p>
    <w:p>
      <w:pPr>
        <w:pStyle w:val="BodyText"/>
        <w:spacing w:before="1"/>
        <w:rPr>
          <w:sz w:val="27"/>
        </w:rPr>
      </w:pPr>
    </w:p>
    <w:p>
      <w:pPr>
        <w:pStyle w:val="Heading5"/>
        <w:ind w:left="1575" w:right="1575"/>
      </w:pPr>
      <w:r>
        <w:rPr>
          <w:color w:val="231F20"/>
        </w:rPr>
        <w:t>Tabla 2. La IED y Deuda Externa, 1980-2012</w:t>
      </w:r>
    </w:p>
    <w:p>
      <w:pPr>
        <w:pStyle w:val="BodyText"/>
        <w:spacing w:before="7"/>
        <w:rPr>
          <w:b/>
          <w:sz w:val="23"/>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095"/>
        <w:gridCol w:w="2477"/>
        <w:gridCol w:w="3788"/>
      </w:tblGrid>
      <w:tr>
        <w:trPr>
          <w:trHeight w:val="469" w:hRule="exact"/>
        </w:trPr>
        <w:tc>
          <w:tcPr>
            <w:tcW w:w="1095" w:type="dxa"/>
          </w:tcPr>
          <w:p>
            <w:pPr>
              <w:pStyle w:val="TableParagraph"/>
              <w:spacing w:before="8"/>
              <w:rPr>
                <w:b/>
                <w:sz w:val="12"/>
              </w:rPr>
            </w:pPr>
          </w:p>
          <w:p>
            <w:pPr>
              <w:pStyle w:val="TableParagraph"/>
              <w:spacing w:before="0"/>
              <w:ind w:right="400"/>
              <w:jc w:val="right"/>
              <w:rPr>
                <w:b/>
                <w:sz w:val="14"/>
              </w:rPr>
            </w:pPr>
            <w:r>
              <w:rPr>
                <w:b/>
                <w:color w:val="231F20"/>
                <w:sz w:val="14"/>
              </w:rPr>
              <w:t>Año</w:t>
            </w:r>
          </w:p>
        </w:tc>
        <w:tc>
          <w:tcPr>
            <w:tcW w:w="2477" w:type="dxa"/>
          </w:tcPr>
          <w:p>
            <w:pPr>
              <w:pStyle w:val="TableParagraph"/>
              <w:spacing w:before="41"/>
              <w:ind w:left="627" w:right="601"/>
              <w:jc w:val="center"/>
              <w:rPr>
                <w:sz w:val="14"/>
              </w:rPr>
            </w:pPr>
            <w:r>
              <w:rPr>
                <w:color w:val="231F20"/>
                <w:sz w:val="14"/>
              </w:rPr>
              <w:t>IED</w:t>
            </w:r>
          </w:p>
          <w:p>
            <w:pPr>
              <w:pStyle w:val="TableParagraph"/>
              <w:spacing w:before="51"/>
              <w:ind w:left="627" w:right="601"/>
              <w:jc w:val="center"/>
              <w:rPr>
                <w:sz w:val="14"/>
              </w:rPr>
            </w:pPr>
            <w:r>
              <w:rPr>
                <w:color w:val="231F20"/>
                <w:sz w:val="14"/>
              </w:rPr>
              <w:t>(Millones de dólares)</w:t>
            </w:r>
          </w:p>
        </w:tc>
        <w:tc>
          <w:tcPr>
            <w:tcW w:w="3788" w:type="dxa"/>
          </w:tcPr>
          <w:p>
            <w:pPr>
              <w:pStyle w:val="TableParagraph"/>
              <w:spacing w:before="40"/>
              <w:ind w:left="559" w:right="533"/>
              <w:jc w:val="center"/>
              <w:rPr>
                <w:b/>
                <w:sz w:val="14"/>
              </w:rPr>
            </w:pPr>
            <w:r>
              <w:rPr>
                <w:b/>
                <w:color w:val="231F20"/>
                <w:sz w:val="14"/>
              </w:rPr>
              <w:t>Deuda Externa</w:t>
            </w:r>
          </w:p>
          <w:p>
            <w:pPr>
              <w:pStyle w:val="TableParagraph"/>
              <w:spacing w:before="51"/>
              <w:ind w:left="559" w:right="533"/>
              <w:jc w:val="center"/>
              <w:rPr>
                <w:sz w:val="14"/>
              </w:rPr>
            </w:pPr>
            <w:r>
              <w:rPr>
                <w:color w:val="231F20"/>
                <w:sz w:val="14"/>
              </w:rPr>
              <w:t>(Millones de pesos constantes, base 2003=100)</w:t>
            </w:r>
          </w:p>
        </w:tc>
      </w:tr>
      <w:tr>
        <w:trPr>
          <w:trHeight w:val="240" w:hRule="exact"/>
        </w:trPr>
        <w:tc>
          <w:tcPr>
            <w:tcW w:w="1095" w:type="dxa"/>
            <w:tcBorders>
              <w:bottom w:val="nil"/>
            </w:tcBorders>
          </w:tcPr>
          <w:p>
            <w:pPr>
              <w:pStyle w:val="TableParagraph"/>
              <w:spacing w:before="41"/>
              <w:ind w:right="389"/>
              <w:jc w:val="right"/>
              <w:rPr>
                <w:sz w:val="14"/>
              </w:rPr>
            </w:pPr>
            <w:r>
              <w:rPr>
                <w:color w:val="231F20"/>
                <w:sz w:val="14"/>
              </w:rPr>
              <w:t>1980</w:t>
            </w:r>
          </w:p>
        </w:tc>
        <w:tc>
          <w:tcPr>
            <w:tcW w:w="2477" w:type="dxa"/>
            <w:tcBorders>
              <w:bottom w:val="nil"/>
            </w:tcBorders>
          </w:tcPr>
          <w:p>
            <w:pPr>
              <w:pStyle w:val="TableParagraph"/>
              <w:spacing w:before="41"/>
              <w:ind w:left="627" w:right="601"/>
              <w:jc w:val="center"/>
              <w:rPr>
                <w:sz w:val="14"/>
              </w:rPr>
            </w:pPr>
            <w:r>
              <w:rPr>
                <w:color w:val="231F20"/>
                <w:sz w:val="14"/>
              </w:rPr>
              <w:t>2,089.8</w:t>
            </w:r>
          </w:p>
        </w:tc>
        <w:tc>
          <w:tcPr>
            <w:tcW w:w="3788" w:type="dxa"/>
            <w:tcBorders>
              <w:bottom w:val="nil"/>
            </w:tcBorders>
          </w:tcPr>
          <w:p>
            <w:pPr>
              <w:pStyle w:val="TableParagraph"/>
              <w:spacing w:before="41"/>
              <w:ind w:left="1623"/>
              <w:rPr>
                <w:sz w:val="14"/>
              </w:rPr>
            </w:pPr>
            <w:r>
              <w:rPr>
                <w:color w:val="231F20"/>
                <w:sz w:val="14"/>
              </w:rPr>
              <w:t>446,033.7</w:t>
            </w:r>
          </w:p>
        </w:tc>
      </w:tr>
      <w:tr>
        <w:trPr>
          <w:trHeight w:val="212" w:hRule="exact"/>
        </w:trPr>
        <w:tc>
          <w:tcPr>
            <w:tcW w:w="1095" w:type="dxa"/>
            <w:tcBorders>
              <w:top w:val="nil"/>
              <w:bottom w:val="nil"/>
            </w:tcBorders>
          </w:tcPr>
          <w:p>
            <w:pPr>
              <w:pStyle w:val="TableParagraph"/>
              <w:ind w:right="391"/>
              <w:jc w:val="right"/>
              <w:rPr>
                <w:sz w:val="14"/>
              </w:rPr>
            </w:pPr>
            <w:r>
              <w:rPr>
                <w:color w:val="231F20"/>
                <w:sz w:val="14"/>
              </w:rPr>
              <w:t>1981</w:t>
            </w:r>
          </w:p>
        </w:tc>
        <w:tc>
          <w:tcPr>
            <w:tcW w:w="2477" w:type="dxa"/>
            <w:tcBorders>
              <w:top w:val="nil"/>
              <w:bottom w:val="nil"/>
            </w:tcBorders>
          </w:tcPr>
          <w:p>
            <w:pPr>
              <w:pStyle w:val="TableParagraph"/>
              <w:ind w:left="627" w:right="601"/>
              <w:jc w:val="center"/>
              <w:rPr>
                <w:sz w:val="14"/>
              </w:rPr>
            </w:pPr>
            <w:r>
              <w:rPr>
                <w:color w:val="231F20"/>
                <w:sz w:val="14"/>
              </w:rPr>
              <w:t>3,075.9</w:t>
            </w:r>
          </w:p>
        </w:tc>
        <w:tc>
          <w:tcPr>
            <w:tcW w:w="3788" w:type="dxa"/>
            <w:tcBorders>
              <w:top w:val="nil"/>
              <w:bottom w:val="nil"/>
            </w:tcBorders>
          </w:tcPr>
          <w:p>
            <w:pPr>
              <w:pStyle w:val="TableParagraph"/>
              <w:spacing w:before="17"/>
              <w:ind w:left="1624"/>
              <w:rPr>
                <w:sz w:val="14"/>
              </w:rPr>
            </w:pPr>
            <w:r>
              <w:rPr>
                <w:color w:val="231F20"/>
                <w:sz w:val="14"/>
              </w:rPr>
              <w:t>628,237.9</w:t>
            </w:r>
          </w:p>
        </w:tc>
      </w:tr>
      <w:tr>
        <w:trPr>
          <w:trHeight w:val="212" w:hRule="exact"/>
        </w:trPr>
        <w:tc>
          <w:tcPr>
            <w:tcW w:w="1095" w:type="dxa"/>
            <w:tcBorders>
              <w:top w:val="nil"/>
              <w:bottom w:val="nil"/>
            </w:tcBorders>
          </w:tcPr>
          <w:p>
            <w:pPr>
              <w:pStyle w:val="TableParagraph"/>
              <w:ind w:right="388"/>
              <w:jc w:val="right"/>
              <w:rPr>
                <w:sz w:val="14"/>
              </w:rPr>
            </w:pPr>
            <w:r>
              <w:rPr>
                <w:color w:val="231F20"/>
                <w:sz w:val="14"/>
              </w:rPr>
              <w:t>1982</w:t>
            </w:r>
          </w:p>
        </w:tc>
        <w:tc>
          <w:tcPr>
            <w:tcW w:w="2477" w:type="dxa"/>
            <w:tcBorders>
              <w:top w:val="nil"/>
              <w:bottom w:val="nil"/>
            </w:tcBorders>
          </w:tcPr>
          <w:p>
            <w:pPr>
              <w:pStyle w:val="TableParagraph"/>
              <w:ind w:left="627" w:right="601"/>
              <w:jc w:val="center"/>
              <w:rPr>
                <w:sz w:val="14"/>
              </w:rPr>
            </w:pPr>
            <w:r>
              <w:rPr>
                <w:color w:val="231F20"/>
                <w:sz w:val="14"/>
              </w:rPr>
              <w:t>1,900.3</w:t>
            </w:r>
          </w:p>
        </w:tc>
        <w:tc>
          <w:tcPr>
            <w:tcW w:w="3788" w:type="dxa"/>
            <w:tcBorders>
              <w:top w:val="nil"/>
              <w:bottom w:val="nil"/>
            </w:tcBorders>
          </w:tcPr>
          <w:p>
            <w:pPr>
              <w:pStyle w:val="TableParagraph"/>
              <w:spacing w:before="17"/>
              <w:ind w:left="1582"/>
              <w:rPr>
                <w:sz w:val="14"/>
              </w:rPr>
            </w:pPr>
            <w:r>
              <w:rPr>
                <w:color w:val="231F20"/>
                <w:sz w:val="14"/>
              </w:rPr>
              <w:t>1,589,914.7</w:t>
            </w:r>
          </w:p>
        </w:tc>
      </w:tr>
      <w:tr>
        <w:trPr>
          <w:trHeight w:val="212" w:hRule="exact"/>
        </w:trPr>
        <w:tc>
          <w:tcPr>
            <w:tcW w:w="1095" w:type="dxa"/>
            <w:tcBorders>
              <w:top w:val="nil"/>
              <w:bottom w:val="nil"/>
            </w:tcBorders>
          </w:tcPr>
          <w:p>
            <w:pPr>
              <w:pStyle w:val="TableParagraph"/>
              <w:ind w:right="388"/>
              <w:jc w:val="right"/>
              <w:rPr>
                <w:sz w:val="14"/>
              </w:rPr>
            </w:pPr>
            <w:r>
              <w:rPr>
                <w:color w:val="231F20"/>
                <w:sz w:val="14"/>
              </w:rPr>
              <w:t>1983</w:t>
            </w:r>
          </w:p>
        </w:tc>
        <w:tc>
          <w:tcPr>
            <w:tcW w:w="2477" w:type="dxa"/>
            <w:tcBorders>
              <w:top w:val="nil"/>
              <w:bottom w:val="nil"/>
            </w:tcBorders>
          </w:tcPr>
          <w:p>
            <w:pPr>
              <w:pStyle w:val="TableParagraph"/>
              <w:ind w:left="627" w:right="601"/>
              <w:jc w:val="center"/>
              <w:rPr>
                <w:sz w:val="14"/>
              </w:rPr>
            </w:pPr>
            <w:r>
              <w:rPr>
                <w:color w:val="231F20"/>
                <w:sz w:val="14"/>
              </w:rPr>
              <w:t>2,191.6</w:t>
            </w:r>
          </w:p>
        </w:tc>
        <w:tc>
          <w:tcPr>
            <w:tcW w:w="3788" w:type="dxa"/>
            <w:tcBorders>
              <w:top w:val="nil"/>
              <w:bottom w:val="nil"/>
            </w:tcBorders>
          </w:tcPr>
          <w:p>
            <w:pPr>
              <w:pStyle w:val="TableParagraph"/>
              <w:spacing w:before="17"/>
              <w:ind w:left="1586"/>
              <w:rPr>
                <w:sz w:val="14"/>
              </w:rPr>
            </w:pPr>
            <w:r>
              <w:rPr>
                <w:color w:val="231F20"/>
                <w:sz w:val="14"/>
              </w:rPr>
              <w:t>1,417,675.4</w:t>
            </w:r>
          </w:p>
        </w:tc>
      </w:tr>
      <w:tr>
        <w:trPr>
          <w:trHeight w:val="212" w:hRule="exact"/>
        </w:trPr>
        <w:tc>
          <w:tcPr>
            <w:tcW w:w="1095" w:type="dxa"/>
            <w:tcBorders>
              <w:top w:val="nil"/>
              <w:bottom w:val="nil"/>
            </w:tcBorders>
          </w:tcPr>
          <w:p>
            <w:pPr>
              <w:pStyle w:val="TableParagraph"/>
              <w:ind w:right="387"/>
              <w:jc w:val="right"/>
              <w:rPr>
                <w:sz w:val="14"/>
              </w:rPr>
            </w:pPr>
            <w:r>
              <w:rPr>
                <w:color w:val="231F20"/>
                <w:sz w:val="14"/>
              </w:rPr>
              <w:t>1984</w:t>
            </w:r>
          </w:p>
        </w:tc>
        <w:tc>
          <w:tcPr>
            <w:tcW w:w="2477" w:type="dxa"/>
            <w:tcBorders>
              <w:top w:val="nil"/>
              <w:bottom w:val="nil"/>
            </w:tcBorders>
          </w:tcPr>
          <w:p>
            <w:pPr>
              <w:pStyle w:val="TableParagraph"/>
              <w:ind w:left="627" w:right="601"/>
              <w:jc w:val="center"/>
              <w:rPr>
                <w:sz w:val="14"/>
              </w:rPr>
            </w:pPr>
            <w:r>
              <w:rPr>
                <w:color w:val="231F20"/>
                <w:sz w:val="14"/>
              </w:rPr>
              <w:t>1,541.0</w:t>
            </w:r>
          </w:p>
        </w:tc>
        <w:tc>
          <w:tcPr>
            <w:tcW w:w="3788" w:type="dxa"/>
            <w:tcBorders>
              <w:top w:val="nil"/>
              <w:bottom w:val="nil"/>
            </w:tcBorders>
          </w:tcPr>
          <w:p>
            <w:pPr>
              <w:pStyle w:val="TableParagraph"/>
              <w:spacing w:before="17"/>
              <w:ind w:left="1570"/>
              <w:rPr>
                <w:sz w:val="14"/>
              </w:rPr>
            </w:pPr>
            <w:r>
              <w:rPr>
                <w:color w:val="231F20"/>
                <w:sz w:val="14"/>
              </w:rPr>
              <w:t>1,349,688.4</w:t>
            </w:r>
          </w:p>
        </w:tc>
      </w:tr>
      <w:tr>
        <w:trPr>
          <w:trHeight w:val="212" w:hRule="exact"/>
        </w:trPr>
        <w:tc>
          <w:tcPr>
            <w:tcW w:w="1095" w:type="dxa"/>
            <w:tcBorders>
              <w:top w:val="nil"/>
              <w:bottom w:val="nil"/>
            </w:tcBorders>
          </w:tcPr>
          <w:p>
            <w:pPr>
              <w:pStyle w:val="TableParagraph"/>
              <w:ind w:right="388"/>
              <w:jc w:val="right"/>
              <w:rPr>
                <w:sz w:val="14"/>
              </w:rPr>
            </w:pPr>
            <w:r>
              <w:rPr>
                <w:color w:val="231F20"/>
                <w:sz w:val="14"/>
              </w:rPr>
              <w:t>1985</w:t>
            </w:r>
          </w:p>
        </w:tc>
        <w:tc>
          <w:tcPr>
            <w:tcW w:w="2477" w:type="dxa"/>
            <w:tcBorders>
              <w:top w:val="nil"/>
              <w:bottom w:val="nil"/>
            </w:tcBorders>
          </w:tcPr>
          <w:p>
            <w:pPr>
              <w:pStyle w:val="TableParagraph"/>
              <w:ind w:left="627" w:right="601"/>
              <w:jc w:val="center"/>
              <w:rPr>
                <w:sz w:val="14"/>
              </w:rPr>
            </w:pPr>
            <w:r>
              <w:rPr>
                <w:color w:val="231F20"/>
                <w:sz w:val="14"/>
              </w:rPr>
              <w:t>1,983.6</w:t>
            </w:r>
          </w:p>
        </w:tc>
        <w:tc>
          <w:tcPr>
            <w:tcW w:w="3788" w:type="dxa"/>
            <w:tcBorders>
              <w:top w:val="nil"/>
              <w:bottom w:val="nil"/>
            </w:tcBorders>
          </w:tcPr>
          <w:p>
            <w:pPr>
              <w:pStyle w:val="TableParagraph"/>
              <w:spacing w:before="17"/>
              <w:ind w:left="1580"/>
              <w:rPr>
                <w:sz w:val="14"/>
              </w:rPr>
            </w:pPr>
            <w:r>
              <w:rPr>
                <w:color w:val="231F20"/>
                <w:sz w:val="14"/>
              </w:rPr>
              <w:t>1,697,183.0</w:t>
            </w:r>
          </w:p>
        </w:tc>
      </w:tr>
      <w:tr>
        <w:trPr>
          <w:trHeight w:val="212" w:hRule="exact"/>
        </w:trPr>
        <w:tc>
          <w:tcPr>
            <w:tcW w:w="1095" w:type="dxa"/>
            <w:tcBorders>
              <w:top w:val="nil"/>
              <w:bottom w:val="nil"/>
            </w:tcBorders>
          </w:tcPr>
          <w:p>
            <w:pPr>
              <w:pStyle w:val="TableParagraph"/>
              <w:ind w:right="388"/>
              <w:jc w:val="right"/>
              <w:rPr>
                <w:sz w:val="14"/>
              </w:rPr>
            </w:pPr>
            <w:r>
              <w:rPr>
                <w:color w:val="231F20"/>
                <w:sz w:val="14"/>
              </w:rPr>
              <w:t>1986</w:t>
            </w:r>
          </w:p>
        </w:tc>
        <w:tc>
          <w:tcPr>
            <w:tcW w:w="2477" w:type="dxa"/>
            <w:tcBorders>
              <w:top w:val="nil"/>
              <w:bottom w:val="nil"/>
            </w:tcBorders>
          </w:tcPr>
          <w:p>
            <w:pPr>
              <w:pStyle w:val="TableParagraph"/>
              <w:ind w:left="627" w:right="601"/>
              <w:jc w:val="center"/>
              <w:rPr>
                <w:sz w:val="14"/>
              </w:rPr>
            </w:pPr>
            <w:r>
              <w:rPr>
                <w:color w:val="231F20"/>
                <w:sz w:val="14"/>
              </w:rPr>
              <w:t>2,400.7</w:t>
            </w:r>
          </w:p>
        </w:tc>
        <w:tc>
          <w:tcPr>
            <w:tcW w:w="3788" w:type="dxa"/>
            <w:tcBorders>
              <w:top w:val="nil"/>
              <w:bottom w:val="nil"/>
            </w:tcBorders>
          </w:tcPr>
          <w:p>
            <w:pPr>
              <w:pStyle w:val="TableParagraph"/>
              <w:spacing w:before="17"/>
              <w:ind w:left="1581"/>
              <w:rPr>
                <w:sz w:val="14"/>
              </w:rPr>
            </w:pPr>
            <w:r>
              <w:rPr>
                <w:color w:val="231F20"/>
                <w:sz w:val="14"/>
              </w:rPr>
              <w:t>2,675,419.1</w:t>
            </w:r>
          </w:p>
        </w:tc>
      </w:tr>
      <w:tr>
        <w:trPr>
          <w:trHeight w:val="212" w:hRule="exact"/>
        </w:trPr>
        <w:tc>
          <w:tcPr>
            <w:tcW w:w="1095" w:type="dxa"/>
            <w:tcBorders>
              <w:top w:val="nil"/>
              <w:bottom w:val="nil"/>
            </w:tcBorders>
          </w:tcPr>
          <w:p>
            <w:pPr>
              <w:pStyle w:val="TableParagraph"/>
              <w:ind w:right="388"/>
              <w:jc w:val="right"/>
              <w:rPr>
                <w:sz w:val="14"/>
              </w:rPr>
            </w:pPr>
            <w:r>
              <w:rPr>
                <w:color w:val="231F20"/>
                <w:sz w:val="14"/>
              </w:rPr>
              <w:t>1987</w:t>
            </w:r>
          </w:p>
        </w:tc>
        <w:tc>
          <w:tcPr>
            <w:tcW w:w="2477" w:type="dxa"/>
            <w:tcBorders>
              <w:top w:val="nil"/>
              <w:bottom w:val="nil"/>
            </w:tcBorders>
          </w:tcPr>
          <w:p>
            <w:pPr>
              <w:pStyle w:val="TableParagraph"/>
              <w:ind w:left="627" w:right="601"/>
              <w:jc w:val="center"/>
              <w:rPr>
                <w:sz w:val="14"/>
              </w:rPr>
            </w:pPr>
            <w:r>
              <w:rPr>
                <w:color w:val="231F20"/>
                <w:sz w:val="14"/>
              </w:rPr>
              <w:t>2,634.6</w:t>
            </w:r>
          </w:p>
        </w:tc>
        <w:tc>
          <w:tcPr>
            <w:tcW w:w="3788" w:type="dxa"/>
            <w:tcBorders>
              <w:top w:val="nil"/>
              <w:bottom w:val="nil"/>
            </w:tcBorders>
          </w:tcPr>
          <w:p>
            <w:pPr>
              <w:pStyle w:val="TableParagraph"/>
              <w:spacing w:before="17"/>
              <w:ind w:left="1582"/>
              <w:rPr>
                <w:sz w:val="14"/>
              </w:rPr>
            </w:pPr>
            <w:r>
              <w:rPr>
                <w:color w:val="231F20"/>
                <w:sz w:val="14"/>
              </w:rPr>
              <w:t>2,897,171.7</w:t>
            </w:r>
          </w:p>
        </w:tc>
      </w:tr>
      <w:tr>
        <w:trPr>
          <w:trHeight w:val="212" w:hRule="exact"/>
        </w:trPr>
        <w:tc>
          <w:tcPr>
            <w:tcW w:w="1095" w:type="dxa"/>
            <w:tcBorders>
              <w:top w:val="nil"/>
              <w:bottom w:val="nil"/>
            </w:tcBorders>
          </w:tcPr>
          <w:p>
            <w:pPr>
              <w:pStyle w:val="TableParagraph"/>
              <w:ind w:right="388"/>
              <w:jc w:val="right"/>
              <w:rPr>
                <w:sz w:val="14"/>
              </w:rPr>
            </w:pPr>
            <w:r>
              <w:rPr>
                <w:color w:val="231F20"/>
                <w:sz w:val="14"/>
              </w:rPr>
              <w:t>1988</w:t>
            </w:r>
          </w:p>
        </w:tc>
        <w:tc>
          <w:tcPr>
            <w:tcW w:w="2477" w:type="dxa"/>
            <w:tcBorders>
              <w:top w:val="nil"/>
              <w:bottom w:val="nil"/>
            </w:tcBorders>
          </w:tcPr>
          <w:p>
            <w:pPr>
              <w:pStyle w:val="TableParagraph"/>
              <w:ind w:left="627" w:right="601"/>
              <w:jc w:val="center"/>
              <w:rPr>
                <w:sz w:val="14"/>
              </w:rPr>
            </w:pPr>
            <w:r>
              <w:rPr>
                <w:color w:val="231F20"/>
                <w:sz w:val="14"/>
              </w:rPr>
              <w:t>2,880.0</w:t>
            </w:r>
          </w:p>
        </w:tc>
        <w:tc>
          <w:tcPr>
            <w:tcW w:w="3788" w:type="dxa"/>
            <w:tcBorders>
              <w:top w:val="nil"/>
              <w:bottom w:val="nil"/>
            </w:tcBorders>
          </w:tcPr>
          <w:p>
            <w:pPr>
              <w:pStyle w:val="TableParagraph"/>
              <w:spacing w:before="17"/>
              <w:ind w:left="1568"/>
              <w:rPr>
                <w:sz w:val="14"/>
              </w:rPr>
            </w:pPr>
            <w:r>
              <w:rPr>
                <w:color w:val="231F20"/>
                <w:sz w:val="14"/>
              </w:rPr>
              <w:t>1,502,780.5</w:t>
            </w:r>
          </w:p>
        </w:tc>
      </w:tr>
      <w:tr>
        <w:trPr>
          <w:trHeight w:val="212" w:hRule="exact"/>
        </w:trPr>
        <w:tc>
          <w:tcPr>
            <w:tcW w:w="1095" w:type="dxa"/>
            <w:tcBorders>
              <w:top w:val="nil"/>
              <w:bottom w:val="nil"/>
            </w:tcBorders>
          </w:tcPr>
          <w:p>
            <w:pPr>
              <w:pStyle w:val="TableParagraph"/>
              <w:ind w:right="388"/>
              <w:jc w:val="right"/>
              <w:rPr>
                <w:sz w:val="14"/>
              </w:rPr>
            </w:pPr>
            <w:r>
              <w:rPr>
                <w:color w:val="231F20"/>
                <w:sz w:val="14"/>
              </w:rPr>
              <w:t>1989</w:t>
            </w:r>
          </w:p>
        </w:tc>
        <w:tc>
          <w:tcPr>
            <w:tcW w:w="2477" w:type="dxa"/>
            <w:tcBorders>
              <w:top w:val="nil"/>
              <w:bottom w:val="nil"/>
            </w:tcBorders>
          </w:tcPr>
          <w:p>
            <w:pPr>
              <w:pStyle w:val="TableParagraph"/>
              <w:ind w:left="627" w:right="601"/>
              <w:jc w:val="center"/>
              <w:rPr>
                <w:sz w:val="14"/>
              </w:rPr>
            </w:pPr>
            <w:r>
              <w:rPr>
                <w:color w:val="231F20"/>
                <w:sz w:val="14"/>
              </w:rPr>
              <w:t>3,175.5</w:t>
            </w:r>
          </w:p>
        </w:tc>
        <w:tc>
          <w:tcPr>
            <w:tcW w:w="3788" w:type="dxa"/>
            <w:tcBorders>
              <w:top w:val="nil"/>
              <w:bottom w:val="nil"/>
            </w:tcBorders>
          </w:tcPr>
          <w:p>
            <w:pPr>
              <w:pStyle w:val="TableParagraph"/>
              <w:spacing w:before="17"/>
              <w:ind w:left="1584"/>
              <w:rPr>
                <w:sz w:val="14"/>
              </w:rPr>
            </w:pPr>
            <w:r>
              <w:rPr>
                <w:color w:val="231F20"/>
                <w:sz w:val="14"/>
              </w:rPr>
              <w:t>1,369,137.7</w:t>
            </w:r>
          </w:p>
        </w:tc>
      </w:tr>
      <w:tr>
        <w:trPr>
          <w:trHeight w:val="212" w:hRule="exact"/>
        </w:trPr>
        <w:tc>
          <w:tcPr>
            <w:tcW w:w="1095" w:type="dxa"/>
            <w:tcBorders>
              <w:top w:val="nil"/>
              <w:bottom w:val="nil"/>
            </w:tcBorders>
          </w:tcPr>
          <w:p>
            <w:pPr>
              <w:pStyle w:val="TableParagraph"/>
              <w:ind w:right="386"/>
              <w:jc w:val="right"/>
              <w:rPr>
                <w:sz w:val="14"/>
              </w:rPr>
            </w:pPr>
            <w:r>
              <w:rPr>
                <w:color w:val="231F20"/>
                <w:sz w:val="14"/>
              </w:rPr>
              <w:t>1990</w:t>
            </w:r>
          </w:p>
        </w:tc>
        <w:tc>
          <w:tcPr>
            <w:tcW w:w="2477" w:type="dxa"/>
            <w:tcBorders>
              <w:top w:val="nil"/>
              <w:bottom w:val="nil"/>
            </w:tcBorders>
          </w:tcPr>
          <w:p>
            <w:pPr>
              <w:pStyle w:val="TableParagraph"/>
              <w:ind w:left="627" w:right="601"/>
              <w:jc w:val="center"/>
              <w:rPr>
                <w:sz w:val="14"/>
              </w:rPr>
            </w:pPr>
            <w:r>
              <w:rPr>
                <w:color w:val="231F20"/>
                <w:sz w:val="14"/>
              </w:rPr>
              <w:t>2,633.2</w:t>
            </w:r>
          </w:p>
        </w:tc>
        <w:tc>
          <w:tcPr>
            <w:tcW w:w="3788" w:type="dxa"/>
            <w:tcBorders>
              <w:top w:val="nil"/>
              <w:bottom w:val="nil"/>
            </w:tcBorders>
          </w:tcPr>
          <w:p>
            <w:pPr>
              <w:pStyle w:val="TableParagraph"/>
              <w:spacing w:before="17"/>
              <w:ind w:left="1563"/>
              <w:rPr>
                <w:sz w:val="14"/>
              </w:rPr>
            </w:pPr>
            <w:r>
              <w:rPr>
                <w:color w:val="231F20"/>
                <w:sz w:val="14"/>
              </w:rPr>
              <w:t>1,290,922.3</w:t>
            </w:r>
          </w:p>
        </w:tc>
      </w:tr>
      <w:tr>
        <w:trPr>
          <w:trHeight w:val="212" w:hRule="exact"/>
        </w:trPr>
        <w:tc>
          <w:tcPr>
            <w:tcW w:w="1095" w:type="dxa"/>
            <w:tcBorders>
              <w:top w:val="nil"/>
              <w:bottom w:val="nil"/>
            </w:tcBorders>
          </w:tcPr>
          <w:p>
            <w:pPr>
              <w:pStyle w:val="TableParagraph"/>
              <w:ind w:right="373"/>
              <w:jc w:val="right"/>
              <w:rPr>
                <w:sz w:val="14"/>
              </w:rPr>
            </w:pPr>
            <w:r>
              <w:rPr>
                <w:color w:val="231F20"/>
                <w:sz w:val="14"/>
              </w:rPr>
              <w:t>1991</w:t>
            </w:r>
          </w:p>
        </w:tc>
        <w:tc>
          <w:tcPr>
            <w:tcW w:w="2477" w:type="dxa"/>
            <w:tcBorders>
              <w:top w:val="nil"/>
              <w:bottom w:val="nil"/>
            </w:tcBorders>
          </w:tcPr>
          <w:p>
            <w:pPr>
              <w:pStyle w:val="TableParagraph"/>
              <w:ind w:left="626" w:right="601"/>
              <w:jc w:val="center"/>
              <w:rPr>
                <w:sz w:val="14"/>
              </w:rPr>
            </w:pPr>
            <w:r>
              <w:rPr>
                <w:color w:val="231F20"/>
                <w:sz w:val="14"/>
              </w:rPr>
              <w:t>4,761.5</w:t>
            </w:r>
          </w:p>
        </w:tc>
        <w:tc>
          <w:tcPr>
            <w:tcW w:w="3788" w:type="dxa"/>
            <w:tcBorders>
              <w:top w:val="nil"/>
              <w:bottom w:val="nil"/>
            </w:tcBorders>
          </w:tcPr>
          <w:p>
            <w:pPr>
              <w:pStyle w:val="TableParagraph"/>
              <w:spacing w:before="17"/>
              <w:ind w:left="1579"/>
              <w:rPr>
                <w:sz w:val="14"/>
              </w:rPr>
            </w:pPr>
            <w:r>
              <w:rPr>
                <w:color w:val="231F20"/>
                <w:sz w:val="14"/>
              </w:rPr>
              <w:t>1,105,558.1</w:t>
            </w:r>
          </w:p>
        </w:tc>
      </w:tr>
      <w:tr>
        <w:trPr>
          <w:trHeight w:val="212" w:hRule="exact"/>
        </w:trPr>
        <w:tc>
          <w:tcPr>
            <w:tcW w:w="1095" w:type="dxa"/>
            <w:tcBorders>
              <w:top w:val="nil"/>
              <w:bottom w:val="nil"/>
            </w:tcBorders>
          </w:tcPr>
          <w:p>
            <w:pPr>
              <w:pStyle w:val="TableParagraph"/>
              <w:ind w:right="387"/>
              <w:jc w:val="right"/>
              <w:rPr>
                <w:sz w:val="14"/>
              </w:rPr>
            </w:pPr>
            <w:r>
              <w:rPr>
                <w:color w:val="231F20"/>
                <w:sz w:val="14"/>
              </w:rPr>
              <w:t>1992</w:t>
            </w:r>
          </w:p>
        </w:tc>
        <w:tc>
          <w:tcPr>
            <w:tcW w:w="2477" w:type="dxa"/>
            <w:tcBorders>
              <w:top w:val="nil"/>
              <w:bottom w:val="nil"/>
            </w:tcBorders>
          </w:tcPr>
          <w:p>
            <w:pPr>
              <w:pStyle w:val="TableParagraph"/>
              <w:ind w:left="627" w:right="601"/>
              <w:jc w:val="center"/>
              <w:rPr>
                <w:sz w:val="14"/>
              </w:rPr>
            </w:pPr>
            <w:r>
              <w:rPr>
                <w:color w:val="231F20"/>
                <w:sz w:val="14"/>
              </w:rPr>
              <w:t>4,392.8</w:t>
            </w:r>
          </w:p>
        </w:tc>
        <w:tc>
          <w:tcPr>
            <w:tcW w:w="3788" w:type="dxa"/>
            <w:tcBorders>
              <w:top w:val="nil"/>
              <w:bottom w:val="nil"/>
            </w:tcBorders>
          </w:tcPr>
          <w:p>
            <w:pPr>
              <w:pStyle w:val="TableParagraph"/>
              <w:spacing w:before="17"/>
              <w:ind w:left="1628"/>
              <w:rPr>
                <w:sz w:val="14"/>
              </w:rPr>
            </w:pPr>
            <w:r>
              <w:rPr>
                <w:color w:val="231F20"/>
                <w:sz w:val="14"/>
              </w:rPr>
              <w:t>881,629.2</w:t>
            </w:r>
          </w:p>
        </w:tc>
      </w:tr>
      <w:tr>
        <w:trPr>
          <w:trHeight w:val="212" w:hRule="exact"/>
        </w:trPr>
        <w:tc>
          <w:tcPr>
            <w:tcW w:w="1095" w:type="dxa"/>
            <w:tcBorders>
              <w:top w:val="nil"/>
              <w:bottom w:val="nil"/>
            </w:tcBorders>
          </w:tcPr>
          <w:p>
            <w:pPr>
              <w:pStyle w:val="TableParagraph"/>
              <w:ind w:right="387"/>
              <w:jc w:val="right"/>
              <w:rPr>
                <w:sz w:val="14"/>
              </w:rPr>
            </w:pPr>
            <w:r>
              <w:rPr>
                <w:color w:val="231F20"/>
                <w:sz w:val="14"/>
              </w:rPr>
              <w:t>1993</w:t>
            </w:r>
          </w:p>
        </w:tc>
        <w:tc>
          <w:tcPr>
            <w:tcW w:w="2477" w:type="dxa"/>
            <w:tcBorders>
              <w:top w:val="nil"/>
              <w:bottom w:val="nil"/>
            </w:tcBorders>
          </w:tcPr>
          <w:p>
            <w:pPr>
              <w:pStyle w:val="TableParagraph"/>
              <w:ind w:left="627" w:right="600"/>
              <w:jc w:val="center"/>
              <w:rPr>
                <w:sz w:val="14"/>
              </w:rPr>
            </w:pPr>
            <w:r>
              <w:rPr>
                <w:color w:val="231F20"/>
                <w:sz w:val="14"/>
              </w:rPr>
              <w:t>4,388.8</w:t>
            </w:r>
          </w:p>
        </w:tc>
        <w:tc>
          <w:tcPr>
            <w:tcW w:w="3788" w:type="dxa"/>
            <w:tcBorders>
              <w:top w:val="nil"/>
              <w:bottom w:val="nil"/>
            </w:tcBorders>
          </w:tcPr>
          <w:p>
            <w:pPr>
              <w:pStyle w:val="TableParagraph"/>
              <w:spacing w:before="17"/>
              <w:ind w:left="1618"/>
              <w:rPr>
                <w:sz w:val="14"/>
              </w:rPr>
            </w:pPr>
            <w:r>
              <w:rPr>
                <w:color w:val="231F20"/>
                <w:sz w:val="14"/>
              </w:rPr>
              <w:t>808,645.2</w:t>
            </w:r>
          </w:p>
        </w:tc>
      </w:tr>
      <w:tr>
        <w:trPr>
          <w:trHeight w:val="212" w:hRule="exact"/>
        </w:trPr>
        <w:tc>
          <w:tcPr>
            <w:tcW w:w="1095" w:type="dxa"/>
            <w:tcBorders>
              <w:top w:val="nil"/>
              <w:bottom w:val="nil"/>
            </w:tcBorders>
          </w:tcPr>
          <w:p>
            <w:pPr>
              <w:pStyle w:val="TableParagraph"/>
              <w:ind w:right="386"/>
              <w:jc w:val="right"/>
              <w:rPr>
                <w:sz w:val="14"/>
              </w:rPr>
            </w:pPr>
            <w:r>
              <w:rPr>
                <w:color w:val="231F20"/>
                <w:sz w:val="14"/>
              </w:rPr>
              <w:t>1994</w:t>
            </w:r>
          </w:p>
        </w:tc>
        <w:tc>
          <w:tcPr>
            <w:tcW w:w="2477" w:type="dxa"/>
            <w:tcBorders>
              <w:top w:val="nil"/>
              <w:bottom w:val="nil"/>
            </w:tcBorders>
          </w:tcPr>
          <w:p>
            <w:pPr>
              <w:pStyle w:val="TableParagraph"/>
              <w:ind w:left="627" w:right="601"/>
              <w:jc w:val="center"/>
              <w:rPr>
                <w:sz w:val="14"/>
              </w:rPr>
            </w:pPr>
            <w:r>
              <w:rPr>
                <w:color w:val="231F20"/>
                <w:sz w:val="14"/>
              </w:rPr>
              <w:t>10,972.5</w:t>
            </w:r>
          </w:p>
        </w:tc>
        <w:tc>
          <w:tcPr>
            <w:tcW w:w="3788" w:type="dxa"/>
            <w:tcBorders>
              <w:top w:val="nil"/>
              <w:bottom w:val="nil"/>
            </w:tcBorders>
          </w:tcPr>
          <w:p>
            <w:pPr>
              <w:pStyle w:val="TableParagraph"/>
              <w:spacing w:before="17"/>
              <w:ind w:left="1586"/>
              <w:rPr>
                <w:sz w:val="14"/>
              </w:rPr>
            </w:pPr>
            <w:r>
              <w:rPr>
                <w:color w:val="231F20"/>
                <w:sz w:val="14"/>
              </w:rPr>
              <w:t>1,315,114.6</w:t>
            </w:r>
          </w:p>
        </w:tc>
      </w:tr>
      <w:tr>
        <w:trPr>
          <w:trHeight w:val="212" w:hRule="exact"/>
        </w:trPr>
        <w:tc>
          <w:tcPr>
            <w:tcW w:w="1095" w:type="dxa"/>
            <w:tcBorders>
              <w:top w:val="nil"/>
              <w:bottom w:val="nil"/>
            </w:tcBorders>
          </w:tcPr>
          <w:p>
            <w:pPr>
              <w:pStyle w:val="TableParagraph"/>
              <w:ind w:right="387"/>
              <w:jc w:val="right"/>
              <w:rPr>
                <w:sz w:val="14"/>
              </w:rPr>
            </w:pPr>
            <w:r>
              <w:rPr>
                <w:color w:val="231F20"/>
                <w:sz w:val="14"/>
              </w:rPr>
              <w:t>1995</w:t>
            </w:r>
          </w:p>
        </w:tc>
        <w:tc>
          <w:tcPr>
            <w:tcW w:w="2477" w:type="dxa"/>
            <w:tcBorders>
              <w:top w:val="nil"/>
              <w:bottom w:val="nil"/>
            </w:tcBorders>
          </w:tcPr>
          <w:p>
            <w:pPr>
              <w:pStyle w:val="TableParagraph"/>
              <w:ind w:left="627" w:right="601"/>
              <w:jc w:val="center"/>
              <w:rPr>
                <w:sz w:val="14"/>
              </w:rPr>
            </w:pPr>
            <w:r>
              <w:rPr>
                <w:color w:val="231F20"/>
                <w:sz w:val="14"/>
              </w:rPr>
              <w:t>9,526.3</w:t>
            </w:r>
          </w:p>
        </w:tc>
        <w:tc>
          <w:tcPr>
            <w:tcW w:w="3788" w:type="dxa"/>
            <w:tcBorders>
              <w:top w:val="nil"/>
              <w:bottom w:val="nil"/>
            </w:tcBorders>
          </w:tcPr>
          <w:p>
            <w:pPr>
              <w:pStyle w:val="TableParagraph"/>
              <w:spacing w:before="17"/>
              <w:ind w:left="1576"/>
              <w:rPr>
                <w:sz w:val="14"/>
              </w:rPr>
            </w:pPr>
            <w:r>
              <w:rPr>
                <w:color w:val="231F20"/>
                <w:sz w:val="14"/>
              </w:rPr>
              <w:t>1,773,271.5</w:t>
            </w:r>
          </w:p>
        </w:tc>
      </w:tr>
      <w:tr>
        <w:trPr>
          <w:trHeight w:val="212" w:hRule="exact"/>
        </w:trPr>
        <w:tc>
          <w:tcPr>
            <w:tcW w:w="1095" w:type="dxa"/>
            <w:tcBorders>
              <w:top w:val="nil"/>
              <w:bottom w:val="nil"/>
            </w:tcBorders>
          </w:tcPr>
          <w:p>
            <w:pPr>
              <w:pStyle w:val="TableParagraph"/>
              <w:ind w:right="387"/>
              <w:jc w:val="right"/>
              <w:rPr>
                <w:sz w:val="14"/>
              </w:rPr>
            </w:pPr>
            <w:r>
              <w:rPr>
                <w:color w:val="231F20"/>
                <w:sz w:val="14"/>
              </w:rPr>
              <w:t>1996</w:t>
            </w:r>
          </w:p>
        </w:tc>
        <w:tc>
          <w:tcPr>
            <w:tcW w:w="2477" w:type="dxa"/>
            <w:tcBorders>
              <w:top w:val="nil"/>
              <w:bottom w:val="nil"/>
            </w:tcBorders>
          </w:tcPr>
          <w:p>
            <w:pPr>
              <w:pStyle w:val="TableParagraph"/>
              <w:ind w:left="627" w:right="601"/>
              <w:jc w:val="center"/>
              <w:rPr>
                <w:sz w:val="14"/>
              </w:rPr>
            </w:pPr>
            <w:r>
              <w:rPr>
                <w:color w:val="231F20"/>
                <w:sz w:val="14"/>
              </w:rPr>
              <w:t>9,185.5</w:t>
            </w:r>
          </w:p>
        </w:tc>
        <w:tc>
          <w:tcPr>
            <w:tcW w:w="3788" w:type="dxa"/>
            <w:tcBorders>
              <w:top w:val="nil"/>
              <w:bottom w:val="nil"/>
            </w:tcBorders>
          </w:tcPr>
          <w:p>
            <w:pPr>
              <w:pStyle w:val="TableParagraph"/>
              <w:spacing w:before="17"/>
              <w:ind w:left="1575"/>
              <w:rPr>
                <w:sz w:val="14"/>
              </w:rPr>
            </w:pPr>
            <w:r>
              <w:rPr>
                <w:color w:val="231F20"/>
                <w:sz w:val="14"/>
              </w:rPr>
              <w:t>1,392,531.6</w:t>
            </w:r>
          </w:p>
        </w:tc>
      </w:tr>
      <w:tr>
        <w:trPr>
          <w:trHeight w:val="212" w:hRule="exact"/>
        </w:trPr>
        <w:tc>
          <w:tcPr>
            <w:tcW w:w="1095" w:type="dxa"/>
            <w:tcBorders>
              <w:top w:val="nil"/>
              <w:bottom w:val="nil"/>
            </w:tcBorders>
          </w:tcPr>
          <w:p>
            <w:pPr>
              <w:pStyle w:val="TableParagraph"/>
              <w:ind w:right="386"/>
              <w:jc w:val="right"/>
              <w:rPr>
                <w:sz w:val="14"/>
              </w:rPr>
            </w:pPr>
            <w:r>
              <w:rPr>
                <w:color w:val="231F20"/>
                <w:sz w:val="14"/>
              </w:rPr>
              <w:t>1997</w:t>
            </w:r>
          </w:p>
        </w:tc>
        <w:tc>
          <w:tcPr>
            <w:tcW w:w="2477" w:type="dxa"/>
            <w:tcBorders>
              <w:top w:val="nil"/>
              <w:bottom w:val="nil"/>
            </w:tcBorders>
          </w:tcPr>
          <w:p>
            <w:pPr>
              <w:pStyle w:val="TableParagraph"/>
              <w:ind w:left="627" w:right="601"/>
              <w:jc w:val="center"/>
              <w:rPr>
                <w:sz w:val="14"/>
              </w:rPr>
            </w:pPr>
            <w:r>
              <w:rPr>
                <w:color w:val="231F20"/>
                <w:sz w:val="14"/>
              </w:rPr>
              <w:t>12,829.6</w:t>
            </w:r>
          </w:p>
        </w:tc>
        <w:tc>
          <w:tcPr>
            <w:tcW w:w="3788" w:type="dxa"/>
            <w:tcBorders>
              <w:top w:val="nil"/>
              <w:bottom w:val="nil"/>
            </w:tcBorders>
          </w:tcPr>
          <w:p>
            <w:pPr>
              <w:pStyle w:val="TableParagraph"/>
              <w:spacing w:before="17"/>
              <w:ind w:left="1579"/>
              <w:rPr>
                <w:sz w:val="14"/>
              </w:rPr>
            </w:pPr>
            <w:r>
              <w:rPr>
                <w:color w:val="231F20"/>
                <w:sz w:val="14"/>
              </w:rPr>
              <w:t>1,100,839.1</w:t>
            </w:r>
          </w:p>
        </w:tc>
      </w:tr>
      <w:tr>
        <w:trPr>
          <w:trHeight w:val="212" w:hRule="exact"/>
        </w:trPr>
        <w:tc>
          <w:tcPr>
            <w:tcW w:w="1095" w:type="dxa"/>
            <w:tcBorders>
              <w:top w:val="nil"/>
              <w:bottom w:val="nil"/>
            </w:tcBorders>
          </w:tcPr>
          <w:p>
            <w:pPr>
              <w:pStyle w:val="TableParagraph"/>
              <w:ind w:right="387"/>
              <w:jc w:val="right"/>
              <w:rPr>
                <w:sz w:val="14"/>
              </w:rPr>
            </w:pPr>
            <w:r>
              <w:rPr>
                <w:color w:val="231F20"/>
                <w:sz w:val="14"/>
              </w:rPr>
              <w:t>1998</w:t>
            </w:r>
          </w:p>
        </w:tc>
        <w:tc>
          <w:tcPr>
            <w:tcW w:w="2477" w:type="dxa"/>
            <w:tcBorders>
              <w:top w:val="nil"/>
              <w:bottom w:val="nil"/>
            </w:tcBorders>
          </w:tcPr>
          <w:p>
            <w:pPr>
              <w:pStyle w:val="TableParagraph"/>
              <w:ind w:left="627" w:right="601"/>
              <w:jc w:val="center"/>
              <w:rPr>
                <w:sz w:val="14"/>
              </w:rPr>
            </w:pPr>
            <w:r>
              <w:rPr>
                <w:color w:val="231F20"/>
                <w:sz w:val="14"/>
              </w:rPr>
              <w:t>12,756.8</w:t>
            </w:r>
          </w:p>
        </w:tc>
        <w:tc>
          <w:tcPr>
            <w:tcW w:w="3788" w:type="dxa"/>
            <w:tcBorders>
              <w:top w:val="nil"/>
              <w:bottom w:val="nil"/>
            </w:tcBorders>
          </w:tcPr>
          <w:p>
            <w:pPr>
              <w:pStyle w:val="TableParagraph"/>
              <w:spacing w:before="17"/>
              <w:ind w:left="1571"/>
              <w:rPr>
                <w:sz w:val="14"/>
              </w:rPr>
            </w:pPr>
            <w:r>
              <w:rPr>
                <w:color w:val="231F20"/>
                <w:sz w:val="14"/>
              </w:rPr>
              <w:t>1,224,313.2</w:t>
            </w:r>
          </w:p>
        </w:tc>
      </w:tr>
      <w:tr>
        <w:trPr>
          <w:trHeight w:val="212" w:hRule="exact"/>
        </w:trPr>
        <w:tc>
          <w:tcPr>
            <w:tcW w:w="1095" w:type="dxa"/>
            <w:tcBorders>
              <w:top w:val="nil"/>
              <w:bottom w:val="nil"/>
            </w:tcBorders>
          </w:tcPr>
          <w:p>
            <w:pPr>
              <w:pStyle w:val="TableParagraph"/>
              <w:ind w:right="384"/>
              <w:jc w:val="right"/>
              <w:rPr>
                <w:sz w:val="14"/>
              </w:rPr>
            </w:pPr>
            <w:r>
              <w:rPr>
                <w:color w:val="231F20"/>
                <w:sz w:val="14"/>
              </w:rPr>
              <w:t>1999</w:t>
            </w:r>
          </w:p>
        </w:tc>
        <w:tc>
          <w:tcPr>
            <w:tcW w:w="2477" w:type="dxa"/>
            <w:tcBorders>
              <w:top w:val="nil"/>
              <w:bottom w:val="nil"/>
            </w:tcBorders>
          </w:tcPr>
          <w:p>
            <w:pPr>
              <w:pStyle w:val="TableParagraph"/>
              <w:ind w:left="627" w:right="601"/>
              <w:jc w:val="center"/>
              <w:rPr>
                <w:sz w:val="14"/>
              </w:rPr>
            </w:pPr>
            <w:r>
              <w:rPr>
                <w:color w:val="231F20"/>
                <w:sz w:val="14"/>
              </w:rPr>
              <w:t>13,934.2</w:t>
            </w:r>
          </w:p>
        </w:tc>
        <w:tc>
          <w:tcPr>
            <w:tcW w:w="3788" w:type="dxa"/>
            <w:tcBorders>
              <w:top w:val="nil"/>
              <w:bottom w:val="nil"/>
            </w:tcBorders>
          </w:tcPr>
          <w:p>
            <w:pPr>
              <w:pStyle w:val="TableParagraph"/>
              <w:spacing w:before="17"/>
              <w:ind w:left="1572"/>
              <w:rPr>
                <w:sz w:val="14"/>
              </w:rPr>
            </w:pPr>
            <w:r>
              <w:rPr>
                <w:color w:val="231F20"/>
                <w:sz w:val="14"/>
              </w:rPr>
              <w:t>1,015,484.2</w:t>
            </w:r>
          </w:p>
        </w:tc>
      </w:tr>
      <w:tr>
        <w:trPr>
          <w:trHeight w:val="212" w:hRule="exact"/>
        </w:trPr>
        <w:tc>
          <w:tcPr>
            <w:tcW w:w="1095" w:type="dxa"/>
            <w:tcBorders>
              <w:top w:val="nil"/>
              <w:bottom w:val="nil"/>
            </w:tcBorders>
          </w:tcPr>
          <w:p>
            <w:pPr>
              <w:pStyle w:val="TableParagraph"/>
              <w:ind w:right="377"/>
              <w:jc w:val="right"/>
              <w:rPr>
                <w:sz w:val="14"/>
              </w:rPr>
            </w:pPr>
            <w:r>
              <w:rPr>
                <w:color w:val="231F20"/>
                <w:sz w:val="14"/>
              </w:rPr>
              <w:t>2000</w:t>
            </w:r>
          </w:p>
        </w:tc>
        <w:tc>
          <w:tcPr>
            <w:tcW w:w="2477" w:type="dxa"/>
            <w:tcBorders>
              <w:top w:val="nil"/>
              <w:bottom w:val="nil"/>
            </w:tcBorders>
          </w:tcPr>
          <w:p>
            <w:pPr>
              <w:pStyle w:val="TableParagraph"/>
              <w:ind w:left="621" w:right="601"/>
              <w:jc w:val="center"/>
              <w:rPr>
                <w:sz w:val="14"/>
              </w:rPr>
            </w:pPr>
            <w:r>
              <w:rPr>
                <w:color w:val="231F20"/>
                <w:sz w:val="14"/>
              </w:rPr>
              <w:t>18,292.7</w:t>
            </w:r>
          </w:p>
        </w:tc>
        <w:tc>
          <w:tcPr>
            <w:tcW w:w="3788" w:type="dxa"/>
            <w:tcBorders>
              <w:top w:val="nil"/>
              <w:bottom w:val="nil"/>
            </w:tcBorders>
          </w:tcPr>
          <w:p>
            <w:pPr>
              <w:pStyle w:val="TableParagraph"/>
              <w:spacing w:before="17"/>
              <w:ind w:left="1630"/>
              <w:rPr>
                <w:sz w:val="14"/>
              </w:rPr>
            </w:pPr>
            <w:r>
              <w:rPr>
                <w:color w:val="231F20"/>
                <w:sz w:val="14"/>
              </w:rPr>
              <w:t>839,821.9</w:t>
            </w:r>
          </w:p>
        </w:tc>
      </w:tr>
      <w:tr>
        <w:trPr>
          <w:trHeight w:val="212" w:hRule="exact"/>
        </w:trPr>
        <w:tc>
          <w:tcPr>
            <w:tcW w:w="1095" w:type="dxa"/>
            <w:tcBorders>
              <w:top w:val="nil"/>
              <w:bottom w:val="nil"/>
            </w:tcBorders>
          </w:tcPr>
          <w:p>
            <w:pPr>
              <w:pStyle w:val="TableParagraph"/>
              <w:ind w:right="386"/>
              <w:jc w:val="right"/>
              <w:rPr>
                <w:sz w:val="14"/>
              </w:rPr>
            </w:pPr>
            <w:r>
              <w:rPr>
                <w:color w:val="231F20"/>
                <w:sz w:val="14"/>
              </w:rPr>
              <w:t>2001</w:t>
            </w:r>
          </w:p>
        </w:tc>
        <w:tc>
          <w:tcPr>
            <w:tcW w:w="2477" w:type="dxa"/>
            <w:tcBorders>
              <w:top w:val="nil"/>
              <w:bottom w:val="nil"/>
            </w:tcBorders>
          </w:tcPr>
          <w:p>
            <w:pPr>
              <w:pStyle w:val="TableParagraph"/>
              <w:ind w:left="627" w:right="601"/>
              <w:jc w:val="center"/>
              <w:rPr>
                <w:sz w:val="14"/>
              </w:rPr>
            </w:pPr>
            <w:r>
              <w:rPr>
                <w:color w:val="231F20"/>
                <w:sz w:val="14"/>
              </w:rPr>
              <w:t>29,961.8</w:t>
            </w:r>
          </w:p>
        </w:tc>
        <w:tc>
          <w:tcPr>
            <w:tcW w:w="3788" w:type="dxa"/>
            <w:tcBorders>
              <w:top w:val="nil"/>
              <w:bottom w:val="nil"/>
            </w:tcBorders>
          </w:tcPr>
          <w:p>
            <w:pPr>
              <w:pStyle w:val="TableParagraph"/>
              <w:spacing w:before="17"/>
              <w:ind w:left="1620"/>
              <w:rPr>
                <w:sz w:val="14"/>
              </w:rPr>
            </w:pPr>
            <w:r>
              <w:rPr>
                <w:color w:val="231F20"/>
                <w:sz w:val="14"/>
              </w:rPr>
              <w:t>722,239.2</w:t>
            </w:r>
          </w:p>
        </w:tc>
      </w:tr>
      <w:tr>
        <w:trPr>
          <w:trHeight w:val="212" w:hRule="exact"/>
        </w:trPr>
        <w:tc>
          <w:tcPr>
            <w:tcW w:w="1095" w:type="dxa"/>
            <w:tcBorders>
              <w:top w:val="nil"/>
              <w:bottom w:val="nil"/>
            </w:tcBorders>
          </w:tcPr>
          <w:p>
            <w:pPr>
              <w:pStyle w:val="TableParagraph"/>
              <w:ind w:right="381"/>
              <w:jc w:val="right"/>
              <w:rPr>
                <w:sz w:val="14"/>
              </w:rPr>
            </w:pPr>
            <w:r>
              <w:rPr>
                <w:color w:val="231F20"/>
                <w:sz w:val="14"/>
              </w:rPr>
              <w:t>2002</w:t>
            </w:r>
          </w:p>
        </w:tc>
        <w:tc>
          <w:tcPr>
            <w:tcW w:w="2477" w:type="dxa"/>
            <w:tcBorders>
              <w:top w:val="nil"/>
              <w:bottom w:val="nil"/>
            </w:tcBorders>
          </w:tcPr>
          <w:p>
            <w:pPr>
              <w:pStyle w:val="TableParagraph"/>
              <w:ind w:left="627" w:right="601"/>
              <w:jc w:val="center"/>
              <w:rPr>
                <w:sz w:val="14"/>
              </w:rPr>
            </w:pPr>
            <w:r>
              <w:rPr>
                <w:color w:val="231F20"/>
                <w:sz w:val="14"/>
              </w:rPr>
              <w:t>23,903.1</w:t>
            </w:r>
          </w:p>
        </w:tc>
        <w:tc>
          <w:tcPr>
            <w:tcW w:w="3788" w:type="dxa"/>
            <w:tcBorders>
              <w:top w:val="nil"/>
              <w:bottom w:val="nil"/>
            </w:tcBorders>
          </w:tcPr>
          <w:p>
            <w:pPr>
              <w:pStyle w:val="TableParagraph"/>
              <w:spacing w:before="17"/>
              <w:ind w:left="1620"/>
              <w:rPr>
                <w:sz w:val="14"/>
              </w:rPr>
            </w:pPr>
            <w:r>
              <w:rPr>
                <w:color w:val="231F20"/>
                <w:sz w:val="14"/>
              </w:rPr>
              <w:t>775,264.8</w:t>
            </w:r>
          </w:p>
        </w:tc>
      </w:tr>
      <w:tr>
        <w:trPr>
          <w:trHeight w:val="212" w:hRule="exact"/>
        </w:trPr>
        <w:tc>
          <w:tcPr>
            <w:tcW w:w="1095" w:type="dxa"/>
            <w:tcBorders>
              <w:top w:val="nil"/>
              <w:bottom w:val="nil"/>
            </w:tcBorders>
          </w:tcPr>
          <w:p>
            <w:pPr>
              <w:pStyle w:val="TableParagraph"/>
              <w:ind w:right="384"/>
              <w:jc w:val="right"/>
              <w:rPr>
                <w:sz w:val="14"/>
              </w:rPr>
            </w:pPr>
            <w:r>
              <w:rPr>
                <w:color w:val="231F20"/>
                <w:sz w:val="14"/>
              </w:rPr>
              <w:t>2003</w:t>
            </w:r>
          </w:p>
        </w:tc>
        <w:tc>
          <w:tcPr>
            <w:tcW w:w="2477" w:type="dxa"/>
            <w:tcBorders>
              <w:top w:val="nil"/>
              <w:bottom w:val="nil"/>
            </w:tcBorders>
          </w:tcPr>
          <w:p>
            <w:pPr>
              <w:pStyle w:val="TableParagraph"/>
              <w:ind w:left="627" w:right="601"/>
              <w:jc w:val="center"/>
              <w:rPr>
                <w:sz w:val="14"/>
              </w:rPr>
            </w:pPr>
            <w:r>
              <w:rPr>
                <w:color w:val="231F20"/>
                <w:sz w:val="14"/>
              </w:rPr>
              <w:t>18,674.6</w:t>
            </w:r>
          </w:p>
        </w:tc>
        <w:tc>
          <w:tcPr>
            <w:tcW w:w="3788" w:type="dxa"/>
            <w:tcBorders>
              <w:top w:val="nil"/>
              <w:bottom w:val="nil"/>
            </w:tcBorders>
          </w:tcPr>
          <w:p>
            <w:pPr>
              <w:pStyle w:val="TableParagraph"/>
              <w:spacing w:before="17"/>
              <w:ind w:left="1622"/>
              <w:rPr>
                <w:sz w:val="14"/>
              </w:rPr>
            </w:pPr>
            <w:r>
              <w:rPr>
                <w:color w:val="231F20"/>
                <w:sz w:val="14"/>
              </w:rPr>
              <w:t>780,363.4</w:t>
            </w:r>
          </w:p>
        </w:tc>
      </w:tr>
      <w:tr>
        <w:trPr>
          <w:trHeight w:val="212" w:hRule="exact"/>
        </w:trPr>
        <w:tc>
          <w:tcPr>
            <w:tcW w:w="1095" w:type="dxa"/>
            <w:tcBorders>
              <w:top w:val="nil"/>
              <w:bottom w:val="nil"/>
            </w:tcBorders>
          </w:tcPr>
          <w:p>
            <w:pPr>
              <w:pStyle w:val="TableParagraph"/>
              <w:ind w:right="382"/>
              <w:jc w:val="right"/>
              <w:rPr>
                <w:sz w:val="14"/>
              </w:rPr>
            </w:pPr>
            <w:r>
              <w:rPr>
                <w:color w:val="231F20"/>
                <w:sz w:val="14"/>
              </w:rPr>
              <w:t>2004</w:t>
            </w:r>
          </w:p>
        </w:tc>
        <w:tc>
          <w:tcPr>
            <w:tcW w:w="2477" w:type="dxa"/>
            <w:tcBorders>
              <w:top w:val="nil"/>
              <w:bottom w:val="nil"/>
            </w:tcBorders>
          </w:tcPr>
          <w:p>
            <w:pPr>
              <w:pStyle w:val="TableParagraph"/>
              <w:ind w:left="627" w:right="601"/>
              <w:jc w:val="center"/>
              <w:rPr>
                <w:sz w:val="14"/>
              </w:rPr>
            </w:pPr>
            <w:r>
              <w:rPr>
                <w:color w:val="231F20"/>
                <w:sz w:val="14"/>
              </w:rPr>
              <w:t>24,856.1</w:t>
            </w:r>
          </w:p>
        </w:tc>
        <w:tc>
          <w:tcPr>
            <w:tcW w:w="3788" w:type="dxa"/>
            <w:tcBorders>
              <w:top w:val="nil"/>
              <w:bottom w:val="nil"/>
            </w:tcBorders>
          </w:tcPr>
          <w:p>
            <w:pPr>
              <w:pStyle w:val="TableParagraph"/>
              <w:spacing w:before="17"/>
              <w:ind w:left="1627"/>
              <w:rPr>
                <w:sz w:val="14"/>
              </w:rPr>
            </w:pPr>
            <w:r>
              <w:rPr>
                <w:color w:val="231F20"/>
                <w:sz w:val="14"/>
              </w:rPr>
              <w:t>727,595.9</w:t>
            </w:r>
          </w:p>
        </w:tc>
      </w:tr>
      <w:tr>
        <w:trPr>
          <w:trHeight w:val="212" w:hRule="exact"/>
        </w:trPr>
        <w:tc>
          <w:tcPr>
            <w:tcW w:w="1095" w:type="dxa"/>
            <w:tcBorders>
              <w:top w:val="nil"/>
              <w:bottom w:val="nil"/>
            </w:tcBorders>
          </w:tcPr>
          <w:p>
            <w:pPr>
              <w:pStyle w:val="TableParagraph"/>
              <w:ind w:right="383"/>
              <w:jc w:val="right"/>
              <w:rPr>
                <w:sz w:val="14"/>
              </w:rPr>
            </w:pPr>
            <w:r>
              <w:rPr>
                <w:color w:val="231F20"/>
                <w:sz w:val="14"/>
              </w:rPr>
              <w:t>2005</w:t>
            </w:r>
          </w:p>
        </w:tc>
        <w:tc>
          <w:tcPr>
            <w:tcW w:w="2477" w:type="dxa"/>
            <w:tcBorders>
              <w:top w:val="nil"/>
              <w:bottom w:val="nil"/>
            </w:tcBorders>
          </w:tcPr>
          <w:p>
            <w:pPr>
              <w:pStyle w:val="TableParagraph"/>
              <w:ind w:left="627" w:right="601"/>
              <w:jc w:val="center"/>
              <w:rPr>
                <w:sz w:val="14"/>
              </w:rPr>
            </w:pPr>
            <w:r>
              <w:rPr>
                <w:color w:val="231F20"/>
                <w:sz w:val="14"/>
              </w:rPr>
              <w:t>24,450.7</w:t>
            </w:r>
          </w:p>
        </w:tc>
        <w:tc>
          <w:tcPr>
            <w:tcW w:w="3788" w:type="dxa"/>
            <w:tcBorders>
              <w:top w:val="nil"/>
              <w:bottom w:val="nil"/>
            </w:tcBorders>
          </w:tcPr>
          <w:p>
            <w:pPr>
              <w:pStyle w:val="TableParagraph"/>
              <w:spacing w:before="17"/>
              <w:ind w:left="1628"/>
              <w:rPr>
                <w:sz w:val="14"/>
              </w:rPr>
            </w:pPr>
            <w:r>
              <w:rPr>
                <w:color w:val="231F20"/>
                <w:sz w:val="14"/>
              </w:rPr>
              <w:t>611,688.2</w:t>
            </w:r>
          </w:p>
        </w:tc>
      </w:tr>
      <w:tr>
        <w:trPr>
          <w:trHeight w:val="212" w:hRule="exact"/>
        </w:trPr>
        <w:tc>
          <w:tcPr>
            <w:tcW w:w="1095" w:type="dxa"/>
            <w:tcBorders>
              <w:top w:val="nil"/>
              <w:bottom w:val="nil"/>
            </w:tcBorders>
          </w:tcPr>
          <w:p>
            <w:pPr>
              <w:pStyle w:val="TableParagraph"/>
              <w:ind w:right="382"/>
              <w:jc w:val="right"/>
              <w:rPr>
                <w:sz w:val="14"/>
              </w:rPr>
            </w:pPr>
            <w:r>
              <w:rPr>
                <w:color w:val="231F20"/>
                <w:sz w:val="14"/>
              </w:rPr>
              <w:t>2006</w:t>
            </w:r>
          </w:p>
        </w:tc>
        <w:tc>
          <w:tcPr>
            <w:tcW w:w="2477" w:type="dxa"/>
            <w:tcBorders>
              <w:top w:val="nil"/>
              <w:bottom w:val="nil"/>
            </w:tcBorders>
          </w:tcPr>
          <w:p>
            <w:pPr>
              <w:pStyle w:val="TableParagraph"/>
              <w:ind w:left="627" w:right="601"/>
              <w:jc w:val="center"/>
              <w:rPr>
                <w:sz w:val="14"/>
              </w:rPr>
            </w:pPr>
            <w:r>
              <w:rPr>
                <w:color w:val="231F20"/>
                <w:sz w:val="14"/>
              </w:rPr>
              <w:t>20,225.1</w:t>
            </w:r>
          </w:p>
        </w:tc>
        <w:tc>
          <w:tcPr>
            <w:tcW w:w="3788" w:type="dxa"/>
            <w:tcBorders>
              <w:top w:val="nil"/>
              <w:bottom w:val="nil"/>
            </w:tcBorders>
          </w:tcPr>
          <w:p>
            <w:pPr>
              <w:pStyle w:val="TableParagraph"/>
              <w:spacing w:before="17"/>
              <w:ind w:left="1625"/>
              <w:rPr>
                <w:sz w:val="14"/>
              </w:rPr>
            </w:pPr>
            <w:r>
              <w:rPr>
                <w:color w:val="231F20"/>
                <w:sz w:val="14"/>
              </w:rPr>
              <w:t>435,836.9</w:t>
            </w:r>
          </w:p>
        </w:tc>
      </w:tr>
      <w:tr>
        <w:trPr>
          <w:trHeight w:val="212" w:hRule="exact"/>
        </w:trPr>
        <w:tc>
          <w:tcPr>
            <w:tcW w:w="1095" w:type="dxa"/>
            <w:tcBorders>
              <w:top w:val="nil"/>
              <w:bottom w:val="nil"/>
            </w:tcBorders>
          </w:tcPr>
          <w:p>
            <w:pPr>
              <w:pStyle w:val="TableParagraph"/>
              <w:ind w:right="382"/>
              <w:jc w:val="right"/>
              <w:rPr>
                <w:sz w:val="14"/>
              </w:rPr>
            </w:pPr>
            <w:r>
              <w:rPr>
                <w:color w:val="231F20"/>
                <w:sz w:val="14"/>
              </w:rPr>
              <w:t>2007</w:t>
            </w:r>
          </w:p>
        </w:tc>
        <w:tc>
          <w:tcPr>
            <w:tcW w:w="2477" w:type="dxa"/>
            <w:tcBorders>
              <w:top w:val="nil"/>
              <w:bottom w:val="nil"/>
            </w:tcBorders>
          </w:tcPr>
          <w:p>
            <w:pPr>
              <w:pStyle w:val="TableParagraph"/>
              <w:ind w:left="627" w:right="601"/>
              <w:jc w:val="center"/>
              <w:rPr>
                <w:sz w:val="14"/>
              </w:rPr>
            </w:pPr>
            <w:r>
              <w:rPr>
                <w:color w:val="231F20"/>
                <w:sz w:val="14"/>
              </w:rPr>
              <w:t>31,534.3</w:t>
            </w:r>
          </w:p>
        </w:tc>
        <w:tc>
          <w:tcPr>
            <w:tcW w:w="3788" w:type="dxa"/>
            <w:tcBorders>
              <w:top w:val="nil"/>
              <w:bottom w:val="nil"/>
            </w:tcBorders>
          </w:tcPr>
          <w:p>
            <w:pPr>
              <w:pStyle w:val="TableParagraph"/>
              <w:spacing w:before="17"/>
              <w:ind w:left="1625"/>
              <w:rPr>
                <w:sz w:val="14"/>
              </w:rPr>
            </w:pPr>
            <w:r>
              <w:rPr>
                <w:color w:val="231F20"/>
                <w:sz w:val="14"/>
              </w:rPr>
              <w:t>420,941.4</w:t>
            </w:r>
          </w:p>
        </w:tc>
      </w:tr>
      <w:tr>
        <w:trPr>
          <w:trHeight w:val="212" w:hRule="exact"/>
        </w:trPr>
        <w:tc>
          <w:tcPr>
            <w:tcW w:w="1095" w:type="dxa"/>
            <w:tcBorders>
              <w:top w:val="nil"/>
              <w:bottom w:val="nil"/>
            </w:tcBorders>
          </w:tcPr>
          <w:p>
            <w:pPr>
              <w:pStyle w:val="TableParagraph"/>
              <w:ind w:right="381"/>
              <w:jc w:val="right"/>
              <w:rPr>
                <w:sz w:val="14"/>
              </w:rPr>
            </w:pPr>
            <w:r>
              <w:rPr>
                <w:color w:val="231F20"/>
                <w:sz w:val="14"/>
              </w:rPr>
              <w:t>2008</w:t>
            </w:r>
          </w:p>
        </w:tc>
        <w:tc>
          <w:tcPr>
            <w:tcW w:w="2477" w:type="dxa"/>
            <w:tcBorders>
              <w:top w:val="nil"/>
              <w:bottom w:val="nil"/>
            </w:tcBorders>
          </w:tcPr>
          <w:p>
            <w:pPr>
              <w:pStyle w:val="TableParagraph"/>
              <w:ind w:left="627" w:right="601"/>
              <w:jc w:val="center"/>
              <w:rPr>
                <w:sz w:val="14"/>
              </w:rPr>
            </w:pPr>
            <w:r>
              <w:rPr>
                <w:color w:val="231F20"/>
                <w:sz w:val="14"/>
              </w:rPr>
              <w:t>27,645.7</w:t>
            </w:r>
          </w:p>
        </w:tc>
        <w:tc>
          <w:tcPr>
            <w:tcW w:w="3788" w:type="dxa"/>
            <w:tcBorders>
              <w:top w:val="nil"/>
              <w:bottom w:val="nil"/>
            </w:tcBorders>
          </w:tcPr>
          <w:p>
            <w:pPr>
              <w:pStyle w:val="TableParagraph"/>
              <w:spacing w:before="17"/>
              <w:ind w:left="1625"/>
              <w:rPr>
                <w:sz w:val="14"/>
              </w:rPr>
            </w:pPr>
            <w:r>
              <w:rPr>
                <w:color w:val="231F20"/>
                <w:sz w:val="14"/>
              </w:rPr>
              <w:t>512,255.0</w:t>
            </w:r>
          </w:p>
        </w:tc>
      </w:tr>
      <w:tr>
        <w:trPr>
          <w:trHeight w:val="212" w:hRule="exact"/>
        </w:trPr>
        <w:tc>
          <w:tcPr>
            <w:tcW w:w="1095" w:type="dxa"/>
            <w:tcBorders>
              <w:top w:val="nil"/>
              <w:bottom w:val="nil"/>
            </w:tcBorders>
          </w:tcPr>
          <w:p>
            <w:pPr>
              <w:pStyle w:val="TableParagraph"/>
              <w:ind w:right="384"/>
              <w:jc w:val="right"/>
              <w:rPr>
                <w:sz w:val="14"/>
              </w:rPr>
            </w:pPr>
            <w:r>
              <w:rPr>
                <w:color w:val="231F20"/>
                <w:sz w:val="14"/>
              </w:rPr>
              <w:t>2009</w:t>
            </w:r>
          </w:p>
        </w:tc>
        <w:tc>
          <w:tcPr>
            <w:tcW w:w="2477" w:type="dxa"/>
            <w:tcBorders>
              <w:top w:val="nil"/>
              <w:bottom w:val="nil"/>
            </w:tcBorders>
          </w:tcPr>
          <w:p>
            <w:pPr>
              <w:pStyle w:val="TableParagraph"/>
              <w:ind w:left="627" w:right="601"/>
              <w:jc w:val="center"/>
              <w:rPr>
                <w:sz w:val="14"/>
              </w:rPr>
            </w:pPr>
            <w:r>
              <w:rPr>
                <w:color w:val="231F20"/>
                <w:sz w:val="14"/>
              </w:rPr>
              <w:t>16,510.9</w:t>
            </w:r>
          </w:p>
        </w:tc>
        <w:tc>
          <w:tcPr>
            <w:tcW w:w="3788" w:type="dxa"/>
            <w:tcBorders>
              <w:top w:val="nil"/>
              <w:bottom w:val="nil"/>
            </w:tcBorders>
          </w:tcPr>
          <w:p>
            <w:pPr>
              <w:pStyle w:val="TableParagraph"/>
              <w:spacing w:before="17"/>
              <w:ind w:left="1638"/>
              <w:rPr>
                <w:sz w:val="14"/>
              </w:rPr>
            </w:pPr>
            <w:r>
              <w:rPr>
                <w:color w:val="231F20"/>
                <w:sz w:val="14"/>
              </w:rPr>
              <w:t>821,791.7</w:t>
            </w:r>
          </w:p>
        </w:tc>
      </w:tr>
      <w:tr>
        <w:trPr>
          <w:trHeight w:val="212" w:hRule="exact"/>
        </w:trPr>
        <w:tc>
          <w:tcPr>
            <w:tcW w:w="1095" w:type="dxa"/>
            <w:tcBorders>
              <w:top w:val="nil"/>
              <w:bottom w:val="nil"/>
            </w:tcBorders>
          </w:tcPr>
          <w:p>
            <w:pPr>
              <w:pStyle w:val="TableParagraph"/>
              <w:ind w:right="391"/>
              <w:jc w:val="right"/>
              <w:rPr>
                <w:sz w:val="14"/>
              </w:rPr>
            </w:pPr>
            <w:r>
              <w:rPr>
                <w:color w:val="231F20"/>
                <w:sz w:val="14"/>
              </w:rPr>
              <w:t>2010</w:t>
            </w:r>
          </w:p>
        </w:tc>
        <w:tc>
          <w:tcPr>
            <w:tcW w:w="2477" w:type="dxa"/>
            <w:tcBorders>
              <w:top w:val="nil"/>
              <w:bottom w:val="nil"/>
            </w:tcBorders>
          </w:tcPr>
          <w:p>
            <w:pPr>
              <w:pStyle w:val="TableParagraph"/>
              <w:ind w:left="627" w:right="601"/>
              <w:jc w:val="center"/>
              <w:rPr>
                <w:sz w:val="14"/>
              </w:rPr>
            </w:pPr>
            <w:r>
              <w:rPr>
                <w:color w:val="231F20"/>
                <w:sz w:val="14"/>
              </w:rPr>
              <w:t>21,864.3</w:t>
            </w:r>
          </w:p>
        </w:tc>
        <w:tc>
          <w:tcPr>
            <w:tcW w:w="3788" w:type="dxa"/>
            <w:tcBorders>
              <w:top w:val="nil"/>
              <w:bottom w:val="nil"/>
            </w:tcBorders>
          </w:tcPr>
          <w:p>
            <w:pPr>
              <w:pStyle w:val="TableParagraph"/>
              <w:ind w:left="1637"/>
              <w:rPr>
                <w:sz w:val="14"/>
              </w:rPr>
            </w:pPr>
            <w:r>
              <w:rPr>
                <w:color w:val="231F20"/>
                <w:sz w:val="14"/>
              </w:rPr>
              <w:t>857,745.7</w:t>
            </w:r>
          </w:p>
        </w:tc>
      </w:tr>
      <w:tr>
        <w:trPr>
          <w:trHeight w:val="212" w:hRule="exact"/>
        </w:trPr>
        <w:tc>
          <w:tcPr>
            <w:tcW w:w="1095" w:type="dxa"/>
            <w:tcBorders>
              <w:top w:val="nil"/>
              <w:bottom w:val="nil"/>
            </w:tcBorders>
          </w:tcPr>
          <w:p>
            <w:pPr>
              <w:pStyle w:val="TableParagraph"/>
              <w:ind w:right="393"/>
              <w:jc w:val="right"/>
              <w:rPr>
                <w:sz w:val="14"/>
              </w:rPr>
            </w:pPr>
            <w:r>
              <w:rPr>
                <w:color w:val="231F20"/>
                <w:sz w:val="14"/>
              </w:rPr>
              <w:t>2011</w:t>
            </w:r>
          </w:p>
        </w:tc>
        <w:tc>
          <w:tcPr>
            <w:tcW w:w="2477" w:type="dxa"/>
            <w:tcBorders>
              <w:top w:val="nil"/>
              <w:bottom w:val="nil"/>
            </w:tcBorders>
          </w:tcPr>
          <w:p>
            <w:pPr>
              <w:pStyle w:val="TableParagraph"/>
              <w:ind w:left="627" w:right="601"/>
              <w:jc w:val="center"/>
              <w:rPr>
                <w:sz w:val="14"/>
              </w:rPr>
            </w:pPr>
            <w:r>
              <w:rPr>
                <w:color w:val="231F20"/>
                <w:sz w:val="14"/>
              </w:rPr>
              <w:t>21,603.4</w:t>
            </w:r>
          </w:p>
        </w:tc>
        <w:tc>
          <w:tcPr>
            <w:tcW w:w="3788" w:type="dxa"/>
            <w:tcBorders>
              <w:top w:val="nil"/>
              <w:bottom w:val="nil"/>
            </w:tcBorders>
          </w:tcPr>
          <w:p>
            <w:pPr>
              <w:pStyle w:val="TableParagraph"/>
              <w:ind w:left="1622"/>
              <w:rPr>
                <w:sz w:val="14"/>
              </w:rPr>
            </w:pPr>
            <w:r>
              <w:rPr>
                <w:color w:val="231F20"/>
                <w:sz w:val="14"/>
              </w:rPr>
              <w:t>976,465.9</w:t>
            </w:r>
          </w:p>
        </w:tc>
      </w:tr>
      <w:tr>
        <w:trPr>
          <w:trHeight w:val="229" w:hRule="exact"/>
        </w:trPr>
        <w:tc>
          <w:tcPr>
            <w:tcW w:w="1095" w:type="dxa"/>
            <w:tcBorders>
              <w:top w:val="nil"/>
            </w:tcBorders>
          </w:tcPr>
          <w:p>
            <w:pPr>
              <w:pStyle w:val="TableParagraph"/>
              <w:ind w:right="389"/>
              <w:jc w:val="right"/>
              <w:rPr>
                <w:sz w:val="14"/>
              </w:rPr>
            </w:pPr>
            <w:r>
              <w:rPr>
                <w:color w:val="231F20"/>
                <w:sz w:val="14"/>
              </w:rPr>
              <w:t>2012</w:t>
            </w:r>
          </w:p>
        </w:tc>
        <w:tc>
          <w:tcPr>
            <w:tcW w:w="2477" w:type="dxa"/>
            <w:tcBorders>
              <w:top w:val="nil"/>
            </w:tcBorders>
          </w:tcPr>
          <w:p>
            <w:pPr>
              <w:pStyle w:val="TableParagraph"/>
              <w:spacing w:before="17"/>
              <w:ind w:left="627" w:right="601"/>
              <w:jc w:val="center"/>
              <w:rPr>
                <w:sz w:val="14"/>
              </w:rPr>
            </w:pPr>
            <w:r>
              <w:rPr>
                <w:color w:val="231F20"/>
                <w:sz w:val="14"/>
              </w:rPr>
              <w:t>13,430.6</w:t>
            </w:r>
          </w:p>
        </w:tc>
        <w:tc>
          <w:tcPr>
            <w:tcW w:w="3788" w:type="dxa"/>
            <w:tcBorders>
              <w:top w:val="nil"/>
            </w:tcBorders>
          </w:tcPr>
          <w:p>
            <w:pPr>
              <w:pStyle w:val="TableParagraph"/>
              <w:ind w:left="1628"/>
              <w:rPr>
                <w:sz w:val="14"/>
              </w:rPr>
            </w:pPr>
            <w:r>
              <w:rPr>
                <w:color w:val="231F20"/>
                <w:sz w:val="14"/>
              </w:rPr>
              <w:t>940,611.0</w:t>
            </w:r>
          </w:p>
        </w:tc>
      </w:tr>
    </w:tbl>
    <w:p>
      <w:pPr>
        <w:spacing w:line="249" w:lineRule="auto" w:before="28"/>
        <w:ind w:left="1553" w:right="1478" w:firstLine="0"/>
        <w:jc w:val="left"/>
        <w:rPr>
          <w:sz w:val="18"/>
        </w:rPr>
      </w:pPr>
      <w:r>
        <w:rPr>
          <w:color w:val="231F20"/>
          <w:sz w:val="18"/>
        </w:rPr>
        <w:t>Fuente: CEFP, 1980-2012. Indicadores macroeconómicos 1980-2012 (Inversión extranjera 1980-2010) y Deuda pública 1980-2011 (Sector Público Presupuestario (mdp constantes, base 2003=100).</w:t>
      </w:r>
    </w:p>
    <w:p>
      <w:pPr>
        <w:pStyle w:val="BodyText"/>
        <w:spacing w:before="5"/>
        <w:rPr>
          <w:sz w:val="11"/>
        </w:rPr>
      </w:pPr>
    </w:p>
    <w:p>
      <w:pPr>
        <w:spacing w:before="74"/>
        <w:ind w:left="1575" w:right="1575" w:firstLine="0"/>
        <w:jc w:val="center"/>
        <w:rPr>
          <w:sz w:val="20"/>
        </w:rPr>
      </w:pPr>
      <w:r>
        <w:rPr>
          <w:color w:val="231F20"/>
          <w:sz w:val="20"/>
        </w:rPr>
        <w:t>47</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2320" w:right="0" w:firstLine="0"/>
        <w:jc w:val="left"/>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Heading2"/>
        <w:spacing w:before="179"/>
      </w:pPr>
      <w:r>
        <w:rPr>
          <w:color w:val="231F20"/>
        </w:rPr>
        <w:t>La IED y el PIB</w:t>
      </w:r>
    </w:p>
    <w:p>
      <w:pPr>
        <w:pStyle w:val="BodyText"/>
        <w:spacing w:before="8"/>
        <w:rPr>
          <w:b/>
          <w:sz w:val="20"/>
        </w:rPr>
      </w:pPr>
    </w:p>
    <w:p>
      <w:pPr>
        <w:pStyle w:val="BodyText"/>
        <w:spacing w:line="247" w:lineRule="auto"/>
        <w:ind w:left="1553" w:right="1550"/>
        <w:jc w:val="both"/>
      </w:pPr>
      <w:r>
        <w:rPr>
          <w:color w:val="231F20"/>
        </w:rPr>
        <w:t>La</w:t>
      </w:r>
      <w:r>
        <w:rPr>
          <w:color w:val="231F20"/>
          <w:spacing w:val="-7"/>
        </w:rPr>
        <w:t> </w:t>
      </w:r>
      <w:r>
        <w:rPr>
          <w:color w:val="231F20"/>
        </w:rPr>
        <w:t>economía</w:t>
      </w:r>
      <w:r>
        <w:rPr>
          <w:color w:val="231F20"/>
          <w:spacing w:val="-7"/>
        </w:rPr>
        <w:t> </w:t>
      </w:r>
      <w:r>
        <w:rPr>
          <w:color w:val="231F20"/>
        </w:rPr>
        <w:t>mexicana</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caracterizado</w:t>
      </w:r>
      <w:r>
        <w:rPr>
          <w:color w:val="231F20"/>
          <w:spacing w:val="-7"/>
        </w:rPr>
        <w:t> </w:t>
      </w:r>
      <w:r>
        <w:rPr>
          <w:color w:val="231F20"/>
        </w:rPr>
        <w:t>por</w:t>
      </w:r>
      <w:r>
        <w:rPr>
          <w:color w:val="231F20"/>
          <w:spacing w:val="-7"/>
        </w:rPr>
        <w:t> </w:t>
      </w:r>
      <w:r>
        <w:rPr>
          <w:color w:val="231F20"/>
        </w:rPr>
        <w:t>no</w:t>
      </w:r>
      <w:r>
        <w:rPr>
          <w:color w:val="231F20"/>
          <w:spacing w:val="-7"/>
        </w:rPr>
        <w:t> </w:t>
      </w:r>
      <w:r>
        <w:rPr>
          <w:color w:val="231F20"/>
        </w:rPr>
        <w:t>generar</w:t>
      </w:r>
      <w:r>
        <w:rPr>
          <w:color w:val="231F20"/>
          <w:spacing w:val="-7"/>
        </w:rPr>
        <w:t> </w:t>
      </w:r>
      <w:r>
        <w:rPr>
          <w:color w:val="231F20"/>
        </w:rPr>
        <w:t>el</w:t>
      </w:r>
      <w:r>
        <w:rPr>
          <w:color w:val="231F20"/>
          <w:spacing w:val="-7"/>
        </w:rPr>
        <w:t> </w:t>
      </w:r>
      <w:r>
        <w:rPr>
          <w:color w:val="231F20"/>
        </w:rPr>
        <w:t>nivel</w:t>
      </w:r>
      <w:r>
        <w:rPr>
          <w:color w:val="231F20"/>
          <w:spacing w:val="-7"/>
        </w:rPr>
        <w:t> </w:t>
      </w:r>
      <w:r>
        <w:rPr>
          <w:color w:val="231F20"/>
        </w:rPr>
        <w:t>necesario</w:t>
      </w:r>
      <w:r>
        <w:rPr>
          <w:color w:val="231F20"/>
          <w:spacing w:val="-7"/>
        </w:rPr>
        <w:t> </w:t>
      </w:r>
      <w:r>
        <w:rPr>
          <w:color w:val="231F20"/>
        </w:rPr>
        <w:t>de</w:t>
      </w:r>
      <w:r>
        <w:rPr>
          <w:color w:val="231F20"/>
          <w:spacing w:val="-7"/>
        </w:rPr>
        <w:t> </w:t>
      </w:r>
      <w:r>
        <w:rPr>
          <w:color w:val="231F20"/>
        </w:rPr>
        <w:t>aho- </w:t>
      </w:r>
      <w:r>
        <w:rPr>
          <w:color w:val="231F20"/>
          <w:spacing w:val="2"/>
        </w:rPr>
        <w:t>rro </w:t>
      </w:r>
      <w:r>
        <w:rPr>
          <w:color w:val="231F20"/>
        </w:rPr>
        <w:t>interno por lo que ha recurrido al financiamiento externo. De esta manera ha visto como una oportunidad a la IED para crecer a </w:t>
      </w:r>
      <w:r>
        <w:rPr>
          <w:color w:val="231F20"/>
          <w:spacing w:val="2"/>
        </w:rPr>
        <w:t>partir </w:t>
      </w:r>
      <w:r>
        <w:rPr>
          <w:color w:val="231F20"/>
        </w:rPr>
        <w:t>de estimular </w:t>
      </w:r>
      <w:r>
        <w:rPr>
          <w:color w:val="231F20"/>
          <w:spacing w:val="2"/>
        </w:rPr>
        <w:t>un </w:t>
      </w:r>
      <w:r>
        <w:rPr>
          <w:color w:val="231F20"/>
        </w:rPr>
        <w:t>incremen- to en la productividad de los factores productivos, así como en realizar </w:t>
      </w:r>
      <w:r>
        <w:rPr>
          <w:color w:val="231F20"/>
          <w:spacing w:val="2"/>
        </w:rPr>
        <w:t>un </w:t>
      </w:r>
      <w:r>
        <w:rPr>
          <w:color w:val="231F20"/>
        </w:rPr>
        <w:t>uso más eficiente de los</w:t>
      </w:r>
      <w:r>
        <w:rPr>
          <w:color w:val="231F20"/>
          <w:spacing w:val="-18"/>
        </w:rPr>
        <w:t> </w:t>
      </w:r>
      <w:r>
        <w:rPr>
          <w:color w:val="231F20"/>
        </w:rPr>
        <w:t>recursos.</w:t>
      </w:r>
    </w:p>
    <w:p>
      <w:pPr>
        <w:pStyle w:val="BodyText"/>
        <w:spacing w:line="247" w:lineRule="auto"/>
        <w:ind w:left="1554" w:right="1549" w:firstLine="283"/>
        <w:jc w:val="both"/>
      </w:pPr>
      <w:r>
        <w:rPr>
          <w:color w:val="231F20"/>
        </w:rPr>
        <w:t>La</w:t>
      </w:r>
      <w:r>
        <w:rPr>
          <w:color w:val="231F20"/>
          <w:spacing w:val="-5"/>
        </w:rPr>
        <w:t> </w:t>
      </w:r>
      <w:r>
        <w:rPr>
          <w:color w:val="231F20"/>
        </w:rPr>
        <w:t>política</w:t>
      </w:r>
      <w:r>
        <w:rPr>
          <w:color w:val="231F20"/>
          <w:spacing w:val="-5"/>
        </w:rPr>
        <w:t> </w:t>
      </w:r>
      <w:r>
        <w:rPr>
          <w:color w:val="231F20"/>
        </w:rPr>
        <w:t>neoliberal</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siguió</w:t>
      </w:r>
      <w:r>
        <w:rPr>
          <w:color w:val="231F20"/>
          <w:spacing w:val="-5"/>
        </w:rPr>
        <w:t> </w:t>
      </w:r>
      <w:r>
        <w:rPr>
          <w:color w:val="231F20"/>
        </w:rPr>
        <w:t>como</w:t>
      </w:r>
      <w:r>
        <w:rPr>
          <w:color w:val="231F20"/>
          <w:spacing w:val="-5"/>
        </w:rPr>
        <w:t> </w:t>
      </w:r>
      <w:r>
        <w:rPr>
          <w:color w:val="231F20"/>
        </w:rPr>
        <w:t>estrategia</w:t>
      </w:r>
      <w:r>
        <w:rPr>
          <w:color w:val="231F20"/>
          <w:spacing w:val="-5"/>
        </w:rPr>
        <w:t> </w:t>
      </w:r>
      <w:r>
        <w:rPr>
          <w:color w:val="231F20"/>
        </w:rPr>
        <w:t>de</w:t>
      </w:r>
      <w:r>
        <w:rPr>
          <w:color w:val="231F20"/>
          <w:spacing w:val="-5"/>
        </w:rPr>
        <w:t> </w:t>
      </w:r>
      <w:r>
        <w:rPr>
          <w:color w:val="231F20"/>
        </w:rPr>
        <w:t>crecimiento</w:t>
      </w:r>
      <w:r>
        <w:rPr>
          <w:color w:val="231F20"/>
          <w:spacing w:val="-5"/>
        </w:rPr>
        <w:t> </w:t>
      </w:r>
      <w:r>
        <w:rPr>
          <w:color w:val="231F20"/>
        </w:rPr>
        <w:t>económico,</w:t>
      </w:r>
      <w:r>
        <w:rPr>
          <w:color w:val="231F20"/>
          <w:spacing w:val="-5"/>
        </w:rPr>
        <w:t> </w:t>
      </w:r>
      <w:r>
        <w:rPr>
          <w:color w:val="231F20"/>
        </w:rPr>
        <w:t>a </w:t>
      </w:r>
      <w:r>
        <w:rPr>
          <w:color w:val="231F20"/>
          <w:spacing w:val="2"/>
        </w:rPr>
        <w:t>partir </w:t>
      </w:r>
      <w:r>
        <w:rPr>
          <w:color w:val="231F20"/>
        </w:rPr>
        <w:t>de </w:t>
      </w:r>
      <w:r>
        <w:rPr>
          <w:color w:val="231F20"/>
          <w:spacing w:val="-4"/>
        </w:rPr>
        <w:t>1982, </w:t>
      </w:r>
      <w:r>
        <w:rPr>
          <w:color w:val="231F20"/>
        </w:rPr>
        <w:t>después de que se había seguido </w:t>
      </w:r>
      <w:r>
        <w:rPr>
          <w:color w:val="231F20"/>
          <w:spacing w:val="2"/>
        </w:rPr>
        <w:t>un </w:t>
      </w:r>
      <w:r>
        <w:rPr>
          <w:color w:val="231F20"/>
        </w:rPr>
        <w:t>esquema de economía mixta, trajo como consecuencia la privatización acelerada de empresas del sector público, lo</w:t>
      </w:r>
      <w:r>
        <w:rPr>
          <w:color w:val="231F20"/>
          <w:spacing w:val="-10"/>
        </w:rPr>
        <w:t> </w:t>
      </w:r>
      <w:r>
        <w:rPr>
          <w:color w:val="231F20"/>
        </w:rPr>
        <w:t>que</w:t>
      </w:r>
      <w:r>
        <w:rPr>
          <w:color w:val="231F20"/>
          <w:spacing w:val="-10"/>
        </w:rPr>
        <w:t> </w:t>
      </w:r>
      <w:r>
        <w:rPr>
          <w:color w:val="231F20"/>
        </w:rPr>
        <w:t>resultó</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abatimiento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inversión</w:t>
      </w:r>
      <w:r>
        <w:rPr>
          <w:color w:val="231F20"/>
          <w:spacing w:val="-10"/>
        </w:rPr>
        <w:t> </w:t>
      </w:r>
      <w:r>
        <w:rPr>
          <w:color w:val="231F20"/>
        </w:rPr>
        <w:t>pública</w:t>
      </w:r>
      <w:r>
        <w:rPr>
          <w:color w:val="231F20"/>
          <w:spacing w:val="-10"/>
        </w:rPr>
        <w:t> </w:t>
      </w:r>
      <w:r>
        <w:rPr>
          <w:color w:val="231F20"/>
        </w:rPr>
        <w:t>como</w:t>
      </w:r>
      <w:r>
        <w:rPr>
          <w:color w:val="231F20"/>
          <w:spacing w:val="-10"/>
        </w:rPr>
        <w:t> </w:t>
      </w:r>
      <w:r>
        <w:rPr>
          <w:color w:val="231F20"/>
        </w:rPr>
        <w:t>proporción</w:t>
      </w:r>
      <w:r>
        <w:rPr>
          <w:color w:val="231F20"/>
          <w:spacing w:val="-10"/>
        </w:rPr>
        <w:t> </w:t>
      </w:r>
      <w:r>
        <w:rPr>
          <w:color w:val="231F20"/>
        </w:rPr>
        <w:t>del</w:t>
      </w:r>
      <w:r>
        <w:rPr>
          <w:color w:val="231F20"/>
          <w:spacing w:val="-10"/>
        </w:rPr>
        <w:t> </w:t>
      </w:r>
      <w:r>
        <w:rPr>
          <w:color w:val="231F20"/>
        </w:rPr>
        <w:t>produc- to nacional, esto explica la importancia que adquirieron las inversiones privadas en la formación del capital. El crecimiento se puede asociar a la formación bruta de capital que provoca la IED sobre todo después de la </w:t>
      </w:r>
      <w:r>
        <w:rPr>
          <w:color w:val="231F20"/>
          <w:spacing w:val="2"/>
        </w:rPr>
        <w:t>apertura </w:t>
      </w:r>
      <w:r>
        <w:rPr>
          <w:color w:val="231F20"/>
        </w:rPr>
        <w:t>de la economía. </w:t>
      </w:r>
      <w:r>
        <w:rPr>
          <w:color w:val="231F20"/>
          <w:spacing w:val="-4"/>
        </w:rPr>
        <w:t>Tam- </w:t>
      </w:r>
      <w:r>
        <w:rPr>
          <w:color w:val="231F20"/>
        </w:rPr>
        <w:t>bién puede asociarse a que la mayor parte de los recursos originados por la IED fueron dirigidos a la industria manufacturera de exportación, que fue la que reporto durante este período una mayor cantidad de exportaciones que permitieron que el PIB aumentara (Santiago,</w:t>
      </w:r>
      <w:r>
        <w:rPr>
          <w:color w:val="231F20"/>
          <w:spacing w:val="-10"/>
        </w:rPr>
        <w:t> </w:t>
      </w:r>
      <w:r>
        <w:rPr>
          <w:color w:val="231F20"/>
          <w:spacing w:val="-3"/>
        </w:rPr>
        <w:t>2008).</w:t>
      </w:r>
    </w:p>
    <w:p>
      <w:pPr>
        <w:pStyle w:val="BodyText"/>
      </w:pPr>
    </w:p>
    <w:p>
      <w:pPr>
        <w:pStyle w:val="BodyText"/>
        <w:spacing w:before="10"/>
        <w:rPr>
          <w:sz w:val="19"/>
        </w:rPr>
      </w:pPr>
    </w:p>
    <w:p>
      <w:pPr>
        <w:pStyle w:val="Heading2"/>
      </w:pPr>
      <w:r>
        <w:rPr>
          <w:color w:val="231F20"/>
        </w:rPr>
        <w:t>Objetivos</w:t>
      </w:r>
    </w:p>
    <w:p>
      <w:pPr>
        <w:pStyle w:val="BodyText"/>
        <w:spacing w:before="8"/>
        <w:rPr>
          <w:b/>
          <w:sz w:val="20"/>
        </w:rPr>
      </w:pPr>
    </w:p>
    <w:p>
      <w:pPr>
        <w:pStyle w:val="BodyText"/>
        <w:spacing w:line="247" w:lineRule="auto"/>
        <w:ind w:left="1553" w:right="1550"/>
        <w:jc w:val="both"/>
      </w:pPr>
      <w:r>
        <w:rPr>
          <w:color w:val="231F20"/>
        </w:rPr>
        <w:t>Con</w:t>
      </w:r>
      <w:r>
        <w:rPr>
          <w:color w:val="231F20"/>
          <w:spacing w:val="-8"/>
        </w:rPr>
        <w:t> </w:t>
      </w:r>
      <w:r>
        <w:rPr>
          <w:color w:val="231F20"/>
        </w:rPr>
        <w:t>base</w:t>
      </w:r>
      <w:r>
        <w:rPr>
          <w:color w:val="231F20"/>
          <w:spacing w:val="-8"/>
        </w:rPr>
        <w:t> </w:t>
      </w:r>
      <w:r>
        <w:rPr>
          <w:color w:val="231F20"/>
        </w:rPr>
        <w:t>en</w:t>
      </w:r>
      <w:r>
        <w:rPr>
          <w:color w:val="231F20"/>
          <w:spacing w:val="-8"/>
        </w:rPr>
        <w:t> </w:t>
      </w:r>
      <w:r>
        <w:rPr>
          <w:color w:val="231F20"/>
        </w:rPr>
        <w:t>lo</w:t>
      </w:r>
      <w:r>
        <w:rPr>
          <w:color w:val="231F20"/>
          <w:spacing w:val="-8"/>
        </w:rPr>
        <w:t> </w:t>
      </w:r>
      <w:r>
        <w:rPr>
          <w:color w:val="231F20"/>
        </w:rPr>
        <w:t>anterior,</w:t>
      </w:r>
      <w:r>
        <w:rPr>
          <w:color w:val="231F20"/>
          <w:spacing w:val="-8"/>
        </w:rPr>
        <w:t> </w:t>
      </w:r>
      <w:r>
        <w:rPr>
          <w:color w:val="231F20"/>
        </w:rPr>
        <w:t>el</w:t>
      </w:r>
      <w:r>
        <w:rPr>
          <w:color w:val="231F20"/>
          <w:spacing w:val="-8"/>
        </w:rPr>
        <w:t> </w:t>
      </w:r>
      <w:r>
        <w:rPr>
          <w:color w:val="231F20"/>
        </w:rPr>
        <w:t>objetivo</w:t>
      </w:r>
      <w:r>
        <w:rPr>
          <w:color w:val="231F20"/>
          <w:spacing w:val="-8"/>
        </w:rPr>
        <w:t> </w:t>
      </w:r>
      <w:r>
        <w:rPr>
          <w:color w:val="231F20"/>
        </w:rPr>
        <w:t>general</w:t>
      </w:r>
      <w:r>
        <w:rPr>
          <w:color w:val="231F20"/>
          <w:spacing w:val="-8"/>
        </w:rPr>
        <w:t> </w:t>
      </w:r>
      <w:r>
        <w:rPr>
          <w:color w:val="231F20"/>
        </w:rPr>
        <w:t>del</w:t>
      </w:r>
      <w:r>
        <w:rPr>
          <w:color w:val="231F20"/>
          <w:spacing w:val="-8"/>
        </w:rPr>
        <w:t> </w:t>
      </w:r>
      <w:r>
        <w:rPr>
          <w:color w:val="231F20"/>
        </w:rPr>
        <w:t>trabajo</w:t>
      </w:r>
      <w:r>
        <w:rPr>
          <w:color w:val="231F20"/>
          <w:spacing w:val="-8"/>
        </w:rPr>
        <w:t> </w:t>
      </w:r>
      <w:r>
        <w:rPr>
          <w:color w:val="231F20"/>
        </w:rPr>
        <w:t>consistió</w:t>
      </w:r>
      <w:r>
        <w:rPr>
          <w:color w:val="231F20"/>
          <w:spacing w:val="-8"/>
        </w:rPr>
        <w:t> </w:t>
      </w:r>
      <w:r>
        <w:rPr>
          <w:color w:val="231F20"/>
        </w:rPr>
        <w:t>en</w:t>
      </w:r>
      <w:r>
        <w:rPr>
          <w:color w:val="231F20"/>
          <w:spacing w:val="-8"/>
        </w:rPr>
        <w:t> </w:t>
      </w:r>
      <w:r>
        <w:rPr>
          <w:color w:val="231F20"/>
        </w:rPr>
        <w:t>“analizar</w:t>
      </w:r>
      <w:r>
        <w:rPr>
          <w:color w:val="231F20"/>
          <w:spacing w:val="-8"/>
        </w:rPr>
        <w:t> </w:t>
      </w:r>
      <w:r>
        <w:rPr>
          <w:color w:val="231F20"/>
        </w:rPr>
        <w:t>el</w:t>
      </w:r>
      <w:r>
        <w:rPr>
          <w:color w:val="231F20"/>
          <w:spacing w:val="-8"/>
        </w:rPr>
        <w:t> </w:t>
      </w:r>
      <w:r>
        <w:rPr>
          <w:color w:val="231F20"/>
        </w:rPr>
        <w:t>efec- to</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IED</w:t>
      </w:r>
      <w:r>
        <w:rPr>
          <w:color w:val="231F20"/>
          <w:spacing w:val="-7"/>
        </w:rPr>
        <w:t> </w:t>
      </w:r>
      <w:r>
        <w:rPr>
          <w:color w:val="231F20"/>
        </w:rPr>
        <w:t>tiene</w:t>
      </w:r>
      <w:r>
        <w:rPr>
          <w:color w:val="231F20"/>
          <w:spacing w:val="-7"/>
        </w:rPr>
        <w:t> </w:t>
      </w:r>
      <w:r>
        <w:rPr>
          <w:color w:val="231F20"/>
        </w:rPr>
        <w:t>sobre</w:t>
      </w:r>
      <w:r>
        <w:rPr>
          <w:color w:val="231F20"/>
          <w:spacing w:val="-7"/>
        </w:rPr>
        <w:t> </w:t>
      </w:r>
      <w:r>
        <w:rPr>
          <w:color w:val="231F20"/>
        </w:rPr>
        <w:t>el</w:t>
      </w:r>
      <w:r>
        <w:rPr>
          <w:color w:val="231F20"/>
          <w:spacing w:val="-7"/>
        </w:rPr>
        <w:t> </w:t>
      </w:r>
      <w:r>
        <w:rPr>
          <w:color w:val="231F20"/>
        </w:rPr>
        <w:t>Crecimiento</w:t>
      </w:r>
      <w:r>
        <w:rPr>
          <w:color w:val="231F20"/>
          <w:spacing w:val="-7"/>
        </w:rPr>
        <w:t> </w:t>
      </w:r>
      <w:r>
        <w:rPr>
          <w:color w:val="231F20"/>
        </w:rPr>
        <w:t>Económico</w:t>
      </w:r>
      <w:r>
        <w:rPr>
          <w:color w:val="231F20"/>
          <w:spacing w:val="-7"/>
        </w:rPr>
        <w:t> </w:t>
      </w:r>
      <w:r>
        <w:rPr>
          <w:color w:val="231F20"/>
        </w:rPr>
        <w:t>de</w:t>
      </w:r>
      <w:r>
        <w:rPr>
          <w:color w:val="231F20"/>
          <w:spacing w:val="-7"/>
        </w:rPr>
        <w:t> </w:t>
      </w:r>
      <w:r>
        <w:rPr>
          <w:color w:val="231F20"/>
        </w:rPr>
        <w:t>México</w:t>
      </w:r>
      <w:r>
        <w:rPr>
          <w:color w:val="231F20"/>
          <w:spacing w:val="-7"/>
        </w:rPr>
        <w:t> </w:t>
      </w:r>
      <w:r>
        <w:rPr>
          <w:color w:val="231F20"/>
        </w:rPr>
        <w:t>de</w:t>
      </w:r>
      <w:r>
        <w:rPr>
          <w:color w:val="231F20"/>
          <w:spacing w:val="-7"/>
        </w:rPr>
        <w:t> </w:t>
      </w:r>
      <w:r>
        <w:rPr>
          <w:color w:val="231F20"/>
          <w:spacing w:val="-5"/>
        </w:rPr>
        <w:t>1970</w:t>
      </w:r>
      <w:r>
        <w:rPr>
          <w:color w:val="231F20"/>
          <w:spacing w:val="-7"/>
        </w:rPr>
        <w:t> </w:t>
      </w:r>
      <w:r>
        <w:rPr>
          <w:color w:val="231F20"/>
        </w:rPr>
        <w:t>a</w:t>
      </w:r>
      <w:r>
        <w:rPr>
          <w:color w:val="231F20"/>
          <w:spacing w:val="-7"/>
        </w:rPr>
        <w:t> </w:t>
      </w:r>
      <w:r>
        <w:rPr>
          <w:color w:val="231F20"/>
          <w:spacing w:val="-5"/>
        </w:rPr>
        <w:t>2012”</w:t>
      </w:r>
      <w:r>
        <w:rPr>
          <w:color w:val="231F20"/>
          <w:spacing w:val="-7"/>
        </w:rPr>
        <w:t> </w:t>
      </w:r>
      <w:r>
        <w:rPr>
          <w:color w:val="231F20"/>
        </w:rPr>
        <w:t>y</w:t>
      </w:r>
      <w:r>
        <w:rPr>
          <w:color w:val="231F20"/>
          <w:spacing w:val="-7"/>
        </w:rPr>
        <w:t> </w:t>
      </w:r>
      <w:r>
        <w:rPr>
          <w:color w:val="231F20"/>
        </w:rPr>
        <w:t>el objetivo</w:t>
      </w:r>
      <w:r>
        <w:rPr>
          <w:color w:val="231F20"/>
          <w:spacing w:val="-9"/>
        </w:rPr>
        <w:t> </w:t>
      </w:r>
      <w:r>
        <w:rPr>
          <w:color w:val="231F20"/>
        </w:rPr>
        <w:t>particular</w:t>
      </w:r>
      <w:r>
        <w:rPr>
          <w:color w:val="231F20"/>
          <w:spacing w:val="-9"/>
        </w:rPr>
        <w:t> </w:t>
      </w:r>
      <w:r>
        <w:rPr>
          <w:color w:val="231F20"/>
        </w:rPr>
        <w:t>en</w:t>
      </w:r>
      <w:r>
        <w:rPr>
          <w:color w:val="231F20"/>
          <w:spacing w:val="-9"/>
        </w:rPr>
        <w:t> </w:t>
      </w:r>
      <w:r>
        <w:rPr>
          <w:color w:val="231F20"/>
        </w:rPr>
        <w:t>“elaborar</w:t>
      </w:r>
      <w:r>
        <w:rPr>
          <w:color w:val="231F20"/>
          <w:spacing w:val="-9"/>
        </w:rPr>
        <w:t> </w:t>
      </w:r>
      <w:r>
        <w:rPr>
          <w:color w:val="231F20"/>
          <w:spacing w:val="2"/>
        </w:rPr>
        <w:t>un</w:t>
      </w:r>
      <w:r>
        <w:rPr>
          <w:color w:val="231F20"/>
          <w:spacing w:val="-9"/>
        </w:rPr>
        <w:t> </w:t>
      </w:r>
      <w:r>
        <w:rPr>
          <w:color w:val="231F20"/>
        </w:rPr>
        <w:t>modelo</w:t>
      </w:r>
      <w:r>
        <w:rPr>
          <w:color w:val="231F20"/>
          <w:spacing w:val="-9"/>
        </w:rPr>
        <w:t> </w:t>
      </w:r>
      <w:r>
        <w:rPr>
          <w:color w:val="231F20"/>
        </w:rPr>
        <w:t>de</w:t>
      </w:r>
      <w:r>
        <w:rPr>
          <w:color w:val="231F20"/>
          <w:spacing w:val="-9"/>
        </w:rPr>
        <w:t> </w:t>
      </w:r>
      <w:r>
        <w:rPr>
          <w:color w:val="231F20"/>
        </w:rPr>
        <w:t>regresión</w:t>
      </w:r>
      <w:r>
        <w:rPr>
          <w:color w:val="231F20"/>
          <w:spacing w:val="-9"/>
        </w:rPr>
        <w:t> </w:t>
      </w:r>
      <w:r>
        <w:rPr>
          <w:color w:val="231F20"/>
        </w:rPr>
        <w:t>lineal</w:t>
      </w:r>
      <w:r>
        <w:rPr>
          <w:color w:val="231F20"/>
          <w:spacing w:val="-9"/>
        </w:rPr>
        <w:t> </w:t>
      </w:r>
      <w:r>
        <w:rPr>
          <w:color w:val="231F20"/>
        </w:rPr>
        <w:t>que</w:t>
      </w:r>
      <w:r>
        <w:rPr>
          <w:color w:val="231F20"/>
          <w:spacing w:val="-9"/>
        </w:rPr>
        <w:t> </w:t>
      </w:r>
      <w:r>
        <w:rPr>
          <w:color w:val="231F20"/>
        </w:rPr>
        <w:t>relaciona</w:t>
      </w:r>
      <w:r>
        <w:rPr>
          <w:color w:val="231F20"/>
          <w:spacing w:val="-9"/>
        </w:rPr>
        <w:t> </w:t>
      </w:r>
      <w:r>
        <w:rPr>
          <w:color w:val="231F20"/>
        </w:rPr>
        <w:t>el</w:t>
      </w:r>
      <w:r>
        <w:rPr>
          <w:color w:val="231F20"/>
          <w:spacing w:val="-9"/>
        </w:rPr>
        <w:t> </w:t>
      </w:r>
      <w:r>
        <w:rPr>
          <w:color w:val="231F20"/>
        </w:rPr>
        <w:t>creci- miento del PIB con los flujos de IED que entran al país, en el periodo</w:t>
      </w:r>
      <w:r>
        <w:rPr>
          <w:color w:val="231F20"/>
          <w:spacing w:val="-22"/>
        </w:rPr>
        <w:t> </w:t>
      </w:r>
      <w:r>
        <w:rPr>
          <w:color w:val="231F20"/>
          <w:spacing w:val="-6"/>
        </w:rPr>
        <w:t>1970-2012”.</w:t>
      </w:r>
    </w:p>
    <w:p>
      <w:pPr>
        <w:pStyle w:val="BodyText"/>
      </w:pPr>
    </w:p>
    <w:p>
      <w:pPr>
        <w:pStyle w:val="BodyText"/>
        <w:spacing w:before="10"/>
        <w:rPr>
          <w:sz w:val="19"/>
        </w:rPr>
      </w:pPr>
    </w:p>
    <w:p>
      <w:pPr>
        <w:pStyle w:val="Heading2"/>
        <w:spacing w:before="1"/>
      </w:pPr>
      <w:r>
        <w:rPr>
          <w:color w:val="231F20"/>
        </w:rPr>
        <w:t>Materiales y Métodos</w:t>
      </w:r>
    </w:p>
    <w:p>
      <w:pPr>
        <w:pStyle w:val="BodyText"/>
        <w:spacing w:before="8"/>
        <w:rPr>
          <w:b/>
          <w:sz w:val="20"/>
        </w:rPr>
      </w:pPr>
    </w:p>
    <w:p>
      <w:pPr>
        <w:pStyle w:val="BodyText"/>
        <w:spacing w:line="247" w:lineRule="auto"/>
        <w:ind w:left="1553" w:right="1548"/>
        <w:jc w:val="both"/>
      </w:pPr>
      <w:r>
        <w:rPr>
          <w:color w:val="231F20"/>
        </w:rPr>
        <w:t>El</w:t>
      </w:r>
      <w:r>
        <w:rPr>
          <w:color w:val="231F20"/>
          <w:spacing w:val="-9"/>
        </w:rPr>
        <w:t> </w:t>
      </w:r>
      <w:r>
        <w:rPr>
          <w:color w:val="231F20"/>
        </w:rPr>
        <w:t>trabajo</w:t>
      </w:r>
      <w:r>
        <w:rPr>
          <w:color w:val="231F20"/>
          <w:spacing w:val="-9"/>
        </w:rPr>
        <w:t> </w:t>
      </w:r>
      <w:r>
        <w:rPr>
          <w:color w:val="231F20"/>
        </w:rPr>
        <w:t>consistió</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rPr>
        <w:t>investigación</w:t>
      </w:r>
      <w:r>
        <w:rPr>
          <w:color w:val="231F20"/>
          <w:spacing w:val="-9"/>
        </w:rPr>
        <w:t> </w:t>
      </w:r>
      <w:r>
        <w:rPr>
          <w:color w:val="231F20"/>
        </w:rPr>
        <w:t>bibliográfica</w:t>
      </w:r>
      <w:r>
        <w:rPr>
          <w:color w:val="231F20"/>
          <w:spacing w:val="-9"/>
        </w:rPr>
        <w:t> </w:t>
      </w:r>
      <w:r>
        <w:rPr>
          <w:color w:val="231F20"/>
        </w:rPr>
        <w:t>en</w:t>
      </w:r>
      <w:r>
        <w:rPr>
          <w:color w:val="231F20"/>
          <w:spacing w:val="-9"/>
        </w:rPr>
        <w:t> </w:t>
      </w:r>
      <w:r>
        <w:rPr>
          <w:color w:val="231F20"/>
        </w:rPr>
        <w:t>distintas</w:t>
      </w:r>
      <w:r>
        <w:rPr>
          <w:color w:val="231F20"/>
          <w:spacing w:val="-9"/>
        </w:rPr>
        <w:t> </w:t>
      </w:r>
      <w:r>
        <w:rPr>
          <w:color w:val="231F20"/>
        </w:rPr>
        <w:t>fuentes</w:t>
      </w:r>
      <w:r>
        <w:rPr>
          <w:color w:val="231F20"/>
          <w:spacing w:val="-9"/>
        </w:rPr>
        <w:t> </w:t>
      </w:r>
      <w:r>
        <w:rPr>
          <w:color w:val="231F20"/>
        </w:rPr>
        <w:t>relaciona- das con la IED y el crecimiento económico de México. Asimismo se recopiló infor- mación estadística de distintas organizaciones nacionales e internacionales como la </w:t>
      </w:r>
      <w:r>
        <w:rPr>
          <w:color w:val="231F20"/>
          <w:spacing w:val="-3"/>
        </w:rPr>
        <w:t>CEPAL,</w:t>
      </w:r>
      <w:r>
        <w:rPr>
          <w:color w:val="231F20"/>
          <w:spacing w:val="-7"/>
        </w:rPr>
        <w:t> </w:t>
      </w:r>
      <w:r>
        <w:rPr>
          <w:color w:val="231F20"/>
        </w:rPr>
        <w:t>INEGI,</w:t>
      </w:r>
      <w:r>
        <w:rPr>
          <w:color w:val="231F20"/>
          <w:spacing w:val="-7"/>
        </w:rPr>
        <w:t> </w:t>
      </w:r>
      <w:r>
        <w:rPr>
          <w:color w:val="231F20"/>
        </w:rPr>
        <w:t>Banxico,</w:t>
      </w:r>
      <w:r>
        <w:rPr>
          <w:color w:val="231F20"/>
          <w:spacing w:val="-7"/>
        </w:rPr>
        <w:t> </w:t>
      </w:r>
      <w:r>
        <w:rPr>
          <w:color w:val="231F20"/>
        </w:rPr>
        <w:t>Secretaría</w:t>
      </w:r>
      <w:r>
        <w:rPr>
          <w:color w:val="231F20"/>
          <w:spacing w:val="-7"/>
        </w:rPr>
        <w:t> </w:t>
      </w:r>
      <w:r>
        <w:rPr>
          <w:color w:val="231F20"/>
        </w:rPr>
        <w:t>de</w:t>
      </w:r>
      <w:r>
        <w:rPr>
          <w:color w:val="231F20"/>
          <w:spacing w:val="-7"/>
        </w:rPr>
        <w:t> </w:t>
      </w:r>
      <w:r>
        <w:rPr>
          <w:color w:val="231F20"/>
        </w:rPr>
        <w:t>Economía</w:t>
      </w:r>
      <w:r>
        <w:rPr>
          <w:color w:val="231F20"/>
          <w:spacing w:val="-7"/>
        </w:rPr>
        <w:t> </w:t>
      </w:r>
      <w:r>
        <w:rPr>
          <w:color w:val="231F20"/>
          <w:spacing w:val="-5"/>
        </w:rPr>
        <w:t>(SE),</w:t>
      </w:r>
      <w:r>
        <w:rPr>
          <w:color w:val="231F20"/>
          <w:spacing w:val="-7"/>
        </w:rPr>
        <w:t> </w:t>
      </w:r>
      <w:r>
        <w:rPr>
          <w:color w:val="231F20"/>
        </w:rPr>
        <w:t>Registro</w:t>
      </w:r>
      <w:r>
        <w:rPr>
          <w:color w:val="231F20"/>
          <w:spacing w:val="-7"/>
        </w:rPr>
        <w:t> </w:t>
      </w:r>
      <w:r>
        <w:rPr>
          <w:color w:val="231F20"/>
        </w:rPr>
        <w:t>Nacional</w:t>
      </w:r>
      <w:r>
        <w:rPr>
          <w:color w:val="231F20"/>
          <w:spacing w:val="-7"/>
        </w:rPr>
        <w:t> </w:t>
      </w:r>
      <w:r>
        <w:rPr>
          <w:color w:val="231F20"/>
        </w:rPr>
        <w:t>de</w:t>
      </w:r>
      <w:r>
        <w:rPr>
          <w:color w:val="231F20"/>
          <w:spacing w:val="-7"/>
        </w:rPr>
        <w:t> </w:t>
      </w:r>
      <w:r>
        <w:rPr>
          <w:color w:val="231F20"/>
          <w:spacing w:val="-3"/>
        </w:rPr>
        <w:t>Inver- </w:t>
      </w:r>
      <w:r>
        <w:rPr>
          <w:color w:val="231F20"/>
        </w:rPr>
        <w:t>siones Extranjeras, entre otras, con el fin de mostrar la situación de la IED en el en- torno económico y la manera en que se ha desarrollado en México a </w:t>
      </w:r>
      <w:r>
        <w:rPr>
          <w:color w:val="231F20"/>
          <w:spacing w:val="2"/>
        </w:rPr>
        <w:t>partir </w:t>
      </w:r>
      <w:r>
        <w:rPr>
          <w:color w:val="231F20"/>
        </w:rPr>
        <w:t>de los años setenta. Con la información anterior se generó una base de datos y se </w:t>
      </w:r>
      <w:r>
        <w:rPr>
          <w:color w:val="231F20"/>
          <w:spacing w:val="1"/>
        </w:rPr>
        <w:t> </w:t>
      </w:r>
      <w:r>
        <w:rPr>
          <w:color w:val="231F20"/>
          <w:spacing w:val="-3"/>
        </w:rPr>
        <w:t>elaboró:</w:t>
      </w:r>
    </w:p>
    <w:p>
      <w:pPr>
        <w:pStyle w:val="BodyText"/>
        <w:rPr>
          <w:sz w:val="20"/>
        </w:rPr>
      </w:pPr>
    </w:p>
    <w:p>
      <w:pPr>
        <w:pStyle w:val="BodyText"/>
        <w:spacing w:before="6"/>
        <w:rPr>
          <w:sz w:val="21"/>
        </w:rPr>
      </w:pPr>
    </w:p>
    <w:p>
      <w:pPr>
        <w:spacing w:before="0"/>
        <w:ind w:left="1575" w:right="1575" w:firstLine="0"/>
        <w:jc w:val="center"/>
        <w:rPr>
          <w:sz w:val="20"/>
        </w:rPr>
      </w:pPr>
      <w:r>
        <w:rPr>
          <w:color w:val="231F20"/>
          <w:sz w:val="20"/>
        </w:rPr>
        <w:t>48</w:t>
      </w:r>
    </w:p>
    <w:p>
      <w:pPr>
        <w:spacing w:after="0"/>
        <w:jc w:val="center"/>
        <w:rPr>
          <w:sz w:val="20"/>
        </w:rPr>
        <w:sectPr>
          <w:footerReference w:type="default" r:id="rId38"/>
          <w:pgSz w:w="10480" w:h="13880"/>
          <w:pgMar w:footer="222" w:header="0" w:top="420" w:bottom="420" w:left="0" w:right="0"/>
          <w:pgNumType w:start="48"/>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1802" w:right="0" w:firstLine="0"/>
        <w:jc w:val="left"/>
        <w:rPr>
          <w:sz w:val="20"/>
        </w:rPr>
      </w:pPr>
      <w:r>
        <w:rPr>
          <w:color w:val="231F20"/>
          <w:sz w:val="20"/>
        </w:rPr>
        <w:t>L</w:t>
      </w:r>
      <w:r>
        <w:rPr>
          <w:color w:val="231F20"/>
          <w:sz w:val="14"/>
        </w:rPr>
        <w:t>A  INVERSIÓN  EXTRANJERA DIRECTA  EN EL  CRECIMIENTO ECONÓMICO DE  </w:t>
      </w:r>
      <w:r>
        <w:rPr>
          <w:color w:val="231F20"/>
          <w:sz w:val="20"/>
        </w:rPr>
        <w:t>M</w:t>
      </w:r>
      <w:r>
        <w:rPr>
          <w:color w:val="231F20"/>
          <w:sz w:val="14"/>
        </w:rPr>
        <w:t>ÉXICO</w:t>
      </w:r>
      <w:r>
        <w:rPr>
          <w:color w:val="231F20"/>
          <w:sz w:val="20"/>
        </w:rPr>
        <w:t>, 1970-2012</w:t>
      </w:r>
    </w:p>
    <w:p>
      <w:pPr>
        <w:pStyle w:val="BodyText"/>
        <w:rPr>
          <w:sz w:val="20"/>
        </w:rPr>
      </w:pPr>
    </w:p>
    <w:p>
      <w:pPr>
        <w:pStyle w:val="BodyText"/>
        <w:spacing w:before="8"/>
        <w:rPr>
          <w:sz w:val="17"/>
        </w:rPr>
      </w:pPr>
    </w:p>
    <w:p>
      <w:pPr>
        <w:pStyle w:val="BodyText"/>
        <w:spacing w:line="247" w:lineRule="auto" w:before="1"/>
        <w:ind w:left="1553" w:right="1551"/>
        <w:jc w:val="both"/>
      </w:pPr>
      <w:r>
        <w:rPr>
          <w:color w:val="231F20"/>
          <w:spacing w:val="2"/>
        </w:rPr>
        <w:t>un</w:t>
      </w:r>
      <w:r>
        <w:rPr>
          <w:color w:val="231F20"/>
          <w:spacing w:val="-3"/>
        </w:rPr>
        <w:t> </w:t>
      </w:r>
      <w:r>
        <w:rPr>
          <w:color w:val="231F20"/>
        </w:rPr>
        <w:t>modelo</w:t>
      </w:r>
      <w:r>
        <w:rPr>
          <w:color w:val="231F20"/>
          <w:spacing w:val="-3"/>
        </w:rPr>
        <w:t> </w:t>
      </w:r>
      <w:r>
        <w:rPr>
          <w:color w:val="231F20"/>
        </w:rPr>
        <w:t>de</w:t>
      </w:r>
      <w:r>
        <w:rPr>
          <w:color w:val="231F20"/>
          <w:spacing w:val="-3"/>
        </w:rPr>
        <w:t> </w:t>
      </w:r>
      <w:r>
        <w:rPr>
          <w:color w:val="231F20"/>
        </w:rPr>
        <w:t>regresión</w:t>
      </w:r>
      <w:r>
        <w:rPr>
          <w:color w:val="231F20"/>
          <w:spacing w:val="-3"/>
        </w:rPr>
        <w:t> </w:t>
      </w:r>
      <w:r>
        <w:rPr>
          <w:color w:val="231F20"/>
        </w:rPr>
        <w:t>lineal</w:t>
      </w:r>
      <w:r>
        <w:rPr>
          <w:color w:val="231F20"/>
          <w:spacing w:val="-3"/>
        </w:rPr>
        <w:t> </w:t>
      </w:r>
      <w:r>
        <w:rPr>
          <w:color w:val="231F20"/>
        </w:rPr>
        <w:t>que</w:t>
      </w:r>
      <w:r>
        <w:rPr>
          <w:color w:val="231F20"/>
          <w:spacing w:val="-3"/>
        </w:rPr>
        <w:t> </w:t>
      </w:r>
      <w:r>
        <w:rPr>
          <w:color w:val="231F20"/>
        </w:rPr>
        <w:t>relaciona</w:t>
      </w:r>
      <w:r>
        <w:rPr>
          <w:color w:val="231F20"/>
          <w:spacing w:val="-3"/>
        </w:rPr>
        <w:t> </w:t>
      </w:r>
      <w:r>
        <w:rPr>
          <w:color w:val="231F20"/>
        </w:rPr>
        <w:t>el</w:t>
      </w:r>
      <w:r>
        <w:rPr>
          <w:color w:val="231F20"/>
          <w:spacing w:val="-3"/>
        </w:rPr>
        <w:t> </w:t>
      </w:r>
      <w:r>
        <w:rPr>
          <w:color w:val="231F20"/>
        </w:rPr>
        <w:t>crecimiento</w:t>
      </w:r>
      <w:r>
        <w:rPr>
          <w:color w:val="231F20"/>
          <w:spacing w:val="-3"/>
        </w:rPr>
        <w:t> </w:t>
      </w:r>
      <w:r>
        <w:rPr>
          <w:color w:val="231F20"/>
        </w:rPr>
        <w:t>del</w:t>
      </w:r>
      <w:r>
        <w:rPr>
          <w:color w:val="231F20"/>
          <w:spacing w:val="-3"/>
        </w:rPr>
        <w:t> </w:t>
      </w:r>
      <w:r>
        <w:rPr>
          <w:color w:val="231F20"/>
        </w:rPr>
        <w:t>PIB</w:t>
      </w:r>
      <w:r>
        <w:rPr>
          <w:color w:val="231F20"/>
          <w:spacing w:val="-3"/>
        </w:rPr>
        <w:t> </w:t>
      </w:r>
      <w:r>
        <w:rPr>
          <w:color w:val="231F20"/>
        </w:rPr>
        <w:t>con</w:t>
      </w:r>
      <w:r>
        <w:rPr>
          <w:color w:val="231F20"/>
          <w:spacing w:val="-3"/>
        </w:rPr>
        <w:t> </w:t>
      </w:r>
      <w:r>
        <w:rPr>
          <w:color w:val="231F20"/>
        </w:rPr>
        <w:t>los</w:t>
      </w:r>
      <w:r>
        <w:rPr>
          <w:color w:val="231F20"/>
          <w:spacing w:val="-5"/>
        </w:rPr>
        <w:t> </w:t>
      </w:r>
      <w:r>
        <w:rPr>
          <w:color w:val="231F20"/>
        </w:rPr>
        <w:t>flujos</w:t>
      </w:r>
      <w:r>
        <w:rPr>
          <w:color w:val="231F20"/>
          <w:spacing w:val="-3"/>
        </w:rPr>
        <w:t> </w:t>
      </w:r>
      <w:r>
        <w:rPr>
          <w:color w:val="231F20"/>
        </w:rPr>
        <w:t>de IED que entran al país, en el periodo </w:t>
      </w:r>
      <w:r>
        <w:rPr>
          <w:color w:val="231F20"/>
          <w:spacing w:val="-5"/>
        </w:rPr>
        <w:t>1970-2012. </w:t>
      </w:r>
      <w:r>
        <w:rPr>
          <w:color w:val="231F20"/>
        </w:rPr>
        <w:t>El modelo en su forma </w:t>
      </w:r>
      <w:r>
        <w:rPr>
          <w:color w:val="231F20"/>
          <w:spacing w:val="2"/>
        </w:rPr>
        <w:t>estructural </w:t>
      </w:r>
      <w:r>
        <w:rPr>
          <w:color w:val="231F20"/>
        </w:rPr>
        <w:t>se expresa como</w:t>
      </w:r>
      <w:r>
        <w:rPr>
          <w:color w:val="231F20"/>
          <w:spacing w:val="-15"/>
        </w:rPr>
        <w:t> </w:t>
      </w:r>
      <w:r>
        <w:rPr>
          <w:color w:val="231F20"/>
        </w:rPr>
        <w:t>sigue:</w:t>
      </w:r>
    </w:p>
    <w:p>
      <w:pPr>
        <w:pStyle w:val="BodyText"/>
      </w:pPr>
    </w:p>
    <w:p>
      <w:pPr>
        <w:pStyle w:val="Heading4"/>
        <w:spacing w:before="188"/>
        <w:rPr>
          <w:i/>
        </w:rPr>
      </w:pPr>
      <w:r>
        <w:rPr/>
        <w:pict>
          <v:shape style="position:absolute;margin-left:248.899002pt;margin-top:18.969646pt;width:26pt;height:7pt;mso-position-horizontal-relative:page;mso-position-vertical-relative:paragraph;z-index:-47992" type="#_x0000_t202" filled="false" stroked="false">
            <v:textbox inset="0,0,0,0">
              <w:txbxContent>
                <w:p>
                  <w:pPr>
                    <w:tabs>
                      <w:tab w:pos="449" w:val="left" w:leader="none"/>
                    </w:tabs>
                    <w:spacing w:line="140" w:lineRule="exact" w:before="0"/>
                    <w:ind w:left="0" w:right="0" w:firstLine="0"/>
                    <w:jc w:val="left"/>
                    <w:rPr>
                      <w:b/>
                      <w:i/>
                      <w:sz w:val="14"/>
                    </w:rPr>
                  </w:pPr>
                  <w:r>
                    <w:rPr>
                      <w:b/>
                      <w:i/>
                      <w:color w:val="231F20"/>
                      <w:sz w:val="14"/>
                    </w:rPr>
                    <w:t>0</w:t>
                    <w:tab/>
                    <w:t>1</w:t>
                  </w:r>
                </w:p>
              </w:txbxContent>
            </v:textbox>
            <w10:wrap type="none"/>
          </v:shape>
        </w:pict>
      </w:r>
      <w:r>
        <w:rPr>
          <w:i/>
          <w:color w:val="231F20"/>
        </w:rPr>
        <w:t>PIB= β  + β IED +ε</w:t>
      </w:r>
    </w:p>
    <w:p>
      <w:pPr>
        <w:pStyle w:val="BodyText"/>
        <w:spacing w:before="6"/>
        <w:rPr>
          <w:b/>
          <w:i/>
          <w:sz w:val="31"/>
        </w:rPr>
      </w:pPr>
    </w:p>
    <w:p>
      <w:pPr>
        <w:pStyle w:val="BodyText"/>
        <w:ind w:left="1837" w:right="4279"/>
      </w:pPr>
      <w:r>
        <w:rPr>
          <w:color w:val="231F20"/>
        </w:rPr>
        <w:t>Donde</w:t>
      </w:r>
    </w:p>
    <w:p>
      <w:pPr>
        <w:pStyle w:val="BodyText"/>
        <w:spacing w:line="175" w:lineRule="exact" w:before="7"/>
        <w:ind w:left="1837" w:right="4279"/>
      </w:pPr>
      <w:r>
        <w:rPr>
          <w:color w:val="231F20"/>
        </w:rPr>
        <w:t>β </w:t>
      </w:r>
      <w:r>
        <w:rPr>
          <w:i/>
          <w:color w:val="231F20"/>
        </w:rPr>
        <w:t>, β </w:t>
      </w:r>
      <w:r>
        <w:rPr>
          <w:color w:val="231F20"/>
        </w:rPr>
        <w:t>: son los parámetros a estimar en el modelo.</w:t>
      </w:r>
    </w:p>
    <w:p>
      <w:pPr>
        <w:tabs>
          <w:tab w:pos="2231" w:val="left" w:leader="none"/>
        </w:tabs>
        <w:spacing w:line="113" w:lineRule="exact" w:before="0"/>
        <w:ind w:left="1955" w:right="4279" w:firstLine="0"/>
        <w:jc w:val="left"/>
        <w:rPr>
          <w:i/>
          <w:sz w:val="13"/>
        </w:rPr>
      </w:pPr>
      <w:r>
        <w:rPr>
          <w:i/>
          <w:color w:val="231F20"/>
          <w:sz w:val="13"/>
        </w:rPr>
        <w:t>0</w:t>
        <w:tab/>
        <w:t>1</w:t>
      </w:r>
    </w:p>
    <w:p>
      <w:pPr>
        <w:pStyle w:val="BodyText"/>
        <w:spacing w:line="225" w:lineRule="exact"/>
        <w:ind w:left="1837"/>
      </w:pPr>
      <w:r>
        <w:rPr>
          <w:color w:val="231F20"/>
        </w:rPr>
        <w:t>PIB: es el Producto Interno Bruto (Millones de pesos, a precios constantes de</w:t>
      </w:r>
    </w:p>
    <w:p>
      <w:pPr>
        <w:pStyle w:val="BodyText"/>
        <w:spacing w:before="7"/>
        <w:ind w:left="1554"/>
        <w:jc w:val="both"/>
      </w:pPr>
      <w:r>
        <w:rPr>
          <w:color w:val="231F20"/>
        </w:rPr>
        <w:t>2003).</w:t>
      </w:r>
    </w:p>
    <w:p>
      <w:pPr>
        <w:pStyle w:val="BodyText"/>
        <w:spacing w:before="7"/>
        <w:ind w:left="1837"/>
      </w:pPr>
      <w:r>
        <w:rPr>
          <w:color w:val="231F20"/>
        </w:rPr>
        <w:t>IED: es la Inversión Extranjera Directa (Millones de dólares).</w:t>
      </w:r>
    </w:p>
    <w:p>
      <w:pPr>
        <w:pStyle w:val="BodyText"/>
        <w:spacing w:before="7"/>
        <w:ind w:left="1837" w:right="4279"/>
      </w:pPr>
      <w:r>
        <w:rPr>
          <w:color w:val="231F20"/>
        </w:rPr>
        <w:t>ε</w:t>
      </w:r>
      <w:r>
        <w:rPr>
          <w:i/>
          <w:color w:val="231F20"/>
        </w:rPr>
        <w:t>: </w:t>
      </w:r>
      <w:r>
        <w:rPr>
          <w:color w:val="231F20"/>
        </w:rPr>
        <w:t>es el error</w:t>
      </w:r>
    </w:p>
    <w:p>
      <w:pPr>
        <w:pStyle w:val="Heading5"/>
        <w:spacing w:before="7"/>
        <w:ind w:left="1837" w:right="4279"/>
        <w:jc w:val="left"/>
      </w:pPr>
      <w:r>
        <w:rPr>
          <w:color w:val="231F20"/>
        </w:rPr>
        <w:t>Resultados y discusión</w:t>
      </w:r>
    </w:p>
    <w:p>
      <w:pPr>
        <w:pStyle w:val="BodyText"/>
        <w:spacing w:line="247" w:lineRule="auto" w:before="7"/>
        <w:ind w:left="1554" w:right="1551" w:firstLine="283"/>
      </w:pPr>
      <w:r>
        <w:rPr>
          <w:color w:val="231F20"/>
        </w:rPr>
        <w:t>Los parámetros obtenidos de la ecuación de regresión lineal se analizaron desde el punto de vista estadístico y económico.</w:t>
      </w:r>
    </w:p>
    <w:p>
      <w:pPr>
        <w:pStyle w:val="BodyText"/>
      </w:pPr>
    </w:p>
    <w:p>
      <w:pPr>
        <w:pStyle w:val="BodyText"/>
        <w:spacing w:before="10"/>
        <w:rPr>
          <w:sz w:val="19"/>
        </w:rPr>
      </w:pPr>
    </w:p>
    <w:p>
      <w:pPr>
        <w:pStyle w:val="Heading2"/>
      </w:pPr>
      <w:r>
        <w:rPr>
          <w:color w:val="231F20"/>
        </w:rPr>
        <w:t>Análisis estadístico</w:t>
      </w:r>
    </w:p>
    <w:p>
      <w:pPr>
        <w:pStyle w:val="BodyText"/>
        <w:spacing w:before="8"/>
        <w:rPr>
          <w:b/>
          <w:sz w:val="20"/>
        </w:rPr>
      </w:pPr>
    </w:p>
    <w:p>
      <w:pPr>
        <w:pStyle w:val="BodyText"/>
        <w:spacing w:line="247" w:lineRule="auto"/>
        <w:ind w:left="1553" w:right="1550"/>
        <w:jc w:val="both"/>
      </w:pPr>
      <w:r>
        <w:rPr>
          <w:color w:val="231F20"/>
        </w:rPr>
        <w:t>El análisis estadístico se basó en el valor de la R</w:t>
      </w:r>
      <w:r>
        <w:rPr>
          <w:color w:val="231F20"/>
          <w:position w:val="7"/>
          <w:sz w:val="13"/>
        </w:rPr>
        <w:t>2</w:t>
      </w:r>
      <w:r>
        <w:rPr>
          <w:color w:val="231F20"/>
        </w:rPr>
        <w:t>, de la F calculada y los valores de </w:t>
      </w:r>
      <w:r>
        <w:rPr>
          <w:i/>
          <w:color w:val="231F20"/>
        </w:rPr>
        <w:t>t-student </w:t>
      </w:r>
      <w:r>
        <w:rPr>
          <w:color w:val="231F20"/>
        </w:rPr>
        <w:t>parciales para cada uno de los estimadores, con el fin de probar la signifi- cancia estadística de la ecuación de regresión ajustada. El modelo estimado del PIB fue el siguiente:</w:t>
      </w:r>
    </w:p>
    <w:p>
      <w:pPr>
        <w:pStyle w:val="Heading4"/>
        <w:rPr>
          <w:i/>
        </w:rPr>
      </w:pPr>
      <w:r>
        <w:rPr>
          <w:i/>
          <w:color w:val="231F20"/>
        </w:rPr>
        <w:t>PIB = 4045517.9 + 184.1 IED</w:t>
      </w:r>
    </w:p>
    <w:p>
      <w:pPr>
        <w:pStyle w:val="BodyText"/>
        <w:spacing w:before="9"/>
        <w:rPr>
          <w:b/>
          <w:i/>
        </w:rPr>
      </w:pPr>
    </w:p>
    <w:p>
      <w:pPr>
        <w:pStyle w:val="BodyText"/>
        <w:ind w:left="1837"/>
      </w:pPr>
      <w:r>
        <w:rPr/>
        <w:pict>
          <v:shape style="position:absolute;margin-left:436.623993pt;margin-top:8.772162pt;width:2.85pt;height:6.45pt;mso-position-horizontal-relative:page;mso-position-vertical-relative:paragraph;z-index:-47968" type="#_x0000_t202" filled="false" stroked="false">
            <v:textbox inset="0,0,0,0">
              <w:txbxContent>
                <w:p>
                  <w:pPr>
                    <w:spacing w:line="128" w:lineRule="exact" w:before="0"/>
                    <w:ind w:left="0" w:right="0" w:firstLine="0"/>
                    <w:jc w:val="left"/>
                    <w:rPr>
                      <w:b/>
                      <w:i/>
                      <w:sz w:val="13"/>
                    </w:rPr>
                  </w:pPr>
                  <w:r>
                    <w:rPr>
                      <w:b/>
                      <w:i/>
                      <w:color w:val="231F20"/>
                      <w:w w:val="98"/>
                      <w:sz w:val="13"/>
                    </w:rPr>
                    <w:t>c</w:t>
                  </w:r>
                </w:p>
              </w:txbxContent>
            </v:textbox>
            <w10:wrap type="none"/>
          </v:shape>
        </w:pict>
      </w:r>
      <w:r>
        <w:rPr>
          <w:color w:val="231F20"/>
        </w:rPr>
        <w:t>Los resultados que se muestran en la tabla 3, indican que el valor de la prueba </w:t>
      </w:r>
      <w:r>
        <w:rPr>
          <w:i/>
          <w:color w:val="231F20"/>
        </w:rPr>
        <w:t>F </w:t>
      </w:r>
      <w:r>
        <w:rPr>
          <w:color w:val="231F20"/>
        </w:rPr>
        <w:t>=</w:t>
      </w:r>
    </w:p>
    <w:p>
      <w:pPr>
        <w:pStyle w:val="BodyText"/>
        <w:spacing w:line="247" w:lineRule="auto" w:before="7"/>
        <w:ind w:left="1553" w:right="1550"/>
        <w:jc w:val="both"/>
      </w:pPr>
      <w:r>
        <w:rPr/>
        <w:pict>
          <v:shape style="position:absolute;margin-left:190.770996pt;margin-top:9.120164pt;width:1.8pt;height:6.45pt;mso-position-horizontal-relative:page;mso-position-vertical-relative:paragraph;z-index:-47944" type="#_x0000_t202" filled="false" stroked="false">
            <v:textbox inset="0,0,0,0">
              <w:txbxContent>
                <w:p>
                  <w:pPr>
                    <w:spacing w:line="128" w:lineRule="exact" w:before="0"/>
                    <w:ind w:left="0" w:right="0" w:firstLine="0"/>
                    <w:jc w:val="left"/>
                    <w:rPr>
                      <w:i/>
                      <w:sz w:val="13"/>
                    </w:rPr>
                  </w:pPr>
                  <w:r>
                    <w:rPr>
                      <w:i/>
                      <w:color w:val="231F20"/>
                      <w:w w:val="98"/>
                      <w:sz w:val="13"/>
                    </w:rPr>
                    <w:t>t</w:t>
                  </w:r>
                </w:p>
              </w:txbxContent>
            </v:textbox>
            <w10:wrap type="none"/>
          </v:shape>
        </w:pict>
      </w:r>
      <w:r>
        <w:rPr>
          <w:color w:val="231F20"/>
          <w:spacing w:val="-5"/>
        </w:rPr>
        <w:t>146.49 </w:t>
      </w:r>
      <w:r>
        <w:rPr>
          <w:color w:val="231F20"/>
        </w:rPr>
        <w:t>es mayor que</w:t>
      </w:r>
      <w:r>
        <w:rPr>
          <w:color w:val="231F20"/>
          <w:spacing w:val="2"/>
        </w:rPr>
        <w:t> </w:t>
      </w:r>
      <w:r>
        <w:rPr>
          <w:i/>
          <w:color w:val="231F20"/>
        </w:rPr>
        <w:t>F </w:t>
      </w:r>
      <w:r>
        <w:rPr>
          <w:color w:val="231F20"/>
          <w:spacing w:val="-3"/>
        </w:rPr>
        <w:t>=4.085, </w:t>
      </w:r>
      <w:r>
        <w:rPr>
          <w:color w:val="231F20"/>
        </w:rPr>
        <w:t>con </w:t>
      </w:r>
      <w:r>
        <w:rPr>
          <w:color w:val="231F20"/>
          <w:spacing w:val="2"/>
        </w:rPr>
        <w:t>un </w:t>
      </w:r>
      <w:r>
        <w:rPr>
          <w:color w:val="231F20"/>
        </w:rPr>
        <w:t>α= </w:t>
      </w:r>
      <w:r>
        <w:rPr>
          <w:color w:val="231F20"/>
          <w:spacing w:val="-4"/>
        </w:rPr>
        <w:t>0.05, </w:t>
      </w:r>
      <w:r>
        <w:rPr>
          <w:color w:val="231F20"/>
        </w:rPr>
        <w:t>por lo cual se rechaza la hipótesis nula; esto indica, que al menos una de las beta es distinta de cero. La regresión re- sultó significativa, indicando </w:t>
      </w:r>
      <w:r>
        <w:rPr>
          <w:color w:val="231F20"/>
          <w:spacing w:val="2"/>
        </w:rPr>
        <w:t>un </w:t>
      </w:r>
      <w:r>
        <w:rPr>
          <w:color w:val="231F20"/>
        </w:rPr>
        <w:t>poder altamente predictivo de la ecuación de re- gresión</w:t>
      </w:r>
      <w:r>
        <w:rPr>
          <w:color w:val="231F20"/>
          <w:spacing w:val="-8"/>
        </w:rPr>
        <w:t> </w:t>
      </w:r>
      <w:r>
        <w:rPr>
          <w:color w:val="231F20"/>
        </w:rPr>
        <w:t>estimada,</w:t>
      </w:r>
      <w:r>
        <w:rPr>
          <w:color w:val="231F20"/>
          <w:spacing w:val="-8"/>
        </w:rPr>
        <w:t> </w:t>
      </w:r>
      <w:r>
        <w:rPr>
          <w:color w:val="231F20"/>
        </w:rPr>
        <w:t>ya</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análisis</w:t>
      </w:r>
      <w:r>
        <w:rPr>
          <w:color w:val="231F20"/>
          <w:spacing w:val="-9"/>
        </w:rPr>
        <w:t> </w:t>
      </w:r>
      <w:r>
        <w:rPr>
          <w:color w:val="231F20"/>
        </w:rPr>
        <w:t>de</w:t>
      </w:r>
      <w:r>
        <w:rPr>
          <w:color w:val="231F20"/>
          <w:spacing w:val="-8"/>
        </w:rPr>
        <w:t> </w:t>
      </w:r>
      <w:r>
        <w:rPr>
          <w:color w:val="231F20"/>
        </w:rPr>
        <w:t>varianza</w:t>
      </w:r>
      <w:r>
        <w:rPr>
          <w:color w:val="231F20"/>
          <w:spacing w:val="-8"/>
        </w:rPr>
        <w:t> </w:t>
      </w:r>
      <w:r>
        <w:rPr>
          <w:color w:val="231F20"/>
        </w:rPr>
        <w:t>arrojó</w:t>
      </w:r>
      <w:r>
        <w:rPr>
          <w:color w:val="231F20"/>
          <w:spacing w:val="-8"/>
        </w:rPr>
        <w:t> </w:t>
      </w:r>
      <w:r>
        <w:rPr>
          <w:color w:val="231F20"/>
          <w:spacing w:val="2"/>
        </w:rPr>
        <w:t>un</w:t>
      </w:r>
      <w:r>
        <w:rPr>
          <w:color w:val="231F20"/>
          <w:spacing w:val="-10"/>
        </w:rPr>
        <w:t> </w:t>
      </w:r>
      <w:r>
        <w:rPr>
          <w:i/>
          <w:color w:val="231F20"/>
        </w:rPr>
        <w:t>R</w:t>
      </w:r>
      <w:r>
        <w:rPr>
          <w:i/>
          <w:color w:val="231F20"/>
          <w:position w:val="7"/>
          <w:sz w:val="13"/>
        </w:rPr>
        <w:t>2</w:t>
      </w:r>
      <w:r>
        <w:rPr>
          <w:i/>
          <w:color w:val="231F20"/>
          <w:spacing w:val="-6"/>
          <w:position w:val="7"/>
          <w:sz w:val="13"/>
        </w:rPr>
        <w:t> </w:t>
      </w:r>
      <w:r>
        <w:rPr>
          <w:color w:val="231F20"/>
        </w:rPr>
        <w:t>de</w:t>
      </w:r>
      <w:r>
        <w:rPr>
          <w:color w:val="231F20"/>
          <w:spacing w:val="-9"/>
        </w:rPr>
        <w:t> </w:t>
      </w:r>
      <w:r>
        <w:rPr>
          <w:color w:val="231F20"/>
          <w:spacing w:val="-7"/>
        </w:rPr>
        <w:t>0.785,</w:t>
      </w:r>
      <w:r>
        <w:rPr>
          <w:color w:val="231F20"/>
          <w:spacing w:val="-9"/>
        </w:rPr>
        <w:t> </w:t>
      </w:r>
      <w:r>
        <w:rPr>
          <w:color w:val="231F20"/>
        </w:rPr>
        <w:t>esto</w:t>
      </w:r>
      <w:r>
        <w:rPr>
          <w:color w:val="231F20"/>
          <w:spacing w:val="-9"/>
        </w:rPr>
        <w:t> </w:t>
      </w:r>
      <w:r>
        <w:rPr>
          <w:color w:val="231F20"/>
        </w:rPr>
        <w:t>indica</w:t>
      </w:r>
      <w:r>
        <w:rPr>
          <w:color w:val="231F20"/>
          <w:spacing w:val="-9"/>
        </w:rPr>
        <w:t> </w:t>
      </w:r>
      <w:r>
        <w:rPr>
          <w:color w:val="231F20"/>
        </w:rPr>
        <w:t>que el modelo del PIB se explicado por la IED en </w:t>
      </w:r>
      <w:r>
        <w:rPr>
          <w:color w:val="231F20"/>
          <w:spacing w:val="2"/>
        </w:rPr>
        <w:t>un </w:t>
      </w:r>
      <w:r>
        <w:rPr>
          <w:color w:val="231F20"/>
          <w:spacing w:val="-3"/>
        </w:rPr>
        <w:t>78.5%. </w:t>
      </w:r>
      <w:r>
        <w:rPr>
          <w:color w:val="231F20"/>
        </w:rPr>
        <w:t>La variable IED resultó significativa en el modelo con </w:t>
      </w:r>
      <w:r>
        <w:rPr>
          <w:color w:val="231F20"/>
          <w:spacing w:val="2"/>
        </w:rPr>
        <w:t>un </w:t>
      </w:r>
      <w:r>
        <w:rPr>
          <w:color w:val="231F20"/>
        </w:rPr>
        <w:t>valor de t de </w:t>
      </w:r>
      <w:r>
        <w:rPr>
          <w:color w:val="231F20"/>
          <w:spacing w:val="-7"/>
        </w:rPr>
        <w:t>12.10 </w:t>
      </w:r>
      <w:r>
        <w:rPr>
          <w:color w:val="231F20"/>
          <w:spacing w:val="-10"/>
        </w:rPr>
        <w:t>˃1. </w:t>
      </w:r>
      <w:r>
        <w:rPr>
          <w:color w:val="231F20"/>
        </w:rPr>
        <w:t>Los resultados obtenidos están</w:t>
      </w:r>
      <w:r>
        <w:rPr>
          <w:color w:val="231F20"/>
          <w:spacing w:val="-6"/>
        </w:rPr>
        <w:t> </w:t>
      </w:r>
      <w:r>
        <w:rPr>
          <w:color w:val="231F20"/>
        </w:rPr>
        <w:t>en</w:t>
      </w:r>
      <w:r>
        <w:rPr>
          <w:color w:val="231F20"/>
          <w:spacing w:val="-6"/>
        </w:rPr>
        <w:t> </w:t>
      </w:r>
      <w:r>
        <w:rPr>
          <w:color w:val="231F20"/>
        </w:rPr>
        <w:t>función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información</w:t>
      </w:r>
      <w:r>
        <w:rPr>
          <w:color w:val="231F20"/>
          <w:spacing w:val="-6"/>
        </w:rPr>
        <w:t> </w:t>
      </w:r>
      <w:r>
        <w:rPr>
          <w:color w:val="231F20"/>
        </w:rPr>
        <w:t>obtenida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fuentes</w:t>
      </w:r>
      <w:r>
        <w:rPr>
          <w:color w:val="231F20"/>
          <w:spacing w:val="-6"/>
        </w:rPr>
        <w:t> </w:t>
      </w:r>
      <w:r>
        <w:rPr>
          <w:color w:val="231F20"/>
        </w:rPr>
        <w:t>consultadas</w:t>
      </w:r>
      <w:r>
        <w:rPr>
          <w:color w:val="231F20"/>
          <w:spacing w:val="-6"/>
        </w:rPr>
        <w:t> </w:t>
      </w:r>
      <w:r>
        <w:rPr>
          <w:color w:val="231F20"/>
        </w:rPr>
        <w:t>y</w:t>
      </w:r>
      <w:r>
        <w:rPr>
          <w:color w:val="231F20"/>
          <w:spacing w:val="-6"/>
        </w:rPr>
        <w:t> </w:t>
      </w:r>
      <w:r>
        <w:rPr>
          <w:color w:val="231F20"/>
        </w:rPr>
        <w:t>del</w:t>
      </w:r>
      <w:r>
        <w:rPr>
          <w:color w:val="231F20"/>
          <w:spacing w:val="-6"/>
        </w:rPr>
        <w:t> </w:t>
      </w:r>
      <w:r>
        <w:rPr>
          <w:color w:val="231F20"/>
        </w:rPr>
        <w:t>periodo analizado.</w:t>
      </w:r>
    </w:p>
    <w:p>
      <w:pPr>
        <w:pStyle w:val="BodyText"/>
        <w:rPr>
          <w:sz w:val="20"/>
        </w:rPr>
      </w:pPr>
    </w:p>
    <w:p>
      <w:pPr>
        <w:pStyle w:val="BodyText"/>
        <w:rPr>
          <w:sz w:val="20"/>
        </w:rPr>
      </w:pPr>
    </w:p>
    <w:p>
      <w:pPr>
        <w:pStyle w:val="BodyText"/>
        <w:spacing w:before="8"/>
        <w:rPr>
          <w:sz w:val="26"/>
        </w:rPr>
      </w:pPr>
    </w:p>
    <w:p>
      <w:pPr>
        <w:spacing w:before="74"/>
        <w:ind w:left="1575" w:right="1575" w:firstLine="0"/>
        <w:jc w:val="center"/>
        <w:rPr>
          <w:sz w:val="20"/>
        </w:rPr>
      </w:pPr>
      <w:r>
        <w:rPr>
          <w:color w:val="231F20"/>
          <w:sz w:val="20"/>
        </w:rPr>
        <w:t>49</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1575" w:right="1575" w:firstLine="0"/>
        <w:jc w:val="center"/>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5"/>
        <w:rPr>
          <w:sz w:val="16"/>
        </w:rPr>
      </w:pPr>
    </w:p>
    <w:p>
      <w:pPr>
        <w:pStyle w:val="Heading5"/>
        <w:ind w:left="1575" w:right="1575"/>
      </w:pPr>
      <w:r>
        <w:rPr>
          <w:color w:val="231F20"/>
        </w:rPr>
        <w:t>Tabla 3. Análisis de varianza del PIB</w:t>
      </w:r>
    </w:p>
    <w:p>
      <w:pPr>
        <w:pStyle w:val="BodyText"/>
        <w:spacing w:before="2"/>
        <w:rPr>
          <w:b/>
          <w:sz w:val="19"/>
        </w:rPr>
      </w:pPr>
    </w:p>
    <w:tbl>
      <w:tblPr>
        <w:tblW w:w="0" w:type="auto"/>
        <w:jc w:val="left"/>
        <w:tblInd w:w="16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51"/>
        <w:gridCol w:w="406"/>
        <w:gridCol w:w="795"/>
        <w:gridCol w:w="402"/>
        <w:gridCol w:w="795"/>
        <w:gridCol w:w="460"/>
        <w:gridCol w:w="769"/>
        <w:gridCol w:w="1982"/>
      </w:tblGrid>
      <w:tr>
        <w:trPr>
          <w:trHeight w:val="298" w:hRule="exact"/>
        </w:trPr>
        <w:tc>
          <w:tcPr>
            <w:tcW w:w="2057" w:type="dxa"/>
            <w:gridSpan w:val="2"/>
            <w:tcBorders>
              <w:top w:val="single" w:sz="4" w:space="0" w:color="231F20"/>
            </w:tcBorders>
          </w:tcPr>
          <w:p>
            <w:pPr/>
          </w:p>
        </w:tc>
        <w:tc>
          <w:tcPr>
            <w:tcW w:w="1198" w:type="dxa"/>
            <w:gridSpan w:val="2"/>
            <w:tcBorders>
              <w:top w:val="single" w:sz="4" w:space="0" w:color="231F20"/>
            </w:tcBorders>
          </w:tcPr>
          <w:p>
            <w:pPr>
              <w:pStyle w:val="TableParagraph"/>
              <w:spacing w:before="36"/>
              <w:ind w:left="119"/>
              <w:rPr>
                <w:sz w:val="16"/>
              </w:rPr>
            </w:pPr>
            <w:r>
              <w:rPr>
                <w:color w:val="231F20"/>
                <w:sz w:val="16"/>
              </w:rPr>
              <w:t>Suma de</w:t>
            </w:r>
          </w:p>
        </w:tc>
        <w:tc>
          <w:tcPr>
            <w:tcW w:w="1255" w:type="dxa"/>
            <w:gridSpan w:val="2"/>
            <w:tcBorders>
              <w:top w:val="single" w:sz="4" w:space="0" w:color="231F20"/>
            </w:tcBorders>
          </w:tcPr>
          <w:p>
            <w:pPr>
              <w:pStyle w:val="TableParagraph"/>
              <w:spacing w:before="36"/>
              <w:ind w:left="207"/>
              <w:rPr>
                <w:sz w:val="16"/>
              </w:rPr>
            </w:pPr>
            <w:r>
              <w:rPr>
                <w:color w:val="231F20"/>
                <w:sz w:val="16"/>
              </w:rPr>
              <w:t>Cuadrado de</w:t>
            </w:r>
          </w:p>
        </w:tc>
        <w:tc>
          <w:tcPr>
            <w:tcW w:w="2751" w:type="dxa"/>
            <w:gridSpan w:val="2"/>
            <w:tcBorders>
              <w:top w:val="single" w:sz="4" w:space="0" w:color="231F20"/>
            </w:tcBorders>
          </w:tcPr>
          <w:p>
            <w:pPr/>
          </w:p>
        </w:tc>
      </w:tr>
      <w:tr>
        <w:trPr>
          <w:trHeight w:val="312" w:hRule="exact"/>
        </w:trPr>
        <w:tc>
          <w:tcPr>
            <w:tcW w:w="1651" w:type="dxa"/>
          </w:tcPr>
          <w:p>
            <w:pPr>
              <w:pStyle w:val="TableParagraph"/>
              <w:spacing w:before="55"/>
              <w:ind w:left="416"/>
              <w:rPr>
                <w:sz w:val="16"/>
              </w:rPr>
            </w:pPr>
            <w:r>
              <w:rPr>
                <w:color w:val="231F20"/>
                <w:sz w:val="16"/>
              </w:rPr>
              <w:t>Fuente</w:t>
            </w:r>
          </w:p>
        </w:tc>
        <w:tc>
          <w:tcPr>
            <w:tcW w:w="406" w:type="dxa"/>
          </w:tcPr>
          <w:p>
            <w:pPr>
              <w:pStyle w:val="TableParagraph"/>
              <w:spacing w:before="55"/>
              <w:ind w:right="109"/>
              <w:jc w:val="right"/>
              <w:rPr>
                <w:sz w:val="16"/>
              </w:rPr>
            </w:pPr>
            <w:r>
              <w:rPr>
                <w:color w:val="231F20"/>
                <w:sz w:val="16"/>
              </w:rPr>
              <w:t>DF</w:t>
            </w:r>
          </w:p>
        </w:tc>
        <w:tc>
          <w:tcPr>
            <w:tcW w:w="1198" w:type="dxa"/>
            <w:gridSpan w:val="2"/>
          </w:tcPr>
          <w:p>
            <w:pPr>
              <w:pStyle w:val="TableParagraph"/>
              <w:spacing w:before="55"/>
              <w:ind w:left="128"/>
              <w:rPr>
                <w:sz w:val="16"/>
              </w:rPr>
            </w:pPr>
            <w:r>
              <w:rPr>
                <w:color w:val="231F20"/>
                <w:sz w:val="16"/>
              </w:rPr>
              <w:t>cuadrados</w:t>
            </w:r>
          </w:p>
        </w:tc>
        <w:tc>
          <w:tcPr>
            <w:tcW w:w="1255" w:type="dxa"/>
            <w:gridSpan w:val="2"/>
          </w:tcPr>
          <w:p>
            <w:pPr>
              <w:pStyle w:val="TableParagraph"/>
              <w:spacing w:before="55"/>
              <w:ind w:left="326"/>
              <w:rPr>
                <w:sz w:val="16"/>
              </w:rPr>
            </w:pPr>
            <w:r>
              <w:rPr>
                <w:color w:val="231F20"/>
                <w:sz w:val="16"/>
              </w:rPr>
              <w:t>la media</w:t>
            </w:r>
          </w:p>
        </w:tc>
        <w:tc>
          <w:tcPr>
            <w:tcW w:w="769" w:type="dxa"/>
          </w:tcPr>
          <w:p>
            <w:pPr>
              <w:pStyle w:val="TableParagraph"/>
              <w:spacing w:before="55"/>
              <w:ind w:left="268" w:right="-5"/>
              <w:rPr>
                <w:sz w:val="16"/>
              </w:rPr>
            </w:pPr>
            <w:r>
              <w:rPr>
                <w:color w:val="231F20"/>
                <w:spacing w:val="-3"/>
                <w:sz w:val="16"/>
              </w:rPr>
              <w:t>F-Valor</w:t>
            </w:r>
          </w:p>
        </w:tc>
        <w:tc>
          <w:tcPr>
            <w:tcW w:w="1982" w:type="dxa"/>
          </w:tcPr>
          <w:p>
            <w:pPr>
              <w:pStyle w:val="TableParagraph"/>
              <w:spacing w:before="55"/>
              <w:ind w:left="510"/>
              <w:rPr>
                <w:sz w:val="16"/>
              </w:rPr>
            </w:pPr>
            <w:r>
              <w:rPr>
                <w:color w:val="231F20"/>
                <w:sz w:val="16"/>
              </w:rPr>
              <w:t>Pr &gt; F</w:t>
            </w:r>
          </w:p>
        </w:tc>
      </w:tr>
      <w:tr>
        <w:trPr>
          <w:trHeight w:val="312" w:hRule="exact"/>
        </w:trPr>
        <w:tc>
          <w:tcPr>
            <w:tcW w:w="1651" w:type="dxa"/>
          </w:tcPr>
          <w:p>
            <w:pPr>
              <w:pStyle w:val="TableParagraph"/>
              <w:spacing w:before="55"/>
              <w:ind w:left="416"/>
              <w:rPr>
                <w:sz w:val="16"/>
              </w:rPr>
            </w:pPr>
            <w:r>
              <w:rPr>
                <w:color w:val="231F20"/>
                <w:sz w:val="16"/>
              </w:rPr>
              <w:t>Modelo</w:t>
            </w:r>
          </w:p>
        </w:tc>
        <w:tc>
          <w:tcPr>
            <w:tcW w:w="406" w:type="dxa"/>
          </w:tcPr>
          <w:p>
            <w:pPr>
              <w:pStyle w:val="TableParagraph"/>
              <w:spacing w:before="55"/>
              <w:ind w:right="136"/>
              <w:jc w:val="right"/>
              <w:rPr>
                <w:sz w:val="16"/>
              </w:rPr>
            </w:pPr>
            <w:r>
              <w:rPr>
                <w:color w:val="231F20"/>
                <w:sz w:val="16"/>
              </w:rPr>
              <w:t>1</w:t>
            </w:r>
          </w:p>
        </w:tc>
        <w:tc>
          <w:tcPr>
            <w:tcW w:w="1198" w:type="dxa"/>
            <w:gridSpan w:val="2"/>
          </w:tcPr>
          <w:p>
            <w:pPr>
              <w:pStyle w:val="TableParagraph"/>
              <w:spacing w:before="55"/>
              <w:ind w:left="141"/>
              <w:rPr>
                <w:sz w:val="16"/>
              </w:rPr>
            </w:pPr>
            <w:r>
              <w:rPr>
                <w:color w:val="231F20"/>
                <w:sz w:val="16"/>
              </w:rPr>
              <w:t>1.3320231E14</w:t>
            </w:r>
          </w:p>
        </w:tc>
        <w:tc>
          <w:tcPr>
            <w:tcW w:w="1255" w:type="dxa"/>
            <w:gridSpan w:val="2"/>
          </w:tcPr>
          <w:p>
            <w:pPr>
              <w:pStyle w:val="TableParagraph"/>
              <w:spacing w:before="55"/>
              <w:ind w:left="123"/>
              <w:rPr>
                <w:sz w:val="16"/>
              </w:rPr>
            </w:pPr>
            <w:r>
              <w:rPr>
                <w:color w:val="231F20"/>
                <w:sz w:val="16"/>
              </w:rPr>
              <w:t>1.3320231E14</w:t>
            </w:r>
          </w:p>
        </w:tc>
        <w:tc>
          <w:tcPr>
            <w:tcW w:w="769" w:type="dxa"/>
          </w:tcPr>
          <w:p>
            <w:pPr>
              <w:pStyle w:val="TableParagraph"/>
              <w:spacing w:before="55"/>
              <w:ind w:left="128" w:right="-5"/>
              <w:rPr>
                <w:sz w:val="16"/>
              </w:rPr>
            </w:pPr>
            <w:r>
              <w:rPr>
                <w:color w:val="231F20"/>
                <w:sz w:val="16"/>
              </w:rPr>
              <w:t>146.49</w:t>
            </w:r>
          </w:p>
        </w:tc>
        <w:tc>
          <w:tcPr>
            <w:tcW w:w="1982" w:type="dxa"/>
          </w:tcPr>
          <w:p>
            <w:pPr>
              <w:pStyle w:val="TableParagraph"/>
              <w:spacing w:before="55"/>
              <w:ind w:left="311"/>
              <w:rPr>
                <w:sz w:val="16"/>
              </w:rPr>
            </w:pPr>
            <w:r>
              <w:rPr>
                <w:color w:val="231F20"/>
                <w:sz w:val="16"/>
              </w:rPr>
              <w:t>&lt;0.0001</w:t>
            </w:r>
          </w:p>
        </w:tc>
      </w:tr>
      <w:tr>
        <w:trPr>
          <w:trHeight w:val="312" w:hRule="exact"/>
        </w:trPr>
        <w:tc>
          <w:tcPr>
            <w:tcW w:w="1651" w:type="dxa"/>
          </w:tcPr>
          <w:p>
            <w:pPr>
              <w:pStyle w:val="TableParagraph"/>
              <w:spacing w:before="55"/>
              <w:ind w:left="416"/>
              <w:rPr>
                <w:sz w:val="16"/>
              </w:rPr>
            </w:pPr>
            <w:r>
              <w:rPr>
                <w:color w:val="231F20"/>
                <w:sz w:val="16"/>
              </w:rPr>
              <w:t>Error</w:t>
            </w:r>
          </w:p>
        </w:tc>
        <w:tc>
          <w:tcPr>
            <w:tcW w:w="406" w:type="dxa"/>
          </w:tcPr>
          <w:p>
            <w:pPr>
              <w:pStyle w:val="TableParagraph"/>
              <w:spacing w:before="55"/>
              <w:ind w:right="125"/>
              <w:jc w:val="right"/>
              <w:rPr>
                <w:sz w:val="16"/>
              </w:rPr>
            </w:pPr>
            <w:r>
              <w:rPr>
                <w:color w:val="231F20"/>
                <w:sz w:val="16"/>
              </w:rPr>
              <w:t>40</w:t>
            </w:r>
          </w:p>
        </w:tc>
        <w:tc>
          <w:tcPr>
            <w:tcW w:w="1198" w:type="dxa"/>
            <w:gridSpan w:val="2"/>
          </w:tcPr>
          <w:p>
            <w:pPr>
              <w:pStyle w:val="TableParagraph"/>
              <w:spacing w:before="55"/>
              <w:ind w:left="152"/>
              <w:rPr>
                <w:sz w:val="16"/>
              </w:rPr>
            </w:pPr>
            <w:r>
              <w:rPr>
                <w:color w:val="231F20"/>
                <w:sz w:val="16"/>
              </w:rPr>
              <w:t>3.6372027E13</w:t>
            </w:r>
          </w:p>
        </w:tc>
        <w:tc>
          <w:tcPr>
            <w:tcW w:w="1255" w:type="dxa"/>
            <w:gridSpan w:val="2"/>
          </w:tcPr>
          <w:p>
            <w:pPr>
              <w:pStyle w:val="TableParagraph"/>
              <w:spacing w:before="55"/>
              <w:ind w:left="156"/>
              <w:rPr>
                <w:sz w:val="16"/>
              </w:rPr>
            </w:pPr>
            <w:r>
              <w:rPr>
                <w:color w:val="231F20"/>
                <w:sz w:val="16"/>
              </w:rPr>
              <w:t>909300666933</w:t>
            </w:r>
          </w:p>
        </w:tc>
        <w:tc>
          <w:tcPr>
            <w:tcW w:w="769" w:type="dxa"/>
          </w:tcPr>
          <w:p>
            <w:pPr/>
          </w:p>
        </w:tc>
        <w:tc>
          <w:tcPr>
            <w:tcW w:w="1982" w:type="dxa"/>
          </w:tcPr>
          <w:p>
            <w:pPr/>
          </w:p>
        </w:tc>
      </w:tr>
      <w:tr>
        <w:trPr>
          <w:trHeight w:val="236" w:hRule="exact"/>
        </w:trPr>
        <w:tc>
          <w:tcPr>
            <w:tcW w:w="1651" w:type="dxa"/>
          </w:tcPr>
          <w:p>
            <w:pPr>
              <w:pStyle w:val="TableParagraph"/>
              <w:spacing w:before="55"/>
              <w:ind w:left="416"/>
              <w:rPr>
                <w:sz w:val="16"/>
              </w:rPr>
            </w:pPr>
            <w:r>
              <w:rPr>
                <w:color w:val="231F20"/>
                <w:sz w:val="16"/>
              </w:rPr>
              <w:t>Total correcto</w:t>
            </w:r>
          </w:p>
        </w:tc>
        <w:tc>
          <w:tcPr>
            <w:tcW w:w="406" w:type="dxa"/>
          </w:tcPr>
          <w:p>
            <w:pPr>
              <w:pStyle w:val="TableParagraph"/>
              <w:spacing w:before="55"/>
              <w:ind w:right="126"/>
              <w:jc w:val="right"/>
              <w:rPr>
                <w:sz w:val="16"/>
              </w:rPr>
            </w:pPr>
            <w:r>
              <w:rPr>
                <w:color w:val="231F20"/>
                <w:sz w:val="16"/>
              </w:rPr>
              <w:t>41</w:t>
            </w:r>
          </w:p>
        </w:tc>
        <w:tc>
          <w:tcPr>
            <w:tcW w:w="1198" w:type="dxa"/>
            <w:gridSpan w:val="2"/>
          </w:tcPr>
          <w:p>
            <w:pPr>
              <w:pStyle w:val="TableParagraph"/>
              <w:spacing w:before="55"/>
              <w:ind w:left="111"/>
              <w:rPr>
                <w:sz w:val="16"/>
              </w:rPr>
            </w:pPr>
            <w:r>
              <w:rPr>
                <w:color w:val="231F20"/>
                <w:sz w:val="16"/>
              </w:rPr>
              <w:t>1.6957434E14</w:t>
            </w:r>
          </w:p>
        </w:tc>
        <w:tc>
          <w:tcPr>
            <w:tcW w:w="1255" w:type="dxa"/>
            <w:gridSpan w:val="2"/>
          </w:tcPr>
          <w:p>
            <w:pPr/>
          </w:p>
        </w:tc>
        <w:tc>
          <w:tcPr>
            <w:tcW w:w="769" w:type="dxa"/>
          </w:tcPr>
          <w:p>
            <w:pPr/>
          </w:p>
        </w:tc>
        <w:tc>
          <w:tcPr>
            <w:tcW w:w="1982" w:type="dxa"/>
          </w:tcPr>
          <w:p>
            <w:pPr/>
          </w:p>
        </w:tc>
      </w:tr>
      <w:tr>
        <w:trPr>
          <w:trHeight w:val="1088" w:hRule="exact"/>
        </w:trPr>
        <w:tc>
          <w:tcPr>
            <w:tcW w:w="7261" w:type="dxa"/>
            <w:gridSpan w:val="8"/>
          </w:tcPr>
          <w:p>
            <w:pPr>
              <w:pStyle w:val="TableParagraph"/>
              <w:spacing w:before="0"/>
              <w:rPr>
                <w:b/>
                <w:sz w:val="16"/>
              </w:rPr>
            </w:pPr>
          </w:p>
          <w:p>
            <w:pPr>
              <w:pStyle w:val="TableParagraph"/>
              <w:spacing w:before="6"/>
              <w:rPr>
                <w:b/>
                <w:sz w:val="22"/>
              </w:rPr>
            </w:pPr>
          </w:p>
          <w:p>
            <w:pPr>
              <w:pStyle w:val="TableParagraph"/>
              <w:tabs>
                <w:tab w:pos="1011" w:val="left" w:leader="none"/>
              </w:tabs>
              <w:spacing w:before="0"/>
              <w:ind w:right="525"/>
              <w:jc w:val="center"/>
              <w:rPr>
                <w:sz w:val="16"/>
              </w:rPr>
            </w:pPr>
            <w:r>
              <w:rPr>
                <w:color w:val="231F20"/>
                <w:sz w:val="16"/>
              </w:rPr>
              <w:t>R-cuadrado</w:t>
              <w:tab/>
            </w:r>
            <w:r>
              <w:rPr>
                <w:color w:val="231F20"/>
                <w:spacing w:val="-5"/>
                <w:sz w:val="16"/>
              </w:rPr>
              <w:t>0.785510</w:t>
            </w:r>
          </w:p>
        </w:tc>
      </w:tr>
      <w:tr>
        <w:trPr>
          <w:trHeight w:val="236" w:hRule="exact"/>
        </w:trPr>
        <w:tc>
          <w:tcPr>
            <w:tcW w:w="1651" w:type="dxa"/>
          </w:tcPr>
          <w:p>
            <w:pPr/>
          </w:p>
        </w:tc>
        <w:tc>
          <w:tcPr>
            <w:tcW w:w="1201" w:type="dxa"/>
            <w:gridSpan w:val="2"/>
          </w:tcPr>
          <w:p>
            <w:pPr/>
          </w:p>
        </w:tc>
        <w:tc>
          <w:tcPr>
            <w:tcW w:w="1198" w:type="dxa"/>
            <w:gridSpan w:val="2"/>
          </w:tcPr>
          <w:p>
            <w:pPr>
              <w:pStyle w:val="TableParagraph"/>
              <w:spacing w:line="163" w:lineRule="exact" w:before="0"/>
              <w:ind w:left="284"/>
              <w:rPr>
                <w:sz w:val="16"/>
              </w:rPr>
            </w:pPr>
            <w:r>
              <w:rPr>
                <w:color w:val="231F20"/>
                <w:sz w:val="16"/>
              </w:rPr>
              <w:t>Error</w:t>
            </w:r>
          </w:p>
        </w:tc>
        <w:tc>
          <w:tcPr>
            <w:tcW w:w="1229" w:type="dxa"/>
            <w:gridSpan w:val="2"/>
          </w:tcPr>
          <w:p>
            <w:pPr/>
          </w:p>
        </w:tc>
        <w:tc>
          <w:tcPr>
            <w:tcW w:w="1982" w:type="dxa"/>
          </w:tcPr>
          <w:p>
            <w:pPr/>
          </w:p>
        </w:tc>
      </w:tr>
      <w:tr>
        <w:trPr>
          <w:trHeight w:val="312" w:hRule="exact"/>
        </w:trPr>
        <w:tc>
          <w:tcPr>
            <w:tcW w:w="1651" w:type="dxa"/>
          </w:tcPr>
          <w:p>
            <w:pPr>
              <w:pStyle w:val="TableParagraph"/>
              <w:spacing w:before="55"/>
              <w:ind w:left="776"/>
              <w:rPr>
                <w:sz w:val="16"/>
              </w:rPr>
            </w:pPr>
            <w:r>
              <w:rPr>
                <w:color w:val="231F20"/>
                <w:sz w:val="16"/>
              </w:rPr>
              <w:t>Parámetro</w:t>
            </w:r>
          </w:p>
        </w:tc>
        <w:tc>
          <w:tcPr>
            <w:tcW w:w="1201" w:type="dxa"/>
            <w:gridSpan w:val="2"/>
          </w:tcPr>
          <w:p>
            <w:pPr>
              <w:pStyle w:val="TableParagraph"/>
              <w:spacing w:before="55"/>
              <w:ind w:left="286"/>
              <w:rPr>
                <w:sz w:val="16"/>
              </w:rPr>
            </w:pPr>
            <w:r>
              <w:rPr>
                <w:color w:val="231F20"/>
                <w:sz w:val="16"/>
              </w:rPr>
              <w:t>Estimación</w:t>
            </w:r>
          </w:p>
        </w:tc>
        <w:tc>
          <w:tcPr>
            <w:tcW w:w="1198" w:type="dxa"/>
            <w:gridSpan w:val="2"/>
          </w:tcPr>
          <w:p>
            <w:pPr>
              <w:pStyle w:val="TableParagraph"/>
              <w:spacing w:before="55"/>
              <w:ind w:left="227"/>
              <w:rPr>
                <w:sz w:val="16"/>
              </w:rPr>
            </w:pPr>
            <w:r>
              <w:rPr>
                <w:color w:val="231F20"/>
                <w:sz w:val="16"/>
              </w:rPr>
              <w:t>estándar</w:t>
            </w:r>
          </w:p>
        </w:tc>
        <w:tc>
          <w:tcPr>
            <w:tcW w:w="1229" w:type="dxa"/>
            <w:gridSpan w:val="2"/>
          </w:tcPr>
          <w:p>
            <w:pPr>
              <w:pStyle w:val="TableParagraph"/>
              <w:spacing w:before="55"/>
              <w:ind w:left="267"/>
              <w:rPr>
                <w:sz w:val="16"/>
              </w:rPr>
            </w:pPr>
            <w:r>
              <w:rPr>
                <w:color w:val="231F20"/>
                <w:sz w:val="16"/>
              </w:rPr>
              <w:t>Valor t</w:t>
            </w:r>
          </w:p>
        </w:tc>
        <w:tc>
          <w:tcPr>
            <w:tcW w:w="1982" w:type="dxa"/>
          </w:tcPr>
          <w:p>
            <w:pPr>
              <w:pStyle w:val="TableParagraph"/>
              <w:spacing w:before="55"/>
              <w:ind w:left="161"/>
              <w:rPr>
                <w:sz w:val="16"/>
              </w:rPr>
            </w:pPr>
            <w:r>
              <w:rPr>
                <w:color w:val="231F20"/>
                <w:sz w:val="16"/>
              </w:rPr>
              <w:t>Pr &gt; |t|</w:t>
            </w:r>
          </w:p>
        </w:tc>
      </w:tr>
      <w:tr>
        <w:trPr>
          <w:trHeight w:val="312" w:hRule="exact"/>
        </w:trPr>
        <w:tc>
          <w:tcPr>
            <w:tcW w:w="1651" w:type="dxa"/>
          </w:tcPr>
          <w:p>
            <w:pPr>
              <w:pStyle w:val="TableParagraph"/>
              <w:spacing w:before="55"/>
              <w:ind w:left="736"/>
              <w:rPr>
                <w:sz w:val="16"/>
              </w:rPr>
            </w:pPr>
            <w:r>
              <w:rPr>
                <w:color w:val="231F20"/>
                <w:sz w:val="16"/>
              </w:rPr>
              <w:t>Intercepción</w:t>
            </w:r>
          </w:p>
        </w:tc>
        <w:tc>
          <w:tcPr>
            <w:tcW w:w="1201" w:type="dxa"/>
            <w:gridSpan w:val="2"/>
          </w:tcPr>
          <w:p>
            <w:pPr>
              <w:pStyle w:val="TableParagraph"/>
              <w:spacing w:before="55"/>
              <w:ind w:left="230"/>
              <w:rPr>
                <w:sz w:val="16"/>
              </w:rPr>
            </w:pPr>
            <w:r>
              <w:rPr>
                <w:color w:val="231F20"/>
                <w:sz w:val="16"/>
              </w:rPr>
              <w:t>4045517.920</w:t>
            </w:r>
          </w:p>
        </w:tc>
        <w:tc>
          <w:tcPr>
            <w:tcW w:w="1198" w:type="dxa"/>
            <w:gridSpan w:val="2"/>
          </w:tcPr>
          <w:p>
            <w:pPr>
              <w:pStyle w:val="TableParagraph"/>
              <w:spacing w:before="55"/>
              <w:ind w:left="159"/>
              <w:rPr>
                <w:sz w:val="16"/>
              </w:rPr>
            </w:pPr>
            <w:r>
              <w:rPr>
                <w:color w:val="231F20"/>
                <w:sz w:val="16"/>
              </w:rPr>
              <w:t>208403.1217</w:t>
            </w:r>
          </w:p>
        </w:tc>
        <w:tc>
          <w:tcPr>
            <w:tcW w:w="1229" w:type="dxa"/>
            <w:gridSpan w:val="2"/>
          </w:tcPr>
          <w:p>
            <w:pPr>
              <w:pStyle w:val="TableParagraph"/>
              <w:spacing w:before="55"/>
              <w:ind w:left="219"/>
              <w:rPr>
                <w:sz w:val="16"/>
              </w:rPr>
            </w:pPr>
            <w:r>
              <w:rPr>
                <w:color w:val="231F20"/>
                <w:sz w:val="16"/>
              </w:rPr>
              <w:t>19.41</w:t>
            </w:r>
          </w:p>
        </w:tc>
        <w:tc>
          <w:tcPr>
            <w:tcW w:w="1982" w:type="dxa"/>
          </w:tcPr>
          <w:p>
            <w:pPr>
              <w:pStyle w:val="TableParagraph"/>
              <w:spacing w:before="55"/>
              <w:ind w:left="9"/>
              <w:rPr>
                <w:sz w:val="16"/>
              </w:rPr>
            </w:pPr>
            <w:r>
              <w:rPr>
                <w:color w:val="231F20"/>
                <w:sz w:val="16"/>
              </w:rPr>
              <w:t>&lt; 0.0001</w:t>
            </w:r>
          </w:p>
        </w:tc>
      </w:tr>
      <w:tr>
        <w:trPr>
          <w:trHeight w:val="284" w:hRule="exact"/>
        </w:trPr>
        <w:tc>
          <w:tcPr>
            <w:tcW w:w="1651" w:type="dxa"/>
            <w:tcBorders>
              <w:bottom w:val="single" w:sz="4" w:space="0" w:color="231F20"/>
            </w:tcBorders>
          </w:tcPr>
          <w:p>
            <w:pPr>
              <w:pStyle w:val="TableParagraph"/>
              <w:spacing w:before="55"/>
              <w:ind w:left="759" w:right="566"/>
              <w:jc w:val="center"/>
              <w:rPr>
                <w:b/>
                <w:sz w:val="16"/>
              </w:rPr>
            </w:pPr>
            <w:r>
              <w:rPr>
                <w:b/>
                <w:color w:val="231F20"/>
                <w:sz w:val="16"/>
              </w:rPr>
              <w:t>IED</w:t>
            </w:r>
          </w:p>
        </w:tc>
        <w:tc>
          <w:tcPr>
            <w:tcW w:w="1201" w:type="dxa"/>
            <w:gridSpan w:val="2"/>
            <w:tcBorders>
              <w:bottom w:val="single" w:sz="4" w:space="0" w:color="231F20"/>
            </w:tcBorders>
          </w:tcPr>
          <w:p>
            <w:pPr>
              <w:pStyle w:val="TableParagraph"/>
              <w:spacing w:before="55"/>
              <w:ind w:left="256"/>
              <w:rPr>
                <w:b/>
                <w:sz w:val="16"/>
              </w:rPr>
            </w:pPr>
            <w:r>
              <w:rPr>
                <w:b/>
                <w:color w:val="231F20"/>
                <w:sz w:val="16"/>
              </w:rPr>
              <w:t>184.121</w:t>
            </w:r>
          </w:p>
        </w:tc>
        <w:tc>
          <w:tcPr>
            <w:tcW w:w="1198" w:type="dxa"/>
            <w:gridSpan w:val="2"/>
            <w:tcBorders>
              <w:bottom w:val="single" w:sz="4" w:space="0" w:color="231F20"/>
            </w:tcBorders>
          </w:tcPr>
          <w:p>
            <w:pPr>
              <w:pStyle w:val="TableParagraph"/>
              <w:spacing w:before="55"/>
              <w:ind w:left="215"/>
              <w:rPr>
                <w:b/>
                <w:sz w:val="16"/>
              </w:rPr>
            </w:pPr>
            <w:r>
              <w:rPr>
                <w:b/>
                <w:color w:val="231F20"/>
                <w:sz w:val="16"/>
              </w:rPr>
              <w:t>15.2126</w:t>
            </w:r>
          </w:p>
        </w:tc>
        <w:tc>
          <w:tcPr>
            <w:tcW w:w="1229" w:type="dxa"/>
            <w:gridSpan w:val="2"/>
            <w:tcBorders>
              <w:bottom w:val="single" w:sz="4" w:space="0" w:color="231F20"/>
            </w:tcBorders>
          </w:tcPr>
          <w:p>
            <w:pPr>
              <w:pStyle w:val="TableParagraph"/>
              <w:spacing w:before="55"/>
              <w:ind w:left="261"/>
              <w:rPr>
                <w:b/>
                <w:sz w:val="16"/>
              </w:rPr>
            </w:pPr>
            <w:r>
              <w:rPr>
                <w:b/>
                <w:color w:val="231F20"/>
                <w:sz w:val="16"/>
              </w:rPr>
              <w:t>12.10</w:t>
            </w:r>
          </w:p>
        </w:tc>
        <w:tc>
          <w:tcPr>
            <w:tcW w:w="1982" w:type="dxa"/>
            <w:tcBorders>
              <w:bottom w:val="single" w:sz="4" w:space="0" w:color="231F20"/>
            </w:tcBorders>
          </w:tcPr>
          <w:p>
            <w:pPr>
              <w:pStyle w:val="TableParagraph"/>
              <w:spacing w:before="55"/>
              <w:ind w:left="72"/>
              <w:rPr>
                <w:b/>
                <w:sz w:val="16"/>
              </w:rPr>
            </w:pPr>
            <w:r>
              <w:rPr>
                <w:b/>
                <w:color w:val="231F20"/>
                <w:sz w:val="16"/>
              </w:rPr>
              <w:t>&lt;0.0001</w:t>
            </w:r>
          </w:p>
        </w:tc>
      </w:tr>
    </w:tbl>
    <w:p>
      <w:pPr>
        <w:spacing w:before="23"/>
        <w:ind w:left="1553" w:right="0" w:firstLine="0"/>
        <w:jc w:val="both"/>
        <w:rPr>
          <w:sz w:val="18"/>
        </w:rPr>
      </w:pPr>
      <w:r>
        <w:rPr/>
        <w:pict>
          <v:line style="position:absolute;mso-position-horizontal-relative:page;mso-position-vertical-relative:paragraph;z-index:-47920" from="80.422997pt,-.782661pt" to="80.422997pt,-185.408661pt" stroked="true" strokeweight=".5pt" strokecolor="#231f20">
            <w10:wrap type="none"/>
          </v:line>
        </w:pict>
      </w:r>
      <w:r>
        <w:rPr/>
        <w:pict>
          <v:line style="position:absolute;mso-position-horizontal-relative:page;mso-position-vertical-relative:paragraph;z-index:-47896" from="443.46701pt,-.782661pt" to="443.46701pt,-185.408661pt" stroked="true" strokeweight=".5pt" strokecolor="#231f20">
            <w10:wrap type="none"/>
          </v:line>
        </w:pict>
      </w:r>
      <w:r>
        <w:rPr>
          <w:color w:val="231F20"/>
          <w:sz w:val="18"/>
        </w:rPr>
        <w:t>Fuente: Salidas del paquete estadístico SAS.</w:t>
      </w:r>
    </w:p>
    <w:p>
      <w:pPr>
        <w:pStyle w:val="BodyText"/>
        <w:rPr>
          <w:sz w:val="18"/>
        </w:rPr>
      </w:pPr>
    </w:p>
    <w:p>
      <w:pPr>
        <w:pStyle w:val="BodyText"/>
        <w:spacing w:before="3"/>
        <w:rPr>
          <w:sz w:val="25"/>
        </w:rPr>
      </w:pPr>
    </w:p>
    <w:p>
      <w:pPr>
        <w:pStyle w:val="Heading2"/>
        <w:spacing w:before="1"/>
      </w:pPr>
      <w:r>
        <w:rPr>
          <w:color w:val="231F20"/>
        </w:rPr>
        <w:t>Resultados Económicos</w:t>
      </w:r>
    </w:p>
    <w:p>
      <w:pPr>
        <w:pStyle w:val="BodyText"/>
        <w:spacing w:before="8"/>
        <w:rPr>
          <w:b/>
          <w:sz w:val="20"/>
        </w:rPr>
      </w:pPr>
    </w:p>
    <w:p>
      <w:pPr>
        <w:pStyle w:val="BodyText"/>
        <w:spacing w:line="247" w:lineRule="auto"/>
        <w:ind w:left="1553" w:right="1549"/>
        <w:jc w:val="both"/>
      </w:pPr>
      <w:r>
        <w:rPr>
          <w:color w:val="231F20"/>
        </w:rPr>
        <w:t>De acuerdo con los parámetros estimados a </w:t>
      </w:r>
      <w:r>
        <w:rPr>
          <w:color w:val="231F20"/>
          <w:spacing w:val="2"/>
        </w:rPr>
        <w:t>partir </w:t>
      </w:r>
      <w:r>
        <w:rPr>
          <w:color w:val="231F20"/>
        </w:rPr>
        <w:t>del modelo, existe una relación directa entre el PIB y la IED, lo que concuerda con la teoría económica; es decir, el signo</w:t>
      </w:r>
      <w:r>
        <w:rPr>
          <w:color w:val="231F20"/>
          <w:spacing w:val="-4"/>
        </w:rPr>
        <w:t> </w:t>
      </w:r>
      <w:r>
        <w:rPr>
          <w:color w:val="231F20"/>
        </w:rPr>
        <w:t>obtenido</w:t>
      </w:r>
      <w:r>
        <w:rPr>
          <w:color w:val="231F20"/>
          <w:spacing w:val="-4"/>
        </w:rPr>
        <w:t> </w:t>
      </w:r>
      <w:r>
        <w:rPr>
          <w:color w:val="231F20"/>
        </w:rPr>
        <w:t>indica</w:t>
      </w:r>
      <w:r>
        <w:rPr>
          <w:color w:val="231F20"/>
          <w:spacing w:val="-4"/>
        </w:rPr>
        <w:t> </w:t>
      </w:r>
      <w:r>
        <w:rPr>
          <w:color w:val="231F20"/>
          <w:spacing w:val="2"/>
        </w:rPr>
        <w:t>un</w:t>
      </w:r>
      <w:r>
        <w:rPr>
          <w:color w:val="231F20"/>
          <w:spacing w:val="-4"/>
        </w:rPr>
        <w:t> </w:t>
      </w:r>
      <w:r>
        <w:rPr>
          <w:color w:val="231F20"/>
        </w:rPr>
        <w:t>efecto</w:t>
      </w:r>
      <w:r>
        <w:rPr>
          <w:color w:val="231F20"/>
          <w:spacing w:val="-4"/>
        </w:rPr>
        <w:t> </w:t>
      </w:r>
      <w:r>
        <w:rPr>
          <w:color w:val="231F20"/>
        </w:rPr>
        <w:t>positivo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IED</w:t>
      </w:r>
      <w:r>
        <w:rPr>
          <w:color w:val="231F20"/>
          <w:spacing w:val="-4"/>
        </w:rPr>
        <w:t> </w:t>
      </w:r>
      <w:r>
        <w:rPr>
          <w:color w:val="231F20"/>
        </w:rPr>
        <w:t>sobre</w:t>
      </w:r>
      <w:r>
        <w:rPr>
          <w:color w:val="231F20"/>
          <w:spacing w:val="-4"/>
        </w:rPr>
        <w:t> </w:t>
      </w:r>
      <w:r>
        <w:rPr>
          <w:color w:val="231F20"/>
        </w:rPr>
        <w:t>la</w:t>
      </w:r>
      <w:r>
        <w:rPr>
          <w:color w:val="231F20"/>
          <w:spacing w:val="-4"/>
        </w:rPr>
        <w:t> </w:t>
      </w:r>
      <w:r>
        <w:rPr>
          <w:color w:val="231F20"/>
        </w:rPr>
        <w:t>Economía</w:t>
      </w:r>
      <w:r>
        <w:rPr>
          <w:color w:val="231F20"/>
          <w:spacing w:val="-4"/>
        </w:rPr>
        <w:t> </w:t>
      </w:r>
      <w:r>
        <w:rPr>
          <w:color w:val="231F20"/>
        </w:rPr>
        <w:t>mexicana</w:t>
      </w:r>
      <w:r>
        <w:rPr>
          <w:color w:val="231F20"/>
          <w:spacing w:val="-4"/>
        </w:rPr>
        <w:t> </w:t>
      </w:r>
      <w:r>
        <w:rPr>
          <w:color w:val="231F20"/>
        </w:rPr>
        <w:t>a</w:t>
      </w:r>
      <w:r>
        <w:rPr>
          <w:color w:val="231F20"/>
          <w:spacing w:val="-4"/>
        </w:rPr>
        <w:t> </w:t>
      </w:r>
      <w:r>
        <w:rPr>
          <w:color w:val="231F20"/>
        </w:rPr>
        <w:t>lo largo del período que comprende el estudio, </w:t>
      </w:r>
      <w:r>
        <w:rPr>
          <w:color w:val="231F20"/>
          <w:spacing w:val="-5"/>
        </w:rPr>
        <w:t>1970-2012; </w:t>
      </w:r>
      <w:r>
        <w:rPr>
          <w:color w:val="231F20"/>
        </w:rPr>
        <w:t>esto es, al aumentar los flu- jos de IED a México, el PIB se incrementa. Aunque en el crecimiento económico puedan</w:t>
      </w:r>
      <w:r>
        <w:rPr>
          <w:color w:val="231F20"/>
          <w:spacing w:val="-5"/>
        </w:rPr>
        <w:t> </w:t>
      </w:r>
      <w:r>
        <w:rPr>
          <w:color w:val="231F20"/>
        </w:rPr>
        <w:t>influir</w:t>
      </w:r>
      <w:r>
        <w:rPr>
          <w:color w:val="231F20"/>
          <w:spacing w:val="-5"/>
        </w:rPr>
        <w:t> </w:t>
      </w:r>
      <w:r>
        <w:rPr>
          <w:color w:val="231F20"/>
        </w:rPr>
        <w:t>diversos</w:t>
      </w:r>
      <w:r>
        <w:rPr>
          <w:color w:val="231F20"/>
          <w:spacing w:val="-5"/>
        </w:rPr>
        <w:t> </w:t>
      </w:r>
      <w:r>
        <w:rPr>
          <w:color w:val="231F20"/>
        </w:rPr>
        <w:t>elementos</w:t>
      </w:r>
      <w:r>
        <w:rPr>
          <w:color w:val="231F20"/>
          <w:spacing w:val="-5"/>
        </w:rPr>
        <w:t> </w:t>
      </w:r>
      <w:r>
        <w:rPr>
          <w:color w:val="231F20"/>
        </w:rPr>
        <w:t>como</w:t>
      </w:r>
      <w:r>
        <w:rPr>
          <w:color w:val="231F20"/>
          <w:spacing w:val="-5"/>
        </w:rPr>
        <w:t> </w:t>
      </w:r>
      <w:r>
        <w:rPr>
          <w:color w:val="231F20"/>
          <w:spacing w:val="2"/>
        </w:rPr>
        <w:t>un</w:t>
      </w:r>
      <w:r>
        <w:rPr>
          <w:color w:val="231F20"/>
          <w:spacing w:val="-5"/>
        </w:rPr>
        <w:t> </w:t>
      </w:r>
      <w:r>
        <w:rPr>
          <w:color w:val="231F20"/>
        </w:rPr>
        <w:t>aumento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consumo,</w:t>
      </w:r>
      <w:r>
        <w:rPr>
          <w:color w:val="231F20"/>
          <w:spacing w:val="-5"/>
        </w:rPr>
        <w:t> </w:t>
      </w:r>
      <w:r>
        <w:rPr>
          <w:color w:val="231F20"/>
        </w:rPr>
        <w:t>por</w:t>
      </w:r>
      <w:r>
        <w:rPr>
          <w:color w:val="231F20"/>
          <w:spacing w:val="-5"/>
        </w:rPr>
        <w:t> </w:t>
      </w:r>
      <w:r>
        <w:rPr>
          <w:color w:val="231F20"/>
        </w:rPr>
        <w:t>que</w:t>
      </w:r>
      <w:r>
        <w:rPr>
          <w:color w:val="231F20"/>
          <w:spacing w:val="-5"/>
        </w:rPr>
        <w:t> </w:t>
      </w:r>
      <w:r>
        <w:rPr>
          <w:color w:val="231F20"/>
        </w:rPr>
        <w:t>existan mayores</w:t>
      </w:r>
      <w:r>
        <w:rPr>
          <w:color w:val="231F20"/>
          <w:spacing w:val="-10"/>
        </w:rPr>
        <w:t> </w:t>
      </w:r>
      <w:r>
        <w:rPr>
          <w:color w:val="231F20"/>
        </w:rPr>
        <w:t>gastos</w:t>
      </w:r>
      <w:r>
        <w:rPr>
          <w:color w:val="231F20"/>
          <w:spacing w:val="-10"/>
        </w:rPr>
        <w:t> </w:t>
      </w:r>
      <w:r>
        <w:rPr>
          <w:color w:val="231F20"/>
        </w:rPr>
        <w:t>en</w:t>
      </w:r>
      <w:r>
        <w:rPr>
          <w:color w:val="231F20"/>
          <w:spacing w:val="-10"/>
        </w:rPr>
        <w:t> </w:t>
      </w:r>
      <w:r>
        <w:rPr>
          <w:color w:val="231F20"/>
          <w:spacing w:val="2"/>
        </w:rPr>
        <w:t>infraestructura,</w:t>
      </w:r>
      <w:r>
        <w:rPr>
          <w:color w:val="231F20"/>
          <w:spacing w:val="-10"/>
        </w:rPr>
        <w:t> </w:t>
      </w:r>
      <w:r>
        <w:rPr>
          <w:color w:val="231F20"/>
        </w:rPr>
        <w:t>entre</w:t>
      </w:r>
      <w:r>
        <w:rPr>
          <w:color w:val="231F20"/>
          <w:spacing w:val="-10"/>
        </w:rPr>
        <w:t> </w:t>
      </w:r>
      <w:r>
        <w:rPr>
          <w:color w:val="231F20"/>
        </w:rPr>
        <w:t>otros.</w:t>
      </w:r>
      <w:r>
        <w:rPr>
          <w:color w:val="231F20"/>
          <w:spacing w:val="-10"/>
        </w:rPr>
        <w:t> </w:t>
      </w:r>
      <w:r>
        <w:rPr>
          <w:color w:val="231F20"/>
        </w:rPr>
        <w:t>El</w:t>
      </w:r>
      <w:r>
        <w:rPr>
          <w:color w:val="231F20"/>
          <w:spacing w:val="-10"/>
        </w:rPr>
        <w:t> </w:t>
      </w:r>
      <w:r>
        <w:rPr>
          <w:color w:val="231F20"/>
        </w:rPr>
        <w:t>modelo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planteó</w:t>
      </w:r>
      <w:r>
        <w:rPr>
          <w:color w:val="231F20"/>
          <w:spacing w:val="-10"/>
        </w:rPr>
        <w:t> </w:t>
      </w:r>
      <w:r>
        <w:rPr>
          <w:color w:val="231F20"/>
        </w:rPr>
        <w:t>no</w:t>
      </w:r>
      <w:r>
        <w:rPr>
          <w:color w:val="231F20"/>
          <w:spacing w:val="-10"/>
        </w:rPr>
        <w:t> </w:t>
      </w:r>
      <w:r>
        <w:rPr>
          <w:color w:val="231F20"/>
        </w:rPr>
        <w:t>pretende indicar todos los factores que influyen en el crecimiento de la economía, sino </w:t>
      </w:r>
      <w:r>
        <w:rPr>
          <w:color w:val="231F20"/>
          <w:spacing w:val="2"/>
        </w:rPr>
        <w:t>tan </w:t>
      </w:r>
      <w:r>
        <w:rPr>
          <w:color w:val="231F20"/>
          <w:spacing w:val="-3"/>
        </w:rPr>
        <w:t>sólo </w:t>
      </w:r>
      <w:r>
        <w:rPr>
          <w:color w:val="231F20"/>
        </w:rPr>
        <w:t>determinar si la IED tiene algún efecto en el aumento del</w:t>
      </w:r>
      <w:r>
        <w:rPr>
          <w:color w:val="231F20"/>
          <w:spacing w:val="-1"/>
        </w:rPr>
        <w:t> </w:t>
      </w:r>
      <w:r>
        <w:rPr>
          <w:color w:val="231F20"/>
        </w:rPr>
        <w:t>PIB.</w:t>
      </w:r>
    </w:p>
    <w:p>
      <w:pPr>
        <w:pStyle w:val="BodyText"/>
        <w:spacing w:line="247" w:lineRule="auto"/>
        <w:ind w:left="1554" w:right="1549" w:firstLine="283"/>
        <w:jc w:val="both"/>
      </w:pPr>
      <w:r>
        <w:rPr>
          <w:color w:val="231F20"/>
        </w:rPr>
        <w:t>A </w:t>
      </w:r>
      <w:r>
        <w:rPr>
          <w:color w:val="231F20"/>
          <w:spacing w:val="2"/>
        </w:rPr>
        <w:t>partir </w:t>
      </w:r>
      <w:r>
        <w:rPr>
          <w:color w:val="231F20"/>
        </w:rPr>
        <w:t>de los resultados anteriores puede fundamentarse que los flujos de IED inciden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crecimiento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economía,</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contribuye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formación</w:t>
      </w:r>
      <w:r>
        <w:rPr>
          <w:color w:val="231F20"/>
          <w:spacing w:val="-5"/>
        </w:rPr>
        <w:t> </w:t>
      </w:r>
      <w:r>
        <w:rPr>
          <w:color w:val="231F20"/>
        </w:rPr>
        <w:t>bruta</w:t>
      </w:r>
      <w:r>
        <w:rPr>
          <w:color w:val="231F20"/>
          <w:spacing w:val="-5"/>
        </w:rPr>
        <w:t> </w:t>
      </w:r>
      <w:r>
        <w:rPr>
          <w:color w:val="231F20"/>
        </w:rPr>
        <w:t>de capital y por la participación de la industria manufacturera en las exportaciones del país.</w:t>
      </w:r>
      <w:r>
        <w:rPr>
          <w:color w:val="231F20"/>
          <w:spacing w:val="-5"/>
        </w:rPr>
        <w:t> </w:t>
      </w:r>
      <w:r>
        <w:rPr>
          <w:color w:val="231F20"/>
        </w:rPr>
        <w:t>De</w:t>
      </w:r>
      <w:r>
        <w:rPr>
          <w:color w:val="231F20"/>
          <w:spacing w:val="-5"/>
        </w:rPr>
        <w:t> </w:t>
      </w:r>
      <w:r>
        <w:rPr>
          <w:color w:val="231F20"/>
        </w:rPr>
        <w:t>acuerdo</w:t>
      </w:r>
      <w:r>
        <w:rPr>
          <w:color w:val="231F20"/>
          <w:spacing w:val="-5"/>
        </w:rPr>
        <w:t> </w:t>
      </w:r>
      <w:r>
        <w:rPr>
          <w:color w:val="231F20"/>
        </w:rPr>
        <w:t>con</w:t>
      </w:r>
      <w:r>
        <w:rPr>
          <w:color w:val="231F20"/>
          <w:spacing w:val="-6"/>
        </w:rPr>
        <w:t> </w:t>
      </w:r>
      <w:r>
        <w:rPr>
          <w:color w:val="231F20"/>
        </w:rPr>
        <w:t>los</w:t>
      </w:r>
      <w:r>
        <w:rPr>
          <w:color w:val="231F20"/>
          <w:spacing w:val="-5"/>
        </w:rPr>
        <w:t> </w:t>
      </w:r>
      <w:r>
        <w:rPr>
          <w:color w:val="231F20"/>
        </w:rPr>
        <w:t>resultados,</w:t>
      </w:r>
      <w:r>
        <w:rPr>
          <w:color w:val="231F20"/>
          <w:spacing w:val="-5"/>
        </w:rPr>
        <w:t> </w:t>
      </w:r>
      <w:r>
        <w:rPr>
          <w:color w:val="231F20"/>
        </w:rPr>
        <w:t>por</w:t>
      </w:r>
      <w:r>
        <w:rPr>
          <w:color w:val="231F20"/>
          <w:spacing w:val="-5"/>
        </w:rPr>
        <w:t> </w:t>
      </w:r>
      <w:r>
        <w:rPr>
          <w:color w:val="231F20"/>
        </w:rPr>
        <w:t>cada</w:t>
      </w:r>
      <w:r>
        <w:rPr>
          <w:color w:val="231F20"/>
          <w:spacing w:val="-5"/>
        </w:rPr>
        <w:t> </w:t>
      </w:r>
      <w:r>
        <w:rPr>
          <w:color w:val="231F20"/>
        </w:rPr>
        <w:t>dólar</w:t>
      </w:r>
      <w:r>
        <w:rPr>
          <w:color w:val="231F20"/>
          <w:spacing w:val="-5"/>
        </w:rPr>
        <w:t> </w:t>
      </w:r>
      <w:r>
        <w:rPr>
          <w:color w:val="231F20"/>
        </w:rPr>
        <w:t>que</w:t>
      </w:r>
      <w:r>
        <w:rPr>
          <w:color w:val="231F20"/>
          <w:spacing w:val="-5"/>
        </w:rPr>
        <w:t> </w:t>
      </w:r>
      <w:r>
        <w:rPr>
          <w:color w:val="231F20"/>
        </w:rPr>
        <w:t>entra</w:t>
      </w:r>
      <w:r>
        <w:rPr>
          <w:color w:val="231F20"/>
          <w:spacing w:val="-5"/>
        </w:rPr>
        <w:t> </w:t>
      </w:r>
      <w:r>
        <w:rPr>
          <w:color w:val="231F20"/>
        </w:rPr>
        <w:t>a</w:t>
      </w:r>
      <w:r>
        <w:rPr>
          <w:color w:val="231F20"/>
          <w:spacing w:val="-5"/>
        </w:rPr>
        <w:t> </w:t>
      </w:r>
      <w:r>
        <w:rPr>
          <w:color w:val="231F20"/>
        </w:rPr>
        <w:t>México</w:t>
      </w:r>
      <w:r>
        <w:rPr>
          <w:color w:val="231F20"/>
          <w:spacing w:val="-5"/>
        </w:rPr>
        <w:t> </w:t>
      </w:r>
      <w:r>
        <w:rPr>
          <w:color w:val="231F20"/>
        </w:rPr>
        <w:t>por</w:t>
      </w:r>
      <w:r>
        <w:rPr>
          <w:color w:val="231F20"/>
          <w:spacing w:val="-5"/>
        </w:rPr>
        <w:t> </w:t>
      </w:r>
      <w:r>
        <w:rPr>
          <w:color w:val="231F20"/>
        </w:rPr>
        <w:t>concepto de IED, el PIB se incrementa en </w:t>
      </w:r>
      <w:r>
        <w:rPr>
          <w:color w:val="231F20"/>
          <w:spacing w:val="-7"/>
        </w:rPr>
        <w:t>184.1 </w:t>
      </w:r>
      <w:r>
        <w:rPr>
          <w:color w:val="231F20"/>
        </w:rPr>
        <w:t>pesos, es decir, la economía mexicana crece. Lo anterior debido a que los recursos que se invierten pueden ser utilizados más de una vez, por lo que este incremento en el PIB no únicamente refleja la inversión de ese año sino que contiene inversión de años</w:t>
      </w:r>
      <w:r>
        <w:rPr>
          <w:color w:val="231F20"/>
          <w:spacing w:val="-24"/>
        </w:rPr>
        <w:t> </w:t>
      </w:r>
      <w:r>
        <w:rPr>
          <w:color w:val="231F20"/>
        </w:rPr>
        <w:t>anteriores.</w:t>
      </w:r>
    </w:p>
    <w:p>
      <w:pPr>
        <w:pStyle w:val="BodyText"/>
        <w:spacing w:before="3"/>
        <w:rPr>
          <w:sz w:val="10"/>
        </w:rPr>
      </w:pPr>
    </w:p>
    <w:p>
      <w:pPr>
        <w:spacing w:before="74"/>
        <w:ind w:left="1575" w:right="1575" w:firstLine="0"/>
        <w:jc w:val="center"/>
        <w:rPr>
          <w:sz w:val="20"/>
        </w:rPr>
      </w:pPr>
      <w:r>
        <w:rPr>
          <w:color w:val="231F20"/>
          <w:sz w:val="20"/>
        </w:rPr>
        <w:t>50</w:t>
      </w:r>
    </w:p>
    <w:p>
      <w:pPr>
        <w:spacing w:after="0"/>
        <w:jc w:val="center"/>
        <w:rPr>
          <w:sz w:val="20"/>
        </w:rPr>
        <w:sectPr>
          <w:footerReference w:type="default" r:id="rId39"/>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1802" w:right="0" w:firstLine="0"/>
        <w:jc w:val="left"/>
        <w:rPr>
          <w:sz w:val="20"/>
        </w:rPr>
      </w:pPr>
      <w:r>
        <w:rPr>
          <w:color w:val="231F20"/>
          <w:sz w:val="20"/>
        </w:rPr>
        <w:t>L</w:t>
      </w:r>
      <w:r>
        <w:rPr>
          <w:color w:val="231F20"/>
          <w:sz w:val="14"/>
        </w:rPr>
        <w:t>A  INVERSIÓN  EXTRANJERA DIRECTA  EN EL  CRECIMIENTO ECONÓMICO DE  </w:t>
      </w:r>
      <w:r>
        <w:rPr>
          <w:color w:val="231F20"/>
          <w:sz w:val="20"/>
        </w:rPr>
        <w:t>M</w:t>
      </w:r>
      <w:r>
        <w:rPr>
          <w:color w:val="231F20"/>
          <w:sz w:val="14"/>
        </w:rPr>
        <w:t>ÉXICO</w:t>
      </w:r>
      <w:r>
        <w:rPr>
          <w:color w:val="231F20"/>
          <w:sz w:val="20"/>
        </w:rPr>
        <w:t>, 1970-2012</w:t>
      </w:r>
    </w:p>
    <w:p>
      <w:pPr>
        <w:pStyle w:val="BodyText"/>
        <w:rPr>
          <w:sz w:val="20"/>
        </w:rPr>
      </w:pPr>
    </w:p>
    <w:p>
      <w:pPr>
        <w:pStyle w:val="BodyText"/>
        <w:spacing w:before="6"/>
        <w:rPr>
          <w:sz w:val="16"/>
        </w:rPr>
      </w:pPr>
    </w:p>
    <w:p>
      <w:pPr>
        <w:pStyle w:val="Heading2"/>
      </w:pPr>
      <w:r>
        <w:rPr>
          <w:color w:val="231F20"/>
        </w:rPr>
        <w:t>Conclusiones</w:t>
      </w:r>
    </w:p>
    <w:p>
      <w:pPr>
        <w:pStyle w:val="BodyText"/>
        <w:spacing w:before="8"/>
        <w:rPr>
          <w:b/>
          <w:sz w:val="20"/>
        </w:rPr>
      </w:pPr>
    </w:p>
    <w:p>
      <w:pPr>
        <w:pStyle w:val="BodyText"/>
        <w:spacing w:line="247" w:lineRule="auto"/>
        <w:ind w:left="1553" w:right="1547"/>
        <w:jc w:val="both"/>
      </w:pPr>
      <w:r>
        <w:rPr>
          <w:color w:val="231F20"/>
        </w:rPr>
        <w:t>Aunque</w:t>
      </w:r>
      <w:r>
        <w:rPr>
          <w:color w:val="231F20"/>
          <w:spacing w:val="-10"/>
        </w:rPr>
        <w:t> </w:t>
      </w:r>
      <w:r>
        <w:rPr>
          <w:color w:val="231F20"/>
        </w:rPr>
        <w:t>históricamente</w:t>
      </w:r>
      <w:r>
        <w:rPr>
          <w:color w:val="231F20"/>
          <w:spacing w:val="-10"/>
        </w:rPr>
        <w:t> </w:t>
      </w:r>
      <w:r>
        <w:rPr>
          <w:color w:val="231F20"/>
        </w:rPr>
        <w:t>la</w:t>
      </w:r>
      <w:r>
        <w:rPr>
          <w:color w:val="231F20"/>
          <w:spacing w:val="-10"/>
        </w:rPr>
        <w:t> </w:t>
      </w:r>
      <w:r>
        <w:rPr>
          <w:color w:val="231F20"/>
        </w:rPr>
        <w:t>IED</w:t>
      </w:r>
      <w:r>
        <w:rPr>
          <w:color w:val="231F20"/>
          <w:spacing w:val="-10"/>
        </w:rPr>
        <w:t> </w:t>
      </w:r>
      <w:r>
        <w:rPr>
          <w:color w:val="231F20"/>
        </w:rPr>
        <w:t>ha</w:t>
      </w:r>
      <w:r>
        <w:rPr>
          <w:color w:val="231F20"/>
          <w:spacing w:val="-10"/>
        </w:rPr>
        <w:t> </w:t>
      </w:r>
      <w:r>
        <w:rPr>
          <w:color w:val="231F20"/>
        </w:rPr>
        <w:t>sido</w:t>
      </w:r>
      <w:r>
        <w:rPr>
          <w:color w:val="231F20"/>
          <w:spacing w:val="-10"/>
        </w:rPr>
        <w:t> </w:t>
      </w:r>
      <w:r>
        <w:rPr>
          <w:color w:val="231F20"/>
        </w:rPr>
        <w:t>importante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crecimiento</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hacia finales de los ochenta la IED se perfiló como un factor </w:t>
      </w:r>
      <w:r>
        <w:rPr>
          <w:color w:val="231F20"/>
          <w:spacing w:val="-3"/>
        </w:rPr>
        <w:t>clave </w:t>
      </w:r>
      <w:r>
        <w:rPr>
          <w:color w:val="231F20"/>
        </w:rPr>
        <w:t>en la estrategia de de- sarrollo de la economía planteada por los gobiernos mexicanos, a la cual se sumó la liberalización de la economía, así como una mayor integración con la economía de Estados Unidos de Norteamérica. </w:t>
      </w:r>
      <w:r>
        <w:rPr>
          <w:color w:val="231F20"/>
          <w:spacing w:val="-3"/>
        </w:rPr>
        <w:t>Por </w:t>
      </w:r>
      <w:r>
        <w:rPr>
          <w:color w:val="231F20"/>
        </w:rPr>
        <w:t>ello, los diferentes gobiernos han buscado atraer mayores flujos de IED al país, en este contexto se dieron los cambios en la política económica y la eliminación de normas que impedían la entrada de capital extranjero en algunos sectores de la</w:t>
      </w:r>
      <w:r>
        <w:rPr>
          <w:color w:val="231F20"/>
          <w:spacing w:val="2"/>
        </w:rPr>
        <w:t> </w:t>
      </w:r>
      <w:r>
        <w:rPr>
          <w:color w:val="231F20"/>
        </w:rPr>
        <w:t>economía.</w:t>
      </w:r>
    </w:p>
    <w:p>
      <w:pPr>
        <w:pStyle w:val="BodyText"/>
        <w:spacing w:line="247" w:lineRule="auto"/>
        <w:ind w:left="1554" w:right="1550" w:firstLine="283"/>
        <w:jc w:val="both"/>
      </w:pPr>
      <w:r>
        <w:rPr>
          <w:color w:val="231F20"/>
        </w:rPr>
        <w:t>De acuerdo con los resultados del modelo, la IED ha contribuido en forma posi- tiva al crecimiento de la economía a lo largo del período de estudio. A mayor entra- da de recursos por medio de la IED habrá una mayor probabilidad de que la econo- mía presente crecimiento en cuanto al PIB.</w:t>
      </w:r>
    </w:p>
    <w:p>
      <w:pPr>
        <w:pStyle w:val="BodyText"/>
        <w:spacing w:line="247" w:lineRule="auto"/>
        <w:ind w:left="1554" w:right="1549" w:firstLine="283"/>
        <w:jc w:val="both"/>
      </w:pPr>
      <w:r>
        <w:rPr>
          <w:color w:val="231F20"/>
        </w:rPr>
        <w:t>De manera que los flujos de inversiones provenientes del extranjero se han con- vertido en una fuente importante de ingresos y de financiamiento macroeconómico junto</w:t>
      </w:r>
      <w:r>
        <w:rPr>
          <w:color w:val="231F20"/>
          <w:spacing w:val="-4"/>
        </w:rPr>
        <w:t> </w:t>
      </w:r>
      <w:r>
        <w:rPr>
          <w:color w:val="231F20"/>
        </w:rPr>
        <w:t>con</w:t>
      </w:r>
      <w:r>
        <w:rPr>
          <w:color w:val="231F20"/>
          <w:spacing w:val="-4"/>
        </w:rPr>
        <w:t> </w:t>
      </w:r>
      <w:r>
        <w:rPr>
          <w:color w:val="231F20"/>
        </w:rPr>
        <w:t>las</w:t>
      </w:r>
      <w:r>
        <w:rPr>
          <w:color w:val="231F20"/>
          <w:spacing w:val="-4"/>
        </w:rPr>
        <w:t> </w:t>
      </w:r>
      <w:r>
        <w:rPr>
          <w:color w:val="231F20"/>
        </w:rPr>
        <w:t>remesas</w:t>
      </w:r>
      <w:r>
        <w:rPr>
          <w:color w:val="231F20"/>
          <w:spacing w:val="-4"/>
        </w:rPr>
        <w:t> </w:t>
      </w:r>
      <w:r>
        <w:rPr>
          <w:color w:val="231F20"/>
        </w:rPr>
        <w:t>y</w:t>
      </w:r>
      <w:r>
        <w:rPr>
          <w:color w:val="231F20"/>
          <w:spacing w:val="-4"/>
        </w:rPr>
        <w:t> </w:t>
      </w:r>
      <w:r>
        <w:rPr>
          <w:color w:val="231F20"/>
        </w:rPr>
        <w:t>los</w:t>
      </w:r>
      <w:r>
        <w:rPr>
          <w:color w:val="231F20"/>
          <w:spacing w:val="-4"/>
        </w:rPr>
        <w:t> </w:t>
      </w:r>
      <w:r>
        <w:rPr>
          <w:color w:val="231F20"/>
        </w:rPr>
        <w:t>ingresos</w:t>
      </w:r>
      <w:r>
        <w:rPr>
          <w:color w:val="231F20"/>
          <w:spacing w:val="-4"/>
        </w:rPr>
        <w:t> </w:t>
      </w:r>
      <w:r>
        <w:rPr>
          <w:color w:val="231F20"/>
        </w:rPr>
        <w:t>petroleros,</w:t>
      </w:r>
      <w:r>
        <w:rPr>
          <w:color w:val="231F20"/>
          <w:spacing w:val="-4"/>
        </w:rPr>
        <w:t> </w:t>
      </w:r>
      <w:r>
        <w:rPr>
          <w:color w:val="231F20"/>
        </w:rPr>
        <w:t>ya</w:t>
      </w:r>
      <w:r>
        <w:rPr>
          <w:color w:val="231F20"/>
          <w:spacing w:val="-4"/>
        </w:rPr>
        <w:t> </w:t>
      </w:r>
      <w:r>
        <w:rPr>
          <w:color w:val="231F20"/>
        </w:rPr>
        <w:t>que</w:t>
      </w:r>
      <w:r>
        <w:rPr>
          <w:color w:val="231F20"/>
          <w:spacing w:val="-4"/>
        </w:rPr>
        <w:t> </w:t>
      </w:r>
      <w:r>
        <w:rPr>
          <w:color w:val="231F20"/>
        </w:rPr>
        <w:t>a</w:t>
      </w:r>
      <w:r>
        <w:rPr>
          <w:color w:val="231F20"/>
          <w:spacing w:val="-4"/>
        </w:rPr>
        <w:t> </w:t>
      </w:r>
      <w:r>
        <w:rPr>
          <w:color w:val="231F20"/>
          <w:spacing w:val="2"/>
        </w:rPr>
        <w:t>partir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entrada</w:t>
      </w:r>
      <w:r>
        <w:rPr>
          <w:color w:val="231F20"/>
          <w:spacing w:val="-4"/>
        </w:rPr>
        <w:t> </w:t>
      </w:r>
      <w:r>
        <w:rPr>
          <w:color w:val="231F20"/>
        </w:rPr>
        <w:t>de</w:t>
      </w:r>
      <w:r>
        <w:rPr>
          <w:color w:val="231F20"/>
          <w:spacing w:val="-4"/>
        </w:rPr>
        <w:t> </w:t>
      </w:r>
      <w:r>
        <w:rPr>
          <w:color w:val="231F20"/>
        </w:rPr>
        <w:t>estas divisas</w:t>
      </w:r>
      <w:r>
        <w:rPr>
          <w:color w:val="231F20"/>
          <w:spacing w:val="-8"/>
        </w:rPr>
        <w:t> </w:t>
      </w:r>
      <w:r>
        <w:rPr>
          <w:color w:val="231F20"/>
        </w:rPr>
        <w:t>se</w:t>
      </w:r>
      <w:r>
        <w:rPr>
          <w:color w:val="231F20"/>
          <w:spacing w:val="-8"/>
        </w:rPr>
        <w:t> </w:t>
      </w:r>
      <w:r>
        <w:rPr>
          <w:color w:val="231F20"/>
        </w:rPr>
        <w:t>puede</w:t>
      </w:r>
      <w:r>
        <w:rPr>
          <w:color w:val="231F20"/>
          <w:spacing w:val="-8"/>
        </w:rPr>
        <w:t> </w:t>
      </w:r>
      <w:r>
        <w:rPr>
          <w:color w:val="231F20"/>
        </w:rPr>
        <w:t>financiar</w:t>
      </w:r>
      <w:r>
        <w:rPr>
          <w:color w:val="231F20"/>
          <w:spacing w:val="-8"/>
        </w:rPr>
        <w:t> </w:t>
      </w:r>
      <w:r>
        <w:rPr>
          <w:color w:val="231F20"/>
        </w:rPr>
        <w:t>el</w:t>
      </w:r>
      <w:r>
        <w:rPr>
          <w:color w:val="231F20"/>
          <w:spacing w:val="-8"/>
        </w:rPr>
        <w:t> </w:t>
      </w:r>
      <w:r>
        <w:rPr>
          <w:color w:val="231F20"/>
        </w:rPr>
        <w:t>déficit</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cuenta</w:t>
      </w:r>
      <w:r>
        <w:rPr>
          <w:color w:val="231F20"/>
          <w:spacing w:val="-8"/>
        </w:rPr>
        <w:t> </w:t>
      </w:r>
      <w:r>
        <w:rPr>
          <w:color w:val="231F20"/>
        </w:rPr>
        <w:t>corriente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balanza</w:t>
      </w:r>
      <w:r>
        <w:rPr>
          <w:color w:val="231F20"/>
          <w:spacing w:val="-8"/>
        </w:rPr>
        <w:t> </w:t>
      </w:r>
      <w:r>
        <w:rPr>
          <w:color w:val="231F20"/>
        </w:rPr>
        <w:t>de</w:t>
      </w:r>
      <w:r>
        <w:rPr>
          <w:color w:val="231F20"/>
          <w:spacing w:val="-8"/>
        </w:rPr>
        <w:t> </w:t>
      </w:r>
      <w:r>
        <w:rPr>
          <w:color w:val="231F20"/>
        </w:rPr>
        <w:t>pagos</w:t>
      </w:r>
      <w:r>
        <w:rPr>
          <w:color w:val="231F20"/>
          <w:spacing w:val="-8"/>
        </w:rPr>
        <w:t> </w:t>
      </w:r>
      <w:r>
        <w:rPr>
          <w:color w:val="231F20"/>
        </w:rPr>
        <w:t>con lo</w:t>
      </w:r>
      <w:r>
        <w:rPr>
          <w:color w:val="231F20"/>
          <w:spacing w:val="-3"/>
        </w:rPr>
        <w:t> </w:t>
      </w:r>
      <w:r>
        <w:rPr>
          <w:color w:val="231F20"/>
        </w:rPr>
        <w:t>cual</w:t>
      </w:r>
      <w:r>
        <w:rPr>
          <w:color w:val="231F20"/>
          <w:spacing w:val="-3"/>
        </w:rPr>
        <w:t> </w:t>
      </w:r>
      <w:r>
        <w:rPr>
          <w:color w:val="231F20"/>
        </w:rPr>
        <w:t>se</w:t>
      </w:r>
      <w:r>
        <w:rPr>
          <w:color w:val="231F20"/>
          <w:spacing w:val="-3"/>
        </w:rPr>
        <w:t> </w:t>
      </w:r>
      <w:r>
        <w:rPr>
          <w:color w:val="231F20"/>
        </w:rPr>
        <w:t>mantiene</w:t>
      </w:r>
      <w:r>
        <w:rPr>
          <w:color w:val="231F20"/>
          <w:spacing w:val="-3"/>
        </w:rPr>
        <w:t> </w:t>
      </w:r>
      <w:r>
        <w:rPr>
          <w:color w:val="231F20"/>
          <w:spacing w:val="2"/>
        </w:rPr>
        <w:t>un</w:t>
      </w:r>
      <w:r>
        <w:rPr>
          <w:color w:val="231F20"/>
          <w:spacing w:val="-3"/>
        </w:rPr>
        <w:t> </w:t>
      </w:r>
      <w:r>
        <w:rPr>
          <w:color w:val="231F20"/>
        </w:rPr>
        <w:t>mayor</w:t>
      </w:r>
      <w:r>
        <w:rPr>
          <w:color w:val="231F20"/>
          <w:spacing w:val="-3"/>
        </w:rPr>
        <w:t> </w:t>
      </w:r>
      <w:r>
        <w:rPr>
          <w:color w:val="231F20"/>
        </w:rPr>
        <w:t>equilibrio</w:t>
      </w:r>
      <w:r>
        <w:rPr>
          <w:color w:val="231F20"/>
          <w:spacing w:val="-3"/>
        </w:rPr>
        <w:t> </w:t>
      </w:r>
      <w:r>
        <w:rPr>
          <w:color w:val="231F20"/>
        </w:rPr>
        <w:t>en</w:t>
      </w:r>
      <w:r>
        <w:rPr>
          <w:color w:val="231F20"/>
          <w:spacing w:val="-3"/>
        </w:rPr>
        <w:t> </w:t>
      </w:r>
      <w:r>
        <w:rPr>
          <w:color w:val="231F20"/>
        </w:rPr>
        <w:t>las</w:t>
      </w:r>
      <w:r>
        <w:rPr>
          <w:color w:val="231F20"/>
          <w:spacing w:val="-3"/>
        </w:rPr>
        <w:t> </w:t>
      </w:r>
      <w:r>
        <w:rPr>
          <w:color w:val="231F20"/>
        </w:rPr>
        <w:t>transacciones</w:t>
      </w:r>
      <w:r>
        <w:rPr>
          <w:color w:val="231F20"/>
          <w:spacing w:val="-3"/>
        </w:rPr>
        <w:t> </w:t>
      </w:r>
      <w:r>
        <w:rPr>
          <w:color w:val="231F20"/>
        </w:rPr>
        <w:t>con</w:t>
      </w:r>
      <w:r>
        <w:rPr>
          <w:color w:val="231F20"/>
          <w:spacing w:val="-4"/>
        </w:rPr>
        <w:t> </w:t>
      </w:r>
      <w:r>
        <w:rPr>
          <w:color w:val="231F20"/>
        </w:rPr>
        <w:t>el</w:t>
      </w:r>
      <w:r>
        <w:rPr>
          <w:color w:val="231F20"/>
          <w:spacing w:val="-3"/>
        </w:rPr>
        <w:t> </w:t>
      </w:r>
      <w:r>
        <w:rPr>
          <w:color w:val="231F20"/>
        </w:rPr>
        <w:t>extranjero.</w:t>
      </w:r>
      <w:r>
        <w:rPr>
          <w:color w:val="231F20"/>
          <w:spacing w:val="-3"/>
        </w:rPr>
        <w:t> </w:t>
      </w:r>
      <w:r>
        <w:rPr>
          <w:color w:val="231F20"/>
        </w:rPr>
        <w:t>Ade- más</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spacing w:val="2"/>
        </w:rPr>
        <w:t>gran</w:t>
      </w:r>
      <w:r>
        <w:rPr>
          <w:color w:val="231F20"/>
          <w:spacing w:val="-5"/>
        </w:rPr>
        <w:t> </w:t>
      </w:r>
      <w:r>
        <w:rPr>
          <w:color w:val="231F20"/>
        </w:rPr>
        <w:t>medida</w:t>
      </w:r>
      <w:r>
        <w:rPr>
          <w:color w:val="231F20"/>
          <w:spacing w:val="-5"/>
        </w:rPr>
        <w:t> </w:t>
      </w:r>
      <w:r>
        <w:rPr>
          <w:color w:val="231F20"/>
        </w:rPr>
        <w:t>la</w:t>
      </w:r>
      <w:r>
        <w:rPr>
          <w:color w:val="231F20"/>
          <w:spacing w:val="-5"/>
        </w:rPr>
        <w:t> </w:t>
      </w:r>
      <w:r>
        <w:rPr>
          <w:color w:val="231F20"/>
        </w:rPr>
        <w:t>inversión</w:t>
      </w:r>
      <w:r>
        <w:rPr>
          <w:color w:val="231F20"/>
          <w:spacing w:val="-5"/>
        </w:rPr>
        <w:t> </w:t>
      </w:r>
      <w:r>
        <w:rPr>
          <w:color w:val="231F20"/>
        </w:rPr>
        <w:t>nacional</w:t>
      </w:r>
      <w:r>
        <w:rPr>
          <w:color w:val="231F20"/>
          <w:spacing w:val="-5"/>
        </w:rPr>
        <w:t> </w:t>
      </w:r>
      <w:r>
        <w:rPr>
          <w:color w:val="231F20"/>
        </w:rPr>
        <w:t>ha</w:t>
      </w:r>
      <w:r>
        <w:rPr>
          <w:color w:val="231F20"/>
          <w:spacing w:val="-5"/>
        </w:rPr>
        <w:t> </w:t>
      </w:r>
      <w:r>
        <w:rPr>
          <w:color w:val="231F20"/>
        </w:rPr>
        <w:t>estado</w:t>
      </w:r>
      <w:r>
        <w:rPr>
          <w:color w:val="231F20"/>
          <w:spacing w:val="-5"/>
        </w:rPr>
        <w:t> </w:t>
      </w:r>
      <w:r>
        <w:rPr>
          <w:color w:val="231F20"/>
        </w:rPr>
        <w:t>sustentada</w:t>
      </w:r>
      <w:r>
        <w:rPr>
          <w:color w:val="231F20"/>
          <w:spacing w:val="-5"/>
        </w:rPr>
        <w:t> </w:t>
      </w:r>
      <w:r>
        <w:rPr>
          <w:color w:val="231F20"/>
        </w:rPr>
        <w:t>por</w:t>
      </w:r>
      <w:r>
        <w:rPr>
          <w:color w:val="231F20"/>
          <w:spacing w:val="-5"/>
        </w:rPr>
        <w:t> </w:t>
      </w:r>
      <w:r>
        <w:rPr>
          <w:color w:val="231F20"/>
        </w:rPr>
        <w:t>los</w:t>
      </w:r>
      <w:r>
        <w:rPr>
          <w:color w:val="231F20"/>
          <w:spacing w:val="-5"/>
        </w:rPr>
        <w:t> </w:t>
      </w:r>
      <w:r>
        <w:rPr>
          <w:color w:val="231F20"/>
        </w:rPr>
        <w:t>recur- sos provenientes del exterior, ya que el país no genera internamente los recursos necesarios para realizar esta actividad económica. Para México es más factible que sea</w:t>
      </w:r>
      <w:r>
        <w:rPr>
          <w:color w:val="231F20"/>
          <w:spacing w:val="-8"/>
        </w:rPr>
        <w:t> </w:t>
      </w:r>
      <w:r>
        <w:rPr>
          <w:color w:val="231F20"/>
        </w:rPr>
        <w:t>la</w:t>
      </w:r>
      <w:r>
        <w:rPr>
          <w:color w:val="231F20"/>
          <w:spacing w:val="-8"/>
        </w:rPr>
        <w:t> </w:t>
      </w:r>
      <w:r>
        <w:rPr>
          <w:color w:val="231F20"/>
        </w:rPr>
        <w:t>IED</w:t>
      </w:r>
      <w:r>
        <w:rPr>
          <w:color w:val="231F20"/>
          <w:spacing w:val="-8"/>
        </w:rPr>
        <w:t> </w:t>
      </w:r>
      <w:r>
        <w:rPr>
          <w:color w:val="231F20"/>
        </w:rPr>
        <w:t>quien</w:t>
      </w:r>
      <w:r>
        <w:rPr>
          <w:color w:val="231F20"/>
          <w:spacing w:val="-8"/>
        </w:rPr>
        <w:t> </w:t>
      </w:r>
      <w:r>
        <w:rPr>
          <w:color w:val="231F20"/>
        </w:rPr>
        <w:t>logre</w:t>
      </w:r>
      <w:r>
        <w:rPr>
          <w:color w:val="231F20"/>
          <w:spacing w:val="-8"/>
        </w:rPr>
        <w:t> </w:t>
      </w:r>
      <w:r>
        <w:rPr>
          <w:color w:val="231F20"/>
        </w:rPr>
        <w:t>una</w:t>
      </w:r>
      <w:r>
        <w:rPr>
          <w:color w:val="231F20"/>
          <w:spacing w:val="-8"/>
        </w:rPr>
        <w:t> </w:t>
      </w:r>
      <w:r>
        <w:rPr>
          <w:color w:val="231F20"/>
        </w:rPr>
        <w:t>mayor</w:t>
      </w:r>
      <w:r>
        <w:rPr>
          <w:color w:val="231F20"/>
          <w:spacing w:val="-8"/>
        </w:rPr>
        <w:t> </w:t>
      </w:r>
      <w:r>
        <w:rPr>
          <w:color w:val="231F20"/>
        </w:rPr>
        <w:t>aportación</w:t>
      </w:r>
      <w:r>
        <w:rPr>
          <w:color w:val="231F20"/>
          <w:spacing w:val="-8"/>
        </w:rPr>
        <w:t> </w:t>
      </w:r>
      <w:r>
        <w:rPr>
          <w:color w:val="231F20"/>
        </w:rPr>
        <w:t>al</w:t>
      </w:r>
      <w:r>
        <w:rPr>
          <w:color w:val="231F20"/>
          <w:spacing w:val="-8"/>
        </w:rPr>
        <w:t> </w:t>
      </w:r>
      <w:r>
        <w:rPr>
          <w:color w:val="231F20"/>
        </w:rPr>
        <w:t>crecimiento</w:t>
      </w:r>
      <w:r>
        <w:rPr>
          <w:color w:val="231F20"/>
          <w:spacing w:val="-8"/>
        </w:rPr>
        <w:t> </w:t>
      </w:r>
      <w:r>
        <w:rPr>
          <w:color w:val="231F20"/>
        </w:rPr>
        <w:t>económico</w:t>
      </w:r>
      <w:r>
        <w:rPr>
          <w:color w:val="231F20"/>
          <w:spacing w:val="-8"/>
        </w:rPr>
        <w:t> </w:t>
      </w:r>
      <w:r>
        <w:rPr>
          <w:color w:val="231F20"/>
        </w:rPr>
        <w:t>con</w:t>
      </w:r>
      <w:r>
        <w:rPr>
          <w:color w:val="231F20"/>
          <w:spacing w:val="-8"/>
        </w:rPr>
        <w:t> </w:t>
      </w:r>
      <w:r>
        <w:rPr>
          <w:color w:val="231F20"/>
        </w:rPr>
        <w:t>respecto a la inversión de cartera ya que, la primera puede ser utilizada en la industria o en actividades económicas de mediano y largo plazo, mientras que la segunda no es utilizada en actividades productivas debido a su alta volatilidad y su naturaleza de corto plazo. La deuda externa ha sido para México </w:t>
      </w:r>
      <w:r>
        <w:rPr>
          <w:color w:val="231F20"/>
          <w:spacing w:val="2"/>
        </w:rPr>
        <w:t>un </w:t>
      </w:r>
      <w:r>
        <w:rPr>
          <w:color w:val="231F20"/>
        </w:rPr>
        <w:t>factor que ha frenado de </w:t>
      </w:r>
      <w:r>
        <w:rPr>
          <w:color w:val="231F20"/>
          <w:spacing w:val="-3"/>
        </w:rPr>
        <w:t>cier- </w:t>
      </w:r>
      <w:r>
        <w:rPr>
          <w:color w:val="231F20"/>
        </w:rPr>
        <w:t>ta manera el crecimiento de la economía porque el pago por servicio de la deuda requiere de destinar recursos a este concepto, los cuales podrían destinarse a activi- dades</w:t>
      </w:r>
      <w:r>
        <w:rPr>
          <w:color w:val="231F20"/>
          <w:spacing w:val="-9"/>
        </w:rPr>
        <w:t> </w:t>
      </w:r>
      <w:r>
        <w:rPr>
          <w:color w:val="231F20"/>
        </w:rPr>
        <w:t>económicas</w:t>
      </w:r>
      <w:r>
        <w:rPr>
          <w:color w:val="231F20"/>
          <w:spacing w:val="-9"/>
        </w:rPr>
        <w:t> </w:t>
      </w:r>
      <w:r>
        <w:rPr>
          <w:color w:val="231F20"/>
        </w:rPr>
        <w:t>productivas.</w:t>
      </w:r>
      <w:r>
        <w:rPr>
          <w:color w:val="231F20"/>
          <w:spacing w:val="-9"/>
        </w:rPr>
        <w:t> </w:t>
      </w:r>
      <w:r>
        <w:rPr>
          <w:color w:val="231F20"/>
        </w:rPr>
        <w:t>Sin</w:t>
      </w:r>
      <w:r>
        <w:rPr>
          <w:color w:val="231F20"/>
          <w:spacing w:val="-9"/>
        </w:rPr>
        <w:t> </w:t>
      </w:r>
      <w:r>
        <w:rPr>
          <w:color w:val="231F20"/>
        </w:rPr>
        <w:t>embargo</w:t>
      </w:r>
      <w:r>
        <w:rPr>
          <w:color w:val="231F20"/>
          <w:spacing w:val="-9"/>
        </w:rPr>
        <w:t> </w:t>
      </w:r>
      <w:r>
        <w:rPr>
          <w:color w:val="231F20"/>
        </w:rPr>
        <w:t>a</w:t>
      </w:r>
      <w:r>
        <w:rPr>
          <w:color w:val="231F20"/>
          <w:spacing w:val="-9"/>
        </w:rPr>
        <w:t> </w:t>
      </w:r>
      <w:r>
        <w:rPr>
          <w:color w:val="231F20"/>
          <w:spacing w:val="2"/>
        </w:rPr>
        <w:t>partir</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crisis</w:t>
      </w:r>
      <w:r>
        <w:rPr>
          <w:color w:val="231F20"/>
          <w:spacing w:val="-9"/>
        </w:rPr>
        <w:t> </w:t>
      </w:r>
      <w:r>
        <w:rPr>
          <w:color w:val="231F20"/>
        </w:rPr>
        <w:t>de</w:t>
      </w:r>
      <w:r>
        <w:rPr>
          <w:color w:val="231F20"/>
          <w:spacing w:val="-9"/>
        </w:rPr>
        <w:t> </w:t>
      </w:r>
      <w:r>
        <w:rPr>
          <w:color w:val="231F20"/>
          <w:spacing w:val="-4"/>
        </w:rPr>
        <w:t>1995</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rPr>
        <w:t>estado buscando sustituir la deuda externa por una mayor entrada de IED ya que esta no implica deudas, ni pagos por servicio a la</w:t>
      </w:r>
      <w:r>
        <w:rPr>
          <w:color w:val="231F20"/>
          <w:spacing w:val="-3"/>
        </w:rPr>
        <w:t> </w:t>
      </w:r>
      <w:r>
        <w:rPr>
          <w:color w:val="231F20"/>
        </w:rPr>
        <w:t>misma.</w:t>
      </w:r>
    </w:p>
    <w:p>
      <w:pPr>
        <w:pStyle w:val="BodyText"/>
      </w:pPr>
    </w:p>
    <w:p>
      <w:pPr>
        <w:pStyle w:val="BodyText"/>
        <w:spacing w:before="9"/>
        <w:rPr>
          <w:sz w:val="19"/>
        </w:rPr>
      </w:pPr>
    </w:p>
    <w:p>
      <w:pPr>
        <w:pStyle w:val="Heading2"/>
      </w:pPr>
      <w:r>
        <w:rPr>
          <w:color w:val="231F20"/>
        </w:rPr>
        <w:t>Referencias</w:t>
      </w:r>
    </w:p>
    <w:p>
      <w:pPr>
        <w:pStyle w:val="BodyText"/>
        <w:spacing w:before="8"/>
        <w:rPr>
          <w:b/>
          <w:sz w:val="20"/>
        </w:rPr>
      </w:pPr>
    </w:p>
    <w:p>
      <w:pPr>
        <w:pStyle w:val="BodyText"/>
        <w:spacing w:line="247" w:lineRule="auto"/>
        <w:ind w:left="1837" w:right="1478" w:hanging="284"/>
      </w:pPr>
      <w:r>
        <w:rPr>
          <w:color w:val="231F20"/>
        </w:rPr>
        <w:t>Bengoa </w:t>
      </w:r>
      <w:r>
        <w:rPr>
          <w:color w:val="231F20"/>
          <w:spacing w:val="-3"/>
        </w:rPr>
        <w:t>C., M.; </w:t>
      </w:r>
      <w:r>
        <w:rPr>
          <w:color w:val="231F20"/>
        </w:rPr>
        <w:t>Sánchez-Robles R., B. 2000. Inversión extranjera directa en Latinoamérica:   impacto   sobre   Crecimiento   económico.   III   Encuentro</w:t>
      </w:r>
      <w:r>
        <w:rPr>
          <w:color w:val="231F20"/>
          <w:spacing w:val="52"/>
        </w:rPr>
        <w:t> </w:t>
      </w:r>
      <w:r>
        <w:rPr>
          <w:color w:val="231F20"/>
        </w:rPr>
        <w:t>de</w:t>
      </w:r>
    </w:p>
    <w:p>
      <w:pPr>
        <w:pStyle w:val="BodyText"/>
        <w:spacing w:before="9"/>
        <w:rPr>
          <w:sz w:val="10"/>
        </w:rPr>
      </w:pPr>
    </w:p>
    <w:p>
      <w:pPr>
        <w:spacing w:before="74"/>
        <w:ind w:left="1575" w:right="1575" w:firstLine="0"/>
        <w:jc w:val="center"/>
        <w:rPr>
          <w:sz w:val="20"/>
        </w:rPr>
      </w:pPr>
      <w:r>
        <w:rPr>
          <w:color w:val="231F20"/>
          <w:sz w:val="20"/>
        </w:rPr>
        <w:t>51</w:t>
      </w:r>
    </w:p>
    <w:p>
      <w:pPr>
        <w:spacing w:after="0"/>
        <w:jc w:val="center"/>
        <w:rPr>
          <w:sz w:val="20"/>
        </w:rPr>
        <w:sectPr>
          <w:footerReference w:type="default" r:id="rId40"/>
          <w:pgSz w:w="10480" w:h="13880"/>
          <w:pgMar w:footer="222" w:header="0" w:top="420" w:bottom="420" w:left="0" w:right="0"/>
          <w:pgNumType w:start="51"/>
        </w:sect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74"/>
        <w:ind w:left="1575" w:right="1575" w:firstLine="0"/>
        <w:jc w:val="center"/>
        <w:rPr>
          <w:sz w:val="14"/>
        </w:rPr>
      </w:pPr>
      <w:r>
        <w:rPr>
          <w:color w:val="231F20"/>
          <w:sz w:val="20"/>
        </w:rPr>
        <w:t>D</w:t>
      </w:r>
      <w:r>
        <w:rPr>
          <w:color w:val="231F20"/>
          <w:sz w:val="14"/>
        </w:rPr>
        <w:t>ESARROLLO Y TECNOLOGÍA</w:t>
      </w:r>
      <w:r>
        <w:rPr>
          <w:color w:val="231F20"/>
          <w:sz w:val="20"/>
        </w:rPr>
        <w:t>. A</w:t>
      </w:r>
      <w:r>
        <w:rPr>
          <w:color w:val="231F20"/>
          <w:sz w:val="14"/>
        </w:rPr>
        <w:t>PORTACIONES  A LOS PROBLEMAS DE LA  SOCIEDAD</w:t>
      </w:r>
    </w:p>
    <w:p>
      <w:pPr>
        <w:pStyle w:val="BodyText"/>
        <w:rPr>
          <w:sz w:val="20"/>
        </w:rPr>
      </w:pPr>
    </w:p>
    <w:p>
      <w:pPr>
        <w:pStyle w:val="BodyText"/>
        <w:spacing w:before="8"/>
        <w:rPr>
          <w:sz w:val="16"/>
        </w:rPr>
      </w:pPr>
    </w:p>
    <w:p>
      <w:pPr>
        <w:pStyle w:val="BodyText"/>
        <w:spacing w:line="247" w:lineRule="auto" w:before="1"/>
        <w:ind w:left="1837" w:right="1551"/>
      </w:pPr>
      <w:r>
        <w:rPr>
          <w:color w:val="231F20"/>
        </w:rPr>
        <w:t>Economía Aplicada. Departamento de Economía Aplicada II. Universidad de Valencia, Junio de 2000.</w:t>
      </w:r>
    </w:p>
    <w:p>
      <w:pPr>
        <w:pStyle w:val="BodyText"/>
        <w:spacing w:line="247" w:lineRule="auto"/>
        <w:ind w:left="1837" w:right="1552" w:hanging="284"/>
        <w:jc w:val="both"/>
      </w:pPr>
      <w:r>
        <w:rPr>
          <w:color w:val="231F20"/>
        </w:rPr>
        <w:t>Cass, David. 1965. “Optimum Growth in an Aggregate Model of Capital Accumulation”, Review of Economic Studies 32: 233-240.</w:t>
      </w:r>
    </w:p>
    <w:p>
      <w:pPr>
        <w:pStyle w:val="BodyText"/>
        <w:spacing w:line="247" w:lineRule="auto"/>
        <w:ind w:left="1837" w:right="1551" w:hanging="284"/>
        <w:jc w:val="both"/>
      </w:pPr>
      <w:r>
        <w:rPr>
          <w:color w:val="231F20"/>
        </w:rPr>
        <w:t>Cárdenas,</w:t>
      </w:r>
      <w:r>
        <w:rPr>
          <w:color w:val="231F20"/>
          <w:spacing w:val="-13"/>
        </w:rPr>
        <w:t> </w:t>
      </w:r>
      <w:r>
        <w:rPr>
          <w:color w:val="231F20"/>
        </w:rPr>
        <w:t>E.</w:t>
      </w:r>
      <w:r>
        <w:rPr>
          <w:color w:val="231F20"/>
          <w:spacing w:val="-13"/>
        </w:rPr>
        <w:t> </w:t>
      </w:r>
      <w:r>
        <w:rPr>
          <w:color w:val="231F20"/>
          <w:spacing w:val="-9"/>
        </w:rPr>
        <w:t>2010.</w:t>
      </w:r>
      <w:r>
        <w:rPr>
          <w:color w:val="231F20"/>
          <w:spacing w:val="-13"/>
        </w:rPr>
        <w:t> </w:t>
      </w:r>
      <w:r>
        <w:rPr>
          <w:color w:val="231F20"/>
        </w:rPr>
        <w:t>“La</w:t>
      </w:r>
      <w:r>
        <w:rPr>
          <w:color w:val="231F20"/>
          <w:spacing w:val="-13"/>
        </w:rPr>
        <w:t> </w:t>
      </w:r>
      <w:r>
        <w:rPr>
          <w:color w:val="231F20"/>
        </w:rPr>
        <w:t>Reestructuración</w:t>
      </w:r>
      <w:r>
        <w:rPr>
          <w:color w:val="231F20"/>
          <w:spacing w:val="-13"/>
        </w:rPr>
        <w:t> </w:t>
      </w:r>
      <w:r>
        <w:rPr>
          <w:color w:val="231F20"/>
          <w:spacing w:val="-3"/>
        </w:rPr>
        <w:t>Económica</w:t>
      </w:r>
      <w:r>
        <w:rPr>
          <w:color w:val="231F20"/>
          <w:spacing w:val="-13"/>
        </w:rPr>
        <w:t> </w:t>
      </w:r>
      <w:r>
        <w:rPr>
          <w:color w:val="231F20"/>
        </w:rPr>
        <w:t>de</w:t>
      </w:r>
      <w:r>
        <w:rPr>
          <w:color w:val="231F20"/>
          <w:spacing w:val="-13"/>
        </w:rPr>
        <w:t> </w:t>
      </w:r>
      <w:r>
        <w:rPr>
          <w:color w:val="231F20"/>
          <w:spacing w:val="-7"/>
        </w:rPr>
        <w:t>1982</w:t>
      </w:r>
      <w:r>
        <w:rPr>
          <w:color w:val="231F20"/>
          <w:spacing w:val="-13"/>
        </w:rPr>
        <w:t> </w:t>
      </w:r>
      <w:r>
        <w:rPr>
          <w:color w:val="231F20"/>
        </w:rPr>
        <w:t>a</w:t>
      </w:r>
      <w:r>
        <w:rPr>
          <w:color w:val="231F20"/>
          <w:spacing w:val="-13"/>
        </w:rPr>
        <w:t> </w:t>
      </w:r>
      <w:r>
        <w:rPr>
          <w:color w:val="231F20"/>
          <w:spacing w:val="-7"/>
        </w:rPr>
        <w:t>1994”,</w:t>
      </w:r>
      <w:r>
        <w:rPr>
          <w:color w:val="231F20"/>
          <w:spacing w:val="-13"/>
        </w:rPr>
        <w:t> </w:t>
      </w:r>
      <w:r>
        <w:rPr>
          <w:color w:val="231F20"/>
        </w:rPr>
        <w:t>en</w:t>
      </w:r>
      <w:r>
        <w:rPr>
          <w:color w:val="231F20"/>
          <w:spacing w:val="-13"/>
        </w:rPr>
        <w:t> </w:t>
      </w:r>
      <w:r>
        <w:rPr>
          <w:color w:val="231F20"/>
        </w:rPr>
        <w:t>Clara</w:t>
      </w:r>
      <w:r>
        <w:rPr>
          <w:color w:val="231F20"/>
          <w:spacing w:val="-13"/>
        </w:rPr>
        <w:t> </w:t>
      </w:r>
      <w:r>
        <w:rPr>
          <w:color w:val="231F20"/>
        </w:rPr>
        <w:t>García </w:t>
      </w:r>
      <w:r>
        <w:rPr>
          <w:color w:val="231F20"/>
          <w:spacing w:val="-5"/>
        </w:rPr>
        <w:t>Ayluardo, </w:t>
      </w:r>
      <w:r>
        <w:rPr>
          <w:color w:val="231F20"/>
        </w:rPr>
        <w:t>Ignacio Marván </w:t>
      </w:r>
      <w:r>
        <w:rPr>
          <w:color w:val="231F20"/>
          <w:spacing w:val="-3"/>
        </w:rPr>
        <w:t>Laborde </w:t>
      </w:r>
      <w:r>
        <w:rPr>
          <w:color w:val="231F20"/>
        </w:rPr>
        <w:t>y Erika Pani </w:t>
      </w:r>
      <w:r>
        <w:rPr>
          <w:color w:val="231F20"/>
          <w:spacing w:val="-4"/>
        </w:rPr>
        <w:t>(coordinadores), </w:t>
      </w:r>
      <w:r>
        <w:rPr>
          <w:color w:val="231F20"/>
        </w:rPr>
        <w:t>Historia Crítica de</w:t>
      </w:r>
      <w:r>
        <w:rPr>
          <w:color w:val="231F20"/>
          <w:spacing w:val="-10"/>
        </w:rPr>
        <w:t> </w:t>
      </w:r>
      <w:r>
        <w:rPr>
          <w:color w:val="231F20"/>
        </w:rPr>
        <w:t>las</w:t>
      </w:r>
      <w:r>
        <w:rPr>
          <w:color w:val="231F20"/>
          <w:spacing w:val="-10"/>
        </w:rPr>
        <w:t> </w:t>
      </w:r>
      <w:r>
        <w:rPr>
          <w:color w:val="231F20"/>
        </w:rPr>
        <w:t>Modernizaciones</w:t>
      </w:r>
      <w:r>
        <w:rPr>
          <w:color w:val="231F20"/>
          <w:spacing w:val="-10"/>
        </w:rPr>
        <w:t> </w:t>
      </w:r>
      <w:r>
        <w:rPr>
          <w:color w:val="231F20"/>
        </w:rPr>
        <w:t>de</w:t>
      </w:r>
      <w:r>
        <w:rPr>
          <w:color w:val="231F20"/>
          <w:spacing w:val="-10"/>
        </w:rPr>
        <w:t> </w:t>
      </w:r>
      <w:r>
        <w:rPr>
          <w:color w:val="231F20"/>
          <w:spacing w:val="-4"/>
        </w:rPr>
        <w:t>México,</w:t>
      </w:r>
      <w:r>
        <w:rPr>
          <w:color w:val="231F20"/>
          <w:spacing w:val="-10"/>
        </w:rPr>
        <w:t> </w:t>
      </w:r>
      <w:r>
        <w:rPr>
          <w:color w:val="231F20"/>
          <w:spacing w:val="-4"/>
        </w:rPr>
        <w:t>Fondo</w:t>
      </w:r>
      <w:r>
        <w:rPr>
          <w:color w:val="231F20"/>
          <w:spacing w:val="-10"/>
        </w:rPr>
        <w:t> </w:t>
      </w:r>
      <w:r>
        <w:rPr>
          <w:color w:val="231F20"/>
        </w:rPr>
        <w:t>de</w:t>
      </w:r>
      <w:r>
        <w:rPr>
          <w:color w:val="231F20"/>
          <w:spacing w:val="-10"/>
        </w:rPr>
        <w:t> </w:t>
      </w:r>
      <w:r>
        <w:rPr>
          <w:color w:val="231F20"/>
        </w:rPr>
        <w:t>Cultura</w:t>
      </w:r>
      <w:r>
        <w:rPr>
          <w:color w:val="231F20"/>
          <w:spacing w:val="-10"/>
        </w:rPr>
        <w:t> </w:t>
      </w:r>
      <w:r>
        <w:rPr>
          <w:color w:val="231F20"/>
        </w:rPr>
        <w:t>Económica,</w:t>
      </w:r>
      <w:r>
        <w:rPr>
          <w:color w:val="231F20"/>
          <w:spacing w:val="-10"/>
        </w:rPr>
        <w:t> </w:t>
      </w:r>
      <w:r>
        <w:rPr>
          <w:color w:val="231F20"/>
          <w:spacing w:val="-4"/>
        </w:rPr>
        <w:t>México.</w:t>
      </w:r>
    </w:p>
    <w:p>
      <w:pPr>
        <w:pStyle w:val="BodyText"/>
        <w:spacing w:line="247" w:lineRule="auto"/>
        <w:ind w:left="1837" w:right="1551" w:hanging="284"/>
        <w:jc w:val="both"/>
      </w:pPr>
      <w:r>
        <w:rPr>
          <w:color w:val="231F20"/>
        </w:rPr>
        <w:t>CEFP (Centro de Estudios de las Finanzas Públicas). 1980-2012. Indicadores y Estadísticas. Históricas. Indicadores macroeconómicos 1980-2012. Balanza de pagos 1980-2011, anual. Cámara de Diputados. H. Congreso de la Unión. Disponible en: </w:t>
      </w:r>
      <w:hyperlink r:id="rId41">
        <w:r>
          <w:rPr>
            <w:color w:val="231F20"/>
          </w:rPr>
          <w:t>http://www3.diputados.gob.mx/camara/001_diputados/006_</w:t>
        </w:r>
      </w:hyperlink>
      <w:r>
        <w:rPr>
          <w:color w:val="231F20"/>
        </w:rPr>
        <w:t> centros_de_estudio/02_centro_de_estudios_de_finanzas_ publicas__1/005_ indicadores_y_estadisticas/01_historicas/01_ind_macroeconomicos_1980_2012</w:t>
      </w:r>
    </w:p>
    <w:p>
      <w:pPr>
        <w:pStyle w:val="BodyText"/>
        <w:spacing w:line="247" w:lineRule="auto"/>
        <w:ind w:left="1837" w:right="1536" w:hanging="284"/>
        <w:jc w:val="both"/>
      </w:pPr>
      <w:r>
        <w:rPr>
          <w:color w:val="231F20"/>
        </w:rPr>
        <w:t>CEFP (Centro de Estudios de las Finanzas Públicas). </w:t>
      </w:r>
      <w:r>
        <w:rPr>
          <w:color w:val="231F20"/>
          <w:spacing w:val="-5"/>
        </w:rPr>
        <w:t>1980-2012. </w:t>
      </w:r>
      <w:r>
        <w:rPr>
          <w:color w:val="231F20"/>
        </w:rPr>
        <w:t>Indicadores y Estadísticas. Históricas. Indicadores macroeconómicos </w:t>
      </w:r>
      <w:r>
        <w:rPr>
          <w:color w:val="231F20"/>
          <w:spacing w:val="-5"/>
        </w:rPr>
        <w:t>1980-2012. </w:t>
      </w:r>
      <w:r>
        <w:rPr>
          <w:color w:val="231F20"/>
        </w:rPr>
        <w:t>Inversión extranjera</w:t>
      </w:r>
      <w:r>
        <w:rPr>
          <w:color w:val="231F20"/>
          <w:spacing w:val="-18"/>
        </w:rPr>
        <w:t> </w:t>
      </w:r>
      <w:r>
        <w:rPr>
          <w:color w:val="231F20"/>
          <w:spacing w:val="-6"/>
        </w:rPr>
        <w:t>1980-2010.</w:t>
      </w:r>
      <w:r>
        <w:rPr>
          <w:color w:val="231F20"/>
          <w:spacing w:val="-18"/>
        </w:rPr>
        <w:t> </w:t>
      </w:r>
      <w:r>
        <w:rPr>
          <w:color w:val="231F20"/>
        </w:rPr>
        <w:t>Cámara</w:t>
      </w:r>
      <w:r>
        <w:rPr>
          <w:color w:val="231F20"/>
          <w:spacing w:val="-18"/>
        </w:rPr>
        <w:t> </w:t>
      </w:r>
      <w:r>
        <w:rPr>
          <w:color w:val="231F20"/>
        </w:rPr>
        <w:t>de</w:t>
      </w:r>
      <w:r>
        <w:rPr>
          <w:color w:val="231F20"/>
          <w:spacing w:val="-18"/>
        </w:rPr>
        <w:t> </w:t>
      </w:r>
      <w:r>
        <w:rPr>
          <w:color w:val="231F20"/>
        </w:rPr>
        <w:t>Diputados.</w:t>
      </w:r>
      <w:r>
        <w:rPr>
          <w:color w:val="231F20"/>
          <w:spacing w:val="-18"/>
        </w:rPr>
        <w:t> </w:t>
      </w:r>
      <w:r>
        <w:rPr>
          <w:color w:val="231F20"/>
        </w:rPr>
        <w:t>H.</w:t>
      </w:r>
      <w:r>
        <w:rPr>
          <w:color w:val="231F20"/>
          <w:spacing w:val="-18"/>
        </w:rPr>
        <w:t> </w:t>
      </w:r>
      <w:r>
        <w:rPr>
          <w:color w:val="231F20"/>
        </w:rPr>
        <w:t>Congreso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Unión.</w:t>
      </w:r>
      <w:r>
        <w:rPr>
          <w:color w:val="231F20"/>
          <w:spacing w:val="-18"/>
        </w:rPr>
        <w:t> </w:t>
      </w:r>
      <w:r>
        <w:rPr>
          <w:color w:val="231F20"/>
        </w:rPr>
        <w:t>Disponible en: </w:t>
      </w:r>
      <w:hyperlink r:id="rId42">
        <w:r>
          <w:rPr>
            <w:color w:val="231F20"/>
          </w:rPr>
          <w:t>http://www3.diputados.gob.mx/camara/001_diputados/006_centros_de_</w:t>
        </w:r>
      </w:hyperlink>
      <w:r>
        <w:rPr>
          <w:color w:val="231F20"/>
        </w:rPr>
        <w:t> </w:t>
      </w:r>
      <w:r>
        <w:rPr>
          <w:color w:val="231F20"/>
          <w:spacing w:val="2"/>
        </w:rPr>
        <w:t>estudio/02_centro_de_estudios_de_finanzas_publicas__1/005_indicadores_y_ </w:t>
      </w:r>
      <w:r>
        <w:rPr>
          <w:color w:val="231F20"/>
        </w:rPr>
        <w:t>estadisticas/01_historicas/01_ind_macroeconomicos_1980_2012</w:t>
      </w:r>
    </w:p>
    <w:p>
      <w:pPr>
        <w:pStyle w:val="BodyText"/>
        <w:spacing w:line="247" w:lineRule="auto"/>
        <w:ind w:left="1837" w:right="1551" w:hanging="284"/>
        <w:jc w:val="both"/>
      </w:pPr>
      <w:r>
        <w:rPr>
          <w:color w:val="231F20"/>
        </w:rPr>
        <w:t>CEFP (Centro de Estudios de las Finanzas Públicas). </w:t>
      </w:r>
      <w:r>
        <w:rPr>
          <w:color w:val="231F20"/>
          <w:spacing w:val="-5"/>
        </w:rPr>
        <w:t>1980-2012. </w:t>
      </w:r>
      <w:r>
        <w:rPr>
          <w:color w:val="231F20"/>
        </w:rPr>
        <w:t>Indicadores y Estadísticas.</w:t>
      </w:r>
      <w:r>
        <w:rPr>
          <w:color w:val="231F20"/>
          <w:spacing w:val="-10"/>
        </w:rPr>
        <w:t> </w:t>
      </w:r>
      <w:r>
        <w:rPr>
          <w:color w:val="231F20"/>
        </w:rPr>
        <w:t>Históricas.</w:t>
      </w:r>
      <w:r>
        <w:rPr>
          <w:color w:val="231F20"/>
          <w:spacing w:val="-10"/>
        </w:rPr>
        <w:t> </w:t>
      </w:r>
      <w:r>
        <w:rPr>
          <w:color w:val="231F20"/>
        </w:rPr>
        <w:t>Deuda</w:t>
      </w:r>
      <w:r>
        <w:rPr>
          <w:color w:val="231F20"/>
          <w:spacing w:val="-10"/>
        </w:rPr>
        <w:t> </w:t>
      </w:r>
      <w:r>
        <w:rPr>
          <w:color w:val="231F20"/>
        </w:rPr>
        <w:t>pública</w:t>
      </w:r>
      <w:r>
        <w:rPr>
          <w:color w:val="231F20"/>
          <w:spacing w:val="-10"/>
        </w:rPr>
        <w:t> </w:t>
      </w:r>
      <w:r>
        <w:rPr>
          <w:color w:val="231F20"/>
          <w:spacing w:val="-7"/>
        </w:rPr>
        <w:t>1980-2011.</w:t>
      </w:r>
      <w:r>
        <w:rPr>
          <w:color w:val="231F20"/>
          <w:spacing w:val="-10"/>
        </w:rPr>
        <w:t> </w:t>
      </w:r>
      <w:r>
        <w:rPr>
          <w:color w:val="231F20"/>
        </w:rPr>
        <w:t>Sector</w:t>
      </w:r>
      <w:r>
        <w:rPr>
          <w:color w:val="231F20"/>
          <w:spacing w:val="-10"/>
        </w:rPr>
        <w:t> </w:t>
      </w:r>
      <w:r>
        <w:rPr>
          <w:color w:val="231F20"/>
        </w:rPr>
        <w:t>Público</w:t>
      </w:r>
      <w:r>
        <w:rPr>
          <w:color w:val="231F20"/>
          <w:spacing w:val="-10"/>
        </w:rPr>
        <w:t> </w:t>
      </w:r>
      <w:r>
        <w:rPr>
          <w:color w:val="231F20"/>
        </w:rPr>
        <w:t>Presupuestario </w:t>
      </w:r>
      <w:r>
        <w:rPr>
          <w:color w:val="231F20"/>
          <w:spacing w:val="-4"/>
        </w:rPr>
        <w:t>(mdp</w:t>
      </w:r>
      <w:r>
        <w:rPr>
          <w:color w:val="231F20"/>
          <w:spacing w:val="-15"/>
        </w:rPr>
        <w:t> </w:t>
      </w:r>
      <w:r>
        <w:rPr>
          <w:color w:val="231F20"/>
        </w:rPr>
        <w:t>constantes,</w:t>
      </w:r>
      <w:r>
        <w:rPr>
          <w:color w:val="231F20"/>
          <w:spacing w:val="-15"/>
        </w:rPr>
        <w:t> </w:t>
      </w:r>
      <w:r>
        <w:rPr>
          <w:color w:val="231F20"/>
        </w:rPr>
        <w:t>base</w:t>
      </w:r>
      <w:r>
        <w:rPr>
          <w:color w:val="231F20"/>
          <w:spacing w:val="-15"/>
        </w:rPr>
        <w:t> </w:t>
      </w:r>
      <w:r>
        <w:rPr>
          <w:color w:val="231F20"/>
          <w:spacing w:val="-4"/>
        </w:rPr>
        <w:t>2003=100.</w:t>
      </w:r>
      <w:r>
        <w:rPr>
          <w:color w:val="231F20"/>
          <w:spacing w:val="-15"/>
        </w:rPr>
        <w:t> </w:t>
      </w:r>
      <w:r>
        <w:rPr>
          <w:color w:val="231F20"/>
        </w:rPr>
        <w:t>Cámara</w:t>
      </w:r>
      <w:r>
        <w:rPr>
          <w:color w:val="231F20"/>
          <w:spacing w:val="-15"/>
        </w:rPr>
        <w:t> </w:t>
      </w:r>
      <w:r>
        <w:rPr>
          <w:color w:val="231F20"/>
        </w:rPr>
        <w:t>de</w:t>
      </w:r>
      <w:r>
        <w:rPr>
          <w:color w:val="231F20"/>
          <w:spacing w:val="-15"/>
        </w:rPr>
        <w:t> </w:t>
      </w:r>
      <w:r>
        <w:rPr>
          <w:color w:val="231F20"/>
        </w:rPr>
        <w:t>Diputados.</w:t>
      </w:r>
      <w:r>
        <w:rPr>
          <w:color w:val="231F20"/>
          <w:spacing w:val="-15"/>
        </w:rPr>
        <w:t> </w:t>
      </w:r>
      <w:r>
        <w:rPr>
          <w:color w:val="231F20"/>
        </w:rPr>
        <w:t>H.</w:t>
      </w:r>
      <w:r>
        <w:rPr>
          <w:color w:val="231F20"/>
          <w:spacing w:val="-15"/>
        </w:rPr>
        <w:t> </w:t>
      </w:r>
      <w:r>
        <w:rPr>
          <w:color w:val="231F20"/>
        </w:rPr>
        <w:t>Congreso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Unión. Disponible en: </w:t>
      </w:r>
      <w:hyperlink r:id="rId41">
        <w:r>
          <w:rPr>
            <w:color w:val="231F20"/>
          </w:rPr>
          <w:t>http://www3.diputados.gob.mx/camara/001_diputados/006_</w:t>
        </w:r>
      </w:hyperlink>
      <w:r>
        <w:rPr>
          <w:color w:val="231F20"/>
        </w:rPr>
        <w:t> </w:t>
      </w:r>
      <w:r>
        <w:rPr>
          <w:color w:val="231F20"/>
          <w:spacing w:val="6"/>
        </w:rPr>
        <w:t>centros_de_estudio/02_centro_de_estudios_de_finanzas_ </w:t>
      </w:r>
      <w:r>
        <w:rPr>
          <w:color w:val="231F20"/>
          <w:spacing w:val="4"/>
        </w:rPr>
        <w:t>publicas__1/005_ </w:t>
      </w:r>
      <w:r>
        <w:rPr>
          <w:color w:val="231F20"/>
        </w:rPr>
        <w:t>indicadores_y_estadisticas/01_historicas/03_deuda_publica_1980_2011</w:t>
      </w:r>
    </w:p>
    <w:p>
      <w:pPr>
        <w:pStyle w:val="BodyText"/>
        <w:spacing w:line="247" w:lineRule="auto"/>
        <w:ind w:left="1837" w:right="1550" w:hanging="284"/>
        <w:jc w:val="both"/>
      </w:pPr>
      <w:r>
        <w:rPr>
          <w:color w:val="231F20"/>
        </w:rPr>
        <w:t>Contreras,</w:t>
      </w:r>
      <w:r>
        <w:rPr>
          <w:color w:val="231F20"/>
          <w:spacing w:val="-20"/>
        </w:rPr>
        <w:t> </w:t>
      </w:r>
      <w:r>
        <w:rPr>
          <w:color w:val="231F20"/>
        </w:rPr>
        <w:t>Talina.</w:t>
      </w:r>
      <w:r>
        <w:rPr>
          <w:color w:val="231F20"/>
          <w:spacing w:val="-20"/>
        </w:rPr>
        <w:t> </w:t>
      </w:r>
      <w:r>
        <w:rPr>
          <w:color w:val="231F20"/>
          <w:spacing w:val="-4"/>
        </w:rPr>
        <w:t>2007.</w:t>
      </w:r>
      <w:r>
        <w:rPr>
          <w:color w:val="231F20"/>
          <w:spacing w:val="-20"/>
        </w:rPr>
        <w:t> </w:t>
      </w:r>
      <w:r>
        <w:rPr>
          <w:color w:val="231F20"/>
        </w:rPr>
        <w:t>Deuda</w:t>
      </w:r>
      <w:r>
        <w:rPr>
          <w:color w:val="231F20"/>
          <w:spacing w:val="-20"/>
        </w:rPr>
        <w:t> </w:t>
      </w:r>
      <w:r>
        <w:rPr>
          <w:color w:val="231F20"/>
        </w:rPr>
        <w:t>Externa</w:t>
      </w:r>
      <w:r>
        <w:rPr>
          <w:color w:val="231F20"/>
          <w:spacing w:val="-20"/>
        </w:rPr>
        <w:t> </w:t>
      </w:r>
      <w:r>
        <w:rPr>
          <w:color w:val="231F20"/>
        </w:rPr>
        <w:t>crisis</w:t>
      </w:r>
      <w:r>
        <w:rPr>
          <w:color w:val="231F20"/>
          <w:spacing w:val="-20"/>
        </w:rPr>
        <w:t> </w:t>
      </w:r>
      <w:r>
        <w:rPr>
          <w:color w:val="231F20"/>
        </w:rPr>
        <w:t>y</w:t>
      </w:r>
      <w:r>
        <w:rPr>
          <w:color w:val="231F20"/>
          <w:spacing w:val="-20"/>
        </w:rPr>
        <w:t> </w:t>
      </w:r>
      <w:r>
        <w:rPr>
          <w:color w:val="231F20"/>
        </w:rPr>
        <w:t>crecimiento</w:t>
      </w:r>
      <w:r>
        <w:rPr>
          <w:color w:val="231F20"/>
          <w:spacing w:val="-20"/>
        </w:rPr>
        <w:t> </w:t>
      </w:r>
      <w:r>
        <w:rPr>
          <w:color w:val="231F20"/>
        </w:rPr>
        <w:t>en</w:t>
      </w:r>
      <w:r>
        <w:rPr>
          <w:color w:val="231F20"/>
          <w:spacing w:val="-20"/>
        </w:rPr>
        <w:t> </w:t>
      </w:r>
      <w:r>
        <w:rPr>
          <w:color w:val="231F20"/>
        </w:rPr>
        <w:t>México.</w:t>
      </w:r>
      <w:r>
        <w:rPr>
          <w:color w:val="231F20"/>
          <w:spacing w:val="-20"/>
        </w:rPr>
        <w:t> </w:t>
      </w:r>
      <w:r>
        <w:rPr>
          <w:color w:val="231F20"/>
        </w:rPr>
        <w:t>En</w:t>
      </w:r>
      <w:r>
        <w:rPr>
          <w:color w:val="231F20"/>
          <w:spacing w:val="-20"/>
        </w:rPr>
        <w:t> </w:t>
      </w:r>
      <w:r>
        <w:rPr>
          <w:color w:val="231F20"/>
        </w:rPr>
        <w:t>Economía Informa. Núm. </w:t>
      </w:r>
      <w:r>
        <w:rPr>
          <w:color w:val="231F20"/>
          <w:spacing w:val="-6"/>
        </w:rPr>
        <w:t>349. </w:t>
      </w:r>
      <w:r>
        <w:rPr>
          <w:color w:val="231F20"/>
        </w:rPr>
        <w:t>Noviembre- diciembre</w:t>
      </w:r>
      <w:r>
        <w:rPr>
          <w:color w:val="231F20"/>
          <w:spacing w:val="5"/>
        </w:rPr>
        <w:t> </w:t>
      </w:r>
      <w:r>
        <w:rPr>
          <w:color w:val="231F20"/>
          <w:spacing w:val="-4"/>
        </w:rPr>
        <w:t>2007.</w:t>
      </w:r>
    </w:p>
    <w:p>
      <w:pPr>
        <w:pStyle w:val="BodyText"/>
        <w:spacing w:line="247" w:lineRule="auto"/>
        <w:ind w:left="1837" w:right="1551" w:hanging="284"/>
        <w:jc w:val="both"/>
      </w:pPr>
      <w:r>
        <w:rPr>
          <w:color w:val="231F20"/>
        </w:rPr>
        <w:t>De la Rosa M., J. Ramiro. 2011. La inversión extranjera directa y el crecimiento económico en México, Libro colectivo, México, UAM-AZC.</w:t>
      </w:r>
    </w:p>
    <w:p>
      <w:pPr>
        <w:pStyle w:val="BodyText"/>
        <w:spacing w:line="247" w:lineRule="auto"/>
        <w:ind w:left="1837" w:right="1551" w:hanging="284"/>
        <w:jc w:val="both"/>
      </w:pPr>
      <w:r>
        <w:rPr>
          <w:color w:val="231F20"/>
        </w:rPr>
        <w:t>Girón, G. Alicia. 2001. Deuda pública. En Enrique Arriaga Conchas. Finanzas Públicas de México. Instituto Politécnico Nacional. México 2001. pp. 241-286.</w:t>
      </w:r>
    </w:p>
    <w:p>
      <w:pPr>
        <w:pStyle w:val="BodyText"/>
        <w:spacing w:line="247" w:lineRule="auto"/>
        <w:ind w:left="1837" w:right="1552" w:hanging="284"/>
        <w:jc w:val="both"/>
      </w:pPr>
      <w:r>
        <w:rPr>
          <w:color w:val="231F20"/>
        </w:rPr>
        <w:t>INEGI (Instituto Nacional de Estadística y Geografía). </w:t>
      </w:r>
      <w:r>
        <w:rPr>
          <w:color w:val="231F20"/>
          <w:spacing w:val="-7"/>
        </w:rPr>
        <w:t>2010. </w:t>
      </w:r>
      <w:r>
        <w:rPr>
          <w:color w:val="231F20"/>
        </w:rPr>
        <w:t>Estadísticas Históricas de México </w:t>
      </w:r>
      <w:r>
        <w:rPr>
          <w:color w:val="231F20"/>
          <w:spacing w:val="-3"/>
        </w:rPr>
        <w:t>2009. </w:t>
      </w:r>
      <w:r>
        <w:rPr>
          <w:color w:val="231F20"/>
        </w:rPr>
        <w:t>Sector Externo, </w:t>
      </w:r>
      <w:r>
        <w:rPr>
          <w:color w:val="231F20"/>
          <w:spacing w:val="-6"/>
        </w:rPr>
        <w:t>Tomo </w:t>
      </w:r>
      <w:r>
        <w:rPr>
          <w:color w:val="231F20"/>
        </w:rPr>
        <w:t>II, Capítulo </w:t>
      </w:r>
      <w:r>
        <w:rPr>
          <w:color w:val="231F20"/>
          <w:spacing w:val="-7"/>
        </w:rPr>
        <w:t>16.</w:t>
      </w:r>
    </w:p>
    <w:p>
      <w:pPr>
        <w:pStyle w:val="BodyText"/>
        <w:spacing w:line="247" w:lineRule="auto"/>
        <w:ind w:left="1837" w:right="1550" w:hanging="284"/>
        <w:jc w:val="both"/>
      </w:pPr>
      <w:r>
        <w:rPr>
          <w:color w:val="231F20"/>
        </w:rPr>
        <w:t>Koopmans, Tjalling C. 1965. “On The Concept of Optimal Economic Growth”, in The Econometric Approach to Development Planning, Amsterdam: North- Holland, pp. 225-195.</w:t>
      </w:r>
    </w:p>
    <w:p>
      <w:pPr>
        <w:pStyle w:val="BodyText"/>
        <w:spacing w:line="247" w:lineRule="auto"/>
        <w:ind w:left="1837" w:right="1551" w:hanging="284"/>
        <w:jc w:val="both"/>
      </w:pPr>
      <w:r>
        <w:rPr>
          <w:color w:val="231F20"/>
        </w:rPr>
        <w:t>Ramsey, </w:t>
      </w:r>
      <w:r>
        <w:rPr>
          <w:color w:val="231F20"/>
          <w:spacing w:val="-11"/>
        </w:rPr>
        <w:t>F. </w:t>
      </w:r>
      <w:r>
        <w:rPr>
          <w:color w:val="231F20"/>
          <w:spacing w:val="-13"/>
        </w:rPr>
        <w:t>P. </w:t>
      </w:r>
      <w:r>
        <w:rPr>
          <w:color w:val="231F20"/>
          <w:spacing w:val="-4"/>
        </w:rPr>
        <w:t>1928. </w:t>
      </w:r>
      <w:r>
        <w:rPr>
          <w:color w:val="231F20"/>
        </w:rPr>
        <w:t>A Mathematical Theory </w:t>
      </w:r>
      <w:r>
        <w:rPr>
          <w:color w:val="231F20"/>
          <w:spacing w:val="-3"/>
        </w:rPr>
        <w:t>of </w:t>
      </w:r>
      <w:r>
        <w:rPr>
          <w:color w:val="231F20"/>
        </w:rPr>
        <w:t>Saving: The Economic Journal, </w:t>
      </w:r>
      <w:r>
        <w:rPr>
          <w:color w:val="231F20"/>
          <w:spacing w:val="-7"/>
        </w:rPr>
        <w:t>Vol. </w:t>
      </w:r>
      <w:r>
        <w:rPr>
          <w:color w:val="231F20"/>
          <w:spacing w:val="-3"/>
        </w:rPr>
        <w:t>38, </w:t>
      </w:r>
      <w:r>
        <w:rPr>
          <w:color w:val="231F20"/>
          <w:spacing w:val="-4"/>
        </w:rPr>
        <w:t>No. </w:t>
      </w:r>
      <w:r>
        <w:rPr>
          <w:color w:val="231F20"/>
          <w:spacing w:val="-7"/>
        </w:rPr>
        <w:t>152 </w:t>
      </w:r>
      <w:r>
        <w:rPr>
          <w:color w:val="231F20"/>
        </w:rPr>
        <w:t>(Dec., </w:t>
      </w:r>
      <w:r>
        <w:rPr>
          <w:color w:val="231F20"/>
          <w:spacing w:val="-5"/>
        </w:rPr>
        <w:t>1928), </w:t>
      </w:r>
      <w:r>
        <w:rPr>
          <w:color w:val="231F20"/>
        </w:rPr>
        <w:t>pp. </w:t>
      </w:r>
      <w:r>
        <w:rPr>
          <w:color w:val="231F20"/>
          <w:spacing w:val="-6"/>
        </w:rPr>
        <w:t>543-559 </w:t>
      </w:r>
      <w:r>
        <w:rPr>
          <w:color w:val="231F20"/>
        </w:rPr>
        <w:t>Published by: Blackwell Publishing for the</w:t>
      </w:r>
    </w:p>
    <w:p>
      <w:pPr>
        <w:pStyle w:val="BodyText"/>
        <w:spacing w:before="2"/>
        <w:rPr>
          <w:sz w:val="9"/>
        </w:rPr>
      </w:pPr>
    </w:p>
    <w:p>
      <w:pPr>
        <w:spacing w:before="75"/>
        <w:ind w:left="1575" w:right="1575" w:firstLine="0"/>
        <w:jc w:val="center"/>
        <w:rPr>
          <w:sz w:val="20"/>
        </w:rPr>
      </w:pPr>
      <w:r>
        <w:rPr>
          <w:color w:val="231F20"/>
          <w:sz w:val="20"/>
        </w:rPr>
        <w:t>52</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1802" w:right="0" w:firstLine="0"/>
        <w:jc w:val="left"/>
        <w:rPr>
          <w:sz w:val="20"/>
        </w:rPr>
      </w:pPr>
      <w:r>
        <w:rPr>
          <w:color w:val="231F20"/>
          <w:sz w:val="20"/>
        </w:rPr>
        <w:t>L</w:t>
      </w:r>
      <w:r>
        <w:rPr>
          <w:color w:val="231F20"/>
          <w:sz w:val="14"/>
        </w:rPr>
        <w:t>A  INVERSIÓN  EXTRANJERA DIRECTA  EN EL  CRECIMIENTO ECONÓMICO DE  </w:t>
      </w:r>
      <w:r>
        <w:rPr>
          <w:color w:val="231F20"/>
          <w:sz w:val="20"/>
        </w:rPr>
        <w:t>M</w:t>
      </w:r>
      <w:r>
        <w:rPr>
          <w:color w:val="231F20"/>
          <w:sz w:val="14"/>
        </w:rPr>
        <w:t>ÉXICO</w:t>
      </w:r>
      <w:r>
        <w:rPr>
          <w:color w:val="231F20"/>
          <w:sz w:val="20"/>
        </w:rPr>
        <w:t>, 1970-2012</w:t>
      </w:r>
    </w:p>
    <w:p>
      <w:pPr>
        <w:pStyle w:val="BodyText"/>
        <w:rPr>
          <w:sz w:val="20"/>
        </w:rPr>
      </w:pPr>
    </w:p>
    <w:p>
      <w:pPr>
        <w:pStyle w:val="BodyText"/>
        <w:spacing w:before="8"/>
        <w:rPr>
          <w:sz w:val="17"/>
        </w:rPr>
      </w:pPr>
    </w:p>
    <w:p>
      <w:pPr>
        <w:pStyle w:val="BodyText"/>
        <w:spacing w:line="247" w:lineRule="auto" w:before="1"/>
        <w:ind w:left="1837" w:right="1864"/>
      </w:pPr>
      <w:r>
        <w:rPr>
          <w:color w:val="231F20"/>
        </w:rPr>
        <w:t>Royal Economic Society Stable URL. Disponible en: </w:t>
      </w:r>
      <w:hyperlink r:id="rId43">
        <w:r>
          <w:rPr>
            <w:color w:val="231F20"/>
          </w:rPr>
          <w:t>http://www.jstor.org/</w:t>
        </w:r>
      </w:hyperlink>
      <w:r>
        <w:rPr>
          <w:color w:val="231F20"/>
        </w:rPr>
        <w:t> stable/2224098</w:t>
      </w:r>
    </w:p>
    <w:p>
      <w:pPr>
        <w:pStyle w:val="BodyText"/>
        <w:spacing w:line="247" w:lineRule="auto"/>
        <w:ind w:left="1837" w:right="1551" w:hanging="284"/>
        <w:jc w:val="both"/>
      </w:pPr>
      <w:r>
        <w:rPr>
          <w:color w:val="231F20"/>
          <w:spacing w:val="-3"/>
        </w:rPr>
        <w:t>Romer, </w:t>
      </w:r>
      <w:r>
        <w:rPr>
          <w:color w:val="231F20"/>
        </w:rPr>
        <w:t>Paul M. </w:t>
      </w:r>
      <w:r>
        <w:rPr>
          <w:color w:val="231F20"/>
          <w:spacing w:val="-6"/>
        </w:rPr>
        <w:t>1983. </w:t>
      </w:r>
      <w:r>
        <w:rPr>
          <w:color w:val="231F20"/>
        </w:rPr>
        <w:t>Increasing </w:t>
      </w:r>
      <w:r>
        <w:rPr>
          <w:color w:val="231F20"/>
          <w:spacing w:val="2"/>
        </w:rPr>
        <w:t>Returns </w:t>
      </w:r>
      <w:r>
        <w:rPr>
          <w:color w:val="231F20"/>
        </w:rPr>
        <w:t>and Long-Run Growth. </w:t>
      </w:r>
      <w:r>
        <w:rPr>
          <w:i/>
          <w:color w:val="231F20"/>
        </w:rPr>
        <w:t>The Journal of </w:t>
      </w:r>
      <w:r>
        <w:rPr>
          <w:i/>
          <w:color w:val="231F20"/>
        </w:rPr>
        <w:t>Political Economy</w:t>
      </w:r>
      <w:r>
        <w:rPr>
          <w:color w:val="231F20"/>
        </w:rPr>
        <w:t>, </w:t>
      </w:r>
      <w:r>
        <w:rPr>
          <w:color w:val="231F20"/>
          <w:spacing w:val="-7"/>
        </w:rPr>
        <w:t>Vol. </w:t>
      </w:r>
      <w:r>
        <w:rPr>
          <w:color w:val="231F20"/>
        </w:rPr>
        <w:t>94, </w:t>
      </w:r>
      <w:r>
        <w:rPr>
          <w:color w:val="231F20"/>
          <w:spacing w:val="-4"/>
        </w:rPr>
        <w:t>No. </w:t>
      </w:r>
      <w:r>
        <w:rPr>
          <w:color w:val="231F20"/>
          <w:spacing w:val="-5"/>
        </w:rPr>
        <w:t>5. </w:t>
      </w:r>
      <w:r>
        <w:rPr>
          <w:color w:val="231F20"/>
          <w:spacing w:val="-3"/>
        </w:rPr>
        <w:t>(Oct., </w:t>
      </w:r>
      <w:r>
        <w:rPr>
          <w:color w:val="231F20"/>
          <w:spacing w:val="-4"/>
        </w:rPr>
        <w:t>1986), </w:t>
      </w:r>
      <w:r>
        <w:rPr>
          <w:color w:val="231F20"/>
        </w:rPr>
        <w:t>pp. </w:t>
      </w:r>
      <w:r>
        <w:rPr>
          <w:color w:val="231F20"/>
          <w:spacing w:val="-7"/>
        </w:rPr>
        <w:t>1002-1037. </w:t>
      </w:r>
      <w:r>
        <w:rPr>
          <w:color w:val="231F20"/>
        </w:rPr>
        <w:t>Disponible en: </w:t>
      </w:r>
      <w:hyperlink r:id="rId44">
        <w:r>
          <w:rPr>
            <w:color w:val="231F20"/>
            <w:spacing w:val="-2"/>
          </w:rPr>
          <w:t>http://links.jstor.org/sici?sici=0022-38082819861029943A53C10023AIRALG3E</w:t>
        </w:r>
      </w:hyperlink>
      <w:r>
        <w:rPr>
          <w:color w:val="231F20"/>
          <w:spacing w:val="-2"/>
        </w:rPr>
        <w:t> </w:t>
      </w:r>
      <w:r>
        <w:rPr>
          <w:color w:val="231F20"/>
          <w:spacing w:val="-4"/>
        </w:rPr>
        <w:t>2.0.CO3B2-C</w:t>
      </w:r>
    </w:p>
    <w:p>
      <w:pPr>
        <w:pStyle w:val="BodyText"/>
        <w:spacing w:line="247" w:lineRule="auto"/>
        <w:ind w:left="1386" w:right="1550"/>
        <w:jc w:val="right"/>
      </w:pPr>
      <w:r>
        <w:rPr>
          <w:color w:val="231F20"/>
          <w:spacing w:val="-4"/>
        </w:rPr>
        <w:t>Sala-I-Martín, </w:t>
      </w:r>
      <w:r>
        <w:rPr>
          <w:color w:val="231F20"/>
          <w:spacing w:val="-3"/>
        </w:rPr>
        <w:t>X. </w:t>
      </w:r>
      <w:r>
        <w:rPr>
          <w:color w:val="231F20"/>
          <w:spacing w:val="-4"/>
        </w:rPr>
        <w:t>2000. Apuntes </w:t>
      </w:r>
      <w:r>
        <w:rPr>
          <w:color w:val="231F20"/>
          <w:spacing w:val="-3"/>
        </w:rPr>
        <w:t>de </w:t>
      </w:r>
      <w:r>
        <w:rPr>
          <w:color w:val="231F20"/>
          <w:spacing w:val="-4"/>
        </w:rPr>
        <w:t>crecimiento </w:t>
      </w:r>
      <w:r>
        <w:rPr>
          <w:color w:val="231F20"/>
          <w:spacing w:val="-5"/>
        </w:rPr>
        <w:t>económico. </w:t>
      </w:r>
      <w:r>
        <w:rPr>
          <w:color w:val="231F20"/>
          <w:spacing w:val="-3"/>
        </w:rPr>
        <w:t>Antoni </w:t>
      </w:r>
      <w:r>
        <w:rPr>
          <w:color w:val="231F20"/>
          <w:spacing w:val="-5"/>
        </w:rPr>
        <w:t>Bosch </w:t>
      </w:r>
      <w:r>
        <w:rPr>
          <w:color w:val="231F20"/>
          <w:spacing w:val="-4"/>
        </w:rPr>
        <w:t>Editor </w:t>
      </w:r>
      <w:r>
        <w:rPr>
          <w:color w:val="231F20"/>
        </w:rPr>
        <w:t>2ª </w:t>
      </w:r>
      <w:r>
        <w:rPr>
          <w:color w:val="231F20"/>
          <w:spacing w:val="-3"/>
        </w:rPr>
        <w:t>ed.</w:t>
      </w:r>
      <w:r>
        <w:rPr>
          <w:color w:val="231F20"/>
        </w:rPr>
        <w:t> Sánchez L., Sarahí. </w:t>
      </w:r>
      <w:r>
        <w:rPr>
          <w:color w:val="231F20"/>
          <w:spacing w:val="-7"/>
        </w:rPr>
        <w:t>2010. </w:t>
      </w:r>
      <w:r>
        <w:rPr>
          <w:color w:val="231F20"/>
        </w:rPr>
        <w:t>Crecimiento económico y comercio exterior de México en el marco del Tratado de Libre Comercio con América del Norte, TLCAN, 1994- 2008. </w:t>
      </w:r>
      <w:r>
        <w:rPr>
          <w:color w:val="231F20"/>
          <w:spacing w:val="-5"/>
        </w:rPr>
        <w:t>Tesis </w:t>
      </w:r>
      <w:r>
        <w:rPr>
          <w:color w:val="231F20"/>
        </w:rPr>
        <w:t>para obtener el grado de Maestría en Economía Aplicada. Colegio de</w:t>
      </w:r>
    </w:p>
    <w:p>
      <w:pPr>
        <w:pStyle w:val="BodyText"/>
        <w:spacing w:line="253" w:lineRule="exact"/>
        <w:ind w:left="1837" w:right="4279"/>
      </w:pPr>
      <w:r>
        <w:rPr>
          <w:color w:val="231F20"/>
        </w:rPr>
        <w:t>la Frontera Norte. Tijuana, B.C., México, 2010.</w:t>
      </w:r>
    </w:p>
    <w:p>
      <w:pPr>
        <w:pStyle w:val="BodyText"/>
        <w:spacing w:line="247" w:lineRule="auto" w:before="7"/>
        <w:ind w:left="1837" w:right="1549" w:hanging="284"/>
        <w:jc w:val="both"/>
      </w:pPr>
      <w:r>
        <w:rPr>
          <w:color w:val="231F20"/>
        </w:rPr>
        <w:t>Santiago, F. L. 2008. La inversión Extranjera Directa en el crecimiento económico de México 1970-2006. Tesis de Licenciatura, División de Ciencias Económico- Administrativas, Universidad Autónoma Chapingo.</w:t>
      </w:r>
    </w:p>
    <w:p>
      <w:pPr>
        <w:pStyle w:val="BodyText"/>
        <w:spacing w:line="247" w:lineRule="auto"/>
        <w:ind w:left="1837" w:right="1548" w:hanging="284"/>
        <w:jc w:val="both"/>
      </w:pPr>
      <w:r>
        <w:rPr>
          <w:color w:val="231F20"/>
        </w:rPr>
        <w:t>Secretaría de Economía. 2013. Inversión Extranjera Directa en México y el Mundo. Carpeta de Información Estadística. DGIE. 3 de mayo de 2013. Disponible en: </w:t>
      </w:r>
      <w:hyperlink r:id="rId45">
        <w:r>
          <w:rPr>
            <w:color w:val="231F20"/>
          </w:rPr>
          <w:t>http://www.economia.gob.mx/files/comunidad_negocios/ied/carpeta_info_</w:t>
        </w:r>
      </w:hyperlink>
      <w:r>
        <w:rPr>
          <w:color w:val="231F20"/>
        </w:rPr>
        <w:t> estadistica_052013.pdf</w:t>
      </w:r>
    </w:p>
    <w:p>
      <w:pPr>
        <w:pStyle w:val="BodyText"/>
        <w:spacing w:line="247" w:lineRule="auto"/>
        <w:ind w:left="1386" w:right="1549"/>
        <w:jc w:val="right"/>
      </w:pPr>
      <w:r>
        <w:rPr>
          <w:color w:val="231F20"/>
        </w:rPr>
        <w:t>Secretaría de Economía. </w:t>
      </w:r>
      <w:r>
        <w:rPr>
          <w:color w:val="231F20"/>
          <w:spacing w:val="-6"/>
        </w:rPr>
        <w:t>2012. </w:t>
      </w:r>
      <w:r>
        <w:rPr>
          <w:color w:val="231F20"/>
          <w:spacing w:val="-3"/>
        </w:rPr>
        <w:t>Inversión </w:t>
      </w:r>
      <w:r>
        <w:rPr>
          <w:color w:val="231F20"/>
        </w:rPr>
        <w:t>Extranjera Directa en </w:t>
      </w:r>
      <w:r>
        <w:rPr>
          <w:color w:val="231F20"/>
          <w:spacing w:val="-3"/>
        </w:rPr>
        <w:t>México </w:t>
      </w:r>
      <w:r>
        <w:rPr>
          <w:color w:val="231F20"/>
        </w:rPr>
        <w:t>y </w:t>
      </w:r>
      <w:r>
        <w:rPr>
          <w:color w:val="231F20"/>
          <w:spacing w:val="-3"/>
        </w:rPr>
        <w:t>el </w:t>
      </w:r>
      <w:r>
        <w:rPr>
          <w:color w:val="231F20"/>
          <w:spacing w:val="-4"/>
        </w:rPr>
        <w:t>Mundo.</w:t>
      </w:r>
      <w:r>
        <w:rPr>
          <w:color w:val="231F20"/>
        </w:rPr>
        <w:t> Carpeta de Información Estadística. DGIE. 5 de </w:t>
      </w:r>
      <w:r>
        <w:rPr>
          <w:color w:val="231F20"/>
          <w:spacing w:val="-3"/>
        </w:rPr>
        <w:t>noviembre </w:t>
      </w:r>
      <w:r>
        <w:rPr>
          <w:color w:val="231F20"/>
        </w:rPr>
        <w:t>de </w:t>
      </w:r>
      <w:r>
        <w:rPr>
          <w:color w:val="231F20"/>
          <w:spacing w:val="-6"/>
        </w:rPr>
        <w:t>2012. </w:t>
      </w:r>
      <w:r>
        <w:rPr>
          <w:color w:val="231F20"/>
          <w:spacing w:val="-3"/>
        </w:rPr>
        <w:t>Disponible </w:t>
      </w:r>
      <w:r>
        <w:rPr>
          <w:color w:val="231F20"/>
        </w:rPr>
        <w:t> en:</w:t>
      </w:r>
      <w:r>
        <w:rPr>
          <w:color w:val="231F20"/>
          <w:spacing w:val="16"/>
        </w:rPr>
        <w:t> </w:t>
      </w:r>
      <w:hyperlink r:id="rId46">
        <w:r>
          <w:rPr>
            <w:color w:val="231F20"/>
            <w:spacing w:val="-3"/>
          </w:rPr>
          <w:t>http://www.economia.gob.mx/files/comunidad_negocios/ied/Carpeta_IED.pdf</w:t>
        </w:r>
      </w:hyperlink>
      <w:r>
        <w:rPr>
          <w:color w:val="231F20"/>
        </w:rPr>
        <w:t> Simón Domínguez, </w:t>
      </w:r>
      <w:r>
        <w:rPr>
          <w:color w:val="231F20"/>
          <w:spacing w:val="-4"/>
        </w:rPr>
        <w:t>N., Vera </w:t>
      </w:r>
      <w:r>
        <w:rPr>
          <w:color w:val="231F20"/>
          <w:spacing w:val="-3"/>
        </w:rPr>
        <w:t>M., </w:t>
      </w:r>
      <w:r>
        <w:rPr>
          <w:color w:val="231F20"/>
          <w:spacing w:val="-13"/>
        </w:rPr>
        <w:t>P. </w:t>
      </w:r>
      <w:r>
        <w:rPr>
          <w:color w:val="231F20"/>
        </w:rPr>
        <w:t>S. </w:t>
      </w:r>
      <w:r>
        <w:rPr>
          <w:color w:val="231F20"/>
          <w:spacing w:val="-7"/>
        </w:rPr>
        <w:t>2010. </w:t>
      </w:r>
      <w:r>
        <w:rPr>
          <w:color w:val="231F20"/>
        </w:rPr>
        <w:t>La inversión extranjera directa en México.</w:t>
      </w:r>
      <w:r>
        <w:rPr>
          <w:color w:val="231F20"/>
          <w:spacing w:val="25"/>
        </w:rPr>
        <w:t> </w:t>
      </w:r>
      <w:r>
        <w:rPr>
          <w:color w:val="231F20"/>
        </w:rPr>
        <w:t>¿Factor de desarrollo regional? El caso de la industria de autopartes.</w:t>
      </w:r>
    </w:p>
    <w:p>
      <w:pPr>
        <w:pStyle w:val="BodyText"/>
        <w:spacing w:line="253" w:lineRule="exact"/>
        <w:ind w:left="1837"/>
      </w:pPr>
      <w:r>
        <w:rPr>
          <w:color w:val="231F20"/>
        </w:rPr>
        <w:t>Web Journal </w:t>
      </w:r>
      <w:r>
        <w:rPr>
          <w:b/>
          <w:color w:val="231F20"/>
        </w:rPr>
        <w:t>© </w:t>
      </w:r>
      <w:r>
        <w:rPr>
          <w:color w:val="231F20"/>
        </w:rPr>
        <w:t>PROFMEX ISSN 1535-0630. Vol. 15, No. 3 (Summer 2010).</w:t>
      </w:r>
    </w:p>
    <w:p>
      <w:pPr>
        <w:pStyle w:val="BodyText"/>
        <w:spacing w:line="247" w:lineRule="auto" w:before="7"/>
        <w:ind w:left="1837" w:right="1551" w:hanging="284"/>
        <w:jc w:val="both"/>
      </w:pPr>
      <w:r>
        <w:rPr>
          <w:color w:val="231F20"/>
        </w:rPr>
        <w:t>Solow, R.M. 1956. A Contribution to the Theory of Economic Growth, Quarterly Journal of Economics 70 (1), 65 - 94.</w:t>
      </w:r>
    </w:p>
    <w:p>
      <w:pPr>
        <w:pStyle w:val="BodyText"/>
        <w:spacing w:line="247" w:lineRule="auto"/>
        <w:ind w:left="1837" w:right="1550" w:hanging="284"/>
        <w:jc w:val="both"/>
      </w:pPr>
      <w:r>
        <w:rPr>
          <w:color w:val="231F20"/>
        </w:rPr>
        <w:t>Swan, T.W. 1956. Economic Growth and Capital Accumulation, Economic Record 32 (63), 334- 361.</w:t>
      </w:r>
    </w:p>
    <w:p>
      <w:pPr>
        <w:pStyle w:val="BodyText"/>
        <w:spacing w:line="253" w:lineRule="exact"/>
        <w:ind w:left="1553"/>
      </w:pPr>
      <w:r>
        <w:rPr>
          <w:color w:val="231F20"/>
        </w:rPr>
        <w:t>UNCTAD (Conferencia de las Naciones Unidas sobre Comercio y Desarrollo). 2001.</w:t>
      </w:r>
    </w:p>
    <w:p>
      <w:pPr>
        <w:spacing w:before="7"/>
        <w:ind w:left="1837" w:right="4279" w:firstLine="0"/>
        <w:jc w:val="left"/>
        <w:rPr>
          <w:i/>
          <w:sz w:val="22"/>
        </w:rPr>
      </w:pPr>
      <w:r>
        <w:rPr>
          <w:i/>
          <w:color w:val="231F20"/>
          <w:sz w:val="22"/>
        </w:rPr>
        <w:t>World Investment Report.</w:t>
      </w:r>
    </w:p>
    <w:p>
      <w:pPr>
        <w:pStyle w:val="BodyText"/>
        <w:spacing w:before="7"/>
        <w:ind w:left="1553"/>
      </w:pPr>
      <w:r>
        <w:rPr>
          <w:color w:val="231F20"/>
        </w:rPr>
        <w:t>Vidal Gregorio. 2000. Comercio Exterior, Inversión Extranjera y Grandes Empresas.</w:t>
      </w:r>
    </w:p>
    <w:p>
      <w:pPr>
        <w:pStyle w:val="BodyText"/>
        <w:spacing w:before="7"/>
        <w:ind w:left="1837"/>
      </w:pPr>
      <w:r>
        <w:rPr>
          <w:color w:val="231F20"/>
        </w:rPr>
        <w:t>Revista Comercio Exterior Julio 2000. pp. 587-595.</w:t>
      </w:r>
    </w:p>
    <w:p>
      <w:pPr>
        <w:pStyle w:val="BodyText"/>
      </w:pPr>
    </w:p>
    <w:p>
      <w:pPr>
        <w:pStyle w:val="BodyText"/>
        <w:spacing w:before="5"/>
        <w:rPr>
          <w:sz w:val="20"/>
        </w:rPr>
      </w:pPr>
    </w:p>
    <w:p>
      <w:pPr>
        <w:pStyle w:val="Heading2"/>
        <w:ind w:right="4279"/>
        <w:jc w:val="left"/>
      </w:pPr>
      <w:r>
        <w:rPr>
          <w:color w:val="231F20"/>
        </w:rPr>
        <w:t>Sitios web</w:t>
      </w:r>
    </w:p>
    <w:p>
      <w:pPr>
        <w:pStyle w:val="BodyText"/>
        <w:spacing w:before="8"/>
        <w:rPr>
          <w:b/>
          <w:sz w:val="20"/>
        </w:rPr>
      </w:pPr>
    </w:p>
    <w:p>
      <w:pPr>
        <w:pStyle w:val="BodyText"/>
        <w:ind w:left="1553"/>
      </w:pPr>
      <w:hyperlink r:id="rId47">
        <w:r>
          <w:rPr>
            <w:color w:val="231F20"/>
          </w:rPr>
          <w:t>http://www.angelfire.com/tn/tiempos/economia/texto37.html</w:t>
        </w:r>
      </w:hyperlink>
      <w:r>
        <w:rPr>
          <w:color w:val="231F20"/>
        </w:rPr>
        <w:t> (10 de enero de 2013).</w:t>
      </w:r>
    </w:p>
    <w:p>
      <w:pPr>
        <w:pStyle w:val="BodyText"/>
        <w:spacing w:before="7"/>
        <w:ind w:left="1553"/>
      </w:pPr>
      <w:hyperlink r:id="rId48">
        <w:r>
          <w:rPr>
            <w:color w:val="231F20"/>
          </w:rPr>
          <w:t>http://csh.izt.uam.mx/cen_doc/cedefna/entrega/ied.html</w:t>
        </w:r>
      </w:hyperlink>
      <w:r>
        <w:rPr>
          <w:color w:val="231F20"/>
        </w:rPr>
        <w:t> (12 de enero de 2013).</w:t>
      </w:r>
    </w:p>
    <w:p>
      <w:pPr>
        <w:pStyle w:val="BodyText"/>
        <w:spacing w:before="8"/>
        <w:rPr>
          <w:sz w:val="11"/>
        </w:rPr>
      </w:pPr>
    </w:p>
    <w:p>
      <w:pPr>
        <w:spacing w:before="74"/>
        <w:ind w:left="1575" w:right="1575" w:firstLine="0"/>
        <w:jc w:val="center"/>
        <w:rPr>
          <w:sz w:val="20"/>
        </w:rPr>
      </w:pPr>
      <w:r>
        <w:rPr>
          <w:color w:val="231F20"/>
          <w:sz w:val="20"/>
        </w:rPr>
        <w:t>53</w:t>
      </w:r>
    </w:p>
    <w:p>
      <w:pPr>
        <w:spacing w:after="0"/>
        <w:jc w:val="center"/>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spacing w:before="1"/>
        <w:ind w:left="1575" w:right="1575" w:firstLine="0"/>
        <w:jc w:val="center"/>
        <w:rPr>
          <w:i/>
          <w:sz w:val="20"/>
        </w:rPr>
      </w:pPr>
      <w:r>
        <w:rPr>
          <w:i/>
          <w:color w:val="231F20"/>
          <w:sz w:val="20"/>
        </w:rPr>
        <w:t>Desarrollo y tecnología. Aportaciones a los problemas de la sociedad</w:t>
      </w:r>
    </w:p>
    <w:p>
      <w:pPr>
        <w:spacing w:line="271" w:lineRule="auto" w:before="30"/>
        <w:ind w:left="3581" w:right="3578" w:firstLine="0"/>
        <w:jc w:val="center"/>
        <w:rPr>
          <w:sz w:val="20"/>
        </w:rPr>
      </w:pPr>
      <w:r>
        <w:rPr>
          <w:color w:val="231F20"/>
          <w:sz w:val="20"/>
        </w:rPr>
        <w:t>se terminó de imprimir en marzo de 2015 el tiraje consta de 1 000 ejemplares</w:t>
      </w:r>
    </w:p>
    <w:p>
      <w:pPr>
        <w:spacing w:after="0" w:line="271" w:lineRule="auto"/>
        <w:jc w:val="center"/>
        <w:rPr>
          <w:sz w:val="20"/>
        </w:rPr>
        <w:sectPr>
          <w:footerReference w:type="default" r:id="rId49"/>
          <w:pgSz w:w="10480" w:h="13880"/>
          <w:pgMar w:footer="222" w:header="0" w:top="420" w:bottom="420" w:left="0" w:right="0"/>
        </w:sectPr>
      </w:pPr>
    </w:p>
    <w:p>
      <w:pPr>
        <w:pStyle w:val="BodyText"/>
        <w:ind w:right="-16"/>
        <w:rPr>
          <w:sz w:val="20"/>
        </w:rPr>
      </w:pPr>
      <w:r>
        <w:rPr>
          <w:sz w:val="20"/>
        </w:rPr>
        <w:drawing>
          <wp:inline distT="0" distB="0" distL="0" distR="0">
            <wp:extent cx="6106096" cy="8259699"/>
            <wp:effectExtent l="0" t="0" r="0" b="0"/>
            <wp:docPr id="19" name="image13.jpeg" descr=""/>
            <wp:cNvGraphicFramePr>
              <a:graphicFrameLocks noChangeAspect="1"/>
            </wp:cNvGraphicFramePr>
            <a:graphic>
              <a:graphicData uri="http://schemas.openxmlformats.org/drawingml/2006/picture">
                <pic:pic>
                  <pic:nvPicPr>
                    <pic:cNvPr id="20" name="image13.jpeg"/>
                    <pic:cNvPicPr/>
                  </pic:nvPicPr>
                  <pic:blipFill>
                    <a:blip r:embed="rId52" cstate="print"/>
                    <a:stretch>
                      <a:fillRect/>
                    </a:stretch>
                  </pic:blipFill>
                  <pic:spPr>
                    <a:xfrm>
                      <a:off x="0" y="0"/>
                      <a:ext cx="6106096" cy="8259699"/>
                    </a:xfrm>
                    <a:prstGeom prst="rect">
                      <a:avLst/>
                    </a:prstGeom>
                  </pic:spPr>
                </pic:pic>
              </a:graphicData>
            </a:graphic>
          </wp:inline>
        </w:drawing>
      </w:r>
      <w:r>
        <w:rPr>
          <w:sz w:val="20"/>
        </w:rPr>
      </w:r>
    </w:p>
    <w:sectPr>
      <w:headerReference w:type="default" r:id="rId50"/>
      <w:footerReference w:type="default" r:id="rId51"/>
      <w:pgSz w:w="9640" w:h="130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136" from="21pt,678.969971pt" to="21pt,693.969971pt" stroked="true" strokeweight=".25pt" strokecolor="#231f20">
          <w10:wrap type="none"/>
        </v:line>
      </w:pict>
    </w:r>
    <w:r>
      <w:rPr/>
      <w:pict>
        <v:line style="position:absolute;mso-position-horizontal-relative:page;mso-position-vertical-relative:page;z-index:-48112" from="502.890015pt,678.969971pt" to="502.890015pt,693.969971pt" stroked="true" strokeweight=".25pt" strokecolor="#231f20">
          <w10:wrap type="none"/>
        </v:line>
      </w:pict>
    </w:r>
    <w:r>
      <w:rPr/>
      <w:pict>
        <v:line style="position:absolute;mso-position-horizontal-relative:page;mso-position-vertical-relative:page;z-index:-48088" from="15pt,672.969971pt" to="0pt,672.969971pt" stroked="true" strokeweight=".25pt" strokecolor="#231f20">
          <w10:wrap type="none"/>
        </v:line>
      </w:pict>
    </w:r>
    <w:r>
      <w:rPr/>
      <w:pict>
        <v:line style="position:absolute;mso-position-horizontal-relative:page;mso-position-vertical-relative:page;z-index:-48064" from="508.890015pt,672.969971pt" to="523.890015pt,672.969971pt" stroked="true" strokeweight=".25pt" strokecolor="#231f20">
          <w10:wrap type="none"/>
        </v:line>
      </w:pict>
    </w:r>
    <w:r>
      <w:rPr/>
      <w:pict>
        <v:shapetype id="_x0000_t202" o:spt="202" coordsize="21600,21600" path="m,l,21600r21600,l21600,xe">
          <v:stroke joinstyle="miter"/>
          <v:path gradientshapeok="t" o:connecttype="rect"/>
        </v:shapetype>
        <v:shape style="position:absolute;margin-left:30pt;margin-top:682.571167pt;width:123.4pt;height:8pt;mso-position-horizontal-relative:page;mso-position-vertical-relative:page;z-index:-48040" type="#_x0000_t202" filled="false" stroked="false">
          <v:textbox inset="0,0,0,0">
            <w:txbxContent>
              <w:p>
                <w:pPr>
                  <w:spacing w:line="144" w:lineRule="exact" w:before="0"/>
                  <w:ind w:left="20" w:right="-1"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4</w:t>
                </w:r>
                <w:r>
                  <w:rPr/>
                  <w:fldChar w:fldCharType="end"/>
                </w:r>
              </w:p>
            </w:txbxContent>
          </v:textbox>
          <w10:wrap type="none"/>
        </v:shape>
      </w:pict>
    </w:r>
    <w:r>
      <w:rPr/>
      <w:pict>
        <v:shape style="position:absolute;margin-left:438.888pt;margin-top:682.571167pt;width:53.15pt;height:8pt;mso-position-horizontal-relative:page;mso-position-vertical-relative:page;z-index:-48016"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11:29:05</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840" from="21pt,678.969971pt" to="21pt,693.969971pt" stroked="true" strokeweight=".25pt" strokecolor="#231f20">
          <w10:wrap type="none"/>
        </v:line>
      </w:pict>
    </w:r>
    <w:r>
      <w:rPr/>
      <w:pict>
        <v:line style="position:absolute;mso-position-horizontal-relative:page;mso-position-vertical-relative:page;z-index:-46816" from="502.890015pt,678.969971pt" to="502.890015pt,693.969971pt" stroked="true" strokeweight=".25pt" strokecolor="#231f20">
          <w10:wrap type="none"/>
        </v:line>
      </w:pict>
    </w:r>
    <w:r>
      <w:rPr/>
      <w:pict>
        <v:line style="position:absolute;mso-position-horizontal-relative:page;mso-position-vertical-relative:page;z-index:-46792" from="15pt,672.969971pt" to="0pt,672.969971pt" stroked="true" strokeweight=".25pt" strokecolor="#231f20">
          <w10:wrap type="none"/>
        </v:line>
      </w:pict>
    </w:r>
    <w:r>
      <w:rPr/>
      <w:pict>
        <v:line style="position:absolute;mso-position-horizontal-relative:page;mso-position-vertical-relative:page;z-index:-46768" from="508.890015pt,672.969971pt" to="523.890015pt,672.969971pt" stroked="true" strokeweight=".25pt" strokecolor="#231f20">
          <w10:wrap type="none"/>
        </v:line>
      </w:pict>
    </w:r>
    <w:r>
      <w:rPr/>
      <w:pict>
        <v:shape style="position:absolute;margin-left:30pt;margin-top:682.571167pt;width:125.3pt;height:8pt;mso-position-horizontal-relative:page;mso-position-vertical-relative:page;z-index:-46744" type="#_x0000_t202" filled="false" stroked="false">
          <v:textbox inset="0,0,0,0">
            <w:txbxContent>
              <w:p>
                <w:pPr>
                  <w:spacing w:line="144" w:lineRule="exact" w:before="0"/>
                  <w:ind w:left="20" w:right="-20" w:firstLine="0"/>
                  <w:jc w:val="left"/>
                  <w:rPr>
                    <w:rFonts w:ascii="Palatino Linotype" w:hAnsi="Palatino Linotype"/>
                    <w:sz w:val="12"/>
                  </w:rPr>
                </w:pPr>
                <w:r>
                  <w:rPr>
                    <w:rFonts w:ascii="Palatino Linotype" w:hAnsi="Palatino Linotype"/>
                    <w:color w:val="231F20"/>
                    <w:w w:val="95"/>
                    <w:sz w:val="12"/>
                  </w:rPr>
                  <w:t>Desarrollo Y tecnología17X23 CS6 último.indd 40</w:t>
                </w:r>
              </w:p>
            </w:txbxContent>
          </v:textbox>
          <w10:wrap type="none"/>
        </v:shape>
      </w:pict>
    </w:r>
    <w:r>
      <w:rPr/>
      <w:pict>
        <v:shape style="position:absolute;margin-left:438.888pt;margin-top:682.571167pt;width:53.15pt;height:8pt;mso-position-horizontal-relative:page;mso-position-vertical-relative:page;z-index:-46720"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11:29:13</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696" from="21pt,678.969971pt" to="21pt,693.969971pt" stroked="true" strokeweight=".25pt" strokecolor="#231f20">
          <w10:wrap type="none"/>
        </v:line>
      </w:pict>
    </w:r>
    <w:r>
      <w:rPr/>
      <w:pict>
        <v:line style="position:absolute;mso-position-horizontal-relative:page;mso-position-vertical-relative:page;z-index:-46672" from="502.890015pt,678.969971pt" to="502.890015pt,693.969971pt" stroked="true" strokeweight=".25pt" strokecolor="#231f20">
          <w10:wrap type="none"/>
        </v:line>
      </w:pict>
    </w:r>
    <w:r>
      <w:rPr/>
      <w:pict>
        <v:line style="position:absolute;mso-position-horizontal-relative:page;mso-position-vertical-relative:page;z-index:-46648" from="15pt,672.969971pt" to="0pt,672.969971pt" stroked="true" strokeweight=".25pt" strokecolor="#231f20">
          <w10:wrap type="none"/>
        </v:line>
      </w:pict>
    </w:r>
    <w:r>
      <w:rPr/>
      <w:pict>
        <v:line style="position:absolute;mso-position-horizontal-relative:page;mso-position-vertical-relative:page;z-index:-46624" from="508.890015pt,672.969971pt" to="523.890015pt,672.969971pt" stroked="true" strokeweight=".25pt" strokecolor="#231f20">
          <w10:wrap type="none"/>
        </v:line>
      </w:pict>
    </w:r>
    <w:r>
      <w:rPr/>
      <w:pict>
        <v:shape style="position:absolute;margin-left:30pt;margin-top:682.571167pt;width:126.3pt;height:8pt;mso-position-horizontal-relative:page;mso-position-vertical-relative:page;z-index:-46600" type="#_x0000_t202" filled="false" stroked="false">
          <v:textbox inset="0,0,0,0">
            <w:txbxContent>
              <w:p>
                <w:pPr>
                  <w:spacing w:line="144" w:lineRule="exact" w:before="0"/>
                  <w:ind w:left="20" w:right="0"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41</w:t>
                </w:r>
                <w:r>
                  <w:rPr/>
                  <w:fldChar w:fldCharType="end"/>
                </w:r>
              </w:p>
            </w:txbxContent>
          </v:textbox>
          <w10:wrap type="none"/>
        </v:shape>
      </w:pict>
    </w:r>
    <w:r>
      <w:rPr/>
      <w:pict>
        <v:shape style="position:absolute;margin-left:438.888pt;margin-top:682.571167pt;width:53.15pt;height:8pt;mso-position-horizontal-relative:page;mso-position-vertical-relative:page;z-index:-46576"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11:29:13</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552" from="21pt,678.969971pt" to="21pt,693.969971pt" stroked="true" strokeweight=".25pt" strokecolor="#231f20">
          <w10:wrap type="none"/>
        </v:line>
      </w:pict>
    </w:r>
    <w:r>
      <w:rPr/>
      <w:pict>
        <v:line style="position:absolute;mso-position-horizontal-relative:page;mso-position-vertical-relative:page;z-index:-46528" from="502.890015pt,678.969971pt" to="502.890015pt,693.969971pt" stroked="true" strokeweight=".25pt" strokecolor="#231f20">
          <w10:wrap type="none"/>
        </v:line>
      </w:pict>
    </w:r>
    <w:r>
      <w:rPr/>
      <w:pict>
        <v:line style="position:absolute;mso-position-horizontal-relative:page;mso-position-vertical-relative:page;z-index:-46504" from="15pt,672.969971pt" to="0pt,672.969971pt" stroked="true" strokeweight=".25pt" strokecolor="#231f20">
          <w10:wrap type="none"/>
        </v:line>
      </w:pict>
    </w:r>
    <w:r>
      <w:rPr/>
      <w:pict>
        <v:line style="position:absolute;mso-position-horizontal-relative:page;mso-position-vertical-relative:page;z-index:-46480" from="508.890015pt,672.969971pt" to="523.890015pt,672.969971pt" stroked="true" strokeweight=".25pt" strokecolor="#231f20">
          <w10:wrap type="none"/>
        </v:line>
      </w:pict>
    </w:r>
    <w:r>
      <w:rPr/>
      <w:pict>
        <v:shape style="position:absolute;margin-left:30pt;margin-top:682.571167pt;width:126.3pt;height:8pt;mso-position-horizontal-relative:page;mso-position-vertical-relative:page;z-index:-46456" type="#_x0000_t202" filled="false" stroked="false">
          <v:textbox inset="0,0,0,0">
            <w:txbxContent>
              <w:p>
                <w:pPr>
                  <w:spacing w:line="144" w:lineRule="exact" w:before="0"/>
                  <w:ind w:left="20" w:right="0"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42</w:t>
                </w:r>
                <w:r>
                  <w:rPr/>
                  <w:fldChar w:fldCharType="end"/>
                </w:r>
              </w:p>
            </w:txbxContent>
          </v:textbox>
          <w10:wrap type="none"/>
        </v:shape>
      </w:pict>
    </w:r>
    <w:r>
      <w:rPr/>
      <w:pict>
        <v:shape style="position:absolute;margin-left:438.888pt;margin-top:682.571167pt;width:53.15pt;height:8pt;mso-position-horizontal-relative:page;mso-position-vertical-relative:page;z-index:-46432"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11:29:14</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408" from="21pt,678.969971pt" to="21pt,693.969971pt" stroked="true" strokeweight=".25pt" strokecolor="#231f20">
          <w10:wrap type="none"/>
        </v:line>
      </w:pict>
    </w:r>
    <w:r>
      <w:rPr/>
      <w:pict>
        <v:line style="position:absolute;mso-position-horizontal-relative:page;mso-position-vertical-relative:page;z-index:-46384" from="502.890015pt,678.969971pt" to="502.890015pt,693.969971pt" stroked="true" strokeweight=".25pt" strokecolor="#231f20">
          <w10:wrap type="none"/>
        </v:line>
      </w:pict>
    </w:r>
    <w:r>
      <w:rPr/>
      <w:pict>
        <v:line style="position:absolute;mso-position-horizontal-relative:page;mso-position-vertical-relative:page;z-index:-46360" from="15pt,672.969971pt" to="0pt,672.969971pt" stroked="true" strokeweight=".25pt" strokecolor="#231f20">
          <w10:wrap type="none"/>
        </v:line>
      </w:pict>
    </w:r>
    <w:r>
      <w:rPr/>
      <w:pict>
        <v:line style="position:absolute;mso-position-horizontal-relative:page;mso-position-vertical-relative:page;z-index:-46336" from="508.890015pt,672.969971pt" to="523.890015pt,672.969971pt" stroked="true" strokeweight=".25pt" strokecolor="#231f20">
          <w10:wrap type="none"/>
        </v:line>
      </w:pict>
    </w:r>
    <w:r>
      <w:rPr/>
      <w:pict>
        <v:shape style="position:absolute;margin-left:30pt;margin-top:682.571167pt;width:126.3pt;height:8pt;mso-position-horizontal-relative:page;mso-position-vertical-relative:page;z-index:-46312" type="#_x0000_t202" filled="false" stroked="false">
          <v:textbox inset="0,0,0,0">
            <w:txbxContent>
              <w:p>
                <w:pPr>
                  <w:spacing w:line="144" w:lineRule="exact" w:before="0"/>
                  <w:ind w:left="20" w:right="0"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48</w:t>
                </w:r>
                <w:r>
                  <w:rPr/>
                  <w:fldChar w:fldCharType="end"/>
                </w:r>
              </w:p>
            </w:txbxContent>
          </v:textbox>
          <w10:wrap type="none"/>
        </v:shape>
      </w:pict>
    </w:r>
    <w:r>
      <w:rPr/>
      <w:pict>
        <v:shape style="position:absolute;margin-left:438.888pt;margin-top:682.571167pt;width:53.15pt;height:8pt;mso-position-horizontal-relative:page;mso-position-vertical-relative:page;z-index:-46288"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11:29:15</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264" from="21pt,678.969971pt" to="21pt,693.969971pt" stroked="true" strokeweight=".25pt" strokecolor="#231f20">
          <w10:wrap type="none"/>
        </v:line>
      </w:pict>
    </w:r>
    <w:r>
      <w:rPr/>
      <w:pict>
        <v:line style="position:absolute;mso-position-horizontal-relative:page;mso-position-vertical-relative:page;z-index:-46240" from="502.890015pt,678.969971pt" to="502.890015pt,693.969971pt" stroked="true" strokeweight=".25pt" strokecolor="#231f20">
          <w10:wrap type="none"/>
        </v:line>
      </w:pict>
    </w:r>
    <w:r>
      <w:rPr/>
      <w:pict>
        <v:line style="position:absolute;mso-position-horizontal-relative:page;mso-position-vertical-relative:page;z-index:-46216" from="15pt,672.969971pt" to="0pt,672.969971pt" stroked="true" strokeweight=".25pt" strokecolor="#231f20">
          <w10:wrap type="none"/>
        </v:line>
      </w:pict>
    </w:r>
    <w:r>
      <w:rPr/>
      <w:pict>
        <v:line style="position:absolute;mso-position-horizontal-relative:page;mso-position-vertical-relative:page;z-index:-46192" from="508.890015pt,672.969971pt" to="523.890015pt,672.969971pt" stroked="true" strokeweight=".25pt" strokecolor="#231f20">
          <w10:wrap type="none"/>
        </v:line>
      </w:pict>
    </w:r>
    <w:r>
      <w:rPr/>
      <w:pict>
        <v:shape style="position:absolute;margin-left:30pt;margin-top:682.571167pt;width:125.3pt;height:8pt;mso-position-horizontal-relative:page;mso-position-vertical-relative:page;z-index:-46168" type="#_x0000_t202" filled="false" stroked="false">
          <v:textbox inset="0,0,0,0">
            <w:txbxContent>
              <w:p>
                <w:pPr>
                  <w:spacing w:line="144" w:lineRule="exact" w:before="0"/>
                  <w:ind w:left="20" w:right="-20" w:firstLine="0"/>
                  <w:jc w:val="left"/>
                  <w:rPr>
                    <w:rFonts w:ascii="Palatino Linotype" w:hAnsi="Palatino Linotype"/>
                    <w:sz w:val="12"/>
                  </w:rPr>
                </w:pPr>
                <w:r>
                  <w:rPr>
                    <w:rFonts w:ascii="Palatino Linotype" w:hAnsi="Palatino Linotype"/>
                    <w:color w:val="231F20"/>
                    <w:w w:val="95"/>
                    <w:sz w:val="12"/>
                  </w:rPr>
                  <w:t>Desarrollo Y tecnología17X23 CS6 último.indd 50</w:t>
                </w:r>
              </w:p>
            </w:txbxContent>
          </v:textbox>
          <w10:wrap type="none"/>
        </v:shape>
      </w:pict>
    </w:r>
    <w:r>
      <w:rPr/>
      <w:pict>
        <v:shape style="position:absolute;margin-left:438.888pt;margin-top:682.571167pt;width:53.15pt;height:8pt;mso-position-horizontal-relative:page;mso-position-vertical-relative:page;z-index:-46144"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11:29:15</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120" from="21pt,678.969971pt" to="21pt,693.969971pt" stroked="true" strokeweight=".25pt" strokecolor="#231f20">
          <w10:wrap type="none"/>
        </v:line>
      </w:pict>
    </w:r>
    <w:r>
      <w:rPr/>
      <w:pict>
        <v:line style="position:absolute;mso-position-horizontal-relative:page;mso-position-vertical-relative:page;z-index:-46096" from="502.890015pt,678.969971pt" to="502.890015pt,693.969971pt" stroked="true" strokeweight=".25pt" strokecolor="#231f20">
          <w10:wrap type="none"/>
        </v:line>
      </w:pict>
    </w:r>
    <w:r>
      <w:rPr/>
      <w:pict>
        <v:line style="position:absolute;mso-position-horizontal-relative:page;mso-position-vertical-relative:page;z-index:-46072" from="15pt,672.969971pt" to="0pt,672.969971pt" stroked="true" strokeweight=".25pt" strokecolor="#231f20">
          <w10:wrap type="none"/>
        </v:line>
      </w:pict>
    </w:r>
    <w:r>
      <w:rPr/>
      <w:pict>
        <v:line style="position:absolute;mso-position-horizontal-relative:page;mso-position-vertical-relative:page;z-index:-46048" from="508.890015pt,672.969971pt" to="523.890015pt,672.969971pt" stroked="true" strokeweight=".25pt" strokecolor="#231f20">
          <w10:wrap type="none"/>
        </v:line>
      </w:pict>
    </w:r>
    <w:r>
      <w:rPr/>
      <w:pict>
        <v:shape style="position:absolute;margin-left:30pt;margin-top:682.571167pt;width:126.3pt;height:8pt;mso-position-horizontal-relative:page;mso-position-vertical-relative:page;z-index:-46024" type="#_x0000_t202" filled="false" stroked="false">
          <v:textbox inset="0,0,0,0">
            <w:txbxContent>
              <w:p>
                <w:pPr>
                  <w:spacing w:line="144" w:lineRule="exact" w:before="0"/>
                  <w:ind w:left="20" w:right="0"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51</w:t>
                </w:r>
                <w:r>
                  <w:rPr/>
                  <w:fldChar w:fldCharType="end"/>
                </w:r>
              </w:p>
            </w:txbxContent>
          </v:textbox>
          <w10:wrap type="none"/>
        </v:shape>
      </w:pict>
    </w:r>
    <w:r>
      <w:rPr/>
      <w:pict>
        <v:shape style="position:absolute;margin-left:438.888pt;margin-top:682.571167pt;width:53.15pt;height:8pt;mso-position-horizontal-relative:page;mso-position-vertical-relative:page;z-index:-46000"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11:29:15</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5976" from="21pt,678.969971pt" to="21pt,693.969971pt" stroked="true" strokeweight=".25pt" strokecolor="#231f20">
          <w10:wrap type="none"/>
        </v:line>
      </w:pict>
    </w:r>
    <w:r>
      <w:rPr/>
      <w:pict>
        <v:line style="position:absolute;mso-position-horizontal-relative:page;mso-position-vertical-relative:page;z-index:-45952" from="502.890015pt,678.969971pt" to="502.890015pt,693.969971pt" stroked="true" strokeweight=".25pt" strokecolor="#231f20">
          <w10:wrap type="none"/>
        </v:line>
      </w:pict>
    </w:r>
    <w:r>
      <w:rPr/>
      <w:pict>
        <v:line style="position:absolute;mso-position-horizontal-relative:page;mso-position-vertical-relative:page;z-index:-45928" from="15pt,672.969971pt" to="0pt,672.969971pt" stroked="true" strokeweight=".25pt" strokecolor="#231f20">
          <w10:wrap type="none"/>
        </v:line>
      </w:pict>
    </w:r>
    <w:r>
      <w:rPr/>
      <w:pict>
        <v:line style="position:absolute;mso-position-horizontal-relative:page;mso-position-vertical-relative:page;z-index:-45904" from="508.890015pt,672.969971pt" to="523.890015pt,672.969971pt" stroked="true" strokeweight=".25pt" strokecolor="#231f20">
          <w10:wrap type="none"/>
        </v:line>
      </w:pict>
    </w:r>
    <w:r>
      <w:rPr/>
      <w:pict>
        <v:shape style="position:absolute;margin-left:30pt;margin-top:682.571167pt;width:128.15pt;height:8pt;mso-position-horizontal-relative:page;mso-position-vertical-relative:page;z-index:-45880" type="#_x0000_t202" filled="false" stroked="false">
          <v:textbox inset="0,0,0,0">
            <w:txbxContent>
              <w:p>
                <w:pPr>
                  <w:spacing w:line="144" w:lineRule="exact" w:before="0"/>
                  <w:ind w:left="20" w:right="-20" w:firstLine="0"/>
                  <w:jc w:val="left"/>
                  <w:rPr>
                    <w:rFonts w:ascii="Palatino Linotype" w:hAnsi="Palatino Linotype"/>
                    <w:sz w:val="12"/>
                  </w:rPr>
                </w:pPr>
                <w:r>
                  <w:rPr>
                    <w:rFonts w:ascii="Palatino Linotype" w:hAnsi="Palatino Linotype"/>
                    <w:color w:val="231F20"/>
                    <w:w w:val="95"/>
                    <w:sz w:val="12"/>
                  </w:rPr>
                  <w:t>Desarrollo Y tecnología17X23 CS6 último.indd 471</w:t>
                </w:r>
              </w:p>
            </w:txbxContent>
          </v:textbox>
          <w10:wrap type="none"/>
        </v:shape>
      </w:pict>
    </w:r>
    <w:r>
      <w:rPr/>
      <w:pict>
        <v:shape style="position:absolute;margin-left:438.888pt;margin-top:682.571167pt;width:53.15pt;height:8pt;mso-position-horizontal-relative:page;mso-position-vertical-relative:page;z-index:-45856"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11:30:12</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992" from="21pt,678.969971pt" to="21pt,693.969971pt" stroked="true" strokeweight=".25pt" strokecolor="#231f20">
          <w10:wrap type="none"/>
        </v:line>
      </w:pict>
    </w:r>
    <w:r>
      <w:rPr/>
      <w:pict>
        <v:line style="position:absolute;mso-position-horizontal-relative:page;mso-position-vertical-relative:page;z-index:-47968" from="502.890015pt,678.969971pt" to="502.890015pt,693.969971pt" stroked="true" strokeweight=".25pt" strokecolor="#231f20">
          <w10:wrap type="none"/>
        </v:line>
      </w:pict>
    </w:r>
    <w:r>
      <w:rPr/>
      <w:pict>
        <v:line style="position:absolute;mso-position-horizontal-relative:page;mso-position-vertical-relative:page;z-index:-47944" from="15pt,672.969971pt" to="0pt,672.969971pt" stroked="true" strokeweight=".25pt" strokecolor="#231f20">
          <w10:wrap type="none"/>
        </v:line>
      </w:pict>
    </w:r>
    <w:r>
      <w:rPr/>
      <w:pict>
        <v:line style="position:absolute;mso-position-horizontal-relative:page;mso-position-vertical-relative:page;z-index:-47920" from="508.890015pt,672.969971pt" to="523.890015pt,672.969971pt" stroked="true" strokeweight=".25pt" strokecolor="#231f20">
          <w10:wrap type="none"/>
        </v:line>
      </w:pict>
    </w:r>
    <w:r>
      <w:rPr/>
      <w:pict>
        <v:shape style="position:absolute;margin-left:30pt;margin-top:682.571167pt;width:123.4pt;height:8pt;mso-position-horizontal-relative:page;mso-position-vertical-relative:page;z-index:-47896" type="#_x0000_t202" filled="false" stroked="false">
          <v:textbox inset="0,0,0,0">
            <w:txbxContent>
              <w:p>
                <w:pPr>
                  <w:spacing w:line="144" w:lineRule="exact" w:before="0"/>
                  <w:ind w:left="20" w:right="-1"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5</w:t>
                </w:r>
                <w:r>
                  <w:rPr/>
                  <w:fldChar w:fldCharType="end"/>
                </w:r>
              </w:p>
            </w:txbxContent>
          </v:textbox>
          <w10:wrap type="none"/>
        </v:shape>
      </w:pict>
    </w:r>
    <w:r>
      <w:rPr/>
      <w:pict>
        <v:shape style="position:absolute;margin-left:438.888pt;margin-top:682.571167pt;width:53.15pt;height:8pt;mso-position-horizontal-relative:page;mso-position-vertical-relative:page;z-index:-47872"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11:29:06</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848" from="21pt,678.969971pt" to="21pt,693.969971pt" stroked="true" strokeweight=".25pt" strokecolor="#231f20">
          <w10:wrap type="none"/>
        </v:line>
      </w:pict>
    </w:r>
    <w:r>
      <w:rPr/>
      <w:pict>
        <v:line style="position:absolute;mso-position-horizontal-relative:page;mso-position-vertical-relative:page;z-index:-47824" from="502.890015pt,678.969971pt" to="502.890015pt,693.969971pt" stroked="true" strokeweight=".25pt" strokecolor="#231f20">
          <w10:wrap type="none"/>
        </v:line>
      </w:pict>
    </w:r>
    <w:r>
      <w:rPr/>
      <w:pict>
        <v:line style="position:absolute;mso-position-horizontal-relative:page;mso-position-vertical-relative:page;z-index:-47800" from="15pt,672.969971pt" to="0pt,672.969971pt" stroked="true" strokeweight=".25pt" strokecolor="#231f20">
          <w10:wrap type="none"/>
        </v:line>
      </w:pict>
    </w:r>
    <w:r>
      <w:rPr/>
      <w:pict>
        <v:line style="position:absolute;mso-position-horizontal-relative:page;mso-position-vertical-relative:page;z-index:-47776" from="508.890015pt,672.969971pt" to="523.890015pt,672.969971pt" stroked="true" strokeweight=".25pt" strokecolor="#231f20">
          <w10:wrap type="none"/>
        </v:line>
      </w:pict>
    </w:r>
    <w:r>
      <w:rPr/>
      <w:pict>
        <v:shape style="position:absolute;margin-left:30pt;margin-top:682.571167pt;width:123.4pt;height:8pt;mso-position-horizontal-relative:page;mso-position-vertical-relative:page;z-index:-47752" type="#_x0000_t202" filled="false" stroked="false">
          <v:textbox inset="0,0,0,0">
            <w:txbxContent>
              <w:p>
                <w:pPr>
                  <w:spacing w:line="144" w:lineRule="exact" w:before="0"/>
                  <w:ind w:left="20" w:right="-1"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6</w:t>
                </w:r>
                <w:r>
                  <w:rPr/>
                  <w:fldChar w:fldCharType="end"/>
                </w:r>
              </w:p>
            </w:txbxContent>
          </v:textbox>
          <w10:wrap type="none"/>
        </v:shape>
      </w:pict>
    </w:r>
    <w:r>
      <w:rPr/>
      <w:pict>
        <v:shape style="position:absolute;margin-left:438.888pt;margin-top:682.571167pt;width:53.15pt;height:8pt;mso-position-horizontal-relative:page;mso-position-vertical-relative:page;z-index:-47728"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11:29:06</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704" from="21pt,678.969971pt" to="21pt,693.969971pt" stroked="true" strokeweight=".25pt" strokecolor="#231f20">
          <w10:wrap type="none"/>
        </v:line>
      </w:pict>
    </w:r>
    <w:r>
      <w:rPr/>
      <w:pict>
        <v:line style="position:absolute;mso-position-horizontal-relative:page;mso-position-vertical-relative:page;z-index:-47680" from="502.890015pt,678.969971pt" to="502.890015pt,693.969971pt" stroked="true" strokeweight=".25pt" strokecolor="#231f20">
          <w10:wrap type="none"/>
        </v:line>
      </w:pict>
    </w:r>
    <w:r>
      <w:rPr/>
      <w:pict>
        <v:line style="position:absolute;mso-position-horizontal-relative:page;mso-position-vertical-relative:page;z-index:-47656" from="15pt,672.969971pt" to="0pt,672.969971pt" stroked="true" strokeweight=".25pt" strokecolor="#231f20">
          <w10:wrap type="none"/>
        </v:line>
      </w:pict>
    </w:r>
    <w:r>
      <w:rPr/>
      <w:pict>
        <v:line style="position:absolute;mso-position-horizontal-relative:page;mso-position-vertical-relative:page;z-index:-47632" from="508.890015pt,672.969971pt" to="523.890015pt,672.969971pt" stroked="true" strokeweight=".25pt" strokecolor="#231f20">
          <w10:wrap type="none"/>
        </v:line>
      </w:pict>
    </w:r>
    <w:r>
      <w:rPr/>
      <w:pict>
        <v:shape style="position:absolute;margin-left:30pt;margin-top:682.571167pt;width:122.4pt;height:8pt;mso-position-horizontal-relative:page;mso-position-vertical-relative:page;z-index:-47608" type="#_x0000_t202" filled="false" stroked="false">
          <v:textbox inset="0,0,0,0">
            <w:txbxContent>
              <w:p>
                <w:pPr>
                  <w:spacing w:line="144" w:lineRule="exact" w:before="0"/>
                  <w:ind w:left="20" w:right="0" w:firstLine="0"/>
                  <w:jc w:val="left"/>
                  <w:rPr>
                    <w:rFonts w:ascii="Palatino Linotype" w:hAnsi="Palatino Linotype"/>
                    <w:sz w:val="12"/>
                  </w:rPr>
                </w:pPr>
                <w:r>
                  <w:rPr>
                    <w:rFonts w:ascii="Palatino Linotype" w:hAnsi="Palatino Linotype"/>
                    <w:color w:val="231F20"/>
                    <w:w w:val="95"/>
                    <w:sz w:val="12"/>
                  </w:rPr>
                  <w:t>Desarrollo Y tecnología17X23 CS6</w:t>
                </w:r>
                <w:r>
                  <w:rPr>
                    <w:rFonts w:ascii="Palatino Linotype" w:hAnsi="Palatino Linotype"/>
                    <w:color w:val="231F20"/>
                    <w:spacing w:val="-23"/>
                    <w:w w:val="95"/>
                    <w:sz w:val="12"/>
                  </w:rPr>
                  <w:t> </w:t>
                </w:r>
                <w:r>
                  <w:rPr>
                    <w:rFonts w:ascii="Palatino Linotype" w:hAnsi="Palatino Linotype"/>
                    <w:color w:val="231F20"/>
                    <w:w w:val="95"/>
                    <w:sz w:val="12"/>
                  </w:rPr>
                  <w:t>último.indd 9</w:t>
                </w:r>
              </w:p>
            </w:txbxContent>
          </v:textbox>
          <w10:wrap type="none"/>
        </v:shape>
      </w:pict>
    </w:r>
    <w:r>
      <w:rPr/>
      <w:pict>
        <v:shape style="position:absolute;margin-left:438.888pt;margin-top:682.571167pt;width:53.15pt;height:8pt;mso-position-horizontal-relative:page;mso-position-vertical-relative:page;z-index:-47584"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11:29:06</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560" from="21pt,678.969971pt" to="21pt,693.969971pt" stroked="true" strokeweight=".25pt" strokecolor="#231f20">
          <w10:wrap type="none"/>
        </v:line>
      </w:pict>
    </w:r>
    <w:r>
      <w:rPr/>
      <w:pict>
        <v:line style="position:absolute;mso-position-horizontal-relative:page;mso-position-vertical-relative:page;z-index:-47536" from="502.890015pt,678.969971pt" to="502.890015pt,693.969971pt" stroked="true" strokeweight=".25pt" strokecolor="#231f20">
          <w10:wrap type="none"/>
        </v:line>
      </w:pict>
    </w:r>
    <w:r>
      <w:rPr/>
      <w:pict>
        <v:line style="position:absolute;mso-position-horizontal-relative:page;mso-position-vertical-relative:page;z-index:-47512" from="15pt,672.969971pt" to="0pt,672.969971pt" stroked="true" strokeweight=".25pt" strokecolor="#231f20">
          <w10:wrap type="none"/>
        </v:line>
      </w:pict>
    </w:r>
    <w:r>
      <w:rPr/>
      <w:pict>
        <v:line style="position:absolute;mso-position-horizontal-relative:page;mso-position-vertical-relative:page;z-index:-47488" from="508.890015pt,672.969971pt" to="523.890015pt,672.969971pt" stroked="true" strokeweight=".25pt" strokecolor="#231f20">
          <w10:wrap type="none"/>
        </v:line>
      </w:pict>
    </w:r>
    <w:r>
      <w:rPr/>
      <w:pict>
        <v:shape style="position:absolute;margin-left:30pt;margin-top:682.571167pt;width:125.3pt;height:8pt;mso-position-horizontal-relative:page;mso-position-vertical-relative:page;z-index:-47464" type="#_x0000_t202" filled="false" stroked="false">
          <v:textbox inset="0,0,0,0">
            <w:txbxContent>
              <w:p>
                <w:pPr>
                  <w:spacing w:line="144" w:lineRule="exact" w:before="0"/>
                  <w:ind w:left="20" w:right="-20" w:firstLine="0"/>
                  <w:jc w:val="left"/>
                  <w:rPr>
                    <w:rFonts w:ascii="Palatino Linotype" w:hAnsi="Palatino Linotype"/>
                    <w:sz w:val="12"/>
                  </w:rPr>
                </w:pPr>
                <w:r>
                  <w:rPr>
                    <w:rFonts w:ascii="Palatino Linotype" w:hAnsi="Palatino Linotype"/>
                    <w:color w:val="231F20"/>
                    <w:w w:val="95"/>
                    <w:sz w:val="12"/>
                  </w:rPr>
                  <w:t>Desarrollo Y tecnología17X23 CS6 último.indd 10</w:t>
                </w:r>
              </w:p>
            </w:txbxContent>
          </v:textbox>
          <w10:wrap type="none"/>
        </v:shape>
      </w:pict>
    </w:r>
    <w:r>
      <w:rPr/>
      <w:pict>
        <v:shape style="position:absolute;margin-left:438.888pt;margin-top:682.571167pt;width:53.15pt;height:8pt;mso-position-horizontal-relative:page;mso-position-vertical-relative:page;z-index:-47440"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11:29:06</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416" from="21pt,678.969971pt" to="21pt,693.969971pt" stroked="true" strokeweight=".25pt" strokecolor="#231f20">
          <w10:wrap type="none"/>
        </v:line>
      </w:pict>
    </w:r>
    <w:r>
      <w:rPr/>
      <w:pict>
        <v:line style="position:absolute;mso-position-horizontal-relative:page;mso-position-vertical-relative:page;z-index:-47392" from="502.890015pt,678.969971pt" to="502.890015pt,693.969971pt" stroked="true" strokeweight=".25pt" strokecolor="#231f20">
          <w10:wrap type="none"/>
        </v:line>
      </w:pict>
    </w:r>
    <w:r>
      <w:rPr/>
      <w:pict>
        <v:line style="position:absolute;mso-position-horizontal-relative:page;mso-position-vertical-relative:page;z-index:-47368" from="15pt,672.969971pt" to="0pt,672.969971pt" stroked="true" strokeweight=".25pt" strokecolor="#231f20">
          <w10:wrap type="none"/>
        </v:line>
      </w:pict>
    </w:r>
    <w:r>
      <w:rPr/>
      <w:pict>
        <v:line style="position:absolute;mso-position-horizontal-relative:page;mso-position-vertical-relative:page;z-index:-47344" from="508.890015pt,672.969971pt" to="523.890015pt,672.969971pt" stroked="true" strokeweight=".25pt" strokecolor="#231f20">
          <w10:wrap type="none"/>
        </v:line>
      </w:pict>
    </w:r>
    <w:r>
      <w:rPr/>
      <w:pict>
        <v:shape style="position:absolute;margin-left:30pt;margin-top:682.571167pt;width:125.3pt;height:8pt;mso-position-horizontal-relative:page;mso-position-vertical-relative:page;z-index:-47320" type="#_x0000_t202" filled="false" stroked="false">
          <v:textbox inset="0,0,0,0">
            <w:txbxContent>
              <w:p>
                <w:pPr>
                  <w:spacing w:line="144" w:lineRule="exact" w:before="0"/>
                  <w:ind w:left="20" w:right="-20" w:firstLine="0"/>
                  <w:jc w:val="left"/>
                  <w:rPr>
                    <w:rFonts w:ascii="Palatino Linotype" w:hAnsi="Palatino Linotype"/>
                    <w:sz w:val="12"/>
                  </w:rPr>
                </w:pPr>
                <w:r>
                  <w:rPr>
                    <w:rFonts w:ascii="Palatino Linotype" w:hAnsi="Palatino Linotype"/>
                    <w:color w:val="231F20"/>
                    <w:w w:val="95"/>
                    <w:sz w:val="12"/>
                  </w:rPr>
                  <w:t>Desarrollo Y tecnología17X23 CS6 último.indd 11</w:t>
                </w:r>
              </w:p>
            </w:txbxContent>
          </v:textbox>
          <w10:wrap type="none"/>
        </v:shape>
      </w:pict>
    </w:r>
    <w:r>
      <w:rPr/>
      <w:pict>
        <v:shape style="position:absolute;margin-left:438.888pt;margin-top:682.571167pt;width:53.15pt;height:8pt;mso-position-horizontal-relative:page;mso-position-vertical-relative:page;z-index:-47296"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11:29:06</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272" from="21pt,678.969971pt" to="21pt,693.969971pt" stroked="true" strokeweight=".25pt" strokecolor="#231f20">
          <w10:wrap type="none"/>
        </v:line>
      </w:pict>
    </w:r>
    <w:r>
      <w:rPr/>
      <w:pict>
        <v:line style="position:absolute;mso-position-horizontal-relative:page;mso-position-vertical-relative:page;z-index:-47248" from="502.890015pt,678.969971pt" to="502.890015pt,693.969971pt" stroked="true" strokeweight=".25pt" strokecolor="#231f20">
          <w10:wrap type="none"/>
        </v:line>
      </w:pict>
    </w:r>
    <w:r>
      <w:rPr/>
      <w:pict>
        <v:line style="position:absolute;mso-position-horizontal-relative:page;mso-position-vertical-relative:page;z-index:-47224" from="15pt,672.969971pt" to="0pt,672.969971pt" stroked="true" strokeweight=".25pt" strokecolor="#231f20">
          <w10:wrap type="none"/>
        </v:line>
      </w:pict>
    </w:r>
    <w:r>
      <w:rPr/>
      <w:pict>
        <v:line style="position:absolute;mso-position-horizontal-relative:page;mso-position-vertical-relative:page;z-index:-47200" from="508.890015pt,672.969971pt" to="523.890015pt,672.969971pt" stroked="true" strokeweight=".25pt" strokecolor="#231f20">
          <w10:wrap type="none"/>
        </v:line>
      </w:pict>
    </w:r>
    <w:r>
      <w:rPr/>
      <w:pict>
        <v:shape style="position:absolute;margin-left:30pt;margin-top:682.571167pt;width:125.3pt;height:8pt;mso-position-horizontal-relative:page;mso-position-vertical-relative:page;z-index:-47176" type="#_x0000_t202" filled="false" stroked="false">
          <v:textbox inset="0,0,0,0">
            <w:txbxContent>
              <w:p>
                <w:pPr>
                  <w:spacing w:line="144" w:lineRule="exact" w:before="0"/>
                  <w:ind w:left="20" w:right="-20" w:firstLine="0"/>
                  <w:jc w:val="left"/>
                  <w:rPr>
                    <w:rFonts w:ascii="Palatino Linotype" w:hAnsi="Palatino Linotype"/>
                    <w:sz w:val="12"/>
                  </w:rPr>
                </w:pPr>
                <w:r>
                  <w:rPr>
                    <w:rFonts w:ascii="Palatino Linotype" w:hAnsi="Palatino Linotype"/>
                    <w:color w:val="231F20"/>
                    <w:w w:val="95"/>
                    <w:sz w:val="12"/>
                  </w:rPr>
                  <w:t>Desarrollo Y tecnología17X23 CS6 último.indd 31</w:t>
                </w:r>
              </w:p>
            </w:txbxContent>
          </v:textbox>
          <w10:wrap type="none"/>
        </v:shape>
      </w:pict>
    </w:r>
    <w:r>
      <w:rPr/>
      <w:pict>
        <v:shape style="position:absolute;margin-left:438.888pt;margin-top:682.571167pt;width:53.15pt;height:8pt;mso-position-horizontal-relative:page;mso-position-vertical-relative:page;z-index:-47152"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11:29:12</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128" from="21pt,678.969971pt" to="21pt,693.969971pt" stroked="true" strokeweight=".25pt" strokecolor="#231f20">
          <w10:wrap type="none"/>
        </v:line>
      </w:pict>
    </w:r>
    <w:r>
      <w:rPr/>
      <w:pict>
        <v:line style="position:absolute;mso-position-horizontal-relative:page;mso-position-vertical-relative:page;z-index:-47104" from="502.890015pt,678.969971pt" to="502.890015pt,693.969971pt" stroked="true" strokeweight=".25pt" strokecolor="#231f20">
          <w10:wrap type="none"/>
        </v:line>
      </w:pict>
    </w:r>
    <w:r>
      <w:rPr/>
      <w:pict>
        <v:line style="position:absolute;mso-position-horizontal-relative:page;mso-position-vertical-relative:page;z-index:-47080" from="15pt,672.969971pt" to="0pt,672.969971pt" stroked="true" strokeweight=".25pt" strokecolor="#231f20">
          <w10:wrap type="none"/>
        </v:line>
      </w:pict>
    </w:r>
    <w:r>
      <w:rPr/>
      <w:pict>
        <v:line style="position:absolute;mso-position-horizontal-relative:page;mso-position-vertical-relative:page;z-index:-47056" from="508.890015pt,672.969971pt" to="523.890015pt,672.969971pt" stroked="true" strokeweight=".25pt" strokecolor="#231f20">
          <w10:wrap type="none"/>
        </v:line>
      </w:pict>
    </w:r>
    <w:r>
      <w:rPr/>
      <w:pict>
        <v:shape style="position:absolute;margin-left:30pt;margin-top:682.571167pt;width:126.3pt;height:8pt;mso-position-horizontal-relative:page;mso-position-vertical-relative:page;z-index:-47032" type="#_x0000_t202" filled="false" stroked="false">
          <v:textbox inset="0,0,0,0">
            <w:txbxContent>
              <w:p>
                <w:pPr>
                  <w:spacing w:line="144" w:lineRule="exact" w:before="0"/>
                  <w:ind w:left="20" w:right="0"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32</w:t>
                </w:r>
                <w:r>
                  <w:rPr/>
                  <w:fldChar w:fldCharType="end"/>
                </w:r>
              </w:p>
            </w:txbxContent>
          </v:textbox>
          <w10:wrap type="none"/>
        </v:shape>
      </w:pict>
    </w:r>
    <w:r>
      <w:rPr/>
      <w:pict>
        <v:shape style="position:absolute;margin-left:438.888pt;margin-top:682.571167pt;width:53.15pt;height:8pt;mso-position-horizontal-relative:page;mso-position-vertical-relative:page;z-index:-47008"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11:29:12</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984" from="21pt,678.969971pt" to="21pt,693.969971pt" stroked="true" strokeweight=".25pt" strokecolor="#231f20">
          <w10:wrap type="none"/>
        </v:line>
      </w:pict>
    </w:r>
    <w:r>
      <w:rPr/>
      <w:pict>
        <v:line style="position:absolute;mso-position-horizontal-relative:page;mso-position-vertical-relative:page;z-index:-46960" from="502.890015pt,678.969971pt" to="502.890015pt,693.969971pt" stroked="true" strokeweight=".25pt" strokecolor="#231f20">
          <w10:wrap type="none"/>
        </v:line>
      </w:pict>
    </w:r>
    <w:r>
      <w:rPr/>
      <w:pict>
        <v:line style="position:absolute;mso-position-horizontal-relative:page;mso-position-vertical-relative:page;z-index:-46936" from="15pt,672.969971pt" to="0pt,672.969971pt" stroked="true" strokeweight=".25pt" strokecolor="#231f20">
          <w10:wrap type="none"/>
        </v:line>
      </w:pict>
    </w:r>
    <w:r>
      <w:rPr/>
      <w:pict>
        <v:line style="position:absolute;mso-position-horizontal-relative:page;mso-position-vertical-relative:page;z-index:-46912" from="508.890015pt,672.969971pt" to="523.890015pt,672.969971pt" stroked="true" strokeweight=".25pt" strokecolor="#231f20">
          <w10:wrap type="none"/>
        </v:line>
      </w:pict>
    </w:r>
    <w:r>
      <w:rPr/>
      <w:pict>
        <v:shape style="position:absolute;margin-left:30pt;margin-top:682.571167pt;width:126.3pt;height:8pt;mso-position-horizontal-relative:page;mso-position-vertical-relative:page;z-index:-46888" type="#_x0000_t202" filled="false" stroked="false">
          <v:textbox inset="0,0,0,0">
            <w:txbxContent>
              <w:p>
                <w:pPr>
                  <w:spacing w:line="144" w:lineRule="exact" w:before="0"/>
                  <w:ind w:left="20" w:right="0" w:firstLine="0"/>
                  <w:jc w:val="left"/>
                  <w:rPr>
                    <w:rFonts w:ascii="Palatino Linotype" w:hAnsi="Palatino Linotype"/>
                    <w:sz w:val="12"/>
                  </w:rPr>
                </w:pPr>
                <w:r>
                  <w:rPr>
                    <w:rFonts w:ascii="Palatino Linotype" w:hAnsi="Palatino Linotype"/>
                    <w:color w:val="231F20"/>
                    <w:w w:val="95"/>
                    <w:sz w:val="12"/>
                  </w:rPr>
                  <w:t>Desarrollo Y tecnología17X23 CS6 último.indd </w:t>
                </w:r>
                <w:r>
                  <w:rPr/>
                  <w:fldChar w:fldCharType="begin"/>
                </w:r>
                <w:r>
                  <w:rPr>
                    <w:rFonts w:ascii="Palatino Linotype" w:hAnsi="Palatino Linotype"/>
                    <w:color w:val="231F20"/>
                    <w:w w:val="95"/>
                    <w:sz w:val="12"/>
                  </w:rPr>
                  <w:instrText> PAGE </w:instrText>
                </w:r>
                <w:r>
                  <w:rPr/>
                  <w:fldChar w:fldCharType="separate"/>
                </w:r>
                <w:r>
                  <w:rPr/>
                  <w:t>36</w:t>
                </w:r>
                <w:r>
                  <w:rPr/>
                  <w:fldChar w:fldCharType="end"/>
                </w:r>
              </w:p>
            </w:txbxContent>
          </v:textbox>
          <w10:wrap type="none"/>
        </v:shape>
      </w:pict>
    </w:r>
    <w:r>
      <w:rPr/>
      <w:pict>
        <v:shape style="position:absolute;margin-left:438.888pt;margin-top:682.571167pt;width:53.15pt;height:8pt;mso-position-horizontal-relative:page;mso-position-vertical-relative:page;z-index:-46864" type="#_x0000_t202" filled="false" stroked="false">
          <v:textbox inset="0,0,0,0">
            <w:txbxContent>
              <w:p>
                <w:pPr>
                  <w:spacing w:line="144" w:lineRule="exact" w:before="0"/>
                  <w:ind w:left="20" w:right="0" w:firstLine="0"/>
                  <w:jc w:val="left"/>
                  <w:rPr>
                    <w:rFonts w:ascii="Palatino Linotype"/>
                    <w:sz w:val="12"/>
                  </w:rPr>
                </w:pPr>
                <w:r>
                  <w:rPr>
                    <w:rFonts w:ascii="Palatino Linotype"/>
                    <w:color w:val="231F20"/>
                    <w:sz w:val="12"/>
                  </w:rPr>
                  <w:t>20/03/2015 11:29:13</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232" from="21pt,15.000994pt" to="21pt,.000994pt" stroked="true" strokeweight=".25pt" strokecolor="#231f20">
          <w10:wrap type="none"/>
        </v:line>
      </w:pict>
    </w:r>
    <w:r>
      <w:rPr/>
      <w:pict>
        <v:line style="position:absolute;mso-position-horizontal-relative:page;mso-position-vertical-relative:page;z-index:-48208" from="502.890015pt,15.000994pt" to="502.890015pt,.000994pt" stroked="true" strokeweight=".25pt" strokecolor="#231f20">
          <w10:wrap type="none"/>
        </v:line>
      </w:pict>
    </w:r>
    <w:r>
      <w:rPr/>
      <w:pict>
        <v:line style="position:absolute;mso-position-horizontal-relative:page;mso-position-vertical-relative:page;z-index:-48184" from="15pt,21.000994pt" to="0pt,21.000994pt" stroked="true" strokeweight=".25pt" strokecolor="#231f20">
          <w10:wrap type="none"/>
        </v:line>
      </w:pict>
    </w:r>
    <w:r>
      <w:rPr/>
      <w:pict>
        <v:line style="position:absolute;mso-position-horizontal-relative:page;mso-position-vertical-relative:page;z-index:-48160" from="508.890015pt,21.000994pt" to="523.890015pt,21.000994pt" stroked="true" strokeweight=".25pt" strokecolor="#231f20">
          <w10:wrap type="none"/>
        </v:lin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lowerLetter"/>
      <w:lvlText w:val="%1."/>
      <w:lvlJc w:val="left"/>
      <w:pPr>
        <w:ind w:left="2197" w:hanging="361"/>
        <w:jc w:val="left"/>
      </w:pPr>
      <w:rPr>
        <w:rFonts w:hint="default" w:ascii="Times New Roman" w:hAnsi="Times New Roman" w:eastAsia="Times New Roman" w:cs="Times New Roman"/>
        <w:color w:val="231F20"/>
        <w:spacing w:val="-5"/>
        <w:w w:val="100"/>
        <w:sz w:val="22"/>
        <w:szCs w:val="22"/>
      </w:rPr>
    </w:lvl>
    <w:lvl w:ilvl="1">
      <w:start w:val="1"/>
      <w:numFmt w:val="bullet"/>
      <w:lvlText w:val="•"/>
      <w:lvlJc w:val="left"/>
      <w:pPr>
        <w:ind w:left="3027" w:hanging="361"/>
      </w:pPr>
      <w:rPr>
        <w:rFonts w:hint="default"/>
      </w:rPr>
    </w:lvl>
    <w:lvl w:ilvl="2">
      <w:start w:val="1"/>
      <w:numFmt w:val="bullet"/>
      <w:lvlText w:val="•"/>
      <w:lvlJc w:val="left"/>
      <w:pPr>
        <w:ind w:left="3855" w:hanging="361"/>
      </w:pPr>
      <w:rPr>
        <w:rFonts w:hint="default"/>
      </w:rPr>
    </w:lvl>
    <w:lvl w:ilvl="3">
      <w:start w:val="1"/>
      <w:numFmt w:val="bullet"/>
      <w:lvlText w:val="•"/>
      <w:lvlJc w:val="left"/>
      <w:pPr>
        <w:ind w:left="4683" w:hanging="361"/>
      </w:pPr>
      <w:rPr>
        <w:rFonts w:hint="default"/>
      </w:rPr>
    </w:lvl>
    <w:lvl w:ilvl="4">
      <w:start w:val="1"/>
      <w:numFmt w:val="bullet"/>
      <w:lvlText w:val="•"/>
      <w:lvlJc w:val="left"/>
      <w:pPr>
        <w:ind w:left="5511" w:hanging="361"/>
      </w:pPr>
      <w:rPr>
        <w:rFonts w:hint="default"/>
      </w:rPr>
    </w:lvl>
    <w:lvl w:ilvl="5">
      <w:start w:val="1"/>
      <w:numFmt w:val="bullet"/>
      <w:lvlText w:val="•"/>
      <w:lvlJc w:val="left"/>
      <w:pPr>
        <w:ind w:left="6338" w:hanging="361"/>
      </w:pPr>
      <w:rPr>
        <w:rFonts w:hint="default"/>
      </w:rPr>
    </w:lvl>
    <w:lvl w:ilvl="6">
      <w:start w:val="1"/>
      <w:numFmt w:val="bullet"/>
      <w:lvlText w:val="•"/>
      <w:lvlJc w:val="left"/>
      <w:pPr>
        <w:ind w:left="7166" w:hanging="361"/>
      </w:pPr>
      <w:rPr>
        <w:rFonts w:hint="default"/>
      </w:rPr>
    </w:lvl>
    <w:lvl w:ilvl="7">
      <w:start w:val="1"/>
      <w:numFmt w:val="bullet"/>
      <w:lvlText w:val="•"/>
      <w:lvlJc w:val="left"/>
      <w:pPr>
        <w:ind w:left="7994" w:hanging="361"/>
      </w:pPr>
      <w:rPr>
        <w:rFonts w:hint="default"/>
      </w:rPr>
    </w:lvl>
    <w:lvl w:ilvl="8">
      <w:start w:val="1"/>
      <w:numFmt w:val="bullet"/>
      <w:lvlText w:val="•"/>
      <w:lvlJc w:val="left"/>
      <w:pPr>
        <w:ind w:left="8822" w:hanging="361"/>
      </w:pPr>
      <w:rPr>
        <w:rFonts w:hint="default"/>
      </w:rPr>
    </w:lvl>
  </w:abstractNum>
  <w:abstractNum w:abstractNumId="0">
    <w:multiLevelType w:val="hybridMultilevel"/>
    <w:lvl w:ilvl="0">
      <w:start w:val="1"/>
      <w:numFmt w:val="upperLetter"/>
      <w:lvlText w:val="%1."/>
      <w:lvlJc w:val="left"/>
      <w:pPr>
        <w:ind w:left="1835" w:hanging="203"/>
        <w:jc w:val="left"/>
      </w:pPr>
      <w:rPr>
        <w:rFonts w:hint="default" w:ascii="Times New Roman" w:hAnsi="Times New Roman" w:eastAsia="Times New Roman" w:cs="Times New Roman"/>
        <w:i/>
        <w:color w:val="231F20"/>
        <w:spacing w:val="-10"/>
        <w:w w:val="100"/>
        <w:sz w:val="18"/>
        <w:szCs w:val="18"/>
      </w:rPr>
    </w:lvl>
    <w:lvl w:ilvl="1">
      <w:start w:val="1"/>
      <w:numFmt w:val="bullet"/>
      <w:lvlText w:val="•"/>
      <w:lvlJc w:val="left"/>
      <w:pPr>
        <w:ind w:left="2197" w:hanging="360"/>
      </w:pPr>
      <w:rPr>
        <w:rFonts w:hint="default" w:ascii="Times New Roman" w:hAnsi="Times New Roman" w:eastAsia="Times New Roman" w:cs="Times New Roman"/>
        <w:color w:val="231F20"/>
        <w:spacing w:val="-19"/>
        <w:w w:val="100"/>
        <w:sz w:val="22"/>
        <w:szCs w:val="22"/>
      </w:rPr>
    </w:lvl>
    <w:lvl w:ilvl="2">
      <w:start w:val="1"/>
      <w:numFmt w:val="bullet"/>
      <w:lvlText w:val="•"/>
      <w:lvlJc w:val="left"/>
      <w:pPr>
        <w:ind w:left="2859" w:hanging="360"/>
      </w:pPr>
      <w:rPr>
        <w:rFonts w:hint="default"/>
      </w:rPr>
    </w:lvl>
    <w:lvl w:ilvl="3">
      <w:start w:val="1"/>
      <w:numFmt w:val="bullet"/>
      <w:lvlText w:val="•"/>
      <w:lvlJc w:val="left"/>
      <w:pPr>
        <w:ind w:left="3518" w:hanging="360"/>
      </w:pPr>
      <w:rPr>
        <w:rFonts w:hint="default"/>
      </w:rPr>
    </w:lvl>
    <w:lvl w:ilvl="4">
      <w:start w:val="1"/>
      <w:numFmt w:val="bullet"/>
      <w:lvlText w:val="•"/>
      <w:lvlJc w:val="left"/>
      <w:pPr>
        <w:ind w:left="4177" w:hanging="360"/>
      </w:pPr>
      <w:rPr>
        <w:rFonts w:hint="default"/>
      </w:rPr>
    </w:lvl>
    <w:lvl w:ilvl="5">
      <w:start w:val="1"/>
      <w:numFmt w:val="bullet"/>
      <w:lvlText w:val="•"/>
      <w:lvlJc w:val="left"/>
      <w:pPr>
        <w:ind w:left="4837" w:hanging="360"/>
      </w:pPr>
      <w:rPr>
        <w:rFonts w:hint="default"/>
      </w:rPr>
    </w:lvl>
    <w:lvl w:ilvl="6">
      <w:start w:val="1"/>
      <w:numFmt w:val="bullet"/>
      <w:lvlText w:val="•"/>
      <w:lvlJc w:val="left"/>
      <w:pPr>
        <w:ind w:left="5496" w:hanging="360"/>
      </w:pPr>
      <w:rPr>
        <w:rFonts w:hint="default"/>
      </w:rPr>
    </w:lvl>
    <w:lvl w:ilvl="7">
      <w:start w:val="1"/>
      <w:numFmt w:val="bullet"/>
      <w:lvlText w:val="•"/>
      <w:lvlJc w:val="left"/>
      <w:pPr>
        <w:ind w:left="6155" w:hanging="360"/>
      </w:pPr>
      <w:rPr>
        <w:rFonts w:hint="default"/>
      </w:rPr>
    </w:lvl>
    <w:lvl w:ilvl="8">
      <w:start w:val="1"/>
      <w:numFmt w:val="bullet"/>
      <w:lvlText w:val="•"/>
      <w:lvlJc w:val="left"/>
      <w:pPr>
        <w:ind w:left="6815" w:hanging="36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59"/>
      <w:ind w:left="1575" w:right="1575" w:hanging="1104"/>
      <w:outlineLvl w:val="1"/>
    </w:pPr>
    <w:rPr>
      <w:rFonts w:ascii="Times New Roman" w:hAnsi="Times New Roman" w:eastAsia="Times New Roman" w:cs="Times New Roman"/>
      <w:b/>
      <w:bCs/>
      <w:sz w:val="32"/>
      <w:szCs w:val="32"/>
    </w:rPr>
  </w:style>
  <w:style w:styleId="Heading2" w:type="paragraph">
    <w:name w:val="Heading 2"/>
    <w:basedOn w:val="Normal"/>
    <w:uiPriority w:val="1"/>
    <w:qFormat/>
    <w:pPr>
      <w:ind w:left="1553"/>
      <w:jc w:val="both"/>
      <w:outlineLvl w:val="2"/>
    </w:pPr>
    <w:rPr>
      <w:rFonts w:ascii="Times New Roman" w:hAnsi="Times New Roman" w:eastAsia="Times New Roman" w:cs="Times New Roman"/>
      <w:b/>
      <w:bCs/>
      <w:sz w:val="26"/>
      <w:szCs w:val="26"/>
    </w:rPr>
  </w:style>
  <w:style w:styleId="Heading3" w:type="paragraph">
    <w:name w:val="Heading 3"/>
    <w:basedOn w:val="Normal"/>
    <w:uiPriority w:val="1"/>
    <w:qFormat/>
    <w:pPr>
      <w:ind w:left="1575" w:right="1575"/>
      <w:jc w:val="center"/>
      <w:outlineLvl w:val="3"/>
    </w:pPr>
    <w:rPr>
      <w:rFonts w:ascii="Times New Roman" w:hAnsi="Times New Roman" w:eastAsia="Times New Roman" w:cs="Times New Roman"/>
      <w:b/>
      <w:bCs/>
      <w:sz w:val="24"/>
      <w:szCs w:val="24"/>
    </w:rPr>
  </w:style>
  <w:style w:styleId="Heading4" w:type="paragraph">
    <w:name w:val="Heading 4"/>
    <w:basedOn w:val="Normal"/>
    <w:uiPriority w:val="1"/>
    <w:qFormat/>
    <w:pPr>
      <w:spacing w:before="81"/>
      <w:ind w:left="1575" w:right="1575"/>
      <w:jc w:val="center"/>
      <w:outlineLvl w:val="4"/>
    </w:pPr>
    <w:rPr>
      <w:rFonts w:ascii="Times New Roman" w:hAnsi="Times New Roman" w:eastAsia="Times New Roman" w:cs="Times New Roman"/>
      <w:b/>
      <w:bCs/>
      <w:i/>
      <w:sz w:val="24"/>
      <w:szCs w:val="24"/>
    </w:rPr>
  </w:style>
  <w:style w:styleId="Heading5" w:type="paragraph">
    <w:name w:val="Heading 5"/>
    <w:basedOn w:val="Normal"/>
    <w:uiPriority w:val="1"/>
    <w:qFormat/>
    <w:pPr>
      <w:ind w:left="2188" w:right="2186"/>
      <w:jc w:val="center"/>
      <w:outlineLvl w:val="5"/>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2197" w:hanging="360"/>
    </w:pPr>
    <w:rPr>
      <w:rFonts w:ascii="Times New Roman" w:hAnsi="Times New Roman" w:eastAsia="Times New Roman" w:cs="Times New Roman"/>
    </w:rPr>
  </w:style>
  <w:style w:styleId="TableParagraph" w:type="paragraph">
    <w:name w:val="Table Paragraph"/>
    <w:basedOn w:val="Normal"/>
    <w:uiPriority w:val="1"/>
    <w:qFormat/>
    <w:pPr>
      <w:spacing w:before="18"/>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footer" Target="footer3.xml"/><Relationship Id="rId13" Type="http://schemas.openxmlformats.org/officeDocument/2006/relationships/hyperlink" Target="mailto:Editorial@plazayvaldes.com" TargetMode="External"/><Relationship Id="rId14" Type="http://schemas.openxmlformats.org/officeDocument/2006/relationships/hyperlink" Target="http://www.plazayvaldes.com/" TargetMode="External"/><Relationship Id="rId15" Type="http://schemas.openxmlformats.org/officeDocument/2006/relationships/hyperlink" Target="mailto:madrid@plazayvaldes.com" TargetMode="External"/><Relationship Id="rId16" Type="http://schemas.openxmlformats.org/officeDocument/2006/relationships/hyperlink" Target="http://www.plazayvaldes.es/" TargetMode="External"/><Relationship Id="rId17" Type="http://schemas.openxmlformats.org/officeDocument/2006/relationships/footer" Target="footer4.xml"/><Relationship Id="rId18" Type="http://schemas.openxmlformats.org/officeDocument/2006/relationships/footer" Target="footer5.xml"/><Relationship Id="rId19" Type="http://schemas.openxmlformats.org/officeDocument/2006/relationships/footer" Target="footer6.xml"/><Relationship Id="rId20" Type="http://schemas.openxmlformats.org/officeDocument/2006/relationships/footer" Target="footer7.xml"/><Relationship Id="rId21" Type="http://schemas.openxmlformats.org/officeDocument/2006/relationships/hyperlink" Target="mailto:lucilagm76@hotmail.com" TargetMode="External"/><Relationship Id="rId22" Type="http://schemas.openxmlformats.org/officeDocument/2006/relationships/hyperlink" Target="mailto:esfigue_3@yahoo.com.mx" TargetMode="External"/><Relationship Id="rId23" Type="http://schemas.openxmlformats.org/officeDocument/2006/relationships/hyperlink" Target="mailto:perezsotof@hotmail.com" TargetMode="External"/><Relationship Id="rId24" Type="http://schemas.openxmlformats.org/officeDocument/2006/relationships/footer" Target="footer8.xml"/><Relationship Id="rId25" Type="http://schemas.openxmlformats.org/officeDocument/2006/relationships/footer" Target="footer9.xml"/><Relationship Id="rId26" Type="http://schemas.openxmlformats.org/officeDocument/2006/relationships/hyperlink" Target="http://csh.izt.uam.mx/cen_doc/cedefna/entrega/" TargetMode="External"/><Relationship Id="rId27" Type="http://schemas.openxmlformats.org/officeDocument/2006/relationships/image" Target="media/image5.jpeg"/><Relationship Id="rId28" Type="http://schemas.openxmlformats.org/officeDocument/2006/relationships/image" Target="media/image6.jpeg"/><Relationship Id="rId29" Type="http://schemas.openxmlformats.org/officeDocument/2006/relationships/footer" Target="footer10.xml"/><Relationship Id="rId30" Type="http://schemas.openxmlformats.org/officeDocument/2006/relationships/image" Target="media/image7.png"/><Relationship Id="rId31" Type="http://schemas.openxmlformats.org/officeDocument/2006/relationships/footer" Target="footer11.xml"/><Relationship Id="rId32" Type="http://schemas.openxmlformats.org/officeDocument/2006/relationships/image" Target="media/image8.png"/><Relationship Id="rId33" Type="http://schemas.openxmlformats.org/officeDocument/2006/relationships/image" Target="media/image9.jpeg"/><Relationship Id="rId34" Type="http://schemas.openxmlformats.org/officeDocument/2006/relationships/footer" Target="footer12.xml"/><Relationship Id="rId35" Type="http://schemas.openxmlformats.org/officeDocument/2006/relationships/image" Target="media/image10.png"/><Relationship Id="rId36" Type="http://schemas.openxmlformats.org/officeDocument/2006/relationships/image" Target="media/image11.jpeg"/><Relationship Id="rId37" Type="http://schemas.openxmlformats.org/officeDocument/2006/relationships/image" Target="media/image12.jpeg"/><Relationship Id="rId38" Type="http://schemas.openxmlformats.org/officeDocument/2006/relationships/footer" Target="footer13.xml"/><Relationship Id="rId39" Type="http://schemas.openxmlformats.org/officeDocument/2006/relationships/footer" Target="footer14.xml"/><Relationship Id="rId40" Type="http://schemas.openxmlformats.org/officeDocument/2006/relationships/footer" Target="footer15.xml"/><Relationship Id="rId41" Type="http://schemas.openxmlformats.org/officeDocument/2006/relationships/hyperlink" Target="http://www3.diputados.gob.mx/camara/001_diputados/006_" TargetMode="External"/><Relationship Id="rId42" Type="http://schemas.openxmlformats.org/officeDocument/2006/relationships/hyperlink" Target="http://www3.diputados.gob.mx/camara/001_diputados/006_centros_de_" TargetMode="External"/><Relationship Id="rId43" Type="http://schemas.openxmlformats.org/officeDocument/2006/relationships/hyperlink" Target="http://www.jstor.org/" TargetMode="External"/><Relationship Id="rId44" Type="http://schemas.openxmlformats.org/officeDocument/2006/relationships/hyperlink" Target="http://links.jstor.org/sici?sici=0022-38082819861029943A53C10023AIRALG3E" TargetMode="External"/><Relationship Id="rId45" Type="http://schemas.openxmlformats.org/officeDocument/2006/relationships/hyperlink" Target="http://www.economia.gob.mx/files/comunidad_negocios/ied/carpeta_info_" TargetMode="External"/><Relationship Id="rId46" Type="http://schemas.openxmlformats.org/officeDocument/2006/relationships/hyperlink" Target="http://www.economia.gob.mx/files/comunidad_negocios/ied/Carpeta_IED.pdf" TargetMode="External"/><Relationship Id="rId47" Type="http://schemas.openxmlformats.org/officeDocument/2006/relationships/hyperlink" Target="http://www.angelfire.com/tn/tiempos/economia/texto37.html" TargetMode="External"/><Relationship Id="rId48" Type="http://schemas.openxmlformats.org/officeDocument/2006/relationships/hyperlink" Target="http://csh.izt.uam.mx/cen_doc/cedefna/entrega/ied.html" TargetMode="External"/><Relationship Id="rId49" Type="http://schemas.openxmlformats.org/officeDocument/2006/relationships/footer" Target="footer16.xml"/><Relationship Id="rId50" Type="http://schemas.openxmlformats.org/officeDocument/2006/relationships/header" Target="header2.xml"/><Relationship Id="rId51" Type="http://schemas.openxmlformats.org/officeDocument/2006/relationships/footer" Target="footer17.xml"/><Relationship Id="rId52" Type="http://schemas.openxmlformats.org/officeDocument/2006/relationships/image" Target="media/image13.jpeg"/><Relationship Id="rId5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AZUL</dc:creator>
  <dc:title>Desarrollo Y tecnología17X23 CS6 último.indd</dc:title>
  <dcterms:created xsi:type="dcterms:W3CDTF">2017-05-30T20:02:39Z</dcterms:created>
  <dcterms:modified xsi:type="dcterms:W3CDTF">2017-05-30T20:02:39Z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2015-04-30T00:00:00Z</vt:filetime>
  </property>
  <property fmtid="{D5CDD505-2E9C-101B-9397-08002B2CF9AE}" pid="3" name="Creator">
    <vt:lpwstr>PScript5.dll Version 5.2.2</vt:lpwstr>
  </property>
  <property fmtid="{D5CDD505-2E9C-101B-9397-08002B2CF9AE}" pid="4" name="LastSaved">
    <vt:filetime>2017-05-30T00:00:00Z</vt:filetime>
  </property>
</Properties>
</file>