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1"/>
        <w:rPr>
          <w:rFonts w:ascii="Times New Roman"/>
          <w:sz w:val="20"/>
        </w:rPr>
      </w:pPr>
      <w:bookmarkStart w:name="1a parte CAPITULO DE LIBRO 2014 ISBN.pdf" w:id="1"/>
      <w:bookmarkEnd w:id="1"/>
      <w:r>
        <w:rPr/>
      </w:r>
      <w:r>
        <w:rPr>
          <w:rFonts w:ascii="Times New Roman"/>
          <w:sz w:val="20"/>
        </w:rPr>
        <w:drawing>
          <wp:inline distT="0" distB="0" distL="0" distR="0">
            <wp:extent cx="5399059" cy="9637776"/>
            <wp:effectExtent l="0" t="0" r="0" b="0"/>
            <wp:docPr id="1" name="image1.jpeg" descr="C:\Users\ENRIQUE\Pictures\img040.jpg"/>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399059" cy="9637776"/>
                    </a:xfrm>
                    <a:prstGeom prst="rect">
                      <a:avLst/>
                    </a:prstGeom>
                  </pic:spPr>
                </pic:pic>
              </a:graphicData>
            </a:graphic>
          </wp:inline>
        </w:drawing>
      </w:r>
      <w:r>
        <w:rPr>
          <w:rFonts w:ascii="Times New Roman"/>
          <w:sz w:val="20"/>
        </w:rPr>
      </w:r>
    </w:p>
    <w:p>
      <w:pPr>
        <w:spacing w:after="0"/>
        <w:rPr>
          <w:rFonts w:ascii="Times New Roman"/>
          <w:sz w:val="20"/>
        </w:rPr>
        <w:sectPr>
          <w:type w:val="continuous"/>
          <w:pgSz w:w="11910" w:h="16840"/>
          <w:pgMar w:top="1400" w:bottom="0" w:left="1600" w:right="1600"/>
        </w:sectPr>
      </w:pPr>
    </w:p>
    <w:p>
      <w:pPr>
        <w:pStyle w:val="BodyText"/>
        <w:spacing w:before="5"/>
        <w:rPr>
          <w:rFonts w:ascii="Times New Roman"/>
          <w:sz w:val="28"/>
        </w:rPr>
      </w:pPr>
    </w:p>
    <w:p>
      <w:pPr>
        <w:pStyle w:val="BodyText"/>
        <w:ind w:left="101"/>
        <w:rPr>
          <w:rFonts w:ascii="Times New Roman"/>
          <w:sz w:val="20"/>
        </w:rPr>
      </w:pPr>
      <w:r>
        <w:rPr>
          <w:rFonts w:ascii="Times New Roman"/>
          <w:sz w:val="20"/>
        </w:rPr>
        <w:drawing>
          <wp:inline distT="0" distB="0" distL="0" distR="0">
            <wp:extent cx="5397448" cy="6213348"/>
            <wp:effectExtent l="0" t="0" r="0" b="0"/>
            <wp:docPr id="3" name="image2.jpeg" descr="C:\Users\ENRIQUE\Pictures\img041.jpg"/>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5397448" cy="6213348"/>
                    </a:xfrm>
                    <a:prstGeom prst="rect">
                      <a:avLst/>
                    </a:prstGeom>
                  </pic:spPr>
                </pic:pic>
              </a:graphicData>
            </a:graphic>
          </wp:inline>
        </w:drawing>
      </w:r>
      <w:r>
        <w:rPr>
          <w:rFonts w:ascii="Times New Roman"/>
          <w:sz w:val="20"/>
        </w:rPr>
      </w:r>
    </w:p>
    <w:p>
      <w:pPr>
        <w:spacing w:after="0"/>
        <w:rPr>
          <w:rFonts w:ascii="Times New Roman"/>
          <w:sz w:val="20"/>
        </w:rPr>
        <w:sectPr>
          <w:pgSz w:w="11910" w:h="16840"/>
          <w:pgMar w:top="1580" w:bottom="280" w:left="1600" w:right="1580"/>
        </w:sectPr>
      </w:pPr>
    </w:p>
    <w:p>
      <w:pPr>
        <w:pStyle w:val="BodyText"/>
        <w:ind w:left="101"/>
        <w:rPr>
          <w:rFonts w:ascii="Times New Roman"/>
          <w:sz w:val="20"/>
        </w:rPr>
      </w:pPr>
      <w:r>
        <w:rPr>
          <w:rFonts w:ascii="Times New Roman"/>
          <w:sz w:val="20"/>
        </w:rPr>
        <w:drawing>
          <wp:inline distT="0" distB="0" distL="0" distR="0">
            <wp:extent cx="5397426" cy="7173468"/>
            <wp:effectExtent l="0" t="0" r="0" b="0"/>
            <wp:docPr id="5" name="image3.jpeg" descr="C:\Users\ENRIQUE\Pictures\img042.jpg"/>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5397426" cy="7173468"/>
                    </a:xfrm>
                    <a:prstGeom prst="rect">
                      <a:avLst/>
                    </a:prstGeom>
                  </pic:spPr>
                </pic:pic>
              </a:graphicData>
            </a:graphic>
          </wp:inline>
        </w:drawing>
      </w:r>
      <w:r>
        <w:rPr>
          <w:rFonts w:ascii="Times New Roman"/>
          <w:sz w:val="20"/>
        </w:rPr>
      </w:r>
    </w:p>
    <w:p>
      <w:pPr>
        <w:spacing w:after="0"/>
        <w:rPr>
          <w:rFonts w:ascii="Times New Roman"/>
          <w:sz w:val="20"/>
        </w:rPr>
        <w:sectPr>
          <w:pgSz w:w="11910" w:h="16840"/>
          <w:pgMar w:top="1400" w:bottom="280" w:left="1600" w:right="1600"/>
        </w:sectPr>
      </w:pPr>
    </w:p>
    <w:p>
      <w:pPr>
        <w:pStyle w:val="BodyText"/>
        <w:spacing w:before="5"/>
        <w:rPr>
          <w:rFonts w:ascii="Times New Roman"/>
          <w:sz w:val="28"/>
        </w:rPr>
      </w:pPr>
    </w:p>
    <w:p>
      <w:pPr>
        <w:pStyle w:val="BodyText"/>
        <w:ind w:left="101"/>
        <w:rPr>
          <w:rFonts w:ascii="Times New Roman"/>
          <w:sz w:val="20"/>
        </w:rPr>
      </w:pPr>
      <w:r>
        <w:rPr>
          <w:rFonts w:ascii="Times New Roman"/>
          <w:sz w:val="20"/>
        </w:rPr>
        <w:drawing>
          <wp:inline distT="0" distB="0" distL="0" distR="0">
            <wp:extent cx="4974865" cy="7626096"/>
            <wp:effectExtent l="0" t="0" r="0" b="0"/>
            <wp:docPr id="7" name="image4.jpeg" descr="C:\Users\ENRIQUE\Pictures\img044.jpg"/>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4974865" cy="7626096"/>
                    </a:xfrm>
                    <a:prstGeom prst="rect">
                      <a:avLst/>
                    </a:prstGeom>
                  </pic:spPr>
                </pic:pic>
              </a:graphicData>
            </a:graphic>
          </wp:inline>
        </w:drawing>
      </w:r>
      <w:r>
        <w:rPr>
          <w:rFonts w:ascii="Times New Roman"/>
          <w:sz w:val="20"/>
        </w:rPr>
      </w:r>
    </w:p>
    <w:p>
      <w:pPr>
        <w:spacing w:after="0"/>
        <w:rPr>
          <w:rFonts w:ascii="Times New Roman"/>
          <w:sz w:val="20"/>
        </w:rPr>
        <w:sectPr>
          <w:pgSz w:w="11910" w:h="16840"/>
          <w:pgMar w:top="1580" w:bottom="280" w:left="1600" w:right="1680"/>
        </w:sectPr>
      </w:pPr>
    </w:p>
    <w:p>
      <w:pPr>
        <w:pStyle w:val="BodyText"/>
        <w:rPr>
          <w:rFonts w:ascii="Times New Roman"/>
          <w:sz w:val="20"/>
        </w:rPr>
      </w:pPr>
    </w:p>
    <w:p>
      <w:pPr>
        <w:pStyle w:val="BodyText"/>
        <w:spacing w:before="3"/>
        <w:rPr>
          <w:rFonts w:ascii="Times New Roman"/>
          <w:sz w:val="19"/>
        </w:rPr>
      </w:pPr>
    </w:p>
    <w:p>
      <w:pPr>
        <w:pStyle w:val="Heading1"/>
        <w:spacing w:before="65"/>
      </w:pPr>
      <w:bookmarkStart w:name="2a parte capitulo de libro 2014.pdf" w:id="2"/>
      <w:bookmarkEnd w:id="2"/>
      <w:r>
        <w:rPr>
          <w:b w:val="0"/>
        </w:rPr>
      </w:r>
      <w:r>
        <w:rPr/>
        <w:t>FONDO METROPOLITANO PARA EL VALLE DE MÉXICO 2006-2012:</w:t>
      </w:r>
    </w:p>
    <w:p>
      <w:pPr>
        <w:pStyle w:val="BodyText"/>
        <w:spacing w:before="10"/>
        <w:rPr>
          <w:b/>
          <w:sz w:val="27"/>
        </w:rPr>
      </w:pPr>
    </w:p>
    <w:p>
      <w:pPr>
        <w:spacing w:before="0"/>
        <w:ind w:left="3298" w:right="3299" w:firstLine="0"/>
        <w:jc w:val="center"/>
        <w:rPr>
          <w:b/>
          <w:sz w:val="28"/>
        </w:rPr>
      </w:pPr>
      <w:r>
        <w:rPr>
          <w:b/>
          <w:sz w:val="28"/>
        </w:rPr>
        <w:t>LÍMITES Y ALCANCES</w:t>
      </w:r>
    </w:p>
    <w:p>
      <w:pPr>
        <w:pStyle w:val="BodyText"/>
        <w:spacing w:before="3"/>
        <w:rPr>
          <w:b/>
          <w:sz w:val="17"/>
        </w:rPr>
      </w:pPr>
    </w:p>
    <w:p>
      <w:pPr>
        <w:spacing w:after="0"/>
        <w:rPr>
          <w:sz w:val="17"/>
        </w:rPr>
        <w:sectPr>
          <w:headerReference w:type="default" r:id="rId9"/>
          <w:footerReference w:type="default" r:id="rId10"/>
          <w:pgSz w:w="12240" w:h="15840"/>
          <w:pgMar w:header="305" w:footer="595" w:top="880" w:bottom="780" w:left="1300" w:right="1300"/>
          <w:pgNumType w:start="1"/>
        </w:sectPr>
      </w:pPr>
    </w:p>
    <w:p>
      <w:pPr>
        <w:pStyle w:val="BodyText"/>
        <w:rPr>
          <w:b/>
          <w:sz w:val="24"/>
        </w:rPr>
      </w:pPr>
    </w:p>
    <w:p>
      <w:pPr>
        <w:pStyle w:val="BodyText"/>
        <w:rPr>
          <w:b/>
          <w:sz w:val="24"/>
        </w:rPr>
      </w:pPr>
    </w:p>
    <w:p>
      <w:pPr>
        <w:pStyle w:val="BodyText"/>
        <w:spacing w:before="6"/>
        <w:rPr>
          <w:b/>
          <w:sz w:val="34"/>
        </w:rPr>
      </w:pPr>
    </w:p>
    <w:p>
      <w:pPr>
        <w:pStyle w:val="Heading2"/>
        <w:spacing w:before="1"/>
        <w:jc w:val="left"/>
      </w:pPr>
      <w:r>
        <w:rPr>
          <w:w w:val="95"/>
        </w:rPr>
        <w:t>RESUMEN</w:t>
      </w:r>
    </w:p>
    <w:p>
      <w:pPr>
        <w:spacing w:line="444" w:lineRule="auto" w:before="87"/>
        <w:ind w:left="210" w:right="96" w:hanging="92"/>
        <w:jc w:val="left"/>
        <w:rPr>
          <w:b/>
          <w:i/>
          <w:sz w:val="12"/>
        </w:rPr>
      </w:pPr>
      <w:r>
        <w:rPr/>
        <w:br w:type="column"/>
      </w:r>
      <w:r>
        <w:rPr>
          <w:b/>
          <w:i/>
          <w:sz w:val="18"/>
        </w:rPr>
        <w:t>Melesio Rivero Hernández</w:t>
      </w:r>
      <w:r>
        <w:rPr>
          <w:b/>
          <w:position w:val="9"/>
          <w:sz w:val="12"/>
        </w:rPr>
        <w:t>1 </w:t>
      </w:r>
      <w:r>
        <w:rPr>
          <w:b/>
          <w:i/>
          <w:sz w:val="18"/>
        </w:rPr>
        <w:t>Enrique Moreno Sánchez</w:t>
      </w:r>
      <w:r>
        <w:rPr>
          <w:b/>
          <w:i/>
          <w:position w:val="9"/>
          <w:sz w:val="12"/>
        </w:rPr>
        <w:t>2</w:t>
      </w:r>
    </w:p>
    <w:p>
      <w:pPr>
        <w:spacing w:after="0" w:line="444" w:lineRule="auto"/>
        <w:jc w:val="left"/>
        <w:rPr>
          <w:sz w:val="12"/>
        </w:rPr>
        <w:sectPr>
          <w:type w:val="continuous"/>
          <w:pgSz w:w="12240" w:h="15840"/>
          <w:pgMar w:top="1400" w:bottom="0" w:left="1300" w:right="1300"/>
          <w:cols w:num="2" w:equalWidth="0">
            <w:col w:w="1319" w:space="5777"/>
            <w:col w:w="2544"/>
          </w:cols>
        </w:sectPr>
      </w:pPr>
    </w:p>
    <w:p>
      <w:pPr>
        <w:pStyle w:val="BodyText"/>
        <w:spacing w:before="10"/>
        <w:rPr>
          <w:b/>
          <w:i/>
          <w:sz w:val="17"/>
        </w:rPr>
      </w:pPr>
    </w:p>
    <w:p>
      <w:pPr>
        <w:pStyle w:val="BodyText"/>
        <w:spacing w:line="480" w:lineRule="auto" w:before="73"/>
        <w:ind w:left="118" w:right="111"/>
        <w:jc w:val="both"/>
      </w:pPr>
      <w:r>
        <w:rPr/>
        <w:t>La evolución de las ciudades ha planteado diversos retos para las instituciones gubernamentales en el mundo. Tanto en los países avanzados como en América Latina se han ensayado diversas formas, algunas con mayor o menor éxito; sin embargo la constante es que tales esfuerzos no han permanecido en el tiempo y no han logrado resultados de largo aliento. Para el caso de la Zona Metropolitana del Valle de México (ZMVM) la gestión del espacio metropolitano ha ocurrido, desde los 90, a través de la figura de coordinación interinstitucional (Comisiones Metropolitanas) entre las dos entidades implicadas en la conurbación: la Ciudad de México y el Estado de México y, recientemente, se han impulsado proyectos y acciones a través del Fondo</w:t>
      </w:r>
      <w:r>
        <w:rPr>
          <w:spacing w:val="-4"/>
        </w:rPr>
        <w:t> </w:t>
      </w:r>
      <w:r>
        <w:rPr/>
        <w:t>Metropolitano.</w:t>
      </w:r>
    </w:p>
    <w:p>
      <w:pPr>
        <w:pStyle w:val="BodyText"/>
      </w:pPr>
    </w:p>
    <w:p>
      <w:pPr>
        <w:pStyle w:val="BodyText"/>
        <w:spacing w:before="8"/>
      </w:pPr>
    </w:p>
    <w:p>
      <w:pPr>
        <w:pStyle w:val="BodyText"/>
        <w:spacing w:line="480" w:lineRule="auto"/>
        <w:ind w:left="118" w:right="111"/>
        <w:jc w:val="both"/>
      </w:pPr>
      <w:r>
        <w:rPr/>
        <w:t>Por ello, en este trabajo se revisan las diferentes formas de gestión de las metrópolis del mundo y se establecen categorías para identificar los niveles, alcances y problemas que enfrentan. También, se analiza el despliegue de recursos económicos federales a través del Fondo Metropolitano durante el periodo 2006-2012, por los gobiernos de la Ciudad de México, del Estado de México y de Hidalgo, para atender la agenda derivada de los problemas de la aglomeración urbana más grande del país. Como conclusiones preliminares se sostiene que la coordinación metropolitana se ubica en un nivel intermedio de los existentes en el mundo, que no impulsa cambios en  el régimen federal;  además  de que es necesario evaluar  el     impacto</w:t>
      </w:r>
    </w:p>
    <w:p>
      <w:pPr>
        <w:pStyle w:val="BodyText"/>
        <w:rPr>
          <w:sz w:val="20"/>
        </w:rPr>
      </w:pPr>
    </w:p>
    <w:p>
      <w:pPr>
        <w:pStyle w:val="BodyText"/>
        <w:rPr>
          <w:sz w:val="20"/>
        </w:rPr>
      </w:pPr>
    </w:p>
    <w:p>
      <w:pPr>
        <w:pStyle w:val="BodyText"/>
        <w:spacing w:before="2"/>
        <w:rPr>
          <w:sz w:val="18"/>
        </w:rPr>
      </w:pPr>
      <w:r>
        <w:rPr/>
        <w:pict>
          <v:line style="position:absolute;mso-position-horizontal-relative:page;mso-position-vertical-relative:paragraph;z-index:0;mso-wrap-distance-left:0;mso-wrap-distance-right:0" from="234.050003pt,12.781821pt" to="378.070003pt,12.781821pt" stroked="true" strokeweight=".72003pt" strokecolor="#000000">
            <w10:wrap type="topAndBottom"/>
          </v:line>
        </w:pict>
      </w:r>
    </w:p>
    <w:p>
      <w:pPr>
        <w:spacing w:line="224" w:lineRule="exact" w:before="39"/>
        <w:ind w:left="118" w:right="129" w:firstLine="0"/>
        <w:jc w:val="left"/>
        <w:rPr>
          <w:sz w:val="18"/>
        </w:rPr>
      </w:pPr>
      <w:r>
        <w:rPr>
          <w:position w:val="9"/>
          <w:sz w:val="12"/>
        </w:rPr>
        <w:t>1 </w:t>
      </w:r>
      <w:r>
        <w:rPr>
          <w:sz w:val="18"/>
        </w:rPr>
        <w:t>Doctor en Urbanismo. Centro Universitario UAEM Texcoco. Tel. 5959211216. Mail: </w:t>
      </w:r>
      <w:hyperlink r:id="rId11">
        <w:r>
          <w:rPr>
            <w:sz w:val="18"/>
          </w:rPr>
          <w:t>mriveroh@uaemex.mx.</w:t>
        </w:r>
      </w:hyperlink>
    </w:p>
    <w:p>
      <w:pPr>
        <w:spacing w:line="224" w:lineRule="exact" w:before="0"/>
        <w:ind w:left="118" w:right="129" w:firstLine="0"/>
        <w:jc w:val="left"/>
        <w:rPr>
          <w:sz w:val="18"/>
        </w:rPr>
      </w:pPr>
      <w:r>
        <w:rPr>
          <w:position w:val="9"/>
          <w:sz w:val="12"/>
        </w:rPr>
        <w:t>2 </w:t>
      </w:r>
      <w:r>
        <w:rPr>
          <w:sz w:val="18"/>
        </w:rPr>
        <w:t>Doctor en Urbanismo. Centro Universitario UAEM Texcoco. Tel. 5959211216. Mail: </w:t>
      </w:r>
      <w:hyperlink r:id="rId12">
        <w:r>
          <w:rPr>
            <w:sz w:val="18"/>
          </w:rPr>
          <w:t>enriquetex132@gmail.com</w:t>
        </w:r>
      </w:hyperlink>
    </w:p>
    <w:p>
      <w:pPr>
        <w:spacing w:after="0" w:line="224" w:lineRule="exact"/>
        <w:jc w:val="left"/>
        <w:rPr>
          <w:sz w:val="18"/>
        </w:rPr>
        <w:sectPr>
          <w:type w:val="continuous"/>
          <w:pgSz w:w="12240" w:h="15840"/>
          <w:pgMar w:top="1400" w:bottom="0" w:left="1300" w:right="1300"/>
        </w:sectPr>
      </w:pPr>
    </w:p>
    <w:p>
      <w:pPr>
        <w:pStyle w:val="BodyText"/>
        <w:rPr>
          <w:sz w:val="20"/>
        </w:rPr>
      </w:pPr>
    </w:p>
    <w:p>
      <w:pPr>
        <w:pStyle w:val="BodyText"/>
        <w:spacing w:before="8"/>
        <w:rPr>
          <w:sz w:val="18"/>
        </w:rPr>
      </w:pPr>
    </w:p>
    <w:p>
      <w:pPr>
        <w:pStyle w:val="BodyText"/>
        <w:spacing w:line="480" w:lineRule="auto" w:before="73"/>
        <w:ind w:left="118" w:right="116"/>
        <w:jc w:val="both"/>
      </w:pPr>
      <w:r>
        <w:rPr/>
        <w:t>social, económico, ambiental de los proyectos que se instrumentaron el Valle de México durante el periodo 2006-20012.</w:t>
      </w:r>
    </w:p>
    <w:p>
      <w:pPr>
        <w:pStyle w:val="BodyText"/>
        <w:spacing w:before="5"/>
        <w:ind w:left="118"/>
        <w:jc w:val="both"/>
      </w:pPr>
      <w:r>
        <w:rPr/>
        <w:t>PALABRAS CLAVE: Metrópoli, Coordinación, Proyectos.</w:t>
      </w:r>
    </w:p>
    <w:p>
      <w:pPr>
        <w:pStyle w:val="BodyText"/>
      </w:pPr>
    </w:p>
    <w:p>
      <w:pPr>
        <w:pStyle w:val="BodyText"/>
      </w:pPr>
    </w:p>
    <w:p>
      <w:pPr>
        <w:pStyle w:val="BodyText"/>
        <w:spacing w:before="10"/>
        <w:rPr>
          <w:sz w:val="25"/>
        </w:rPr>
      </w:pPr>
    </w:p>
    <w:p>
      <w:pPr>
        <w:pStyle w:val="Heading2"/>
        <w:spacing w:before="0"/>
      </w:pPr>
      <w:r>
        <w:rPr/>
        <w:t>1.- METRÓPOLIS: TENDENCIA MUNDIAL</w:t>
      </w:r>
    </w:p>
    <w:p>
      <w:pPr>
        <w:pStyle w:val="BodyText"/>
        <w:spacing w:before="2"/>
        <w:rPr>
          <w:b/>
          <w:sz w:val="24"/>
        </w:rPr>
      </w:pPr>
    </w:p>
    <w:p>
      <w:pPr>
        <w:pStyle w:val="BodyText"/>
        <w:spacing w:line="475" w:lineRule="auto"/>
        <w:ind w:left="118" w:right="117"/>
        <w:jc w:val="both"/>
        <w:rPr>
          <w:sz w:val="14"/>
        </w:rPr>
      </w:pPr>
      <w:r>
        <w:rPr/>
        <w:t>Las metrópolis son un hecho espacial incontrastable que cada día se consolida y se manifiesta como una modificación constante del espacio. En 1985 existían 271 metrópolis con más de un millón de habitantes en el mundo, mientras que en 2005 la cantidad ascendía a 430. Del total  de metrópolis existían 20 megalópolis con más de 10 millones de habitantes cada una y el 72% se ubicaban en países en desarrollo. La población asentada en ellas era, aproximadamente, de 1,200 millones de habitantes; es decir, el 38% de la población</w:t>
      </w:r>
      <w:r>
        <w:rPr>
          <w:spacing w:val="-17"/>
        </w:rPr>
        <w:t> </w:t>
      </w:r>
      <w:r>
        <w:rPr/>
        <w:t>mundial.</w:t>
      </w:r>
      <w:r>
        <w:rPr>
          <w:position w:val="10"/>
          <w:sz w:val="14"/>
        </w:rPr>
        <w:t>3</w:t>
      </w:r>
    </w:p>
    <w:p>
      <w:pPr>
        <w:pStyle w:val="BodyText"/>
        <w:rPr>
          <w:sz w:val="26"/>
        </w:rPr>
      </w:pPr>
    </w:p>
    <w:p>
      <w:pPr>
        <w:pStyle w:val="BodyText"/>
        <w:spacing w:line="475" w:lineRule="auto" w:before="193"/>
        <w:ind w:left="118" w:right="112"/>
        <w:jc w:val="both"/>
      </w:pPr>
      <w:r>
        <w:rPr/>
        <w:t>El proceso de metropolización va acompañado de tres fenómenos que le influyen: la globalización económica, la globalización política y la globalización cultural.</w:t>
      </w:r>
      <w:r>
        <w:rPr>
          <w:position w:val="10"/>
          <w:sz w:val="14"/>
        </w:rPr>
        <w:t>4 </w:t>
      </w:r>
      <w:r>
        <w:rPr/>
        <w:t>La primera se relaciona con la expansión acelerada de los mercados financieros mundiales y la aparición de zonas de libre comercio y la consolidación de corporaciones multinacionales. La globalización política implica el desbordamiento del Estado-nación “por organizaciones supranacionales, como las Naciones Unidas y la Unión Europea, por ejemplo, y con el ascenso de lo que suelen llamarse políticas globales o ‘gobernancia global’”.</w:t>
      </w:r>
      <w:r>
        <w:rPr>
          <w:position w:val="10"/>
          <w:sz w:val="14"/>
        </w:rPr>
        <w:t>5 </w:t>
      </w:r>
      <w:r>
        <w:rPr/>
        <w:t>Mientras que lo que se alude al aspecto cultural tiene que ver con una “interconexión” mediante los flujos de información y la predominancia de signos, símbolos y valores de proporciones</w:t>
      </w:r>
      <w:r>
        <w:rPr>
          <w:spacing w:val="-13"/>
        </w:rPr>
        <w:t> </w:t>
      </w:r>
      <w:r>
        <w:rPr/>
        <w:t>mundiales.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5"/>
        </w:rPr>
      </w:pPr>
      <w:r>
        <w:rPr/>
        <w:pict>
          <v:line style="position:absolute;mso-position-horizontal-relative:page;mso-position-vertical-relative:paragraph;z-index:1048;mso-wrap-distance-left:0;mso-wrap-distance-right:0" from="234.050003pt,11.289558pt" to="378.070003pt,11.289558pt" stroked="true" strokeweight=".72003pt" strokecolor="#000000">
            <w10:wrap type="topAndBottom"/>
          </v:line>
        </w:pict>
      </w:r>
    </w:p>
    <w:p>
      <w:pPr>
        <w:spacing w:line="249" w:lineRule="auto" w:before="40"/>
        <w:ind w:left="118" w:right="129" w:firstLine="0"/>
        <w:jc w:val="left"/>
        <w:rPr>
          <w:sz w:val="18"/>
        </w:rPr>
      </w:pPr>
      <w:r>
        <w:rPr>
          <w:rFonts w:ascii="Calibri" w:hAnsi="Calibri"/>
          <w:position w:val="9"/>
          <w:sz w:val="12"/>
        </w:rPr>
        <w:t>3 </w:t>
      </w:r>
      <w:r>
        <w:rPr>
          <w:sz w:val="18"/>
        </w:rPr>
        <w:t>Iracheta, A. (2010) “El fenómeno metropolitano en México”, </w:t>
      </w:r>
      <w:r>
        <w:rPr>
          <w:i/>
          <w:sz w:val="18"/>
        </w:rPr>
        <w:t>en Economía y Sociedad, </w:t>
      </w:r>
      <w:r>
        <w:rPr>
          <w:sz w:val="18"/>
        </w:rPr>
        <w:t>vol. XIV, núm. 25, enero- junio. Universidad Michoacana de San Nicolás de Hidalgo. México.</w:t>
      </w:r>
      <w:r>
        <w:rPr>
          <w:spacing w:val="-26"/>
          <w:sz w:val="18"/>
        </w:rPr>
        <w:t> </w:t>
      </w:r>
      <w:r>
        <w:rPr>
          <w:sz w:val="18"/>
        </w:rPr>
        <w:t>p.93.</w:t>
      </w:r>
    </w:p>
    <w:p>
      <w:pPr>
        <w:spacing w:line="198" w:lineRule="exact" w:before="0"/>
        <w:ind w:left="118" w:right="129" w:firstLine="0"/>
        <w:jc w:val="left"/>
        <w:rPr>
          <w:sz w:val="18"/>
        </w:rPr>
      </w:pPr>
      <w:r>
        <w:rPr>
          <w:position w:val="9"/>
          <w:sz w:val="12"/>
        </w:rPr>
        <w:t>4  </w:t>
      </w:r>
      <w:r>
        <w:rPr>
          <w:sz w:val="18"/>
        </w:rPr>
        <w:t>Vid. Giménez G. (2005) “Cultura, identidad y metropolitanismo global”, en Revista Mexicana de Sociología, vol.  67,</w:t>
      </w:r>
    </w:p>
    <w:p>
      <w:pPr>
        <w:spacing w:line="190" w:lineRule="exact" w:before="2"/>
        <w:ind w:left="118" w:right="129" w:firstLine="0"/>
        <w:jc w:val="left"/>
        <w:rPr>
          <w:sz w:val="18"/>
        </w:rPr>
      </w:pPr>
      <w:r>
        <w:rPr>
          <w:sz w:val="18"/>
        </w:rPr>
        <w:t>núm. 3, julio-septiembre. UNAM. México.</w:t>
      </w:r>
    </w:p>
    <w:p>
      <w:pPr>
        <w:spacing w:line="224" w:lineRule="exact" w:before="0"/>
        <w:ind w:left="118" w:right="129" w:firstLine="0"/>
        <w:jc w:val="left"/>
        <w:rPr>
          <w:sz w:val="18"/>
        </w:rPr>
      </w:pPr>
      <w:r>
        <w:rPr>
          <w:position w:val="9"/>
          <w:sz w:val="12"/>
        </w:rPr>
        <w:t>5 </w:t>
      </w:r>
      <w:r>
        <w:rPr>
          <w:sz w:val="18"/>
        </w:rPr>
        <w:t>Ibid: 486.</w:t>
      </w:r>
    </w:p>
    <w:p>
      <w:pPr>
        <w:spacing w:after="0" w:line="224" w:lineRule="exact"/>
        <w:jc w:val="left"/>
        <w:rPr>
          <w:sz w:val="18"/>
        </w:rPr>
        <w:sectPr>
          <w:pgSz w:w="12240" w:h="15840"/>
          <w:pgMar w:header="305" w:footer="595" w:top="880" w:bottom="780" w:left="1300" w:right="1300"/>
        </w:sectPr>
      </w:pPr>
    </w:p>
    <w:p>
      <w:pPr>
        <w:pStyle w:val="BodyText"/>
        <w:rPr>
          <w:sz w:val="20"/>
        </w:rPr>
      </w:pPr>
    </w:p>
    <w:p>
      <w:pPr>
        <w:pStyle w:val="BodyText"/>
        <w:spacing w:before="8"/>
        <w:rPr>
          <w:sz w:val="18"/>
        </w:rPr>
      </w:pPr>
    </w:p>
    <w:p>
      <w:pPr>
        <w:pStyle w:val="BodyText"/>
        <w:spacing w:line="475" w:lineRule="auto" w:before="73"/>
        <w:ind w:left="118" w:right="110"/>
        <w:jc w:val="both"/>
        <w:rPr>
          <w:sz w:val="14"/>
        </w:rPr>
      </w:pPr>
      <w:r>
        <w:rPr/>
        <w:t>La globalización (en sus tres vertientes) se vincula con lo que se denomina “compresión del tiempo y del espacio”; término que alude, tanto a la aceleración de los ritmos de vida de las personas resultante del predominio de las nuevas tecnologías, a las telecomunicaciones y a los transportes aéreos internacionales. Como resultado de lo anterior, han surgido un mundo acelerado y un mundo lento. El primero vinculado con sistemas flexibles de producción y “refinadas pautas de consumo”. El segundo alude a regiones rurales aisladas, zonas fabriles depauperadas y suburbios barriales desfavorecidos económica, social y culturalmente.</w:t>
      </w:r>
      <w:r>
        <w:rPr>
          <w:position w:val="10"/>
          <w:sz w:val="14"/>
        </w:rPr>
        <w:t>6 </w:t>
      </w:r>
      <w:r>
        <w:rPr/>
        <w:t>El mundo lento pareciera caracterizar a las ciudades y metrópolis latinoamericanas, ya que “las ciudades del tercer mundo suelen visualizarse como un enjambre de problemas”.</w:t>
      </w:r>
      <w:r>
        <w:rPr>
          <w:position w:val="10"/>
          <w:sz w:val="14"/>
        </w:rPr>
        <w:t>7</w:t>
      </w:r>
    </w:p>
    <w:p>
      <w:pPr>
        <w:pStyle w:val="BodyText"/>
        <w:rPr>
          <w:sz w:val="26"/>
        </w:rPr>
      </w:pPr>
    </w:p>
    <w:p>
      <w:pPr>
        <w:pStyle w:val="BodyText"/>
        <w:spacing w:line="472" w:lineRule="auto" w:before="193"/>
        <w:ind w:left="118" w:right="113"/>
        <w:jc w:val="both"/>
      </w:pPr>
      <w:r>
        <w:rPr/>
        <w:t>.Tres elementos interactúan en las ciudades: elementos tangibles (infraestructuras), personas (residentes y visitantes) y sociedad (relaciones entre personas); de ellos se espera una adecuada articulación para soportar las actividades propias de su interacción, de tal modo que el entramado de relaciones se posibilite verdaderamente.</w:t>
      </w:r>
      <w:r>
        <w:rPr>
          <w:position w:val="10"/>
          <w:sz w:val="14"/>
        </w:rPr>
        <w:t>8 </w:t>
      </w:r>
      <w:r>
        <w:rPr/>
        <w:t>En términos institucionales una metrópoli, requiere del concurso de diferentes portadores de recursos y tomadores de decisiones para “la prestación de determinados servicios públicos, la realización de obras y proyectos en conjunto o la coordinación administrativa entre ellos y con el gobierno federal”.</w:t>
      </w:r>
      <w:r>
        <w:rPr>
          <w:position w:val="10"/>
          <w:sz w:val="14"/>
        </w:rPr>
        <w:t>9 </w:t>
      </w:r>
      <w:r>
        <w:rPr/>
        <w:t>Tales decisores deben superar los retos que implican la construcción de acuerdos interjurisdiccionales entre niveles de gobierno, superar la tradición centralista y  el municipalismo a ultranza </w:t>
      </w:r>
      <w:r>
        <w:rPr>
          <w:position w:val="10"/>
          <w:sz w:val="14"/>
        </w:rPr>
        <w:t>10 </w:t>
      </w:r>
      <w:r>
        <w:rPr/>
        <w:t>y lograr sinergias entre los sectores público y</w:t>
      </w:r>
      <w:r>
        <w:rPr>
          <w:spacing w:val="-8"/>
        </w:rPr>
        <w:t> </w:t>
      </w:r>
      <w:r>
        <w:rPr/>
        <w:t>privados.</w:t>
      </w:r>
    </w:p>
    <w:p>
      <w:pPr>
        <w:pStyle w:val="BodyText"/>
        <w:rPr>
          <w:sz w:val="20"/>
        </w:rPr>
      </w:pPr>
    </w:p>
    <w:p>
      <w:pPr>
        <w:pStyle w:val="BodyText"/>
        <w:rPr>
          <w:sz w:val="20"/>
        </w:rPr>
      </w:pPr>
    </w:p>
    <w:p>
      <w:pPr>
        <w:pStyle w:val="BodyText"/>
        <w:rPr>
          <w:sz w:val="20"/>
        </w:rPr>
      </w:pPr>
    </w:p>
    <w:p>
      <w:pPr>
        <w:pStyle w:val="BodyText"/>
        <w:spacing w:before="5"/>
        <w:rPr>
          <w:sz w:val="14"/>
        </w:rPr>
      </w:pPr>
      <w:r>
        <w:rPr/>
        <w:pict>
          <v:line style="position:absolute;mso-position-horizontal-relative:page;mso-position-vertical-relative:paragraph;z-index:1072;mso-wrap-distance-left:0;mso-wrap-distance-right:0" from="234.050003pt,10.633953pt" to="378.070003pt,10.633953pt" stroked="true" strokeweight=".71997pt" strokecolor="#000000">
            <w10:wrap type="topAndBottom"/>
          </v:line>
        </w:pict>
      </w:r>
    </w:p>
    <w:p>
      <w:pPr>
        <w:pStyle w:val="ListParagraph"/>
        <w:numPr>
          <w:ilvl w:val="0"/>
          <w:numId w:val="1"/>
        </w:numPr>
        <w:tabs>
          <w:tab w:pos="271" w:val="left" w:leader="none"/>
        </w:tabs>
        <w:spacing w:line="240" w:lineRule="auto" w:before="73" w:after="0"/>
        <w:ind w:left="118" w:right="0" w:firstLine="0"/>
        <w:jc w:val="both"/>
        <w:rPr>
          <w:sz w:val="18"/>
        </w:rPr>
      </w:pPr>
      <w:r>
        <w:rPr>
          <w:sz w:val="18"/>
        </w:rPr>
        <w:t>Ibid</w:t>
      </w:r>
    </w:p>
    <w:p>
      <w:pPr>
        <w:pStyle w:val="ListParagraph"/>
        <w:numPr>
          <w:ilvl w:val="0"/>
          <w:numId w:val="1"/>
        </w:numPr>
        <w:tabs>
          <w:tab w:pos="290" w:val="left" w:leader="none"/>
        </w:tabs>
        <w:spacing w:line="240" w:lineRule="auto" w:before="0" w:after="0"/>
        <w:ind w:left="118" w:right="115" w:firstLine="0"/>
        <w:jc w:val="both"/>
        <w:rPr>
          <w:sz w:val="18"/>
        </w:rPr>
      </w:pPr>
      <w:r>
        <w:rPr>
          <w:sz w:val="18"/>
        </w:rPr>
        <w:t>Garza, G. (2007) “La urbanización metropolitana en México: normatividad y características socioeconómicas”, en Papeles de Población, vol. 13, núm. 52, abril-junio,</w:t>
      </w:r>
      <w:r>
        <w:rPr>
          <w:spacing w:val="-35"/>
          <w:sz w:val="18"/>
        </w:rPr>
        <w:t> </w:t>
      </w:r>
      <w:r>
        <w:rPr>
          <w:sz w:val="18"/>
        </w:rPr>
        <w:t>2007. UAMex. México. p. 91.</w:t>
      </w:r>
    </w:p>
    <w:p>
      <w:pPr>
        <w:pStyle w:val="ListParagraph"/>
        <w:numPr>
          <w:ilvl w:val="0"/>
          <w:numId w:val="1"/>
        </w:numPr>
        <w:tabs>
          <w:tab w:pos="314" w:val="left" w:leader="none"/>
        </w:tabs>
        <w:spacing w:line="240" w:lineRule="auto" w:before="2" w:after="0"/>
        <w:ind w:left="118" w:right="114" w:firstLine="0"/>
        <w:jc w:val="both"/>
        <w:rPr>
          <w:sz w:val="18"/>
        </w:rPr>
      </w:pPr>
      <w:r>
        <w:rPr>
          <w:sz w:val="18"/>
        </w:rPr>
        <w:t>Vid.) Gómez P.M. (2003) “La gestión de marketing de ciudades y áreas metropolitanas: de la orientación al producto a la orientación al Marketing”, en </w:t>
      </w:r>
      <w:r>
        <w:rPr>
          <w:i/>
          <w:sz w:val="18"/>
        </w:rPr>
        <w:t>Cuadernos de Gestión</w:t>
      </w:r>
      <w:r>
        <w:rPr>
          <w:sz w:val="18"/>
        </w:rPr>
        <w:t>, vol. 3, núm. 1-2, 2003, pp. 11-25, Universidad del País Vasco/Euskal Herriko Unibertsitatea.</w:t>
      </w:r>
      <w:r>
        <w:rPr>
          <w:spacing w:val="-17"/>
          <w:sz w:val="18"/>
        </w:rPr>
        <w:t> </w:t>
      </w:r>
      <w:r>
        <w:rPr>
          <w:sz w:val="18"/>
        </w:rPr>
        <w:t>España.</w:t>
      </w:r>
    </w:p>
    <w:p>
      <w:pPr>
        <w:pStyle w:val="ListParagraph"/>
        <w:numPr>
          <w:ilvl w:val="0"/>
          <w:numId w:val="1"/>
        </w:numPr>
        <w:tabs>
          <w:tab w:pos="271" w:val="left" w:leader="none"/>
        </w:tabs>
        <w:spacing w:line="206" w:lineRule="exact" w:before="0" w:after="0"/>
        <w:ind w:left="270" w:right="0" w:hanging="152"/>
        <w:jc w:val="both"/>
        <w:rPr>
          <w:sz w:val="18"/>
        </w:rPr>
      </w:pPr>
      <w:r>
        <w:rPr>
          <w:sz w:val="18"/>
        </w:rPr>
        <w:t>Iracheta, A. (2010) Op. cit.</w:t>
      </w:r>
      <w:r>
        <w:rPr>
          <w:spacing w:val="-12"/>
          <w:sz w:val="18"/>
        </w:rPr>
        <w:t> </w:t>
      </w:r>
      <w:r>
        <w:rPr>
          <w:sz w:val="18"/>
        </w:rPr>
        <w:t>p.154.</w:t>
      </w:r>
    </w:p>
    <w:p>
      <w:pPr>
        <w:pStyle w:val="ListParagraph"/>
        <w:numPr>
          <w:ilvl w:val="0"/>
          <w:numId w:val="1"/>
        </w:numPr>
        <w:tabs>
          <w:tab w:pos="410" w:val="left" w:leader="none"/>
        </w:tabs>
        <w:spacing w:line="205" w:lineRule="exact" w:before="2" w:after="0"/>
        <w:ind w:left="409" w:right="0" w:hanging="291"/>
        <w:jc w:val="both"/>
        <w:rPr>
          <w:sz w:val="18"/>
        </w:rPr>
      </w:pPr>
      <w:r>
        <w:rPr>
          <w:sz w:val="18"/>
        </w:rPr>
        <w:t>Orellana,  A.;  et.  al.  (2012), “Gestión  urbana municipal  a escala metropolitana: modelos  en competencia”,  </w:t>
      </w:r>
      <w:r>
        <w:rPr>
          <w:spacing w:val="40"/>
          <w:sz w:val="18"/>
        </w:rPr>
        <w:t> </w:t>
      </w:r>
      <w:r>
        <w:rPr>
          <w:sz w:val="18"/>
        </w:rPr>
        <w:t>en</w:t>
      </w:r>
    </w:p>
    <w:p>
      <w:pPr>
        <w:spacing w:line="205" w:lineRule="exact" w:before="0"/>
        <w:ind w:left="118" w:right="0" w:firstLine="0"/>
        <w:jc w:val="both"/>
        <w:rPr>
          <w:sz w:val="18"/>
        </w:rPr>
      </w:pPr>
      <w:r>
        <w:rPr>
          <w:i/>
          <w:sz w:val="18"/>
        </w:rPr>
        <w:t>Revista de Geografía Norte Grande</w:t>
      </w:r>
      <w:r>
        <w:rPr>
          <w:sz w:val="18"/>
        </w:rPr>
        <w:t>, núm. 51, Pontificia Universidad Católica de Chile. Chile.</w:t>
      </w:r>
    </w:p>
    <w:p>
      <w:pPr>
        <w:spacing w:after="0" w:line="205" w:lineRule="exact"/>
        <w:jc w:val="both"/>
        <w:rPr>
          <w:sz w:val="18"/>
        </w:rPr>
        <w:sectPr>
          <w:pgSz w:w="12240" w:h="15840"/>
          <w:pgMar w:header="305" w:footer="595" w:top="880" w:bottom="780" w:left="1300" w:right="1300"/>
        </w:sectPr>
      </w:pPr>
    </w:p>
    <w:p>
      <w:pPr>
        <w:pStyle w:val="BodyText"/>
        <w:rPr>
          <w:sz w:val="20"/>
        </w:rPr>
      </w:pPr>
    </w:p>
    <w:p>
      <w:pPr>
        <w:pStyle w:val="BodyText"/>
        <w:spacing w:before="10"/>
        <w:rPr>
          <w:sz w:val="18"/>
        </w:rPr>
      </w:pPr>
    </w:p>
    <w:p>
      <w:pPr>
        <w:pStyle w:val="Heading2"/>
      </w:pPr>
      <w:r>
        <w:rPr/>
        <w:t>2. ESQUEMAS DE GESTIÓN DE LAS  METRÓPOLIS</w:t>
      </w:r>
    </w:p>
    <w:p>
      <w:pPr>
        <w:pStyle w:val="BodyText"/>
        <w:rPr>
          <w:b/>
        </w:rPr>
      </w:pPr>
    </w:p>
    <w:p>
      <w:pPr>
        <w:pStyle w:val="BodyText"/>
        <w:spacing w:line="480" w:lineRule="auto"/>
        <w:ind w:left="118" w:right="116"/>
        <w:jc w:val="both"/>
      </w:pPr>
      <w:r>
        <w:rPr/>
        <w:t>Existen cinco formas de gestión metropolitana</w:t>
      </w:r>
      <w:r>
        <w:rPr>
          <w:position w:val="10"/>
          <w:sz w:val="14"/>
        </w:rPr>
        <w:t>11</w:t>
      </w:r>
      <w:r>
        <w:rPr/>
        <w:t>: asimilación de municipios; expansión de los límites de un municipio urbano central; la asociación intermunicipal; concesión de servicios a empresas privadas y; conformación de autoridades metropolitanas. La asimilación implica la unión de varios municipios de tamaño reducido que dejan de existir y para dar paso a la conformación de uno nuevo. La expansión consiste en la absorción de territorios adyacentes mediante la incorporación de los menores.</w:t>
      </w:r>
    </w:p>
    <w:p>
      <w:pPr>
        <w:pStyle w:val="BodyText"/>
      </w:pPr>
    </w:p>
    <w:p>
      <w:pPr>
        <w:pStyle w:val="BodyText"/>
        <w:spacing w:before="8"/>
      </w:pPr>
    </w:p>
    <w:p>
      <w:pPr>
        <w:pStyle w:val="BodyText"/>
        <w:spacing w:line="477" w:lineRule="auto"/>
        <w:ind w:left="118" w:right="115"/>
        <w:jc w:val="both"/>
        <w:rPr>
          <w:sz w:val="14"/>
        </w:rPr>
      </w:pPr>
      <w:r>
        <w:rPr/>
        <w:t>La asociación denota colaboración entre municipios para la resolución de problemas comunes mediante la firma de convenios específicos. La concesión a empresas privadas implica delegar a los privados (agentes externos) la gestión de algún servicio público que no puede ser llevada a cabo por un grupo de municipios. Por último, una autoridad metropolitana implica modificaciones constitucionales. Hablar del gobierno metropolitano es referirse a la ciudad real, al esfuerzo de las instituciones por conducir, orientar, controlar (si fuera el caso) los procesos sociales, políticos, económicos de las aglomeraciones metropolitanas en función de determinados objetivos</w:t>
      </w:r>
      <w:r>
        <w:rPr>
          <w:spacing w:val="-12"/>
        </w:rPr>
        <w:t> </w:t>
      </w:r>
      <w:r>
        <w:rPr/>
        <w:t>políticos.</w:t>
      </w:r>
      <w:r>
        <w:rPr>
          <w:position w:val="10"/>
          <w:sz w:val="14"/>
        </w:rPr>
        <w:t>12</w:t>
      </w:r>
    </w:p>
    <w:p>
      <w:pPr>
        <w:pStyle w:val="BodyText"/>
        <w:rPr>
          <w:sz w:val="26"/>
        </w:rPr>
      </w:pPr>
    </w:p>
    <w:p>
      <w:pPr>
        <w:pStyle w:val="BodyText"/>
        <w:spacing w:line="475" w:lineRule="auto" w:before="191"/>
        <w:ind w:left="118" w:right="115"/>
        <w:jc w:val="both"/>
      </w:pPr>
      <w:r>
        <w:rPr/>
        <w:pict>
          <v:line style="position:absolute;mso-position-horizontal-relative:page;mso-position-vertical-relative:paragraph;z-index:-49984" from="234.050003pt,159.927902pt" to="378.070003pt,159.927902pt" stroked="true" strokeweight=".71997pt" strokecolor="#000000">
            <w10:wrap type="none"/>
          </v:line>
        </w:pict>
      </w:r>
      <w:r>
        <w:rPr/>
        <w:t>Las posiciones que se perciben a la hora de definir la forma adecuada de gestión de las metrópolis se agrupan polarizan en dos puntos: consolidación vs fragmentación. En el primer caso, se busca la fusión de gobiernos de territorios contiguos y “supone la conveniencia de una organización a gran escala, de una planificación estratégica de largo plazo y de la combinación de habilidades para superar las limitaciones del gobierno”.</w:t>
      </w:r>
      <w:r>
        <w:rPr>
          <w:position w:val="10"/>
          <w:sz w:val="14"/>
        </w:rPr>
        <w:t>13 </w:t>
      </w:r>
      <w:r>
        <w:rPr/>
        <w:t>La fragmentación se refiere a la permanencia  de  un  esquema  de  no  fusión,  en  el  que  la  cercanía  del  ciudadano  con  los</w:t>
      </w:r>
    </w:p>
    <w:p>
      <w:pPr>
        <w:pStyle w:val="ListParagraph"/>
        <w:numPr>
          <w:ilvl w:val="0"/>
          <w:numId w:val="1"/>
        </w:numPr>
        <w:tabs>
          <w:tab w:pos="383" w:val="left" w:leader="none"/>
        </w:tabs>
        <w:spacing w:line="240" w:lineRule="auto" w:before="91" w:after="0"/>
        <w:ind w:left="118" w:right="113" w:firstLine="0"/>
        <w:jc w:val="left"/>
        <w:rPr>
          <w:sz w:val="18"/>
        </w:rPr>
      </w:pPr>
      <w:r>
        <w:rPr>
          <w:sz w:val="18"/>
        </w:rPr>
        <w:t>Vid. Ramírez, J.M (1999), “Gobernabilidad y ciudadanía política en las áreas metropolitanas”, en </w:t>
      </w:r>
      <w:r>
        <w:rPr>
          <w:i/>
          <w:sz w:val="18"/>
        </w:rPr>
        <w:t>Espiral</w:t>
      </w:r>
      <w:r>
        <w:rPr>
          <w:sz w:val="18"/>
        </w:rPr>
        <w:t>, vol. VI, núm.</w:t>
      </w:r>
      <w:r>
        <w:rPr>
          <w:spacing w:val="-6"/>
          <w:sz w:val="18"/>
        </w:rPr>
        <w:t> </w:t>
      </w:r>
      <w:r>
        <w:rPr>
          <w:sz w:val="18"/>
        </w:rPr>
        <w:t>16,</w:t>
      </w:r>
      <w:r>
        <w:rPr>
          <w:spacing w:val="-6"/>
          <w:sz w:val="18"/>
        </w:rPr>
        <w:t> </w:t>
      </w:r>
      <w:r>
        <w:rPr>
          <w:sz w:val="18"/>
        </w:rPr>
        <w:t>septiembre-diciembre,</w:t>
      </w:r>
      <w:r>
        <w:rPr>
          <w:spacing w:val="-4"/>
          <w:sz w:val="18"/>
        </w:rPr>
        <w:t> </w:t>
      </w:r>
      <w:r>
        <w:rPr>
          <w:sz w:val="18"/>
        </w:rPr>
        <w:t>1999,</w:t>
      </w:r>
      <w:r>
        <w:rPr>
          <w:spacing w:val="-4"/>
          <w:sz w:val="18"/>
        </w:rPr>
        <w:t> </w:t>
      </w:r>
      <w:r>
        <w:rPr>
          <w:sz w:val="18"/>
        </w:rPr>
        <w:t>pp.</w:t>
      </w:r>
      <w:r>
        <w:rPr>
          <w:spacing w:val="-4"/>
          <w:sz w:val="18"/>
        </w:rPr>
        <w:t> </w:t>
      </w:r>
      <w:r>
        <w:rPr>
          <w:sz w:val="18"/>
        </w:rPr>
        <w:t>187-225.</w:t>
      </w:r>
      <w:r>
        <w:rPr>
          <w:spacing w:val="-4"/>
          <w:sz w:val="18"/>
        </w:rPr>
        <w:t> </w:t>
      </w:r>
      <w:r>
        <w:rPr>
          <w:sz w:val="18"/>
        </w:rPr>
        <w:t>Universidad</w:t>
      </w:r>
      <w:r>
        <w:rPr>
          <w:spacing w:val="-4"/>
          <w:sz w:val="18"/>
        </w:rPr>
        <w:t> </w:t>
      </w:r>
      <w:r>
        <w:rPr>
          <w:sz w:val="18"/>
        </w:rPr>
        <w:t>de</w:t>
      </w:r>
      <w:r>
        <w:rPr>
          <w:spacing w:val="-4"/>
          <w:sz w:val="18"/>
        </w:rPr>
        <w:t> </w:t>
      </w:r>
      <w:r>
        <w:rPr>
          <w:sz w:val="18"/>
        </w:rPr>
        <w:t>Guadalajara.</w:t>
      </w:r>
      <w:r>
        <w:rPr>
          <w:spacing w:val="-4"/>
          <w:sz w:val="18"/>
        </w:rPr>
        <w:t> </w:t>
      </w:r>
      <w:r>
        <w:rPr>
          <w:sz w:val="18"/>
        </w:rPr>
        <w:t>México.</w:t>
      </w:r>
    </w:p>
    <w:p>
      <w:pPr>
        <w:pStyle w:val="ListParagraph"/>
        <w:numPr>
          <w:ilvl w:val="0"/>
          <w:numId w:val="1"/>
        </w:numPr>
        <w:tabs>
          <w:tab w:pos="371" w:val="left" w:leader="none"/>
        </w:tabs>
        <w:spacing w:line="242" w:lineRule="auto" w:before="0" w:after="0"/>
        <w:ind w:left="118" w:right="111" w:firstLine="0"/>
        <w:jc w:val="left"/>
        <w:rPr>
          <w:sz w:val="18"/>
        </w:rPr>
      </w:pPr>
      <w:r>
        <w:rPr>
          <w:sz w:val="18"/>
        </w:rPr>
        <w:t>Pírez, P. (2005), “Buenos Aires: ciudad metropolitana y gobernabilidad”, en </w:t>
      </w:r>
      <w:r>
        <w:rPr>
          <w:i/>
          <w:sz w:val="18"/>
        </w:rPr>
        <w:t>Estudios Demográficos y Urbanos, </w:t>
      </w:r>
      <w:r>
        <w:rPr>
          <w:sz w:val="18"/>
        </w:rPr>
        <w:t>vol. 20, núm. 3, septiembre-diciembre, 2005, pp. 423-447. El Colegio de México.</w:t>
      </w:r>
      <w:r>
        <w:rPr>
          <w:spacing w:val="-33"/>
          <w:sz w:val="18"/>
        </w:rPr>
        <w:t> </w:t>
      </w:r>
      <w:r>
        <w:rPr>
          <w:sz w:val="18"/>
        </w:rPr>
        <w:t>México.</w:t>
      </w:r>
    </w:p>
    <w:p>
      <w:pPr>
        <w:pStyle w:val="ListParagraph"/>
        <w:numPr>
          <w:ilvl w:val="0"/>
          <w:numId w:val="1"/>
        </w:numPr>
        <w:tabs>
          <w:tab w:pos="412" w:val="left" w:leader="none"/>
        </w:tabs>
        <w:spacing w:line="206" w:lineRule="exact" w:before="1" w:after="0"/>
        <w:ind w:left="118" w:right="116" w:firstLine="0"/>
        <w:jc w:val="left"/>
        <w:rPr>
          <w:sz w:val="18"/>
        </w:rPr>
      </w:pPr>
      <w:r>
        <w:rPr>
          <w:sz w:val="18"/>
        </w:rPr>
        <w:t>Ugalde, V. (2007) “Sobre el gobierno en las zonas metropolitanas de México”, en </w:t>
      </w:r>
      <w:r>
        <w:rPr>
          <w:i/>
          <w:sz w:val="18"/>
        </w:rPr>
        <w:t>Estudios Demográficos y </w:t>
      </w:r>
      <w:r>
        <w:rPr>
          <w:i/>
          <w:sz w:val="18"/>
        </w:rPr>
        <w:t>Urbanos</w:t>
      </w:r>
      <w:r>
        <w:rPr>
          <w:sz w:val="18"/>
        </w:rPr>
        <w:t>, vol. 22, núm. 2, mayo-agosto, pp. 443-460. El Colegio de México.</w:t>
      </w:r>
      <w:r>
        <w:rPr>
          <w:spacing w:val="-34"/>
          <w:sz w:val="18"/>
        </w:rPr>
        <w:t> </w:t>
      </w:r>
      <w:r>
        <w:rPr>
          <w:sz w:val="18"/>
        </w:rPr>
        <w:t>México.</w:t>
      </w:r>
    </w:p>
    <w:p>
      <w:pPr>
        <w:spacing w:after="0" w:line="206" w:lineRule="exact"/>
        <w:jc w:val="left"/>
        <w:rPr>
          <w:sz w:val="18"/>
        </w:rPr>
        <w:sectPr>
          <w:pgSz w:w="12240" w:h="15840"/>
          <w:pgMar w:header="305" w:footer="595" w:top="880" w:bottom="780" w:left="1300" w:right="1300"/>
        </w:sectPr>
      </w:pPr>
    </w:p>
    <w:p>
      <w:pPr>
        <w:pStyle w:val="BodyText"/>
        <w:rPr>
          <w:sz w:val="20"/>
        </w:rPr>
      </w:pPr>
    </w:p>
    <w:p>
      <w:pPr>
        <w:pStyle w:val="BodyText"/>
        <w:spacing w:before="8"/>
        <w:rPr>
          <w:sz w:val="18"/>
        </w:rPr>
      </w:pPr>
    </w:p>
    <w:p>
      <w:pPr>
        <w:pStyle w:val="BodyText"/>
        <w:spacing w:line="480" w:lineRule="auto" w:before="73"/>
        <w:ind w:left="118" w:right="117"/>
        <w:jc w:val="both"/>
      </w:pPr>
      <w:r>
        <w:rPr/>
        <w:t>gobiernos es mayor y donde el esquema de elección pública predomina bajo un esfuerzo institucional de descentralización.</w:t>
      </w:r>
    </w:p>
    <w:p>
      <w:pPr>
        <w:pStyle w:val="BodyText"/>
      </w:pPr>
    </w:p>
    <w:p>
      <w:pPr>
        <w:pStyle w:val="BodyText"/>
        <w:spacing w:before="5"/>
      </w:pPr>
    </w:p>
    <w:p>
      <w:pPr>
        <w:pStyle w:val="BodyText"/>
        <w:spacing w:line="477" w:lineRule="auto"/>
        <w:ind w:left="118" w:right="115"/>
        <w:jc w:val="both"/>
      </w:pPr>
      <w:r>
        <w:rPr/>
        <w:t>En términos prácticos se identifican cuatro formas que jurídica y organizativamente han existido en el mundo para atender el fenómeno metropolitano: gobierno metropolitano, asociacionismo municipal, construcción de estructuras formales y, planes y presupuestos participativos.</w:t>
      </w:r>
      <w:r>
        <w:rPr>
          <w:position w:val="10"/>
          <w:sz w:val="14"/>
        </w:rPr>
        <w:t>14 </w:t>
      </w:r>
      <w:r>
        <w:rPr/>
        <w:t>El primer caso se ilustra con las experiencias de Tokio (Japón) y Montreal (Canadá). El segundo se ejemplifica con París (Francia). El tercero con el Great London Council y el Greater London Authority (Inglaterra), la Empresa de Planeación Metropolitana de Sao Paulo y la Fundación para el Desarrollo de la Región Metropolitana de </w:t>
      </w:r>
      <w:r>
        <w:rPr>
          <w:spacing w:val="-2"/>
        </w:rPr>
        <w:t>Río </w:t>
      </w:r>
      <w:r>
        <w:rPr/>
        <w:t>de Janeiro (Brasil). La ciudad de Porto Alegre (Brasil) ilustra la cuarta forma. En todos los casos los ejemplos mencionados son sólo para ilustrar, de ningún modo agotan las experiencias</w:t>
      </w:r>
      <w:r>
        <w:rPr>
          <w:spacing w:val="-14"/>
        </w:rPr>
        <w:t> </w:t>
      </w:r>
      <w:r>
        <w:rPr/>
        <w:t>observadas.</w:t>
      </w:r>
    </w:p>
    <w:p>
      <w:pPr>
        <w:pStyle w:val="BodyText"/>
      </w:pPr>
    </w:p>
    <w:p>
      <w:pPr>
        <w:pStyle w:val="BodyText"/>
        <w:spacing w:before="8"/>
      </w:pPr>
    </w:p>
    <w:p>
      <w:pPr>
        <w:pStyle w:val="BodyText"/>
        <w:spacing w:line="477" w:lineRule="auto"/>
        <w:ind w:left="118" w:right="112"/>
        <w:jc w:val="both"/>
        <w:rPr>
          <w:sz w:val="14"/>
        </w:rPr>
      </w:pPr>
      <w:r>
        <w:rPr/>
        <w:t>Existen tres casos que son aludidos persistentemente: Londres, París y Nueva York. La situación de Inglaterra es paradigmática, ya que la gestión metropolitana del Gran Londres se caracterizó porque los gobiernos locales cedieron parte de su autoridad legal a una  coordinación general, así se creó el Great London Council en 1965. Dicha autoridad diseñó políticas y proyectos para la zona metropolitana y, de alguna manera, logró recuperar el medio ambiente de la ciudad. En 1999 se estableció la figura de gobierno metropolitano, a través de la figura del Great London Authority; el cual institucionalizó la participación ciudadana como elemento de</w:t>
      </w:r>
      <w:r>
        <w:rPr>
          <w:spacing w:val="-9"/>
        </w:rPr>
        <w:t> </w:t>
      </w:r>
      <w:r>
        <w:rPr/>
        <w:t>gestión.</w:t>
      </w:r>
      <w:r>
        <w:rPr>
          <w:position w:val="10"/>
          <w:sz w:val="14"/>
        </w:rPr>
        <w:t>15</w:t>
      </w:r>
    </w:p>
    <w:p>
      <w:pPr>
        <w:pStyle w:val="BodyText"/>
        <w:rPr>
          <w:sz w:val="26"/>
        </w:rPr>
      </w:pPr>
    </w:p>
    <w:p>
      <w:pPr>
        <w:pStyle w:val="BodyText"/>
        <w:spacing w:line="480" w:lineRule="auto" w:before="190"/>
        <w:ind w:left="118" w:right="112"/>
        <w:jc w:val="both"/>
      </w:pPr>
      <w:r>
        <w:rPr/>
        <w:pict>
          <v:line style="position:absolute;mso-position-horizontal-relative:page;mso-position-vertical-relative:paragraph;z-index:-49960" from="234.050003pt,56.317856pt" to="378.070003pt,56.317856pt" stroked="true" strokeweight=".72003pt" strokecolor="#000000">
            <w10:wrap type="none"/>
          </v:line>
        </w:pict>
      </w:r>
      <w:r>
        <w:rPr/>
        <w:t>En París el poder metropolitano denominado Conseil Regional de Íle-de-France , creado en 1982 y elegido mediante sufragio universal, tiene jurisdicción sobre siete departamentos y  </w:t>
      </w:r>
      <w:r>
        <w:rPr>
          <w:spacing w:val="58"/>
        </w:rPr>
        <w:t> </w:t>
      </w:r>
      <w:r>
        <w:rPr/>
        <w:t>310</w:t>
      </w:r>
    </w:p>
    <w:p>
      <w:pPr>
        <w:pStyle w:val="ListParagraph"/>
        <w:numPr>
          <w:ilvl w:val="0"/>
          <w:numId w:val="1"/>
        </w:numPr>
        <w:tabs>
          <w:tab w:pos="391" w:val="left" w:leader="none"/>
        </w:tabs>
        <w:spacing w:line="240" w:lineRule="auto" w:before="38" w:after="0"/>
        <w:ind w:left="118" w:right="115" w:firstLine="0"/>
        <w:jc w:val="left"/>
        <w:rPr>
          <w:sz w:val="18"/>
        </w:rPr>
      </w:pPr>
      <w:r>
        <w:rPr>
          <w:sz w:val="18"/>
        </w:rPr>
        <w:t>Iracheta, A. (2009) </w:t>
      </w:r>
      <w:r>
        <w:rPr>
          <w:i/>
          <w:sz w:val="18"/>
        </w:rPr>
        <w:t>Políticas Públicas para gobernar las metrópolis mexicanas. </w:t>
      </w:r>
      <w:r>
        <w:rPr>
          <w:sz w:val="18"/>
        </w:rPr>
        <w:t>El Colegio Mexiquense y Miguel Ángel Porrúa. México.</w:t>
      </w:r>
      <w:r>
        <w:rPr>
          <w:spacing w:val="-11"/>
          <w:sz w:val="18"/>
        </w:rPr>
        <w:t> </w:t>
      </w:r>
      <w:r>
        <w:rPr>
          <w:sz w:val="18"/>
        </w:rPr>
        <w:t>p.93.</w:t>
      </w:r>
    </w:p>
    <w:p>
      <w:pPr>
        <w:pStyle w:val="ListParagraph"/>
        <w:numPr>
          <w:ilvl w:val="0"/>
          <w:numId w:val="1"/>
        </w:numPr>
        <w:tabs>
          <w:tab w:pos="383" w:val="left" w:leader="none"/>
        </w:tabs>
        <w:spacing w:line="240" w:lineRule="auto" w:before="0" w:after="0"/>
        <w:ind w:left="118" w:right="111" w:firstLine="0"/>
        <w:jc w:val="left"/>
        <w:rPr>
          <w:sz w:val="18"/>
        </w:rPr>
      </w:pPr>
      <w:r>
        <w:rPr>
          <w:sz w:val="18"/>
        </w:rPr>
        <w:t>Moreno, S. (2006), </w:t>
      </w:r>
      <w:r>
        <w:rPr>
          <w:i/>
          <w:sz w:val="18"/>
        </w:rPr>
        <w:t>La gestión, coordinación y gobernabilidad de las metrópolis, documento de trabajo número </w:t>
      </w:r>
      <w:r>
        <w:rPr>
          <w:i/>
          <w:spacing w:val="5"/>
          <w:sz w:val="18"/>
        </w:rPr>
        <w:t>9</w:t>
      </w:r>
      <w:r>
        <w:rPr>
          <w:spacing w:val="5"/>
          <w:sz w:val="18"/>
        </w:rPr>
        <w:t>. </w:t>
      </w:r>
      <w:r>
        <w:rPr>
          <w:sz w:val="18"/>
        </w:rPr>
        <w:t>Centro de Estudios Sociales y de Opinión Pública. México. p.</w:t>
      </w:r>
      <w:r>
        <w:rPr>
          <w:spacing w:val="-22"/>
          <w:sz w:val="18"/>
        </w:rPr>
        <w:t> </w:t>
      </w:r>
      <w:r>
        <w:rPr>
          <w:sz w:val="18"/>
        </w:rPr>
        <w:t>11.</w:t>
      </w:r>
    </w:p>
    <w:p>
      <w:pPr>
        <w:spacing w:after="0" w:line="240" w:lineRule="auto"/>
        <w:jc w:val="left"/>
        <w:rPr>
          <w:sz w:val="18"/>
        </w:rPr>
        <w:sectPr>
          <w:pgSz w:w="12240" w:h="15840"/>
          <w:pgMar w:header="305" w:footer="595" w:top="880" w:bottom="780" w:left="1300" w:right="1300"/>
        </w:sectPr>
      </w:pPr>
    </w:p>
    <w:p>
      <w:pPr>
        <w:pStyle w:val="BodyText"/>
        <w:rPr>
          <w:sz w:val="20"/>
        </w:rPr>
      </w:pPr>
    </w:p>
    <w:p>
      <w:pPr>
        <w:pStyle w:val="BodyText"/>
        <w:spacing w:before="8"/>
        <w:rPr>
          <w:sz w:val="18"/>
        </w:rPr>
      </w:pPr>
    </w:p>
    <w:p>
      <w:pPr>
        <w:pStyle w:val="BodyText"/>
        <w:spacing w:line="470" w:lineRule="auto" w:before="73"/>
        <w:ind w:left="118" w:right="112"/>
        <w:jc w:val="both"/>
        <w:rPr>
          <w:sz w:val="14"/>
        </w:rPr>
      </w:pPr>
      <w:r>
        <w:rPr/>
        <w:t>municipios. Realiza la planificación e implementa políticas regionales con recursos públicos crecientes provenientes de los fondos estructurales de la Unión Europea (UE). Lo anterior sin que se violenten las autonomías de los diferentes gobiernos participantes</w:t>
      </w:r>
      <w:r>
        <w:rPr>
          <w:position w:val="10"/>
          <w:sz w:val="14"/>
        </w:rPr>
        <w:t>16</w:t>
      </w:r>
      <w:r>
        <w:rPr/>
        <w:t>. Paris es una aglomeración sin gobierno metropolitano pero coordinada bajo un modelo intermunicipal de carácter regional. En dicho modelo las competencias se reparten entre los municipios de la aglomeración y uno o más niveles administrativos superiores.</w:t>
      </w:r>
      <w:r>
        <w:rPr>
          <w:position w:val="10"/>
          <w:sz w:val="14"/>
        </w:rPr>
        <w:t>17</w:t>
      </w:r>
    </w:p>
    <w:p>
      <w:pPr>
        <w:pStyle w:val="BodyText"/>
        <w:rPr>
          <w:sz w:val="26"/>
        </w:rPr>
      </w:pPr>
    </w:p>
    <w:p>
      <w:pPr>
        <w:pStyle w:val="BodyText"/>
        <w:spacing w:line="480" w:lineRule="auto" w:before="199"/>
        <w:ind w:left="118" w:right="111"/>
        <w:jc w:val="both"/>
      </w:pPr>
      <w:r>
        <w:rPr/>
        <w:t>En los Estados Unidos, el gobierno de la ciudad de Nueva York mantiene jurisdicción sobre 5 condados. El fundamento de tal diseño institucional se encuentra en la cesión, por parte de los condados, de su autoridad a un Consejo Metropolitano; a cambio obtuvieron representación en dicho Consejo, con posibilidades reales de influir en la gestión de la ciudad. De esa forma  Nueva York cuenta con mecanismos e instituciones para la prestación de servicios o funciones específicas en su</w:t>
      </w:r>
      <w:r>
        <w:rPr>
          <w:spacing w:val="-8"/>
        </w:rPr>
        <w:t> </w:t>
      </w:r>
      <w:r>
        <w:rPr/>
        <w:t>territorio.</w:t>
      </w:r>
    </w:p>
    <w:p>
      <w:pPr>
        <w:pStyle w:val="BodyText"/>
      </w:pPr>
    </w:p>
    <w:p>
      <w:pPr>
        <w:pStyle w:val="BodyText"/>
        <w:spacing w:before="5"/>
      </w:pPr>
    </w:p>
    <w:p>
      <w:pPr>
        <w:pStyle w:val="BodyText"/>
        <w:spacing w:line="477" w:lineRule="auto"/>
        <w:ind w:left="118" w:right="111"/>
        <w:jc w:val="both"/>
      </w:pPr>
      <w:r>
        <w:rPr/>
        <w:t>Independientemente de su denominación y características, las diversas instituciones creadas en el mundo para atender el fenómeno metropolitano tienen agendas similares. En un estudio que abarcó 46 zonas metropolitanas en el mundo,</w:t>
      </w:r>
      <w:r>
        <w:rPr>
          <w:position w:val="10"/>
          <w:sz w:val="14"/>
        </w:rPr>
        <w:t>18 </w:t>
      </w:r>
      <w:r>
        <w:rPr/>
        <w:t>se observó que los temas comunes que se atienden con visión de conjunto son: planeación de los asentamientos humanos y uso del suelo (32), transporte (29) medio ambiente (36), abasto y/o desalojo de agua (16). Existen otras actividades que no llegan a ser significativas, tales como vivienda, cultura, turismo, desarrollo económico, educación, cultura, protección civil, rastros y equipamiento deportivo. “Dependiendo de  la  historia  particular  de  cada  país,  se  han  desarrollado  formas  políticas  y       aparatos</w:t>
      </w:r>
    </w:p>
    <w:p>
      <w:pPr>
        <w:pStyle w:val="BodyText"/>
        <w:rPr>
          <w:sz w:val="20"/>
        </w:rPr>
      </w:pPr>
    </w:p>
    <w:p>
      <w:pPr>
        <w:pStyle w:val="BodyText"/>
        <w:rPr>
          <w:sz w:val="20"/>
        </w:rPr>
      </w:pPr>
    </w:p>
    <w:p>
      <w:pPr>
        <w:pStyle w:val="BodyText"/>
        <w:rPr>
          <w:sz w:val="20"/>
        </w:rPr>
      </w:pPr>
    </w:p>
    <w:p>
      <w:pPr>
        <w:pStyle w:val="BodyText"/>
        <w:spacing w:before="3"/>
        <w:rPr>
          <w:sz w:val="18"/>
        </w:rPr>
      </w:pPr>
      <w:r>
        <w:rPr/>
        <w:pict>
          <v:line style="position:absolute;mso-position-horizontal-relative:page;mso-position-vertical-relative:paragraph;z-index:1144;mso-wrap-distance-left:0;mso-wrap-distance-right:0" from="234.050003pt,12.825682pt" to="378.070003pt,12.825682pt" stroked="true" strokeweight=".72003pt" strokecolor="#000000">
            <w10:wrap type="topAndBottom"/>
          </v:line>
        </w:pict>
      </w:r>
    </w:p>
    <w:p>
      <w:pPr>
        <w:pStyle w:val="ListParagraph"/>
        <w:numPr>
          <w:ilvl w:val="0"/>
          <w:numId w:val="1"/>
        </w:numPr>
        <w:tabs>
          <w:tab w:pos="400" w:val="left" w:leader="none"/>
        </w:tabs>
        <w:spacing w:line="204" w:lineRule="exact" w:before="78" w:after="0"/>
        <w:ind w:left="118" w:right="123" w:firstLine="0"/>
        <w:jc w:val="left"/>
        <w:rPr>
          <w:sz w:val="18"/>
        </w:rPr>
      </w:pPr>
      <w:r>
        <w:rPr>
          <w:sz w:val="18"/>
        </w:rPr>
        <w:t>Rosique, J. A. (2005) “Regiones metropolitanas y régimen institucional: los casos de París y de la Ciudad de México”, en </w:t>
      </w:r>
      <w:r>
        <w:rPr>
          <w:i/>
          <w:sz w:val="18"/>
        </w:rPr>
        <w:t>Veredas </w:t>
      </w:r>
      <w:r>
        <w:rPr>
          <w:sz w:val="18"/>
        </w:rPr>
        <w:t>No. 11, Segundo semestre. UAM-Xochimilco. México.</w:t>
      </w:r>
      <w:r>
        <w:rPr>
          <w:spacing w:val="-25"/>
          <w:sz w:val="18"/>
        </w:rPr>
        <w:t> </w:t>
      </w:r>
      <w:r>
        <w:rPr>
          <w:sz w:val="18"/>
        </w:rPr>
        <w:t>p.43.</w:t>
      </w:r>
    </w:p>
    <w:p>
      <w:pPr>
        <w:spacing w:before="1"/>
        <w:ind w:left="118" w:right="6680" w:firstLine="0"/>
        <w:jc w:val="left"/>
        <w:rPr>
          <w:sz w:val="18"/>
        </w:rPr>
      </w:pPr>
      <w:r>
        <w:rPr>
          <w:sz w:val="18"/>
        </w:rPr>
        <w:t>17 Moreno, S. (2006). Óp. cit. p.13. 18 Iracheta, A. (2009). Óp. cit.</w:t>
      </w:r>
    </w:p>
    <w:p>
      <w:pPr>
        <w:spacing w:after="0"/>
        <w:jc w:val="left"/>
        <w:rPr>
          <w:sz w:val="18"/>
        </w:rPr>
        <w:sectPr>
          <w:footerReference w:type="default" r:id="rId13"/>
          <w:pgSz w:w="12240" w:h="15840"/>
          <w:pgMar w:footer="595" w:header="305" w:top="880" w:bottom="780" w:left="1300" w:right="1300"/>
          <w:pgNumType w:start="6"/>
        </w:sectPr>
      </w:pPr>
    </w:p>
    <w:p>
      <w:pPr>
        <w:pStyle w:val="BodyText"/>
        <w:rPr>
          <w:sz w:val="20"/>
        </w:rPr>
      </w:pPr>
    </w:p>
    <w:p>
      <w:pPr>
        <w:pStyle w:val="BodyText"/>
        <w:spacing w:before="8"/>
        <w:rPr>
          <w:sz w:val="18"/>
        </w:rPr>
      </w:pPr>
    </w:p>
    <w:p>
      <w:pPr>
        <w:pStyle w:val="BodyText"/>
        <w:spacing w:line="456" w:lineRule="auto" w:before="73"/>
        <w:ind w:left="118" w:right="129"/>
        <w:rPr>
          <w:sz w:val="14"/>
        </w:rPr>
      </w:pPr>
      <w:r>
        <w:rPr/>
        <w:t>administrativos para cumplir con las funciones del Estado. De esa situación se derivan </w:t>
      </w:r>
      <w:r>
        <w:rPr>
          <w:i/>
        </w:rPr>
        <w:t>modelos </w:t>
      </w:r>
      <w:r>
        <w:rPr>
          <w:i/>
        </w:rPr>
        <w:t>de gestión </w:t>
      </w:r>
      <w:r>
        <w:rPr/>
        <w:t>específicos”.</w:t>
      </w:r>
      <w:r>
        <w:rPr>
          <w:position w:val="10"/>
          <w:sz w:val="14"/>
        </w:rPr>
        <w:t>19</w:t>
      </w:r>
    </w:p>
    <w:p>
      <w:pPr>
        <w:pStyle w:val="BodyText"/>
        <w:rPr>
          <w:sz w:val="26"/>
        </w:rPr>
      </w:pPr>
    </w:p>
    <w:p>
      <w:pPr>
        <w:pStyle w:val="Heading2"/>
        <w:spacing w:before="210"/>
        <w:ind w:right="129"/>
        <w:jc w:val="left"/>
      </w:pPr>
      <w:r>
        <w:rPr/>
        <w:t>3.- EXPERIENCIAS DE GESTIÓN EN ESPAÑA Y AMÉRICA LATINA</w:t>
      </w:r>
    </w:p>
    <w:p>
      <w:pPr>
        <w:pStyle w:val="BodyText"/>
        <w:spacing w:before="2"/>
        <w:rPr>
          <w:b/>
          <w:sz w:val="24"/>
        </w:rPr>
      </w:pPr>
    </w:p>
    <w:p>
      <w:pPr>
        <w:pStyle w:val="BodyText"/>
        <w:spacing w:line="475" w:lineRule="auto"/>
        <w:ind w:left="118" w:right="110"/>
      </w:pPr>
      <w:r>
        <w:rPr/>
        <w:t>En España existen problemas de articulación jurídica y territorial en las áreas metropolitanas porque la configuración de las instituciones metropolitanas está “condicionada por la propia articulación política de los gobiernos regionales y locales, que son los principales actores públicos implicados en la construcción de técnicas de solución del fenómeno metropolitano”.</w:t>
      </w:r>
      <w:r>
        <w:rPr>
          <w:position w:val="10"/>
          <w:sz w:val="14"/>
        </w:rPr>
        <w:t>20 </w:t>
      </w:r>
      <w:r>
        <w:rPr/>
        <w:t>Existen en España Mancomunidades de Municipios y Consorcios que son entidades locales constituidas por la asociación de diversos agentes. Una Mancomunidad asocia sólo a Municipios, mientras que un Consorcio integra en su seno también a “Administraciones Públicas de otra naturaleza, como la provincial, la autonómica o la estatal, e incluso a entidades privadas sin ánimo de lucro”.</w:t>
      </w:r>
      <w:r>
        <w:rPr>
          <w:position w:val="10"/>
          <w:sz w:val="14"/>
        </w:rPr>
        <w:t>21</w:t>
      </w:r>
      <w:r>
        <w:rPr/>
        <w:t>Dichas figuras de gestión se caracterizan por el carácter voluntario para la prestación y administración de los servicios públicos locales.</w:t>
      </w:r>
    </w:p>
    <w:p>
      <w:pPr>
        <w:pStyle w:val="BodyText"/>
      </w:pPr>
    </w:p>
    <w:p>
      <w:pPr>
        <w:pStyle w:val="BodyText"/>
        <w:spacing w:before="10"/>
      </w:pPr>
    </w:p>
    <w:p>
      <w:pPr>
        <w:pStyle w:val="BodyText"/>
        <w:spacing w:line="475" w:lineRule="auto"/>
        <w:ind w:left="118" w:right="113"/>
        <w:jc w:val="both"/>
      </w:pPr>
      <w:r>
        <w:rPr/>
        <w:t>También existen en España las Áreas Metropolitanas que son la agrupación, por ley, de los municipios de un aglomeración urbana y “se sitúa en la órbita de las técnicas administrativas de coordinación, y, por tanto, de soluciones impuestas por parte de la Administración de ámbito territorial superior, la autonómica, en este caso”.</w:t>
      </w:r>
      <w:r>
        <w:rPr>
          <w:position w:val="10"/>
          <w:sz w:val="14"/>
        </w:rPr>
        <w:t>22 </w:t>
      </w:r>
      <w:r>
        <w:rPr/>
        <w:t>Pueden poseer la forma de una Administración Pública territorial o general, con vocación de generalidad de fines y potestades; poseen características de una Administración Pública institucional o especializada, con funciones, fines y potestades específicas.</w:t>
      </w:r>
    </w:p>
    <w:p>
      <w:pPr>
        <w:pStyle w:val="BodyText"/>
        <w:rPr>
          <w:sz w:val="20"/>
        </w:rPr>
      </w:pPr>
    </w:p>
    <w:p>
      <w:pPr>
        <w:pStyle w:val="BodyText"/>
        <w:rPr>
          <w:sz w:val="20"/>
        </w:rPr>
      </w:pPr>
    </w:p>
    <w:p>
      <w:pPr>
        <w:pStyle w:val="BodyText"/>
        <w:spacing w:before="6"/>
        <w:rPr>
          <w:sz w:val="16"/>
        </w:rPr>
      </w:pPr>
      <w:r>
        <w:rPr/>
        <w:pict>
          <v:line style="position:absolute;mso-position-horizontal-relative:page;mso-position-vertical-relative:paragraph;z-index:1168;mso-wrap-distance-left:0;mso-wrap-distance-right:0" from="234.050003pt,11.847597pt" to="378.070003pt,11.847597pt" stroked="true" strokeweight=".72003pt" strokecolor="#000000">
            <w10:wrap type="topAndBottom"/>
          </v:line>
        </w:pict>
      </w:r>
    </w:p>
    <w:p>
      <w:pPr>
        <w:spacing w:line="205" w:lineRule="exact" w:before="73"/>
        <w:ind w:left="118" w:right="129" w:firstLine="0"/>
        <w:jc w:val="left"/>
        <w:rPr>
          <w:sz w:val="18"/>
        </w:rPr>
      </w:pPr>
      <w:r>
        <w:rPr>
          <w:sz w:val="18"/>
        </w:rPr>
        <w:t>19 Rosique, J. A. (2005). Óp. cit. p.35.</w:t>
      </w:r>
    </w:p>
    <w:p>
      <w:pPr>
        <w:spacing w:before="0"/>
        <w:ind w:left="118" w:right="129" w:firstLine="0"/>
        <w:jc w:val="left"/>
        <w:rPr>
          <w:sz w:val="18"/>
        </w:rPr>
      </w:pPr>
      <w:r>
        <w:rPr>
          <w:sz w:val="18"/>
        </w:rPr>
        <w:t>20 Toscano, F. (2012) “Áreas metropolitanas: Diversidad jurídica y planificación territorial”, en </w:t>
      </w:r>
      <w:r>
        <w:rPr>
          <w:i/>
          <w:sz w:val="18"/>
        </w:rPr>
        <w:t>Revista de Estudios </w:t>
      </w:r>
      <w:r>
        <w:rPr>
          <w:i/>
          <w:sz w:val="18"/>
        </w:rPr>
        <w:t>Regionales</w:t>
      </w:r>
      <w:r>
        <w:rPr>
          <w:sz w:val="18"/>
        </w:rPr>
        <w:t>, núm. 93. Universidades Públicas de Andalucía y Málaga. España.p.66).</w:t>
      </w:r>
    </w:p>
    <w:p>
      <w:pPr>
        <w:spacing w:before="4"/>
        <w:ind w:left="118" w:right="8511" w:firstLine="0"/>
        <w:jc w:val="left"/>
        <w:rPr>
          <w:sz w:val="18"/>
        </w:rPr>
      </w:pPr>
      <w:r>
        <w:rPr>
          <w:sz w:val="18"/>
        </w:rPr>
        <w:t>21Ibid. p.76. 22 Ibid.)</w:t>
      </w:r>
    </w:p>
    <w:p>
      <w:pPr>
        <w:spacing w:after="0"/>
        <w:jc w:val="left"/>
        <w:rPr>
          <w:sz w:val="18"/>
        </w:rPr>
        <w:sectPr>
          <w:pgSz w:w="12240" w:h="15840"/>
          <w:pgMar w:header="305" w:footer="595" w:top="880" w:bottom="780" w:left="1300" w:right="1300"/>
        </w:sectPr>
      </w:pPr>
    </w:p>
    <w:p>
      <w:pPr>
        <w:pStyle w:val="BodyText"/>
        <w:rPr>
          <w:sz w:val="20"/>
        </w:rPr>
      </w:pPr>
    </w:p>
    <w:p>
      <w:pPr>
        <w:pStyle w:val="BodyText"/>
        <w:spacing w:before="8"/>
        <w:rPr>
          <w:sz w:val="18"/>
        </w:rPr>
      </w:pPr>
    </w:p>
    <w:p>
      <w:pPr>
        <w:pStyle w:val="BodyText"/>
        <w:spacing w:line="475" w:lineRule="auto" w:before="73"/>
        <w:ind w:left="118" w:right="112"/>
        <w:jc w:val="both"/>
        <w:rPr>
          <w:sz w:val="14"/>
        </w:rPr>
      </w:pPr>
      <w:r>
        <w:rPr/>
        <w:t>En el plano metropolitano, Madrid se caracterizó por las formas público-privadas de gestionar la ciudad. Los objetivos que se plantearon los gobiernos, en la década de los noventa, fueron mejorar la competitividad y la imagen exterior “mediante estrategias de city–marketing, el impulso al crecimiento a través de la inversión pública en infraestructuras, y de su posicionamiento en el mapa de ciudades mundiales a partir de megaproyectos, con frecuentes impactos negativos en materia de nuevas formas de segregación urbana”.</w:t>
      </w:r>
      <w:r>
        <w:rPr>
          <w:position w:val="10"/>
          <w:sz w:val="14"/>
        </w:rPr>
        <w:t>23</w:t>
      </w:r>
    </w:p>
    <w:p>
      <w:pPr>
        <w:pStyle w:val="BodyText"/>
        <w:rPr>
          <w:sz w:val="26"/>
        </w:rPr>
      </w:pPr>
    </w:p>
    <w:p>
      <w:pPr>
        <w:pStyle w:val="BodyText"/>
        <w:spacing w:line="472" w:lineRule="auto" w:before="193"/>
        <w:ind w:left="118" w:right="111"/>
        <w:jc w:val="both"/>
        <w:rPr>
          <w:sz w:val="14"/>
        </w:rPr>
      </w:pPr>
      <w:r>
        <w:rPr/>
        <w:t>La situación española de falta de éxito se reproduce, de manera magnificada, en los países latinoamericanos. Uno de los problemas que enfrenta la construcción de instituciones de carácter metropolitano es la falta de conocimiento respecto a las condiciones políticas del fenómeno y el limitado trabajo teórico, que supere el discurso predominantemente normativo de la mayoría de los estudios existentes.</w:t>
      </w:r>
      <w:r>
        <w:rPr>
          <w:position w:val="10"/>
          <w:sz w:val="14"/>
        </w:rPr>
        <w:t>24 </w:t>
      </w:r>
      <w:r>
        <w:rPr/>
        <w:t>Se está en presencia de un escenario en el que priva la tendencia a la descentralización, la independencia y la autonomía de los ámbitos de gobierno que difumina la toma de decisiones; a lo anterior se denomina “fragmentación del gobierno urbano” y puede observarse en la Ciudad de México, Monterrey, São Paulo, Buenos Aires o Caracas.</w:t>
      </w:r>
      <w:r>
        <w:rPr>
          <w:position w:val="10"/>
          <w:sz w:val="14"/>
        </w:rPr>
        <w:t>25</w:t>
      </w:r>
    </w:p>
    <w:p>
      <w:pPr>
        <w:pStyle w:val="BodyText"/>
        <w:rPr>
          <w:sz w:val="26"/>
        </w:rPr>
      </w:pPr>
    </w:p>
    <w:p>
      <w:pPr>
        <w:pStyle w:val="BodyText"/>
        <w:spacing w:line="480" w:lineRule="auto" w:before="196"/>
        <w:ind w:left="118" w:right="115"/>
        <w:jc w:val="both"/>
      </w:pPr>
      <w:r>
        <w:rPr/>
        <w:t>En Caracas se intentó formar un Consejo Metropolitano de Gobierno (1994) compuesto por la capital y municipios colindantes (Libertador, Chacao, Baruta, Sucre, Hatillo), con el objetivo de impulsar la discusión de los metropolitanos y acordar acciones de manera coordinada. Sin embargo, dicho Consejo no rebasó el carácter informal que dio nacimiento, ya que carecía de</w:t>
      </w:r>
    </w:p>
    <w:p>
      <w:pPr>
        <w:pStyle w:val="BodyText"/>
        <w:rPr>
          <w:sz w:val="20"/>
        </w:rPr>
      </w:pPr>
    </w:p>
    <w:p>
      <w:pPr>
        <w:pStyle w:val="BodyText"/>
        <w:rPr>
          <w:sz w:val="20"/>
        </w:rPr>
      </w:pPr>
    </w:p>
    <w:p>
      <w:pPr>
        <w:pStyle w:val="BodyText"/>
        <w:spacing w:before="2"/>
        <w:rPr>
          <w:sz w:val="28"/>
        </w:rPr>
      </w:pPr>
      <w:r>
        <w:rPr/>
        <w:pict>
          <v:line style="position:absolute;mso-position-horizontal-relative:page;mso-position-vertical-relative:paragraph;z-index:1192;mso-wrap-distance-left:0;mso-wrap-distance-right:0" from="234.050003pt,18.549856pt" to="378.070003pt,18.549856pt" stroked="true" strokeweight=".74396pt" strokecolor="#000000">
            <w10:wrap type="topAndBottom"/>
          </v:line>
        </w:pict>
      </w:r>
    </w:p>
    <w:p>
      <w:pPr>
        <w:pStyle w:val="ListParagraph"/>
        <w:numPr>
          <w:ilvl w:val="0"/>
          <w:numId w:val="2"/>
        </w:numPr>
        <w:tabs>
          <w:tab w:pos="412" w:val="left" w:leader="none"/>
        </w:tabs>
        <w:spacing w:line="240" w:lineRule="auto" w:before="68" w:after="0"/>
        <w:ind w:left="118" w:right="113" w:firstLine="0"/>
        <w:jc w:val="both"/>
        <w:rPr>
          <w:sz w:val="18"/>
        </w:rPr>
      </w:pPr>
      <w:r>
        <w:rPr>
          <w:sz w:val="18"/>
        </w:rPr>
        <w:t>Méndez, R. (2012), “Globalización, neoliberalismo y dinámicas metropolitanas en Madrid”, en </w:t>
      </w:r>
      <w:r>
        <w:rPr>
          <w:i/>
          <w:sz w:val="18"/>
        </w:rPr>
        <w:t>Documentos y </w:t>
      </w:r>
      <w:r>
        <w:rPr>
          <w:i/>
          <w:sz w:val="18"/>
        </w:rPr>
        <w:t>Aportes en Administración Pública y Gestión Estatal</w:t>
      </w:r>
      <w:r>
        <w:rPr>
          <w:sz w:val="18"/>
        </w:rPr>
        <w:t>, vol. 12, núm. 19. Universidad Nacional del Litoral. Argentina. p.34.</w:t>
      </w:r>
    </w:p>
    <w:p>
      <w:pPr>
        <w:pStyle w:val="ListParagraph"/>
        <w:numPr>
          <w:ilvl w:val="0"/>
          <w:numId w:val="2"/>
        </w:numPr>
        <w:tabs>
          <w:tab w:pos="374" w:val="left" w:leader="none"/>
        </w:tabs>
        <w:spacing w:line="204" w:lineRule="exact" w:before="5" w:after="0"/>
        <w:ind w:left="118" w:right="123" w:firstLine="0"/>
        <w:jc w:val="both"/>
        <w:rPr>
          <w:sz w:val="18"/>
        </w:rPr>
      </w:pPr>
      <w:r>
        <w:rPr>
          <w:sz w:val="18"/>
        </w:rPr>
        <w:t>Pírez, P. (2014) “El gobierno metropolitano como gobernabilidad: entre la autorregulación y la orientación política”, en</w:t>
      </w:r>
      <w:r>
        <w:rPr>
          <w:spacing w:val="-3"/>
          <w:sz w:val="18"/>
        </w:rPr>
        <w:t> </w:t>
      </w:r>
      <w:r>
        <w:rPr>
          <w:i/>
          <w:sz w:val="18"/>
        </w:rPr>
        <w:t>Economía,</w:t>
      </w:r>
      <w:r>
        <w:rPr>
          <w:i/>
          <w:spacing w:val="-4"/>
          <w:sz w:val="18"/>
        </w:rPr>
        <w:t> </w:t>
      </w:r>
      <w:r>
        <w:rPr>
          <w:i/>
          <w:sz w:val="18"/>
        </w:rPr>
        <w:t>Sociedad</w:t>
      </w:r>
      <w:r>
        <w:rPr>
          <w:i/>
          <w:spacing w:val="-4"/>
          <w:sz w:val="18"/>
        </w:rPr>
        <w:t> </w:t>
      </w:r>
      <w:r>
        <w:rPr>
          <w:i/>
          <w:sz w:val="18"/>
        </w:rPr>
        <w:t>y</w:t>
      </w:r>
      <w:r>
        <w:rPr>
          <w:i/>
          <w:spacing w:val="-5"/>
          <w:sz w:val="18"/>
        </w:rPr>
        <w:t> </w:t>
      </w:r>
      <w:r>
        <w:rPr>
          <w:i/>
          <w:sz w:val="18"/>
        </w:rPr>
        <w:t>Territorio</w:t>
      </w:r>
      <w:r>
        <w:rPr>
          <w:sz w:val="18"/>
        </w:rPr>
        <w:t>,</w:t>
      </w:r>
      <w:r>
        <w:rPr>
          <w:spacing w:val="-4"/>
          <w:sz w:val="18"/>
        </w:rPr>
        <w:t> </w:t>
      </w:r>
      <w:r>
        <w:rPr>
          <w:sz w:val="18"/>
        </w:rPr>
        <w:t>vol.</w:t>
      </w:r>
      <w:r>
        <w:rPr>
          <w:spacing w:val="-4"/>
          <w:sz w:val="18"/>
        </w:rPr>
        <w:t> </w:t>
      </w:r>
      <w:r>
        <w:rPr>
          <w:sz w:val="18"/>
        </w:rPr>
        <w:t>XIV,</w:t>
      </w:r>
      <w:r>
        <w:rPr>
          <w:spacing w:val="-4"/>
          <w:sz w:val="18"/>
        </w:rPr>
        <w:t> </w:t>
      </w:r>
      <w:r>
        <w:rPr>
          <w:sz w:val="18"/>
        </w:rPr>
        <w:t>núm.</w:t>
      </w:r>
      <w:r>
        <w:rPr>
          <w:spacing w:val="-4"/>
          <w:sz w:val="18"/>
        </w:rPr>
        <w:t> </w:t>
      </w:r>
      <w:r>
        <w:rPr>
          <w:sz w:val="18"/>
        </w:rPr>
        <w:t>45,</w:t>
      </w:r>
      <w:r>
        <w:rPr>
          <w:spacing w:val="-4"/>
          <w:sz w:val="18"/>
        </w:rPr>
        <w:t> </w:t>
      </w:r>
      <w:r>
        <w:rPr>
          <w:sz w:val="18"/>
        </w:rPr>
        <w:t>mayo-agosto,</w:t>
      </w:r>
      <w:r>
        <w:rPr>
          <w:spacing w:val="-4"/>
          <w:sz w:val="18"/>
        </w:rPr>
        <w:t> </w:t>
      </w:r>
      <w:r>
        <w:rPr>
          <w:sz w:val="18"/>
        </w:rPr>
        <w:t>2014.</w:t>
      </w:r>
      <w:r>
        <w:rPr>
          <w:spacing w:val="-5"/>
          <w:sz w:val="18"/>
        </w:rPr>
        <w:t> </w:t>
      </w:r>
      <w:r>
        <w:rPr>
          <w:sz w:val="18"/>
        </w:rPr>
        <w:t>El</w:t>
      </w:r>
      <w:r>
        <w:rPr>
          <w:spacing w:val="-4"/>
          <w:sz w:val="18"/>
        </w:rPr>
        <w:t> </w:t>
      </w:r>
      <w:r>
        <w:rPr>
          <w:sz w:val="18"/>
        </w:rPr>
        <w:t>Colegio</w:t>
      </w:r>
      <w:r>
        <w:rPr>
          <w:spacing w:val="-4"/>
          <w:sz w:val="18"/>
        </w:rPr>
        <w:t> </w:t>
      </w:r>
      <w:r>
        <w:rPr>
          <w:sz w:val="18"/>
        </w:rPr>
        <w:t>Mexiquense.</w:t>
      </w:r>
      <w:r>
        <w:rPr>
          <w:spacing w:val="-4"/>
          <w:sz w:val="18"/>
        </w:rPr>
        <w:t> </w:t>
      </w:r>
      <w:r>
        <w:rPr>
          <w:sz w:val="18"/>
        </w:rPr>
        <w:t>México.</w:t>
      </w:r>
      <w:r>
        <w:rPr>
          <w:spacing w:val="-4"/>
          <w:sz w:val="18"/>
        </w:rPr>
        <w:t> </w:t>
      </w:r>
      <w:r>
        <w:rPr>
          <w:sz w:val="18"/>
        </w:rPr>
        <w:t>p.526.</w:t>
      </w:r>
    </w:p>
    <w:p>
      <w:pPr>
        <w:pStyle w:val="ListParagraph"/>
        <w:numPr>
          <w:ilvl w:val="0"/>
          <w:numId w:val="2"/>
        </w:numPr>
        <w:tabs>
          <w:tab w:pos="374" w:val="left" w:leader="none"/>
        </w:tabs>
        <w:spacing w:line="240" w:lineRule="auto" w:before="0" w:after="0"/>
        <w:ind w:left="118" w:right="115" w:firstLine="0"/>
        <w:jc w:val="both"/>
        <w:rPr>
          <w:sz w:val="18"/>
        </w:rPr>
      </w:pPr>
      <w:r>
        <w:rPr>
          <w:sz w:val="18"/>
        </w:rPr>
        <w:t>Paiva, Antonio (2001) “Caracas, en busca de un gobierno Metropolitano”, en </w:t>
      </w:r>
      <w:r>
        <w:rPr>
          <w:i/>
          <w:sz w:val="18"/>
        </w:rPr>
        <w:t>Eure</w:t>
      </w:r>
      <w:r>
        <w:rPr>
          <w:sz w:val="18"/>
        </w:rPr>
        <w:t>, vol. XXVII, núm. 81, setiembre, 2001. Pontificia Universidad Católica de Chile.</w:t>
      </w:r>
      <w:r>
        <w:rPr>
          <w:spacing w:val="-25"/>
          <w:sz w:val="18"/>
        </w:rPr>
        <w:t> </w:t>
      </w:r>
      <w:r>
        <w:rPr>
          <w:sz w:val="18"/>
        </w:rPr>
        <w:t>Chile.</w:t>
      </w:r>
    </w:p>
    <w:p>
      <w:pPr>
        <w:spacing w:after="0" w:line="240" w:lineRule="auto"/>
        <w:jc w:val="both"/>
        <w:rPr>
          <w:sz w:val="18"/>
        </w:rPr>
        <w:sectPr>
          <w:pgSz w:w="12240" w:h="15840"/>
          <w:pgMar w:header="305" w:footer="595" w:top="880" w:bottom="780" w:left="1300" w:right="1300"/>
        </w:sectPr>
      </w:pPr>
    </w:p>
    <w:p>
      <w:pPr>
        <w:pStyle w:val="BodyText"/>
        <w:rPr>
          <w:sz w:val="20"/>
        </w:rPr>
      </w:pPr>
    </w:p>
    <w:p>
      <w:pPr>
        <w:pStyle w:val="BodyText"/>
        <w:spacing w:before="8"/>
        <w:rPr>
          <w:sz w:val="15"/>
        </w:rPr>
      </w:pPr>
    </w:p>
    <w:p>
      <w:pPr>
        <w:pStyle w:val="BodyText"/>
        <w:spacing w:line="480" w:lineRule="auto" w:before="83"/>
        <w:ind w:left="118" w:right="114"/>
        <w:jc w:val="both"/>
      </w:pPr>
      <w:r>
        <w:rPr/>
        <w:t>una sede propia, reglamentación interna y de continuidad institucional.</w:t>
      </w:r>
      <w:r>
        <w:rPr>
          <w:position w:val="10"/>
          <w:sz w:val="14"/>
        </w:rPr>
        <w:t>26 </w:t>
      </w:r>
      <w:r>
        <w:rPr/>
        <w:t>La sede y la presidencia fueron itinerantes entre los municipios participantes y no lograron sistematizar una agenda de tareas</w:t>
      </w:r>
      <w:r>
        <w:rPr>
          <w:spacing w:val="-9"/>
        </w:rPr>
        <w:t> </w:t>
      </w:r>
      <w:r>
        <w:rPr/>
        <w:t>metropolitanas.</w:t>
      </w:r>
    </w:p>
    <w:p>
      <w:pPr>
        <w:pStyle w:val="BodyText"/>
      </w:pPr>
    </w:p>
    <w:p>
      <w:pPr>
        <w:pStyle w:val="BodyText"/>
        <w:spacing w:before="8"/>
      </w:pPr>
    </w:p>
    <w:p>
      <w:pPr>
        <w:pStyle w:val="BodyText"/>
        <w:spacing w:line="475" w:lineRule="auto"/>
        <w:ind w:left="118" w:right="114"/>
        <w:jc w:val="both"/>
        <w:rPr>
          <w:sz w:val="14"/>
        </w:rPr>
      </w:pPr>
      <w:r>
        <w:rPr/>
        <w:t>Posteriormente, se creó un espacio gubernamental intermedio en 1999 denominado Alcaldía Metropolitana. La Alcaldía Metropolitana de Caracas tuvo algunos aspectos positivos en cuanto a un nuevo diseño institucional; porque hubo el reconocimiento legal del </w:t>
      </w:r>
      <w:r>
        <w:rPr>
          <w:i/>
        </w:rPr>
        <w:t>status </w:t>
      </w:r>
      <w:r>
        <w:rPr/>
        <w:t>especial y metropolitano de la capital venezolana. Sin embrago; dicho arreglo institucional continuó con la tradición legalista, centralista y jerárquica en la organización del gobierno.</w:t>
      </w:r>
      <w:r>
        <w:rPr>
          <w:position w:val="10"/>
          <w:sz w:val="14"/>
        </w:rPr>
        <w:t>27 </w:t>
      </w:r>
      <w:r>
        <w:rPr/>
        <w:t>Una de las debilidades, de origen, de la Alcaldía Metropolitana de Caracas fue su dependencia del  gobierno central. Además, y a pesar de la filiación política concordante entre el Alcalde y el gobierno central, no fue posible instrumentar acuerdos fundamentales, tales como el financiamiento público y la administración de la seguridad pública y el nombramiento de funcionarios.</w:t>
      </w:r>
      <w:r>
        <w:rPr>
          <w:position w:val="10"/>
          <w:sz w:val="14"/>
        </w:rPr>
        <w:t>28</w:t>
      </w:r>
    </w:p>
    <w:p>
      <w:pPr>
        <w:pStyle w:val="BodyText"/>
        <w:rPr>
          <w:sz w:val="26"/>
        </w:rPr>
      </w:pPr>
    </w:p>
    <w:p>
      <w:pPr>
        <w:pStyle w:val="BodyText"/>
        <w:spacing w:line="480" w:lineRule="auto" w:before="193"/>
        <w:ind w:left="118" w:right="113"/>
        <w:jc w:val="both"/>
      </w:pPr>
      <w:r>
        <w:rPr/>
        <w:t>En el caso de Colombia se impulsó en 2003 la figura de Autoridad de Transporte Público Metropolitano. Dicha figura, correspondiente al Área Metropolitana de Barranquilla, tuvo funciones de planeación, coordinación, gestión, vigilancia y control en lo referente al transporte público colectivo. Ello dio pie a la firma de un convenio, en 2007, entre el Área Metropolitana de Barranquilla, Transmetro S.A y la Alcaldías de Barranquilla y Soledad para regular las bases de la  operación  de  Sistema  Integral  de  Transporte  Metropolitano  de  Barranquilla  y  su    área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r>
        <w:rPr/>
        <w:pict>
          <v:line style="position:absolute;mso-position-horizontal-relative:page;mso-position-vertical-relative:paragraph;z-index:1216;mso-wrap-distance-left:0;mso-wrap-distance-right:0" from="234.050003pt,13.965728pt" to="378.070003pt,13.965728pt" stroked="true" strokeweight=".72003pt" strokecolor="#000000">
            <w10:wrap type="topAndBottom"/>
          </v:line>
        </w:pict>
      </w:r>
    </w:p>
    <w:p>
      <w:pPr>
        <w:pStyle w:val="ListParagraph"/>
        <w:numPr>
          <w:ilvl w:val="0"/>
          <w:numId w:val="2"/>
        </w:numPr>
        <w:tabs>
          <w:tab w:pos="371" w:val="left" w:leader="none"/>
        </w:tabs>
        <w:spacing w:line="240" w:lineRule="auto" w:before="70" w:after="0"/>
        <w:ind w:left="370" w:right="0" w:hanging="252"/>
        <w:jc w:val="left"/>
        <w:rPr>
          <w:sz w:val="18"/>
        </w:rPr>
      </w:pPr>
      <w:r>
        <w:rPr>
          <w:sz w:val="18"/>
        </w:rPr>
        <w:t>Ibid.</w:t>
      </w:r>
    </w:p>
    <w:p>
      <w:pPr>
        <w:pStyle w:val="ListParagraph"/>
        <w:numPr>
          <w:ilvl w:val="0"/>
          <w:numId w:val="2"/>
        </w:numPr>
        <w:tabs>
          <w:tab w:pos="371" w:val="left" w:leader="none"/>
        </w:tabs>
        <w:spacing w:line="207" w:lineRule="exact" w:before="2" w:after="0"/>
        <w:ind w:left="370" w:right="0" w:hanging="252"/>
        <w:jc w:val="left"/>
        <w:rPr>
          <w:sz w:val="18"/>
        </w:rPr>
      </w:pPr>
      <w:r>
        <w:rPr>
          <w:sz w:val="18"/>
        </w:rPr>
        <w:t>Ibid.</w:t>
      </w:r>
    </w:p>
    <w:p>
      <w:pPr>
        <w:pStyle w:val="ListParagraph"/>
        <w:numPr>
          <w:ilvl w:val="0"/>
          <w:numId w:val="2"/>
        </w:numPr>
        <w:tabs>
          <w:tab w:pos="371" w:val="left" w:leader="none"/>
        </w:tabs>
        <w:spacing w:line="207" w:lineRule="exact" w:before="0" w:after="0"/>
        <w:ind w:left="370" w:right="0" w:hanging="252"/>
        <w:jc w:val="left"/>
        <w:rPr>
          <w:sz w:val="18"/>
        </w:rPr>
      </w:pPr>
      <w:r>
        <w:rPr>
          <w:sz w:val="18"/>
        </w:rPr>
        <w:t>Ibid.</w:t>
      </w:r>
    </w:p>
    <w:p>
      <w:pPr>
        <w:spacing w:after="0" w:line="207" w:lineRule="exact"/>
        <w:jc w:val="left"/>
        <w:rPr>
          <w:sz w:val="18"/>
        </w:rPr>
        <w:sectPr>
          <w:pgSz w:w="12240" w:h="15840"/>
          <w:pgMar w:header="305" w:footer="595" w:top="880" w:bottom="780" w:left="1300" w:right="1300"/>
        </w:sectPr>
      </w:pPr>
    </w:p>
    <w:p>
      <w:pPr>
        <w:pStyle w:val="BodyText"/>
        <w:rPr>
          <w:sz w:val="20"/>
        </w:rPr>
      </w:pPr>
    </w:p>
    <w:p>
      <w:pPr>
        <w:pStyle w:val="BodyText"/>
        <w:spacing w:before="8"/>
        <w:rPr>
          <w:sz w:val="18"/>
        </w:rPr>
      </w:pPr>
    </w:p>
    <w:p>
      <w:pPr>
        <w:pStyle w:val="BodyText"/>
        <w:spacing w:line="456" w:lineRule="auto" w:before="73"/>
        <w:ind w:left="118" w:right="129"/>
        <w:rPr>
          <w:sz w:val="14"/>
        </w:rPr>
      </w:pPr>
      <w:r>
        <w:rPr/>
        <w:t>Metropolitana. Sin embargo, “…le ha faltado capacidad de coordinación entre los municipios y las actividades de regulación; le ha faltado liderazgo”.</w:t>
      </w:r>
      <w:r>
        <w:rPr>
          <w:position w:val="10"/>
          <w:sz w:val="14"/>
        </w:rPr>
        <w:t>29</w:t>
      </w:r>
    </w:p>
    <w:p>
      <w:pPr>
        <w:pStyle w:val="BodyText"/>
        <w:rPr>
          <w:sz w:val="26"/>
        </w:rPr>
      </w:pPr>
    </w:p>
    <w:p>
      <w:pPr>
        <w:pStyle w:val="BodyText"/>
        <w:spacing w:line="475" w:lineRule="auto" w:before="212"/>
        <w:ind w:left="118" w:right="112"/>
      </w:pPr>
      <w:r>
        <w:rPr/>
        <w:t>Por otra parte, en Brasil la gestión de los residuos sólidos da cuenta del peso que tiene el componente político en la definición de los arreglos institucionales y la instrumentación de la acción pública</w:t>
      </w:r>
      <w:r>
        <w:rPr>
          <w:position w:val="10"/>
          <w:sz w:val="14"/>
        </w:rPr>
        <w:t>30</w:t>
      </w:r>
      <w:r>
        <w:rPr/>
        <w:t>. La existencia de posiciones políticas opuestas o afines entre los gobiernos federal, estatal o local, influyen en el rumbo, intensidad y continuidad que habrá de tomar la intervención gubernamental en los asuntos metropolitanos. Las disputas entre los grupos políticos de cada ámbito gubernamental limitaron la construcción de acuerdos intermunicipales. La falta de identidad regional entre los gobiernos dificulta la construcción de una conciencia metropolitana, que lleve al imaginario público a percibirse como integrante de una forma espacial que requiere nuevos hábitos y accionar colectivos.</w:t>
      </w:r>
      <w:r>
        <w:rPr>
          <w:position w:val="10"/>
          <w:sz w:val="14"/>
        </w:rPr>
        <w:t>31 </w:t>
      </w:r>
      <w:r>
        <w:rPr/>
        <w:t>Por otra parte, las asimetrías entre los gobiernos conducen a desequilibrios de poderes económicos y políticos que coloca en posiciones de desventaja a unos en los momentos de la negociación y la toma de</w:t>
      </w:r>
      <w:r>
        <w:rPr>
          <w:spacing w:val="-24"/>
        </w:rPr>
        <w:t> </w:t>
      </w:r>
      <w:r>
        <w:rPr/>
        <w:t>decisiones.</w:t>
      </w:r>
    </w:p>
    <w:p>
      <w:pPr>
        <w:pStyle w:val="BodyText"/>
      </w:pPr>
    </w:p>
    <w:p>
      <w:pPr>
        <w:pStyle w:val="BodyText"/>
        <w:spacing w:before="1"/>
        <w:rPr>
          <w:sz w:val="23"/>
        </w:rPr>
      </w:pPr>
    </w:p>
    <w:p>
      <w:pPr>
        <w:pStyle w:val="BodyText"/>
        <w:spacing w:line="475" w:lineRule="auto"/>
        <w:ind w:left="118" w:right="115"/>
        <w:jc w:val="both"/>
        <w:rPr>
          <w:sz w:val="14"/>
        </w:rPr>
      </w:pPr>
      <w:r>
        <w:rPr/>
        <w:t>En México la gestión de las zonas metropolitanas presenta rezagos respecto a las experiencias de otras naciones latinoamericanas. Las metrópolis mexicanas tienen una problemática conformada por cuatro aristas: crecimiento dinámico, desordenado e insustentable; presentan rezagos en la dotación de infraestructuras en amplios espacios, carecen de recursos e instituciones capaces de generarlos y gestionarlos adecuadamente y; finalmente, no cuentan con un marco institucional para la coordinación intergubernamental.</w:t>
      </w:r>
      <w:r>
        <w:rPr>
          <w:position w:val="10"/>
          <w:sz w:val="14"/>
        </w:rPr>
        <w:t>32</w:t>
      </w:r>
    </w:p>
    <w:p>
      <w:pPr>
        <w:pStyle w:val="BodyText"/>
        <w:rPr>
          <w:sz w:val="20"/>
        </w:rPr>
      </w:pPr>
    </w:p>
    <w:p>
      <w:pPr>
        <w:pStyle w:val="BodyText"/>
        <w:spacing w:before="1"/>
        <w:rPr>
          <w:sz w:val="28"/>
        </w:rPr>
      </w:pPr>
      <w:r>
        <w:rPr/>
        <w:pict>
          <v:line style="position:absolute;mso-position-horizontal-relative:page;mso-position-vertical-relative:paragraph;z-index:1240;mso-wrap-distance-left:0;mso-wrap-distance-right:0" from="234.050003pt,18.495329pt" to="378.070003pt,18.495329pt" stroked="true" strokeweight=".71997pt" strokecolor="#000000">
            <w10:wrap type="topAndBottom"/>
          </v:line>
        </w:pict>
      </w:r>
    </w:p>
    <w:p>
      <w:pPr>
        <w:pStyle w:val="ListParagraph"/>
        <w:numPr>
          <w:ilvl w:val="0"/>
          <w:numId w:val="2"/>
        </w:numPr>
        <w:tabs>
          <w:tab w:pos="383" w:val="left" w:leader="none"/>
        </w:tabs>
        <w:spacing w:line="240" w:lineRule="auto" w:before="73" w:after="0"/>
        <w:ind w:left="118" w:right="113" w:firstLine="0"/>
        <w:jc w:val="both"/>
        <w:rPr>
          <w:sz w:val="18"/>
        </w:rPr>
      </w:pPr>
      <w:r>
        <w:rPr>
          <w:sz w:val="18"/>
        </w:rPr>
        <w:t>Tarazona, A. y Hernández M.P. (2013) “Transmetro Barranquilla-Soledad: retos para la gestión metropolitana en un contexto de desequilibrios territoriales”, en </w:t>
      </w:r>
      <w:r>
        <w:rPr>
          <w:i/>
          <w:sz w:val="18"/>
        </w:rPr>
        <w:t>Pensamiento &amp; Gestión</w:t>
      </w:r>
      <w:r>
        <w:rPr>
          <w:sz w:val="18"/>
        </w:rPr>
        <w:t>, núm. 34, enero-junio. Universidad del Norte, Barranquilla.</w:t>
      </w:r>
      <w:r>
        <w:rPr>
          <w:spacing w:val="-9"/>
          <w:sz w:val="18"/>
        </w:rPr>
        <w:t> </w:t>
      </w:r>
      <w:r>
        <w:rPr>
          <w:sz w:val="18"/>
        </w:rPr>
        <w:t>p.109.</w:t>
      </w:r>
    </w:p>
    <w:p>
      <w:pPr>
        <w:pStyle w:val="ListParagraph"/>
        <w:numPr>
          <w:ilvl w:val="0"/>
          <w:numId w:val="2"/>
        </w:numPr>
        <w:tabs>
          <w:tab w:pos="398" w:val="left" w:leader="none"/>
        </w:tabs>
        <w:spacing w:line="240" w:lineRule="auto" w:before="0" w:after="0"/>
        <w:ind w:left="118" w:right="110" w:firstLine="0"/>
        <w:jc w:val="both"/>
        <w:rPr>
          <w:sz w:val="18"/>
        </w:rPr>
      </w:pPr>
      <w:r>
        <w:rPr>
          <w:sz w:val="18"/>
        </w:rPr>
        <w:t>Vid. Nascimento, P. y Moreira, T.A. (2012), “Gestión de residuos sólidos en regiones metropolitanas: límites y oportunidades de los arreglos intermunicipales en el escenario brasileño”, en </w:t>
      </w:r>
      <w:r>
        <w:rPr>
          <w:i/>
          <w:sz w:val="18"/>
        </w:rPr>
        <w:t>Territorios</w:t>
      </w:r>
      <w:r>
        <w:rPr>
          <w:sz w:val="18"/>
        </w:rPr>
        <w:t>, núm. 27, 2012, pp. 145-179. Universidad del Rosario., Bogotá,</w:t>
      </w:r>
      <w:r>
        <w:rPr>
          <w:spacing w:val="-16"/>
          <w:sz w:val="18"/>
        </w:rPr>
        <w:t> </w:t>
      </w:r>
      <w:r>
        <w:rPr>
          <w:sz w:val="18"/>
        </w:rPr>
        <w:t>Colombia.</w:t>
      </w:r>
    </w:p>
    <w:p>
      <w:pPr>
        <w:pStyle w:val="ListParagraph"/>
        <w:numPr>
          <w:ilvl w:val="0"/>
          <w:numId w:val="2"/>
        </w:numPr>
        <w:tabs>
          <w:tab w:pos="371" w:val="left" w:leader="none"/>
        </w:tabs>
        <w:spacing w:line="207" w:lineRule="exact" w:before="2" w:after="0"/>
        <w:ind w:left="370" w:right="0" w:hanging="252"/>
        <w:jc w:val="both"/>
        <w:rPr>
          <w:sz w:val="18"/>
        </w:rPr>
      </w:pPr>
      <w:r>
        <w:rPr>
          <w:sz w:val="18"/>
        </w:rPr>
        <w:t>Ibid.</w:t>
      </w:r>
    </w:p>
    <w:p>
      <w:pPr>
        <w:pStyle w:val="ListParagraph"/>
        <w:numPr>
          <w:ilvl w:val="0"/>
          <w:numId w:val="2"/>
        </w:numPr>
        <w:tabs>
          <w:tab w:pos="371" w:val="left" w:leader="none"/>
        </w:tabs>
        <w:spacing w:line="207" w:lineRule="exact" w:before="0" w:after="0"/>
        <w:ind w:left="370" w:right="0" w:hanging="252"/>
        <w:jc w:val="both"/>
        <w:rPr>
          <w:sz w:val="18"/>
        </w:rPr>
      </w:pPr>
      <w:r>
        <w:rPr>
          <w:sz w:val="18"/>
        </w:rPr>
        <w:t>Iracheta (2010). Óp.</w:t>
      </w:r>
      <w:r>
        <w:rPr>
          <w:spacing w:val="-9"/>
          <w:sz w:val="18"/>
        </w:rPr>
        <w:t> </w:t>
      </w:r>
      <w:r>
        <w:rPr>
          <w:sz w:val="18"/>
        </w:rPr>
        <w:t>cit.</w:t>
      </w:r>
    </w:p>
    <w:p>
      <w:pPr>
        <w:spacing w:after="0" w:line="207" w:lineRule="exact"/>
        <w:jc w:val="both"/>
        <w:rPr>
          <w:sz w:val="18"/>
        </w:rPr>
        <w:sectPr>
          <w:pgSz w:w="12240" w:h="15840"/>
          <w:pgMar w:header="305" w:footer="595" w:top="880" w:bottom="780" w:left="1300" w:right="1300"/>
        </w:sectPr>
      </w:pPr>
    </w:p>
    <w:p>
      <w:pPr>
        <w:pStyle w:val="BodyText"/>
        <w:rPr>
          <w:sz w:val="20"/>
        </w:rPr>
      </w:pPr>
    </w:p>
    <w:p>
      <w:pPr>
        <w:pStyle w:val="BodyText"/>
        <w:spacing w:before="8"/>
        <w:rPr>
          <w:sz w:val="18"/>
        </w:rPr>
      </w:pPr>
    </w:p>
    <w:p>
      <w:pPr>
        <w:pStyle w:val="BodyText"/>
        <w:spacing w:line="475" w:lineRule="auto" w:before="73"/>
        <w:ind w:left="118" w:right="114"/>
        <w:jc w:val="both"/>
      </w:pPr>
      <w:r>
        <w:rPr/>
        <w:t>El caso de la Zona Metropolitana de Xalapa (ZMX), en el estado de Veracruz, la fragmentación del territorio, los intereses encontrados y poco proclives al acuerdo y las diversificadas capacidades de las administraciones locales han dado pie a lo que denomina la “gobernabilidad urbana truca”;</w:t>
      </w:r>
      <w:r>
        <w:rPr>
          <w:position w:val="10"/>
          <w:sz w:val="14"/>
        </w:rPr>
        <w:t>33 </w:t>
      </w:r>
      <w:r>
        <w:rPr/>
        <w:t>caracterizada por la preeminencia de un escenario permanente de conflicto, contrario a uno de colaboración y complementariedad que se ha intentado construir en otros espacios metropolitanos latinoamericanos.</w:t>
      </w:r>
    </w:p>
    <w:p>
      <w:pPr>
        <w:pStyle w:val="BodyText"/>
      </w:pPr>
    </w:p>
    <w:p>
      <w:pPr>
        <w:pStyle w:val="BodyText"/>
        <w:spacing w:before="2"/>
        <w:rPr>
          <w:sz w:val="23"/>
        </w:rPr>
      </w:pPr>
    </w:p>
    <w:p>
      <w:pPr>
        <w:pStyle w:val="BodyText"/>
        <w:spacing w:line="475" w:lineRule="auto"/>
        <w:ind w:left="118" w:right="112"/>
        <w:jc w:val="both"/>
        <w:rPr>
          <w:sz w:val="14"/>
        </w:rPr>
      </w:pPr>
      <w:r>
        <w:rPr/>
        <w:t>En oposición a un esquema de gobernabilidad urbana, en Xalapa permanece el de “centro- periferia” en cuanto a la toma de decisiones y el ejercicio del poder (Xalapa, es la capital del estado), lo que limita el número y calidad en la participación de los actores de carácter metropolitano. Lo anterior se manifiesta en los temas torales de la gestión del espacio, tales como los servicios de agua potable y saneamiento para proveer al resto de los municipios del exterior.</w:t>
      </w:r>
      <w:r>
        <w:rPr>
          <w:position w:val="10"/>
          <w:sz w:val="14"/>
        </w:rPr>
        <w:t>34</w:t>
      </w:r>
    </w:p>
    <w:p>
      <w:pPr>
        <w:pStyle w:val="BodyText"/>
        <w:rPr>
          <w:sz w:val="26"/>
        </w:rPr>
      </w:pPr>
    </w:p>
    <w:p>
      <w:pPr>
        <w:pStyle w:val="Heading2"/>
        <w:spacing w:line="480" w:lineRule="auto" w:before="188"/>
        <w:ind w:right="168"/>
        <w:jc w:val="left"/>
      </w:pPr>
      <w:r>
        <w:rPr/>
        <w:t>4.- LA COORDINACIÓN Y LOS PROYECTOS DEL FONDO METROPOLITANO EN LA ZONA METROPOLITANA DEL VALLE DE MÉXICO</w:t>
      </w:r>
    </w:p>
    <w:p>
      <w:pPr>
        <w:pStyle w:val="BodyText"/>
        <w:spacing w:line="480" w:lineRule="auto" w:before="10"/>
        <w:ind w:left="118" w:right="112"/>
        <w:jc w:val="both"/>
      </w:pPr>
      <w:r>
        <w:rPr/>
        <w:t>Para el caso de la Zona Metropolitana del Valle de México (ZMVM) la gestión del espacio metropolitano ha ocurrido desde los 90’s a través de la figura de coordinación interinstitucional (Comisiones Metropolitanas) entre las dos entidades implicadas en la conurbación: la Ciudad de México y el Estado de México. Los antecedentes institucionales para la gestión de la ZMVM fueron la Comisión de Conurbación de la Zona Centro del País (CCCP) de 1976 y el Consejo del Área Metropolitana de la Ciudad de México (1988). La CCCP se encargó de establecer lineamientos de planeación mediante la formulación del Programa de Ordenación Territorial  </w:t>
      </w:r>
      <w:r>
        <w:rPr>
          <w:spacing w:val="11"/>
        </w:rPr>
        <w:t> </w:t>
      </w:r>
      <w:r>
        <w:rPr/>
        <w:t>de</w:t>
      </w:r>
    </w:p>
    <w:p>
      <w:pPr>
        <w:pStyle w:val="BodyText"/>
        <w:rPr>
          <w:sz w:val="26"/>
        </w:rPr>
      </w:pPr>
      <w:r>
        <w:rPr/>
        <w:pict>
          <v:line style="position:absolute;mso-position-horizontal-relative:page;mso-position-vertical-relative:paragraph;z-index:1264;mso-wrap-distance-left:0;mso-wrap-distance-right:0" from="234.050003pt,17.319872pt" to="378.070003pt,17.319872pt" stroked="true" strokeweight=".72003pt" strokecolor="#000000">
            <w10:wrap type="topAndBottom"/>
          </v:line>
        </w:pict>
      </w:r>
    </w:p>
    <w:p>
      <w:pPr>
        <w:pStyle w:val="ListParagraph"/>
        <w:numPr>
          <w:ilvl w:val="0"/>
          <w:numId w:val="2"/>
        </w:numPr>
        <w:tabs>
          <w:tab w:pos="403" w:val="left" w:leader="none"/>
        </w:tabs>
        <w:spacing w:line="240" w:lineRule="auto" w:before="73" w:after="0"/>
        <w:ind w:left="118" w:right="112" w:firstLine="0"/>
        <w:jc w:val="both"/>
        <w:rPr>
          <w:sz w:val="18"/>
        </w:rPr>
      </w:pPr>
      <w:r>
        <w:rPr>
          <w:sz w:val="18"/>
        </w:rPr>
        <w:t>Vid. Zentella Gómez, Juan Carlos (2005), “Relaciones intermunicipales y gobernabilidad urbana en las zonas metropolitanas de México: el caso de la Zona Metropolitana de Xalapa”, en </w:t>
      </w:r>
      <w:r>
        <w:rPr>
          <w:i/>
          <w:sz w:val="18"/>
        </w:rPr>
        <w:t>Estudios Demográficos y Urbanos</w:t>
      </w:r>
      <w:r>
        <w:rPr>
          <w:sz w:val="18"/>
        </w:rPr>
        <w:t>, vol. 20, núm. 2, mayo-agosto, 2005, pp. 229-267. El Colegio de México.</w:t>
      </w:r>
      <w:r>
        <w:rPr>
          <w:spacing w:val="-32"/>
          <w:sz w:val="18"/>
        </w:rPr>
        <w:t> </w:t>
      </w:r>
      <w:r>
        <w:rPr>
          <w:sz w:val="18"/>
        </w:rPr>
        <w:t>México.</w:t>
      </w:r>
    </w:p>
    <w:p>
      <w:pPr>
        <w:pStyle w:val="ListParagraph"/>
        <w:numPr>
          <w:ilvl w:val="0"/>
          <w:numId w:val="2"/>
        </w:numPr>
        <w:tabs>
          <w:tab w:pos="371" w:val="left" w:leader="none"/>
        </w:tabs>
        <w:spacing w:line="206" w:lineRule="exact" w:before="0" w:after="0"/>
        <w:ind w:left="370" w:right="0" w:hanging="252"/>
        <w:jc w:val="both"/>
        <w:rPr>
          <w:sz w:val="18"/>
        </w:rPr>
      </w:pPr>
      <w:r>
        <w:rPr>
          <w:sz w:val="18"/>
        </w:rPr>
        <w:t>Ibid.</w:t>
      </w:r>
    </w:p>
    <w:p>
      <w:pPr>
        <w:spacing w:after="0" w:line="206" w:lineRule="exact"/>
        <w:jc w:val="both"/>
        <w:rPr>
          <w:sz w:val="18"/>
        </w:rPr>
        <w:sectPr>
          <w:pgSz w:w="12240" w:h="15840"/>
          <w:pgMar w:header="305" w:footer="595" w:top="880" w:bottom="780" w:left="1300" w:right="1300"/>
        </w:sectPr>
      </w:pPr>
    </w:p>
    <w:p>
      <w:pPr>
        <w:pStyle w:val="BodyText"/>
        <w:rPr>
          <w:sz w:val="20"/>
        </w:rPr>
      </w:pPr>
    </w:p>
    <w:p>
      <w:pPr>
        <w:pStyle w:val="BodyText"/>
        <w:spacing w:before="8"/>
        <w:rPr>
          <w:sz w:val="18"/>
        </w:rPr>
      </w:pPr>
    </w:p>
    <w:p>
      <w:pPr>
        <w:pStyle w:val="BodyText"/>
        <w:spacing w:line="472" w:lineRule="auto" w:before="73"/>
        <w:ind w:left="118" w:right="117"/>
        <w:jc w:val="both"/>
        <w:rPr>
          <w:sz w:val="14"/>
        </w:rPr>
      </w:pPr>
      <w:r>
        <w:rPr/>
        <w:t>la Región Centro del País y de la Zona Metropolitana de la Ciudad de México. Los propósitos del programa se concentraron en desconcentrar la ZMVM y disminuir su ritmo de crecimiento. Sin embargo la CCCP no contó con recursos para llevar a cabo las funciones de gestión, concertación, vigilancia y control y en 1988 se dejó a la voluntad de los gobiernos su operación.</w:t>
      </w:r>
      <w:r>
        <w:rPr>
          <w:position w:val="10"/>
          <w:sz w:val="14"/>
        </w:rPr>
        <w:t>35</w:t>
      </w:r>
    </w:p>
    <w:p>
      <w:pPr>
        <w:pStyle w:val="BodyText"/>
        <w:rPr>
          <w:sz w:val="26"/>
        </w:rPr>
      </w:pPr>
    </w:p>
    <w:p>
      <w:pPr>
        <w:pStyle w:val="BodyText"/>
        <w:spacing w:line="477" w:lineRule="auto" w:before="196"/>
        <w:ind w:left="118" w:right="112"/>
        <w:jc w:val="both"/>
      </w:pPr>
      <w:r>
        <w:rPr/>
        <w:t>En 1988 se creó el Consejo del Área Metropolitana de la Ciudad de México (CAM) entre los gobiernos del Estado de México y del, entonces, Distrito Federal. El propósito del CAM fue reordenar los usos del suelo, controlar el crecimiento y realizar programas y acciones conjuntas para atender coordinadamente la metrópoli. “La principal innovación del CAM fue el centrarse  en proyectos concretos, promovidos a través de acuerdos entre las distintas instancias del gobierno”.</w:t>
      </w:r>
      <w:r>
        <w:rPr>
          <w:position w:val="10"/>
          <w:sz w:val="14"/>
        </w:rPr>
        <w:t>36 </w:t>
      </w:r>
      <w:r>
        <w:rPr/>
        <w:t>A pesar el nuevo dispositivo organizacional que representó el CAM para la atención del fenómeno metropolitano en el Valle de México, no permaneció en la escena pública por mucho tiempo. Tuvo poca presencia y actividad. El CAM no logró consolidarse y</w:t>
      </w:r>
      <w:r>
        <w:rPr>
          <w:spacing w:val="-22"/>
        </w:rPr>
        <w:t> </w:t>
      </w:r>
      <w:r>
        <w:rPr/>
        <w:t>desapareció.</w:t>
      </w:r>
    </w:p>
    <w:p>
      <w:pPr>
        <w:pStyle w:val="BodyText"/>
      </w:pPr>
    </w:p>
    <w:p>
      <w:pPr>
        <w:pStyle w:val="BodyText"/>
        <w:spacing w:before="10"/>
      </w:pPr>
    </w:p>
    <w:p>
      <w:pPr>
        <w:pStyle w:val="BodyText"/>
        <w:spacing w:line="480" w:lineRule="auto"/>
        <w:ind w:left="118" w:right="117"/>
        <w:jc w:val="both"/>
      </w:pPr>
      <w:r>
        <w:rPr/>
        <w:t>A partir de 1994 se renovó el esquema de gestión y se crearon las Comisiones Metropolitanas: Asentamientos Humanos (COMETAH), Ambiental (CAM), Agua y Drenaje (CADAM), Comunicaciones y Transporte (COMETRAVI), Comisión Metropolitana de Seguridad Pública y Procuración de Justicia (CMSPyPJ), Comisión Metropolitana de Protección Civil (COMEPROC) y la Comisión Ejecutiva de Coordinación Metropolitana. Las instancias de coordinación no dispusieron de recursos ni de atribuciones para, efectivamente, llevar a cabo la planeación, administración e instrumentación de acciones públicas durante 1994-2005.</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r>
        <w:rPr/>
        <w:pict>
          <v:line style="position:absolute;mso-position-horizontal-relative:page;mso-position-vertical-relative:paragraph;z-index:1288;mso-wrap-distance-left:0;mso-wrap-distance-right:0" from="234.050003pt,11.643767pt" to="378.070003pt,11.643767pt" stroked="true" strokeweight=".72003pt" strokecolor="#000000">
            <w10:wrap type="topAndBottom"/>
          </v:line>
        </w:pict>
      </w:r>
    </w:p>
    <w:p>
      <w:pPr>
        <w:pStyle w:val="ListParagraph"/>
        <w:numPr>
          <w:ilvl w:val="0"/>
          <w:numId w:val="2"/>
        </w:numPr>
        <w:tabs>
          <w:tab w:pos="415" w:val="left" w:leader="none"/>
        </w:tabs>
        <w:spacing w:line="240" w:lineRule="auto" w:before="68" w:after="0"/>
        <w:ind w:left="118" w:right="118" w:firstLine="0"/>
        <w:jc w:val="left"/>
        <w:rPr>
          <w:sz w:val="18"/>
        </w:rPr>
      </w:pPr>
      <w:r>
        <w:rPr>
          <w:sz w:val="18"/>
        </w:rPr>
        <w:t>Vid. Ziccardi, A. y Navarro B. (coord.) (1995) </w:t>
      </w:r>
      <w:r>
        <w:rPr>
          <w:i/>
          <w:sz w:val="18"/>
        </w:rPr>
        <w:t>Ciudad de México: Retos y Propuestas para la Coordinación </w:t>
      </w:r>
      <w:r>
        <w:rPr>
          <w:i/>
          <w:sz w:val="18"/>
        </w:rPr>
        <w:t>Metropolitana. </w:t>
      </w:r>
      <w:r>
        <w:rPr>
          <w:sz w:val="18"/>
        </w:rPr>
        <w:t>UAM-UNAM.</w:t>
      </w:r>
      <w:r>
        <w:rPr>
          <w:spacing w:val="-12"/>
          <w:sz w:val="18"/>
        </w:rPr>
        <w:t> </w:t>
      </w:r>
      <w:r>
        <w:rPr>
          <w:sz w:val="18"/>
        </w:rPr>
        <w:t>México.</w:t>
      </w:r>
    </w:p>
    <w:p>
      <w:pPr>
        <w:pStyle w:val="ListParagraph"/>
        <w:numPr>
          <w:ilvl w:val="0"/>
          <w:numId w:val="2"/>
        </w:numPr>
        <w:tabs>
          <w:tab w:pos="371" w:val="left" w:leader="none"/>
        </w:tabs>
        <w:spacing w:line="240" w:lineRule="auto" w:before="2" w:after="0"/>
        <w:ind w:left="370" w:right="0" w:hanging="252"/>
        <w:jc w:val="left"/>
        <w:rPr>
          <w:sz w:val="18"/>
        </w:rPr>
      </w:pPr>
      <w:r>
        <w:rPr>
          <w:sz w:val="18"/>
        </w:rPr>
        <w:t>Ibid.</w:t>
      </w:r>
      <w:r>
        <w:rPr>
          <w:spacing w:val="-5"/>
          <w:sz w:val="18"/>
        </w:rPr>
        <w:t> </w:t>
      </w:r>
      <w:r>
        <w:rPr>
          <w:sz w:val="18"/>
        </w:rPr>
        <w:t>p.38.</w:t>
      </w:r>
    </w:p>
    <w:p>
      <w:pPr>
        <w:spacing w:after="0" w:line="240" w:lineRule="auto"/>
        <w:jc w:val="left"/>
        <w:rPr>
          <w:sz w:val="18"/>
        </w:rPr>
        <w:sectPr>
          <w:pgSz w:w="12240" w:h="15840"/>
          <w:pgMar w:header="305" w:footer="595" w:top="880" w:bottom="780" w:left="1300" w:right="1300"/>
        </w:sectPr>
      </w:pPr>
    </w:p>
    <w:p>
      <w:pPr>
        <w:pStyle w:val="BodyText"/>
        <w:rPr>
          <w:sz w:val="20"/>
        </w:rPr>
      </w:pPr>
    </w:p>
    <w:p>
      <w:pPr>
        <w:pStyle w:val="BodyText"/>
        <w:spacing w:before="8"/>
        <w:rPr>
          <w:sz w:val="18"/>
        </w:rPr>
      </w:pPr>
    </w:p>
    <w:p>
      <w:pPr>
        <w:pStyle w:val="BodyText"/>
        <w:spacing w:line="472" w:lineRule="auto" w:before="73"/>
        <w:ind w:left="118" w:right="111"/>
        <w:jc w:val="both"/>
        <w:rPr>
          <w:sz w:val="14"/>
        </w:rPr>
      </w:pPr>
      <w:r>
        <w:rPr/>
        <w:t>La coordinación metropolitana impulsada para la ZMVM ha limitado la aparición de otras figuras de gestión, tales como mancomunidades de municipios, autoridades metropolitanas  o consorcios (públicos, público-privados o privados) responsables de algún servicio de escala metropolitana. “Estas situaciones se suman al hecho central de que no existe gobierno, ni derechos políticos y tampoco cuerpos institucionales políticos de carácter metropolitano en sentido estricto”.</w:t>
      </w:r>
      <w:r>
        <w:rPr>
          <w:position w:val="10"/>
          <w:sz w:val="14"/>
        </w:rPr>
        <w:t>37 </w:t>
      </w:r>
      <w:r>
        <w:rPr/>
        <w:t>Cabe mencionar que este tipo de trabajo se ha centrado solamente en lo institucional y que no se han tomado en cuenta los intereses de otros agentes metropolitanos, aun los que pertenecen al campo gubernamental, como son los municipios.</w:t>
      </w:r>
      <w:r>
        <w:rPr>
          <w:position w:val="10"/>
          <w:sz w:val="14"/>
        </w:rPr>
        <w:t>38 </w:t>
      </w:r>
      <w:r>
        <w:rPr/>
        <w:t>La manera como se estructuró, hasta 2008, la coordinación metropolitana como mecanismo de gestión en el  Valle de México, permite distinguir tres períodos: institucionalización (1994-2000), disputa política (2000-2005) y cambio institucional</w:t>
      </w:r>
      <w:r>
        <w:rPr>
          <w:spacing w:val="-20"/>
        </w:rPr>
        <w:t> </w:t>
      </w:r>
      <w:r>
        <w:rPr/>
        <w:t>(2005-2008).</w:t>
      </w:r>
      <w:r>
        <w:rPr>
          <w:position w:val="10"/>
          <w:sz w:val="14"/>
        </w:rPr>
        <w:t>39</w:t>
      </w:r>
    </w:p>
    <w:p>
      <w:pPr>
        <w:pStyle w:val="BodyText"/>
        <w:rPr>
          <w:sz w:val="26"/>
        </w:rPr>
      </w:pPr>
    </w:p>
    <w:p>
      <w:pPr>
        <w:pStyle w:val="BodyText"/>
        <w:spacing w:line="480" w:lineRule="auto" w:before="196"/>
        <w:ind w:left="118" w:right="112"/>
        <w:jc w:val="both"/>
      </w:pPr>
      <w:r>
        <w:rPr/>
        <w:t>Como parte de la transición de la etapa de “disputa política” a la de “cambio institucional”, el Fondo Metropolitano se formalizó en 2006 mediante la creación del Fideicomiso 2904 para el “Fondo Metropolitano de Proyectos de Impacto Ambiental en el Valle de México”. Se  aprobaron</w:t>
      </w:r>
    </w:p>
    <w:p>
      <w:pPr>
        <w:pStyle w:val="BodyText"/>
        <w:spacing w:line="456" w:lineRule="auto" w:before="7"/>
        <w:ind w:left="118" w:right="117"/>
        <w:jc w:val="both"/>
        <w:rPr>
          <w:sz w:val="14"/>
        </w:rPr>
      </w:pPr>
      <w:r>
        <w:rPr/>
        <w:t>28 proyectos y el planteamiento consistió en avanzar por etapas durante 2006 </w:t>
      </w:r>
      <w:r>
        <w:rPr>
          <w:spacing w:val="-3"/>
        </w:rPr>
        <w:t>y,  </w:t>
      </w:r>
      <w:r>
        <w:rPr/>
        <w:t>posteriormente, dar continuidad a los proyectos durante el siguiente</w:t>
      </w:r>
      <w:r>
        <w:rPr>
          <w:spacing w:val="-20"/>
        </w:rPr>
        <w:t> </w:t>
      </w:r>
      <w:r>
        <w:rPr/>
        <w:t>año.</w:t>
      </w:r>
      <w:r>
        <w:rPr>
          <w:position w:val="10"/>
          <w:sz w:val="14"/>
        </w:rPr>
        <w:t>40</w:t>
      </w:r>
    </w:p>
    <w:p>
      <w:pPr>
        <w:pStyle w:val="BodyText"/>
        <w:rPr>
          <w:sz w:val="26"/>
        </w:rPr>
      </w:pPr>
    </w:p>
    <w:p>
      <w:pPr>
        <w:pStyle w:val="BodyText"/>
        <w:spacing w:line="480" w:lineRule="auto" w:before="215"/>
        <w:ind w:left="118" w:right="113"/>
        <w:jc w:val="both"/>
      </w:pPr>
      <w:r>
        <w:rPr/>
        <w:t>Aunque las obras y acciones serían verificables por la Secretaría de Hacienda y por </w:t>
      </w:r>
      <w:r>
        <w:rPr>
          <w:spacing w:val="2"/>
        </w:rPr>
        <w:t>la </w:t>
      </w:r>
      <w:r>
        <w:rPr/>
        <w:t>Secretaría de la Función Pública, no existieron reglas de operación. Las decisiones en torno a qué hacer: bases, términos de referencia y asignaciones de contratos quedaron en manos de los gobiernos estatales bajo la responsabilidad bipartita de un Comité Técnico. Tal situación</w:t>
      </w:r>
      <w:r>
        <w:rPr>
          <w:spacing w:val="58"/>
        </w:rPr>
        <w:t> </w:t>
      </w:r>
      <w:r>
        <w:rPr/>
        <w:t>dio</w:t>
      </w:r>
    </w:p>
    <w:p>
      <w:pPr>
        <w:pStyle w:val="BodyText"/>
        <w:spacing w:before="2"/>
        <w:rPr>
          <w:sz w:val="24"/>
        </w:rPr>
      </w:pPr>
      <w:r>
        <w:rPr/>
        <w:pict>
          <v:line style="position:absolute;mso-position-horizontal-relative:page;mso-position-vertical-relative:paragraph;z-index:1312;mso-wrap-distance-left:0;mso-wrap-distance-right:0" from="234.050003pt,16.227896pt" to="378.070003pt,16.227896pt" stroked="true" strokeweight=".74396pt" strokecolor="#000000">
            <w10:wrap type="topAndBottom"/>
          </v:line>
        </w:pict>
      </w:r>
    </w:p>
    <w:p>
      <w:pPr>
        <w:spacing w:before="71"/>
        <w:ind w:left="118" w:right="0" w:firstLine="0"/>
        <w:jc w:val="both"/>
        <w:rPr>
          <w:sz w:val="18"/>
        </w:rPr>
      </w:pPr>
      <w:r>
        <w:rPr>
          <w:sz w:val="18"/>
        </w:rPr>
        <w:t>37 Ramírez, J. M. (1999), Op.cit. p.216.</w:t>
      </w:r>
    </w:p>
    <w:p>
      <w:pPr>
        <w:pStyle w:val="ListParagraph"/>
        <w:numPr>
          <w:ilvl w:val="0"/>
          <w:numId w:val="3"/>
        </w:numPr>
        <w:tabs>
          <w:tab w:pos="398" w:val="left" w:leader="none"/>
        </w:tabs>
        <w:spacing w:line="240" w:lineRule="auto" w:before="2" w:after="0"/>
        <w:ind w:left="118" w:right="113" w:firstLine="0"/>
        <w:jc w:val="both"/>
        <w:rPr>
          <w:sz w:val="18"/>
        </w:rPr>
      </w:pPr>
      <w:r>
        <w:rPr>
          <w:sz w:val="18"/>
        </w:rPr>
        <w:t>Rodríguez, J. (2006), “Construcción de dos conceptos posnormales para la gestión metropolitana del Valle de México: incertidumbre y conflicto”, en </w:t>
      </w:r>
      <w:r>
        <w:rPr>
          <w:i/>
          <w:sz w:val="18"/>
        </w:rPr>
        <w:t>Estudios Demográficos y Urbanos</w:t>
      </w:r>
      <w:r>
        <w:rPr>
          <w:sz w:val="18"/>
        </w:rPr>
        <w:t>, vol. 21, núm. 2, mayo-agosto. El Colegio de México. México.</w:t>
      </w:r>
      <w:r>
        <w:rPr>
          <w:spacing w:val="-11"/>
          <w:sz w:val="18"/>
        </w:rPr>
        <w:t> </w:t>
      </w:r>
      <w:r>
        <w:rPr>
          <w:sz w:val="18"/>
        </w:rPr>
        <w:t>p.325.</w:t>
      </w:r>
    </w:p>
    <w:p>
      <w:pPr>
        <w:pStyle w:val="ListParagraph"/>
        <w:numPr>
          <w:ilvl w:val="0"/>
          <w:numId w:val="3"/>
        </w:numPr>
        <w:tabs>
          <w:tab w:pos="395" w:val="left" w:leader="none"/>
        </w:tabs>
        <w:spacing w:line="204" w:lineRule="exact" w:before="0" w:after="0"/>
        <w:ind w:left="394" w:right="0" w:hanging="276"/>
        <w:jc w:val="both"/>
        <w:rPr>
          <w:i/>
          <w:sz w:val="18"/>
        </w:rPr>
      </w:pPr>
      <w:r>
        <w:rPr>
          <w:sz w:val="18"/>
        </w:rPr>
        <w:t>Vid.</w:t>
      </w:r>
      <w:r>
        <w:rPr>
          <w:spacing w:val="21"/>
          <w:sz w:val="18"/>
        </w:rPr>
        <w:t> </w:t>
      </w:r>
      <w:r>
        <w:rPr>
          <w:sz w:val="18"/>
        </w:rPr>
        <w:t>Rivero,</w:t>
      </w:r>
      <w:r>
        <w:rPr>
          <w:spacing w:val="21"/>
          <w:sz w:val="18"/>
        </w:rPr>
        <w:t> </w:t>
      </w:r>
      <w:r>
        <w:rPr>
          <w:sz w:val="18"/>
        </w:rPr>
        <w:t>M.</w:t>
      </w:r>
      <w:r>
        <w:rPr>
          <w:spacing w:val="21"/>
          <w:sz w:val="18"/>
        </w:rPr>
        <w:t> </w:t>
      </w:r>
      <w:r>
        <w:rPr>
          <w:sz w:val="18"/>
        </w:rPr>
        <w:t>(2012)</w:t>
      </w:r>
      <w:r>
        <w:rPr>
          <w:spacing w:val="24"/>
          <w:sz w:val="18"/>
        </w:rPr>
        <w:t> </w:t>
      </w:r>
      <w:r>
        <w:rPr>
          <w:i/>
          <w:sz w:val="18"/>
        </w:rPr>
        <w:t>Cambio</w:t>
      </w:r>
      <w:r>
        <w:rPr>
          <w:i/>
          <w:spacing w:val="21"/>
          <w:sz w:val="18"/>
        </w:rPr>
        <w:t> </w:t>
      </w:r>
      <w:r>
        <w:rPr>
          <w:i/>
          <w:sz w:val="18"/>
        </w:rPr>
        <w:t>institucional</w:t>
      </w:r>
      <w:r>
        <w:rPr>
          <w:i/>
          <w:spacing w:val="21"/>
          <w:sz w:val="18"/>
        </w:rPr>
        <w:t> </w:t>
      </w:r>
      <w:r>
        <w:rPr>
          <w:i/>
          <w:sz w:val="18"/>
        </w:rPr>
        <w:t>y</w:t>
      </w:r>
      <w:r>
        <w:rPr>
          <w:i/>
          <w:spacing w:val="22"/>
          <w:sz w:val="18"/>
        </w:rPr>
        <w:t> </w:t>
      </w:r>
      <w:r>
        <w:rPr>
          <w:i/>
          <w:sz w:val="18"/>
        </w:rPr>
        <w:t>planeación</w:t>
      </w:r>
      <w:r>
        <w:rPr>
          <w:i/>
          <w:spacing w:val="21"/>
          <w:sz w:val="18"/>
        </w:rPr>
        <w:t> </w:t>
      </w:r>
      <w:r>
        <w:rPr>
          <w:i/>
          <w:sz w:val="18"/>
        </w:rPr>
        <w:t>urbana</w:t>
      </w:r>
      <w:r>
        <w:rPr>
          <w:i/>
          <w:spacing w:val="21"/>
          <w:sz w:val="18"/>
        </w:rPr>
        <w:t> </w:t>
      </w:r>
      <w:r>
        <w:rPr>
          <w:i/>
          <w:sz w:val="18"/>
        </w:rPr>
        <w:t>en</w:t>
      </w:r>
      <w:r>
        <w:rPr>
          <w:i/>
          <w:spacing w:val="21"/>
          <w:sz w:val="18"/>
        </w:rPr>
        <w:t> </w:t>
      </w:r>
      <w:r>
        <w:rPr>
          <w:i/>
          <w:sz w:val="18"/>
        </w:rPr>
        <w:t>la</w:t>
      </w:r>
      <w:r>
        <w:rPr>
          <w:i/>
          <w:spacing w:val="21"/>
          <w:sz w:val="18"/>
        </w:rPr>
        <w:t> </w:t>
      </w:r>
      <w:r>
        <w:rPr>
          <w:i/>
          <w:sz w:val="18"/>
        </w:rPr>
        <w:t>Zona</w:t>
      </w:r>
      <w:r>
        <w:rPr>
          <w:i/>
          <w:spacing w:val="21"/>
          <w:sz w:val="18"/>
        </w:rPr>
        <w:t> </w:t>
      </w:r>
      <w:r>
        <w:rPr>
          <w:i/>
          <w:sz w:val="18"/>
        </w:rPr>
        <w:t>Metropolitana</w:t>
      </w:r>
      <w:r>
        <w:rPr>
          <w:i/>
          <w:spacing w:val="21"/>
          <w:sz w:val="18"/>
        </w:rPr>
        <w:t> </w:t>
      </w:r>
      <w:r>
        <w:rPr>
          <w:i/>
          <w:sz w:val="18"/>
        </w:rPr>
        <w:t>del</w:t>
      </w:r>
      <w:r>
        <w:rPr>
          <w:i/>
          <w:spacing w:val="21"/>
          <w:sz w:val="18"/>
        </w:rPr>
        <w:t> </w:t>
      </w:r>
      <w:r>
        <w:rPr>
          <w:i/>
          <w:sz w:val="18"/>
        </w:rPr>
        <w:t>Valle</w:t>
      </w:r>
      <w:r>
        <w:rPr>
          <w:i/>
          <w:spacing w:val="19"/>
          <w:sz w:val="18"/>
        </w:rPr>
        <w:t> </w:t>
      </w:r>
      <w:r>
        <w:rPr>
          <w:i/>
          <w:sz w:val="18"/>
        </w:rPr>
        <w:t>de</w:t>
      </w:r>
      <w:r>
        <w:rPr>
          <w:i/>
          <w:spacing w:val="21"/>
          <w:sz w:val="18"/>
        </w:rPr>
        <w:t> </w:t>
      </w:r>
      <w:r>
        <w:rPr>
          <w:i/>
          <w:sz w:val="18"/>
        </w:rPr>
        <w:t>México</w:t>
      </w:r>
    </w:p>
    <w:p>
      <w:pPr>
        <w:spacing w:before="4"/>
        <w:ind w:left="118" w:right="6971" w:firstLine="0"/>
        <w:jc w:val="left"/>
        <w:rPr>
          <w:sz w:val="18"/>
        </w:rPr>
      </w:pPr>
      <w:r>
        <w:rPr>
          <w:sz w:val="18"/>
        </w:rPr>
        <w:t>(tesis doctoral). UNAM. México. 40 Ibid.</w:t>
      </w:r>
    </w:p>
    <w:p>
      <w:pPr>
        <w:spacing w:after="0"/>
        <w:jc w:val="left"/>
        <w:rPr>
          <w:sz w:val="18"/>
        </w:rPr>
        <w:sectPr>
          <w:pgSz w:w="12240" w:h="15840"/>
          <w:pgMar w:header="305" w:footer="595" w:top="880" w:bottom="780" w:left="1300" w:right="1300"/>
        </w:sectPr>
      </w:pPr>
    </w:p>
    <w:p>
      <w:pPr>
        <w:pStyle w:val="BodyText"/>
        <w:rPr>
          <w:sz w:val="20"/>
        </w:rPr>
      </w:pPr>
    </w:p>
    <w:p>
      <w:pPr>
        <w:pStyle w:val="BodyText"/>
        <w:spacing w:before="8"/>
        <w:rPr>
          <w:sz w:val="18"/>
        </w:rPr>
      </w:pPr>
    </w:p>
    <w:p>
      <w:pPr>
        <w:pStyle w:val="BodyText"/>
        <w:spacing w:line="480" w:lineRule="auto" w:before="73"/>
        <w:ind w:left="118" w:right="117"/>
        <w:jc w:val="both"/>
      </w:pPr>
      <w:r>
        <w:rPr/>
        <w:t>pie a una serie de conflictos entre el gobierno federal y los gobiernos de la Ciudad de México y del Estado de México, dada la opacidad con que se manejaron los recursos de los fondos 2006 y 2007.</w:t>
      </w:r>
    </w:p>
    <w:p>
      <w:pPr>
        <w:pStyle w:val="BodyText"/>
      </w:pPr>
    </w:p>
    <w:p>
      <w:pPr>
        <w:pStyle w:val="BodyText"/>
        <w:spacing w:before="8"/>
      </w:pPr>
    </w:p>
    <w:p>
      <w:pPr>
        <w:pStyle w:val="BodyText"/>
        <w:spacing w:line="477" w:lineRule="auto"/>
        <w:ind w:left="118" w:right="111"/>
        <w:jc w:val="both"/>
      </w:pPr>
      <w:r>
        <w:rPr/>
        <w:t>En 2008 fueron publicadas en el Diario Oficial de la Federación las nuevas Reglas de  Operación del Fondo Metropolitano.</w:t>
      </w:r>
      <w:r>
        <w:rPr>
          <w:position w:val="10"/>
          <w:sz w:val="14"/>
        </w:rPr>
        <w:t>41 </w:t>
      </w:r>
      <w:r>
        <w:rPr/>
        <w:t>El primero y más importante, fue la integración a los trabajos de las comisiones metropolitanas de una nueva entidad: el estado de Hidalgo. Además, se definieron los criterios estructurales y de operación de las instituciones requeridas en el proceso de aplicación, erogación, seguimiento, evaluación y rendición de cuentas. Se planteó crear un Consejo Metropolitano que tendría por obligación vigilar que los recursos se aplicasen dentro de los límites territoriales de la ZMVM. También debería definir el impacto metropolitano que la aplicación de dichos recursos traería en el corto, mediano y largo plazo. Al Consejo se le otorgaron facultades para acudir a fuentes alternativas de financiamiento, privado o social; también proponer auditorías y evaluaciones</w:t>
      </w:r>
      <w:r>
        <w:rPr>
          <w:spacing w:val="-12"/>
        </w:rPr>
        <w:t> </w:t>
      </w:r>
      <w:r>
        <w:rPr/>
        <w:t>externas.</w:t>
      </w:r>
    </w:p>
    <w:p>
      <w:pPr>
        <w:pStyle w:val="BodyText"/>
      </w:pPr>
    </w:p>
    <w:p>
      <w:pPr>
        <w:pStyle w:val="BodyText"/>
        <w:spacing w:before="10"/>
      </w:pPr>
    </w:p>
    <w:p>
      <w:pPr>
        <w:pStyle w:val="BodyText"/>
        <w:spacing w:line="480" w:lineRule="auto"/>
        <w:ind w:left="118" w:right="111"/>
        <w:jc w:val="both"/>
      </w:pPr>
      <w:r>
        <w:rPr/>
        <w:t>Tal y como se publicaron las Reglas de Operación 2008, se tendría que modificar el modelo “tradicional” de coordinación metropolitana. De mantener el diseño original, sería imposible acceder a los recursos del fondo. Sin embargo, tales reglas no pudieron aplicarse en la ZMVM tal y como fueron concebidas, dada la oposición de los gobiernos que, incluso, hablaron de invasión de soberanías y de ruptura del pacto federal. La controversia se superó mediante un acuerdo político y con la firma de un convenio donde se estipuló que la representación federal en  el  Consejo  del  Fondo  Metropolitano  tendría  atribuciones  específicas  y,  sobre  todo,  se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4"/>
        </w:rPr>
      </w:pPr>
      <w:r>
        <w:rPr/>
        <w:pict>
          <v:line style="position:absolute;mso-position-horizontal-relative:page;mso-position-vertical-relative:paragraph;z-index:1336;mso-wrap-distance-left:0;mso-wrap-distance-right:0" from="234.050003pt,10.464744pt" to="378.070003pt,10.464744pt" stroked="true" strokeweight=".72003pt" strokecolor="#000000">
            <w10:wrap type="topAndBottom"/>
          </v:line>
        </w:pict>
      </w:r>
    </w:p>
    <w:p>
      <w:pPr>
        <w:pStyle w:val="ListParagraph"/>
        <w:numPr>
          <w:ilvl w:val="0"/>
          <w:numId w:val="4"/>
        </w:numPr>
        <w:tabs>
          <w:tab w:pos="381" w:val="left" w:leader="none"/>
        </w:tabs>
        <w:spacing w:line="240" w:lineRule="auto" w:before="73" w:after="0"/>
        <w:ind w:left="118" w:right="126" w:firstLine="0"/>
        <w:jc w:val="left"/>
        <w:rPr>
          <w:sz w:val="18"/>
        </w:rPr>
      </w:pPr>
      <w:r>
        <w:rPr>
          <w:sz w:val="18"/>
        </w:rPr>
        <w:t>Gobierno Federal (2008) “Reglas de Operación del Fondo Metropolitano”. Diario Oficial de la Federación, viernes 28 de marzo.</w:t>
      </w:r>
      <w:r>
        <w:rPr>
          <w:spacing w:val="-11"/>
          <w:sz w:val="18"/>
        </w:rPr>
        <w:t> </w:t>
      </w:r>
      <w:r>
        <w:rPr>
          <w:sz w:val="18"/>
        </w:rPr>
        <w:t>México.</w:t>
      </w:r>
    </w:p>
    <w:p>
      <w:pPr>
        <w:spacing w:after="0" w:line="240" w:lineRule="auto"/>
        <w:jc w:val="left"/>
        <w:rPr>
          <w:sz w:val="18"/>
        </w:rPr>
        <w:sectPr>
          <w:pgSz w:w="12240" w:h="15840"/>
          <w:pgMar w:header="305" w:footer="595" w:top="880" w:bottom="780" w:left="1300" w:right="1300"/>
        </w:sectPr>
      </w:pPr>
    </w:p>
    <w:p>
      <w:pPr>
        <w:pStyle w:val="BodyText"/>
        <w:rPr>
          <w:sz w:val="20"/>
        </w:rPr>
      </w:pPr>
    </w:p>
    <w:p>
      <w:pPr>
        <w:pStyle w:val="BodyText"/>
        <w:spacing w:before="8"/>
        <w:rPr>
          <w:sz w:val="18"/>
        </w:rPr>
      </w:pPr>
    </w:p>
    <w:p>
      <w:pPr>
        <w:pStyle w:val="BodyText"/>
        <w:spacing w:line="456" w:lineRule="auto" w:before="73"/>
        <w:ind w:left="118" w:right="116"/>
        <w:jc w:val="both"/>
        <w:rPr>
          <w:sz w:val="14"/>
        </w:rPr>
      </w:pPr>
      <w:r>
        <w:rPr/>
        <w:t>reconoció a la Comisión Ejecutiva de Coordinación Metropolitana como el espacio de mayor jerarquía en el la toma de decisiones.</w:t>
      </w:r>
      <w:r>
        <w:rPr>
          <w:position w:val="10"/>
          <w:sz w:val="14"/>
        </w:rPr>
        <w:t>42</w:t>
      </w:r>
    </w:p>
    <w:p>
      <w:pPr>
        <w:pStyle w:val="BodyText"/>
        <w:rPr>
          <w:sz w:val="26"/>
        </w:rPr>
      </w:pPr>
    </w:p>
    <w:p>
      <w:pPr>
        <w:pStyle w:val="BodyText"/>
        <w:spacing w:line="480" w:lineRule="auto" w:before="212"/>
        <w:ind w:left="118" w:right="111"/>
        <w:jc w:val="both"/>
      </w:pPr>
      <w:r>
        <w:rPr/>
        <w:t>Como una situación nueva, las reglas incluyeron a los municipios del Estado de México y a las delegaciones de la Ciudad de México como postulantes de estudios, planes, proyectos, obras y acciones. Existió la posibilidad de integración de instituciones de investigación, educación superior, organizaciones sociales y colegios de profesionistas. Es decir, se contempló la participación de los sectores público, privado y social vinculados y/o interesados en la temática metropolitana. Sin embargo, la limitante fue el carácter de “postulantes” y no decisores.</w:t>
      </w:r>
    </w:p>
    <w:p>
      <w:pPr>
        <w:pStyle w:val="BodyText"/>
      </w:pPr>
    </w:p>
    <w:p>
      <w:pPr>
        <w:pStyle w:val="BodyText"/>
        <w:spacing w:before="8"/>
      </w:pPr>
    </w:p>
    <w:p>
      <w:pPr>
        <w:pStyle w:val="BodyText"/>
        <w:spacing w:line="480" w:lineRule="auto"/>
        <w:ind w:left="118" w:right="116"/>
        <w:jc w:val="both"/>
      </w:pPr>
      <w:r>
        <w:rPr/>
        <w:t>Al hacer un análisis del destino de los recursos del Fondo Metropolitano durante el periodo 2006-2012, para conocer su distribución por tipo de proyecto y la inversión asignada a cada uno, se observa que se atienden los temas comunes de las agendas de las metrópolis del mundo: agua, vialidad y transporte , ambiente, seguridad pública, protección civil y planeación; aunque también se agrega un nuevo tipo denominado “infraestructura social”, que implica la construcción de equipamientos tales como deportivos, hospitales, arreglo de plazas, entre otros aspectos.</w:t>
      </w:r>
    </w:p>
    <w:p>
      <w:pPr>
        <w:pStyle w:val="BodyText"/>
      </w:pPr>
    </w:p>
    <w:p>
      <w:pPr>
        <w:pStyle w:val="BodyText"/>
        <w:spacing w:before="8"/>
      </w:pPr>
    </w:p>
    <w:p>
      <w:pPr>
        <w:pStyle w:val="BodyText"/>
        <w:spacing w:line="480" w:lineRule="auto"/>
        <w:ind w:left="118" w:right="114"/>
        <w:jc w:val="both"/>
      </w:pPr>
      <w:r>
        <w:rPr/>
        <w:t>No obstante, al observar el tipo y número de proyectos (cuadro 1) se manifiesta una concentración y distribución desigual entre la Ciudad de México, el Estado de México y el estado de Hidalgo. El cuadro 1 muestra que del total de proyectos programados (315) entre 2006 y 2012, fueron destinados 174 al Estado de México; mientras que a la Ciudad de México  le correspondieron 110. Por su parte, al estado de Hidalgo, una vez que se incorporó a los trabajos de las Comisiones en 2008, le han correspondido 26 proyectos. También existe un</w:t>
      </w:r>
      <w:r>
        <w:rPr>
          <w:spacing w:val="45"/>
        </w:rPr>
        <w:t> </w:t>
      </w:r>
      <w:r>
        <w:rPr/>
        <w:t>tipo</w:t>
      </w:r>
    </w:p>
    <w:p>
      <w:pPr>
        <w:pStyle w:val="BodyText"/>
        <w:rPr>
          <w:sz w:val="20"/>
        </w:rPr>
      </w:pPr>
    </w:p>
    <w:p>
      <w:pPr>
        <w:pStyle w:val="BodyText"/>
        <w:spacing w:before="11"/>
        <w:rPr>
          <w:sz w:val="23"/>
        </w:rPr>
      </w:pPr>
      <w:r>
        <w:rPr/>
        <w:pict>
          <v:line style="position:absolute;mso-position-horizontal-relative:page;mso-position-vertical-relative:paragraph;z-index:1360;mso-wrap-distance-left:0;mso-wrap-distance-right:0" from="234.050003pt,16.12085pt" to="378.070003pt,16.12085pt" stroked="true" strokeweight=".72003pt" strokecolor="#000000">
            <w10:wrap type="topAndBottom"/>
          </v:line>
        </w:pict>
      </w:r>
    </w:p>
    <w:p>
      <w:pPr>
        <w:pStyle w:val="ListParagraph"/>
        <w:numPr>
          <w:ilvl w:val="0"/>
          <w:numId w:val="4"/>
        </w:numPr>
        <w:tabs>
          <w:tab w:pos="371" w:val="left" w:leader="none"/>
        </w:tabs>
        <w:spacing w:line="240" w:lineRule="auto" w:before="73" w:after="0"/>
        <w:ind w:left="370" w:right="0" w:hanging="252"/>
        <w:jc w:val="left"/>
        <w:rPr>
          <w:sz w:val="18"/>
        </w:rPr>
      </w:pPr>
      <w:r>
        <w:rPr>
          <w:sz w:val="18"/>
        </w:rPr>
        <w:t>Rivero (2012). Óp.</w:t>
      </w:r>
      <w:r>
        <w:rPr>
          <w:spacing w:val="-8"/>
          <w:sz w:val="18"/>
        </w:rPr>
        <w:t> </w:t>
      </w:r>
      <w:r>
        <w:rPr>
          <w:sz w:val="18"/>
        </w:rPr>
        <w:t>cit.</w:t>
      </w:r>
    </w:p>
    <w:p>
      <w:pPr>
        <w:spacing w:after="0" w:line="240" w:lineRule="auto"/>
        <w:jc w:val="left"/>
        <w:rPr>
          <w:sz w:val="18"/>
        </w:rPr>
        <w:sectPr>
          <w:pgSz w:w="12240" w:h="15840"/>
          <w:pgMar w:header="305" w:footer="595" w:top="880" w:bottom="780" w:left="1300" w:right="1300"/>
        </w:sectPr>
      </w:pPr>
    </w:p>
    <w:p>
      <w:pPr>
        <w:pStyle w:val="BodyText"/>
        <w:rPr>
          <w:sz w:val="20"/>
        </w:rPr>
      </w:pPr>
    </w:p>
    <w:p>
      <w:pPr>
        <w:pStyle w:val="BodyText"/>
        <w:spacing w:before="8"/>
        <w:rPr>
          <w:sz w:val="18"/>
        </w:rPr>
      </w:pPr>
    </w:p>
    <w:p>
      <w:pPr>
        <w:pStyle w:val="BodyText"/>
        <w:spacing w:line="480" w:lineRule="auto" w:before="73"/>
        <w:ind w:left="118" w:right="116"/>
        <w:jc w:val="both"/>
      </w:pPr>
      <w:r>
        <w:rPr/>
        <w:t>de proyectos que se ubican en la categoría de “Gestión Conjunta”, ya que en su instrumentación requirieron del concurso de dos gobiernos o en su caso de los</w:t>
      </w:r>
      <w:r>
        <w:rPr>
          <w:spacing w:val="-22"/>
        </w:rPr>
        <w:t> </w:t>
      </w:r>
      <w:r>
        <w:rPr/>
        <w:t>tres.</w:t>
      </w:r>
    </w:p>
    <w:p>
      <w:pPr>
        <w:pStyle w:val="BodyText"/>
      </w:pPr>
    </w:p>
    <w:p>
      <w:pPr>
        <w:pStyle w:val="BodyText"/>
        <w:spacing w:before="5"/>
      </w:pPr>
    </w:p>
    <w:p>
      <w:pPr>
        <w:pStyle w:val="BodyText"/>
        <w:spacing w:line="480" w:lineRule="auto"/>
        <w:ind w:left="118" w:right="115"/>
        <w:jc w:val="both"/>
      </w:pPr>
      <w:r>
        <w:rPr/>
        <w:t>En cuanto al tipo de proyecto durante el periodo analizado se observa que los correspondientes a “Agua” (que implica el desalojo o el abasto) y “Vialidad y Transporte (construcción o equipamientos) concentraron la mayor parte de las acciones del fondo metropolitano. Para el primer caso se impulsaron 99 proyectos, lo que significa el 31.4 por ciento; mientras que para el segundo, fueron 121, (38.4 por ciento), de los cuales 70 de ellos se realizaron en el Estado de México (cuadro 1).</w:t>
      </w:r>
    </w:p>
    <w:p>
      <w:pPr>
        <w:pStyle w:val="BodyText"/>
      </w:pPr>
    </w:p>
    <w:p>
      <w:pPr>
        <w:pStyle w:val="BodyText"/>
        <w:spacing w:before="8"/>
      </w:pPr>
    </w:p>
    <w:p>
      <w:pPr>
        <w:pStyle w:val="BodyText"/>
        <w:spacing w:line="480" w:lineRule="auto"/>
        <w:ind w:left="118" w:right="115"/>
        <w:jc w:val="both"/>
      </w:pPr>
      <w:r>
        <w:rPr/>
        <w:t>La categoría de “Planeación (estudios, formulación de programas, diagnósticos) se concentró  en el Estado de México e Hidalgo, sobre todo en los tres últimos años del periodo de estudio.  Lo anterior, indica que los espacios o problemas aún no abordados de la metrópoli ubicados en el estado de México e Hidalgo están siendo objeto de estudios para futuras</w:t>
      </w:r>
      <w:r>
        <w:rPr>
          <w:spacing w:val="-20"/>
        </w:rPr>
        <w:t> </w:t>
      </w:r>
      <w:r>
        <w:rPr/>
        <w:t>acciones.</w:t>
      </w:r>
    </w:p>
    <w:p>
      <w:pPr>
        <w:pStyle w:val="BodyText"/>
      </w:pPr>
    </w:p>
    <w:p>
      <w:pPr>
        <w:pStyle w:val="BodyText"/>
        <w:spacing w:before="8"/>
      </w:pPr>
    </w:p>
    <w:p>
      <w:pPr>
        <w:pStyle w:val="BodyText"/>
        <w:spacing w:line="480" w:lineRule="auto"/>
        <w:ind w:left="118" w:right="117"/>
        <w:jc w:val="both"/>
      </w:pPr>
      <w:r>
        <w:rPr/>
        <w:t>Uno de las categorías que en menor medida ha recibido atención es la de “Ambiente” (calidad del aire, residuos, recursos naturales), ya que únicamente se han instrumentado 13 proyectos en total en la Ciudad de México y en el Estado de México. No existen proyectos que se hayan impulsado de manera conjunta y, hasta 2012  Hidalgo no tuvo alguno (cuadro</w:t>
      </w:r>
      <w:r>
        <w:rPr>
          <w:spacing w:val="-22"/>
        </w:rPr>
        <w:t> </w:t>
      </w:r>
      <w:r>
        <w:rPr/>
        <w:t>1).</w:t>
      </w:r>
    </w:p>
    <w:p>
      <w:pPr>
        <w:pStyle w:val="BodyText"/>
      </w:pPr>
    </w:p>
    <w:p>
      <w:pPr>
        <w:pStyle w:val="BodyText"/>
        <w:spacing w:before="5"/>
      </w:pPr>
    </w:p>
    <w:p>
      <w:pPr>
        <w:pStyle w:val="BodyText"/>
        <w:spacing w:line="480" w:lineRule="auto"/>
        <w:ind w:left="118" w:right="116"/>
        <w:jc w:val="both"/>
      </w:pPr>
      <w:r>
        <w:rPr/>
        <w:t>El tipo de proyectos vinculados con Protección Civil (Atención a riesgos naturales o sociales) y Seguridad Pública (prevención y respuesta) fue una de las categorías descuidadas. La ciudad de México solamente integró uno de los proyectos, el Estado de México promovió cinco e Hidalgo se ha quedado en ceros.</w:t>
      </w:r>
    </w:p>
    <w:p>
      <w:pPr>
        <w:spacing w:after="0" w:line="480" w:lineRule="auto"/>
        <w:jc w:val="both"/>
        <w:sectPr>
          <w:pgSz w:w="12240" w:h="15840"/>
          <w:pgMar w:header="305" w:footer="595" w:top="880" w:bottom="780" w:left="1300" w:right="1300"/>
        </w:sectPr>
      </w:pPr>
    </w:p>
    <w:p>
      <w:pPr>
        <w:pStyle w:val="BodyText"/>
        <w:rPr>
          <w:sz w:val="20"/>
        </w:rPr>
      </w:pPr>
    </w:p>
    <w:p>
      <w:pPr>
        <w:pStyle w:val="BodyText"/>
        <w:spacing w:before="8"/>
        <w:rPr>
          <w:sz w:val="18"/>
        </w:rPr>
      </w:pPr>
    </w:p>
    <w:p>
      <w:pPr>
        <w:pStyle w:val="BodyText"/>
        <w:spacing w:line="480" w:lineRule="auto" w:before="73"/>
        <w:ind w:left="178" w:right="176"/>
        <w:jc w:val="both"/>
      </w:pPr>
      <w:r>
        <w:rPr/>
        <w:t>El cuadro 1 muestra el sesgo que tuvieron los proyectos durante el periodo de estudio.  Conviene preguntar si ello ha obedecido a una serie de prioridades reales, o a una inercia de los gobiernos. Es claro que se requiere ampliar hacia otras categorías o tipos de problemas el destino de la acción pública financiada a través del Fondo</w:t>
      </w:r>
      <w:r>
        <w:rPr>
          <w:spacing w:val="-18"/>
        </w:rPr>
        <w:t> </w:t>
      </w:r>
      <w:r>
        <w:rPr/>
        <w:t>Metropolitano.</w:t>
      </w:r>
    </w:p>
    <w:p>
      <w:pPr>
        <w:spacing w:before="4"/>
        <w:ind w:left="340" w:right="340" w:firstLine="0"/>
        <w:jc w:val="center"/>
        <w:rPr>
          <w:b/>
          <w:sz w:val="20"/>
        </w:rPr>
      </w:pPr>
      <w:r>
        <w:rPr>
          <w:b/>
          <w:sz w:val="20"/>
        </w:rPr>
        <w:t>CUADRO 1</w:t>
      </w:r>
    </w:p>
    <w:p>
      <w:pPr>
        <w:pStyle w:val="BodyText"/>
        <w:rPr>
          <w:b/>
          <w:sz w:val="20"/>
        </w:rPr>
      </w:pPr>
    </w:p>
    <w:p>
      <w:pPr>
        <w:spacing w:line="242" w:lineRule="auto" w:before="1" w:after="20"/>
        <w:ind w:left="1323" w:right="1321" w:hanging="6"/>
        <w:jc w:val="center"/>
        <w:rPr>
          <w:b/>
          <w:sz w:val="20"/>
        </w:rPr>
      </w:pPr>
      <w:r>
        <w:rPr>
          <w:b/>
          <w:sz w:val="20"/>
        </w:rPr>
        <w:t>NÚMERO Y TIPO DE PROYECTO DEL FONDO METROPOLITANO GESTIONADO POR CADA ENTIDAD FEDERATIVA DE LA ZMVM, 2006-2012</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44"/>
        <w:gridCol w:w="578"/>
        <w:gridCol w:w="544"/>
        <w:gridCol w:w="340"/>
        <w:gridCol w:w="342"/>
        <w:gridCol w:w="341"/>
        <w:gridCol w:w="341"/>
        <w:gridCol w:w="341"/>
        <w:gridCol w:w="341"/>
        <w:gridCol w:w="341"/>
        <w:gridCol w:w="341"/>
        <w:gridCol w:w="341"/>
        <w:gridCol w:w="341"/>
        <w:gridCol w:w="341"/>
        <w:gridCol w:w="341"/>
        <w:gridCol w:w="342"/>
        <w:gridCol w:w="342"/>
        <w:gridCol w:w="341"/>
        <w:gridCol w:w="341"/>
        <w:gridCol w:w="341"/>
        <w:gridCol w:w="341"/>
        <w:gridCol w:w="343"/>
      </w:tblGrid>
      <w:tr>
        <w:trPr>
          <w:trHeight w:val="542" w:hRule="exact"/>
        </w:trPr>
        <w:tc>
          <w:tcPr>
            <w:tcW w:w="1944" w:type="dxa"/>
            <w:vMerge w:val="restart"/>
            <w:tcBorders>
              <w:left w:val="nil"/>
              <w:right w:val="nil"/>
            </w:tcBorders>
          </w:tcPr>
          <w:p>
            <w:pPr>
              <w:pStyle w:val="TableParagraph"/>
              <w:rPr>
                <w:b/>
                <w:sz w:val="18"/>
              </w:rPr>
            </w:pPr>
          </w:p>
          <w:p>
            <w:pPr>
              <w:pStyle w:val="TableParagraph"/>
              <w:rPr>
                <w:b/>
                <w:sz w:val="18"/>
              </w:rPr>
            </w:pPr>
          </w:p>
          <w:p>
            <w:pPr>
              <w:pStyle w:val="TableParagraph"/>
              <w:spacing w:before="11"/>
              <w:rPr>
                <w:b/>
                <w:sz w:val="17"/>
              </w:rPr>
            </w:pPr>
          </w:p>
          <w:p>
            <w:pPr>
              <w:pStyle w:val="TableParagraph"/>
              <w:ind w:left="247" w:right="154" w:firstLine="364"/>
              <w:rPr>
                <w:sz w:val="18"/>
              </w:rPr>
            </w:pPr>
            <w:r>
              <w:rPr>
                <w:sz w:val="18"/>
              </w:rPr>
              <w:t>TIPO DE PROYECTO/AÑO</w:t>
            </w:r>
          </w:p>
        </w:tc>
        <w:tc>
          <w:tcPr>
            <w:tcW w:w="1121" w:type="dxa"/>
            <w:gridSpan w:val="2"/>
            <w:tcBorders>
              <w:left w:val="nil"/>
            </w:tcBorders>
          </w:tcPr>
          <w:p>
            <w:pPr>
              <w:pStyle w:val="TableParagraph"/>
              <w:spacing w:before="59"/>
              <w:ind w:left="69" w:firstLine="84"/>
              <w:rPr>
                <w:sz w:val="18"/>
              </w:rPr>
            </w:pPr>
            <w:r>
              <w:rPr>
                <w:sz w:val="18"/>
              </w:rPr>
              <w:t>GESTIÓN CONJUNTA</w:t>
            </w:r>
          </w:p>
        </w:tc>
        <w:tc>
          <w:tcPr>
            <w:tcW w:w="2386" w:type="dxa"/>
            <w:gridSpan w:val="7"/>
          </w:tcPr>
          <w:p>
            <w:pPr>
              <w:pStyle w:val="TableParagraph"/>
              <w:spacing w:before="1"/>
              <w:rPr>
                <w:b/>
                <w:sz w:val="14"/>
              </w:rPr>
            </w:pPr>
          </w:p>
          <w:p>
            <w:pPr>
              <w:pStyle w:val="TableParagraph"/>
              <w:ind w:left="309"/>
              <w:rPr>
                <w:sz w:val="18"/>
              </w:rPr>
            </w:pPr>
            <w:r>
              <w:rPr>
                <w:sz w:val="18"/>
              </w:rPr>
              <w:t>CIUDAD DE MÉXICO</w:t>
            </w:r>
          </w:p>
        </w:tc>
        <w:tc>
          <w:tcPr>
            <w:tcW w:w="2389" w:type="dxa"/>
            <w:gridSpan w:val="7"/>
          </w:tcPr>
          <w:p>
            <w:pPr>
              <w:pStyle w:val="TableParagraph"/>
              <w:spacing w:before="1"/>
              <w:rPr>
                <w:b/>
                <w:sz w:val="14"/>
              </w:rPr>
            </w:pPr>
          </w:p>
          <w:p>
            <w:pPr>
              <w:pStyle w:val="TableParagraph"/>
              <w:ind w:left="777" w:right="780"/>
              <w:jc w:val="center"/>
              <w:rPr>
                <w:sz w:val="18"/>
              </w:rPr>
            </w:pPr>
            <w:r>
              <w:rPr>
                <w:sz w:val="18"/>
              </w:rPr>
              <w:t>EDOMEX</w:t>
            </w:r>
          </w:p>
        </w:tc>
        <w:tc>
          <w:tcPr>
            <w:tcW w:w="1707" w:type="dxa"/>
            <w:gridSpan w:val="5"/>
            <w:tcBorders>
              <w:right w:val="nil"/>
            </w:tcBorders>
          </w:tcPr>
          <w:p>
            <w:pPr>
              <w:pStyle w:val="TableParagraph"/>
              <w:spacing w:before="1"/>
              <w:rPr>
                <w:b/>
                <w:sz w:val="14"/>
              </w:rPr>
            </w:pPr>
          </w:p>
          <w:p>
            <w:pPr>
              <w:pStyle w:val="TableParagraph"/>
              <w:ind w:left="64"/>
              <w:rPr>
                <w:sz w:val="18"/>
              </w:rPr>
            </w:pPr>
            <w:r>
              <w:rPr>
                <w:sz w:val="18"/>
              </w:rPr>
              <w:t>HIDALGO**</w:t>
            </w:r>
          </w:p>
        </w:tc>
      </w:tr>
      <w:tr>
        <w:trPr>
          <w:trHeight w:val="502" w:hRule="exact"/>
        </w:trPr>
        <w:tc>
          <w:tcPr>
            <w:tcW w:w="1944" w:type="dxa"/>
            <w:vMerge/>
            <w:tcBorders>
              <w:left w:val="nil"/>
              <w:right w:val="nil"/>
            </w:tcBorders>
          </w:tcPr>
          <w:p>
            <w:pPr/>
          </w:p>
        </w:tc>
        <w:tc>
          <w:tcPr>
            <w:tcW w:w="578" w:type="dxa"/>
            <w:tcBorders>
              <w:left w:val="nil"/>
              <w:right w:val="nil"/>
            </w:tcBorders>
          </w:tcPr>
          <w:p>
            <w:pPr>
              <w:pStyle w:val="TableParagraph"/>
              <w:spacing w:before="143"/>
              <w:ind w:left="197"/>
              <w:rPr>
                <w:sz w:val="18"/>
              </w:rPr>
            </w:pPr>
            <w:r>
              <w:rPr>
                <w:sz w:val="18"/>
              </w:rPr>
              <w:t>07</w:t>
            </w:r>
          </w:p>
        </w:tc>
        <w:tc>
          <w:tcPr>
            <w:tcW w:w="544" w:type="dxa"/>
            <w:tcBorders>
              <w:left w:val="nil"/>
            </w:tcBorders>
          </w:tcPr>
          <w:p>
            <w:pPr>
              <w:pStyle w:val="TableParagraph"/>
              <w:spacing w:before="143"/>
              <w:ind w:left="178"/>
              <w:rPr>
                <w:sz w:val="18"/>
              </w:rPr>
            </w:pPr>
            <w:r>
              <w:rPr>
                <w:sz w:val="18"/>
              </w:rPr>
              <w:t>11</w:t>
            </w:r>
          </w:p>
        </w:tc>
        <w:tc>
          <w:tcPr>
            <w:tcW w:w="340" w:type="dxa"/>
            <w:tcBorders>
              <w:right w:val="nil"/>
            </w:tcBorders>
          </w:tcPr>
          <w:p>
            <w:pPr>
              <w:pStyle w:val="TableParagraph"/>
              <w:spacing w:before="143"/>
              <w:ind w:left="62"/>
              <w:rPr>
                <w:sz w:val="18"/>
              </w:rPr>
            </w:pPr>
            <w:r>
              <w:rPr>
                <w:sz w:val="18"/>
              </w:rPr>
              <w:t>06</w:t>
            </w:r>
          </w:p>
        </w:tc>
        <w:tc>
          <w:tcPr>
            <w:tcW w:w="342" w:type="dxa"/>
            <w:tcBorders>
              <w:left w:val="nil"/>
              <w:right w:val="nil"/>
            </w:tcBorders>
          </w:tcPr>
          <w:p>
            <w:pPr>
              <w:pStyle w:val="TableParagraph"/>
              <w:spacing w:before="143"/>
              <w:ind w:left="70"/>
              <w:rPr>
                <w:sz w:val="18"/>
              </w:rPr>
            </w:pPr>
            <w:r>
              <w:rPr>
                <w:sz w:val="18"/>
              </w:rPr>
              <w:t>07</w:t>
            </w:r>
          </w:p>
        </w:tc>
        <w:tc>
          <w:tcPr>
            <w:tcW w:w="341" w:type="dxa"/>
            <w:tcBorders>
              <w:left w:val="nil"/>
              <w:right w:val="nil"/>
            </w:tcBorders>
          </w:tcPr>
          <w:p>
            <w:pPr>
              <w:pStyle w:val="TableParagraph"/>
              <w:spacing w:before="143"/>
              <w:ind w:left="50" w:right="50"/>
              <w:jc w:val="center"/>
              <w:rPr>
                <w:sz w:val="18"/>
              </w:rPr>
            </w:pPr>
            <w:r>
              <w:rPr>
                <w:sz w:val="18"/>
              </w:rPr>
              <w:t>08</w:t>
            </w:r>
          </w:p>
        </w:tc>
        <w:tc>
          <w:tcPr>
            <w:tcW w:w="341" w:type="dxa"/>
            <w:tcBorders>
              <w:left w:val="nil"/>
              <w:right w:val="nil"/>
            </w:tcBorders>
          </w:tcPr>
          <w:p>
            <w:pPr>
              <w:pStyle w:val="TableParagraph"/>
              <w:spacing w:before="143"/>
              <w:ind w:right="67"/>
              <w:jc w:val="right"/>
              <w:rPr>
                <w:sz w:val="18"/>
              </w:rPr>
            </w:pPr>
            <w:r>
              <w:rPr>
                <w:w w:val="95"/>
                <w:sz w:val="18"/>
              </w:rPr>
              <w:t>09</w:t>
            </w:r>
          </w:p>
        </w:tc>
        <w:tc>
          <w:tcPr>
            <w:tcW w:w="341" w:type="dxa"/>
            <w:tcBorders>
              <w:left w:val="nil"/>
              <w:right w:val="nil"/>
            </w:tcBorders>
          </w:tcPr>
          <w:p>
            <w:pPr>
              <w:pStyle w:val="TableParagraph"/>
              <w:spacing w:before="143"/>
              <w:ind w:left="50" w:right="50"/>
              <w:jc w:val="center"/>
              <w:rPr>
                <w:sz w:val="18"/>
              </w:rPr>
            </w:pPr>
            <w:r>
              <w:rPr>
                <w:sz w:val="18"/>
              </w:rPr>
              <w:t>10</w:t>
            </w:r>
          </w:p>
        </w:tc>
        <w:tc>
          <w:tcPr>
            <w:tcW w:w="341" w:type="dxa"/>
            <w:tcBorders>
              <w:left w:val="nil"/>
              <w:right w:val="nil"/>
            </w:tcBorders>
          </w:tcPr>
          <w:p>
            <w:pPr>
              <w:pStyle w:val="TableParagraph"/>
              <w:spacing w:before="143"/>
              <w:ind w:left="69"/>
              <w:rPr>
                <w:sz w:val="18"/>
              </w:rPr>
            </w:pPr>
            <w:r>
              <w:rPr>
                <w:sz w:val="18"/>
              </w:rPr>
              <w:t>11</w:t>
            </w:r>
          </w:p>
        </w:tc>
        <w:tc>
          <w:tcPr>
            <w:tcW w:w="341" w:type="dxa"/>
            <w:tcBorders>
              <w:left w:val="nil"/>
            </w:tcBorders>
          </w:tcPr>
          <w:p>
            <w:pPr>
              <w:pStyle w:val="TableParagraph"/>
              <w:spacing w:before="143"/>
              <w:ind w:left="46" w:right="42"/>
              <w:jc w:val="center"/>
              <w:rPr>
                <w:sz w:val="18"/>
              </w:rPr>
            </w:pPr>
            <w:r>
              <w:rPr>
                <w:sz w:val="18"/>
              </w:rPr>
              <w:t>12</w:t>
            </w:r>
          </w:p>
        </w:tc>
        <w:tc>
          <w:tcPr>
            <w:tcW w:w="341" w:type="dxa"/>
            <w:tcBorders>
              <w:right w:val="nil"/>
            </w:tcBorders>
          </w:tcPr>
          <w:p>
            <w:pPr>
              <w:pStyle w:val="TableParagraph"/>
              <w:spacing w:before="143"/>
              <w:ind w:left="43" w:right="45"/>
              <w:jc w:val="center"/>
              <w:rPr>
                <w:sz w:val="18"/>
              </w:rPr>
            </w:pPr>
            <w:r>
              <w:rPr>
                <w:sz w:val="18"/>
              </w:rPr>
              <w:t>06</w:t>
            </w:r>
          </w:p>
        </w:tc>
        <w:tc>
          <w:tcPr>
            <w:tcW w:w="341" w:type="dxa"/>
            <w:tcBorders>
              <w:left w:val="nil"/>
              <w:right w:val="nil"/>
            </w:tcBorders>
          </w:tcPr>
          <w:p>
            <w:pPr>
              <w:pStyle w:val="TableParagraph"/>
              <w:spacing w:before="143"/>
              <w:ind w:left="69"/>
              <w:rPr>
                <w:sz w:val="18"/>
              </w:rPr>
            </w:pPr>
            <w:r>
              <w:rPr>
                <w:sz w:val="18"/>
              </w:rPr>
              <w:t>07</w:t>
            </w:r>
          </w:p>
        </w:tc>
        <w:tc>
          <w:tcPr>
            <w:tcW w:w="341" w:type="dxa"/>
            <w:tcBorders>
              <w:left w:val="nil"/>
              <w:right w:val="nil"/>
            </w:tcBorders>
          </w:tcPr>
          <w:p>
            <w:pPr>
              <w:pStyle w:val="TableParagraph"/>
              <w:spacing w:before="143"/>
              <w:ind w:right="67"/>
              <w:jc w:val="right"/>
              <w:rPr>
                <w:sz w:val="18"/>
              </w:rPr>
            </w:pPr>
            <w:r>
              <w:rPr>
                <w:w w:val="95"/>
                <w:sz w:val="18"/>
              </w:rPr>
              <w:t>08</w:t>
            </w:r>
          </w:p>
        </w:tc>
        <w:tc>
          <w:tcPr>
            <w:tcW w:w="341" w:type="dxa"/>
            <w:tcBorders>
              <w:left w:val="nil"/>
              <w:right w:val="nil"/>
            </w:tcBorders>
          </w:tcPr>
          <w:p>
            <w:pPr>
              <w:pStyle w:val="TableParagraph"/>
              <w:spacing w:before="143"/>
              <w:ind w:right="67"/>
              <w:jc w:val="right"/>
              <w:rPr>
                <w:sz w:val="18"/>
              </w:rPr>
            </w:pPr>
            <w:r>
              <w:rPr>
                <w:w w:val="95"/>
                <w:sz w:val="18"/>
              </w:rPr>
              <w:t>09</w:t>
            </w:r>
          </w:p>
        </w:tc>
        <w:tc>
          <w:tcPr>
            <w:tcW w:w="341" w:type="dxa"/>
            <w:tcBorders>
              <w:left w:val="nil"/>
              <w:right w:val="nil"/>
            </w:tcBorders>
          </w:tcPr>
          <w:p>
            <w:pPr>
              <w:pStyle w:val="TableParagraph"/>
              <w:spacing w:before="143"/>
              <w:ind w:left="50" w:right="50"/>
              <w:jc w:val="center"/>
              <w:rPr>
                <w:sz w:val="18"/>
              </w:rPr>
            </w:pPr>
            <w:r>
              <w:rPr>
                <w:sz w:val="18"/>
              </w:rPr>
              <w:t>10</w:t>
            </w:r>
          </w:p>
        </w:tc>
        <w:tc>
          <w:tcPr>
            <w:tcW w:w="342" w:type="dxa"/>
            <w:tcBorders>
              <w:left w:val="nil"/>
              <w:right w:val="nil"/>
            </w:tcBorders>
          </w:tcPr>
          <w:p>
            <w:pPr>
              <w:pStyle w:val="TableParagraph"/>
              <w:spacing w:before="143"/>
              <w:ind w:left="69"/>
              <w:rPr>
                <w:sz w:val="18"/>
              </w:rPr>
            </w:pPr>
            <w:r>
              <w:rPr>
                <w:sz w:val="18"/>
              </w:rPr>
              <w:t>11</w:t>
            </w:r>
          </w:p>
        </w:tc>
        <w:tc>
          <w:tcPr>
            <w:tcW w:w="342" w:type="dxa"/>
            <w:tcBorders>
              <w:left w:val="nil"/>
            </w:tcBorders>
          </w:tcPr>
          <w:p>
            <w:pPr>
              <w:pStyle w:val="TableParagraph"/>
              <w:spacing w:before="143"/>
              <w:ind w:right="62"/>
              <w:jc w:val="right"/>
              <w:rPr>
                <w:sz w:val="18"/>
              </w:rPr>
            </w:pPr>
            <w:r>
              <w:rPr>
                <w:w w:val="95"/>
                <w:sz w:val="18"/>
              </w:rPr>
              <w:t>12</w:t>
            </w:r>
          </w:p>
        </w:tc>
        <w:tc>
          <w:tcPr>
            <w:tcW w:w="341" w:type="dxa"/>
            <w:tcBorders>
              <w:right w:val="nil"/>
            </w:tcBorders>
          </w:tcPr>
          <w:p>
            <w:pPr>
              <w:pStyle w:val="TableParagraph"/>
              <w:spacing w:before="143"/>
              <w:ind w:left="43" w:right="45"/>
              <w:jc w:val="center"/>
              <w:rPr>
                <w:sz w:val="18"/>
              </w:rPr>
            </w:pPr>
            <w:r>
              <w:rPr>
                <w:sz w:val="18"/>
              </w:rPr>
              <w:t>08</w:t>
            </w:r>
          </w:p>
        </w:tc>
        <w:tc>
          <w:tcPr>
            <w:tcW w:w="341" w:type="dxa"/>
            <w:tcBorders>
              <w:left w:val="nil"/>
              <w:right w:val="nil"/>
            </w:tcBorders>
          </w:tcPr>
          <w:p>
            <w:pPr>
              <w:pStyle w:val="TableParagraph"/>
              <w:spacing w:before="143"/>
              <w:ind w:left="50" w:right="50"/>
              <w:jc w:val="center"/>
              <w:rPr>
                <w:sz w:val="18"/>
              </w:rPr>
            </w:pPr>
            <w:r>
              <w:rPr>
                <w:sz w:val="18"/>
              </w:rPr>
              <w:t>09</w:t>
            </w:r>
          </w:p>
        </w:tc>
        <w:tc>
          <w:tcPr>
            <w:tcW w:w="341" w:type="dxa"/>
            <w:tcBorders>
              <w:left w:val="nil"/>
              <w:right w:val="nil"/>
            </w:tcBorders>
          </w:tcPr>
          <w:p>
            <w:pPr>
              <w:pStyle w:val="TableParagraph"/>
              <w:spacing w:before="143"/>
              <w:ind w:left="69"/>
              <w:rPr>
                <w:sz w:val="18"/>
              </w:rPr>
            </w:pPr>
            <w:r>
              <w:rPr>
                <w:sz w:val="18"/>
              </w:rPr>
              <w:t>10</w:t>
            </w:r>
          </w:p>
        </w:tc>
        <w:tc>
          <w:tcPr>
            <w:tcW w:w="341" w:type="dxa"/>
            <w:tcBorders>
              <w:left w:val="nil"/>
              <w:right w:val="nil"/>
            </w:tcBorders>
          </w:tcPr>
          <w:p>
            <w:pPr>
              <w:pStyle w:val="TableParagraph"/>
              <w:spacing w:before="143"/>
              <w:ind w:left="50" w:right="50"/>
              <w:jc w:val="center"/>
              <w:rPr>
                <w:sz w:val="18"/>
              </w:rPr>
            </w:pPr>
            <w:r>
              <w:rPr>
                <w:sz w:val="18"/>
              </w:rPr>
              <w:t>11</w:t>
            </w:r>
          </w:p>
        </w:tc>
        <w:tc>
          <w:tcPr>
            <w:tcW w:w="343" w:type="dxa"/>
            <w:tcBorders>
              <w:left w:val="nil"/>
              <w:right w:val="nil"/>
            </w:tcBorders>
          </w:tcPr>
          <w:p>
            <w:pPr>
              <w:pStyle w:val="TableParagraph"/>
              <w:spacing w:before="143"/>
              <w:ind w:left="51" w:right="51"/>
              <w:jc w:val="center"/>
              <w:rPr>
                <w:sz w:val="18"/>
              </w:rPr>
            </w:pPr>
            <w:r>
              <w:rPr>
                <w:sz w:val="18"/>
              </w:rPr>
              <w:t>12</w:t>
            </w:r>
          </w:p>
        </w:tc>
      </w:tr>
      <w:tr>
        <w:trPr>
          <w:trHeight w:val="281" w:hRule="exact"/>
        </w:trPr>
        <w:tc>
          <w:tcPr>
            <w:tcW w:w="1944" w:type="dxa"/>
            <w:tcBorders>
              <w:left w:val="nil"/>
              <w:bottom w:val="nil"/>
              <w:right w:val="nil"/>
            </w:tcBorders>
          </w:tcPr>
          <w:p>
            <w:pPr>
              <w:pStyle w:val="TableParagraph"/>
              <w:spacing w:before="40"/>
              <w:ind w:left="69" w:right="154"/>
              <w:rPr>
                <w:sz w:val="18"/>
              </w:rPr>
            </w:pPr>
            <w:r>
              <w:rPr>
                <w:sz w:val="18"/>
              </w:rPr>
              <w:t>AGUA</w:t>
            </w:r>
          </w:p>
        </w:tc>
        <w:tc>
          <w:tcPr>
            <w:tcW w:w="578" w:type="dxa"/>
            <w:tcBorders>
              <w:left w:val="nil"/>
              <w:bottom w:val="nil"/>
              <w:right w:val="nil"/>
            </w:tcBorders>
          </w:tcPr>
          <w:p>
            <w:pPr>
              <w:pStyle w:val="TableParagraph"/>
              <w:spacing w:before="40"/>
              <w:ind w:left="245"/>
              <w:rPr>
                <w:sz w:val="18"/>
              </w:rPr>
            </w:pPr>
            <w:r>
              <w:rPr>
                <w:w w:val="99"/>
                <w:sz w:val="18"/>
              </w:rPr>
              <w:t>1</w:t>
            </w:r>
          </w:p>
        </w:tc>
        <w:tc>
          <w:tcPr>
            <w:tcW w:w="544" w:type="dxa"/>
            <w:tcBorders>
              <w:left w:val="nil"/>
              <w:bottom w:val="nil"/>
            </w:tcBorders>
          </w:tcPr>
          <w:p>
            <w:pPr>
              <w:pStyle w:val="TableParagraph"/>
              <w:spacing w:before="40"/>
              <w:ind w:left="224"/>
              <w:rPr>
                <w:sz w:val="18"/>
              </w:rPr>
            </w:pPr>
            <w:r>
              <w:rPr>
                <w:w w:val="100"/>
                <w:sz w:val="18"/>
              </w:rPr>
              <w:t>−</w:t>
            </w:r>
          </w:p>
        </w:tc>
        <w:tc>
          <w:tcPr>
            <w:tcW w:w="340" w:type="dxa"/>
            <w:tcBorders>
              <w:bottom w:val="nil"/>
              <w:right w:val="nil"/>
            </w:tcBorders>
          </w:tcPr>
          <w:p>
            <w:pPr>
              <w:pStyle w:val="TableParagraph"/>
              <w:spacing w:before="40"/>
              <w:ind w:left="112"/>
              <w:rPr>
                <w:sz w:val="18"/>
              </w:rPr>
            </w:pPr>
            <w:r>
              <w:rPr>
                <w:w w:val="99"/>
                <w:sz w:val="18"/>
              </w:rPr>
              <w:t>7</w:t>
            </w:r>
          </w:p>
        </w:tc>
        <w:tc>
          <w:tcPr>
            <w:tcW w:w="342" w:type="dxa"/>
            <w:tcBorders>
              <w:left w:val="nil"/>
              <w:bottom w:val="nil"/>
              <w:right w:val="nil"/>
            </w:tcBorders>
          </w:tcPr>
          <w:p>
            <w:pPr>
              <w:pStyle w:val="TableParagraph"/>
              <w:spacing w:before="40"/>
              <w:ind w:left="121"/>
              <w:rPr>
                <w:sz w:val="18"/>
              </w:rPr>
            </w:pPr>
            <w:r>
              <w:rPr>
                <w:w w:val="99"/>
                <w:sz w:val="18"/>
              </w:rPr>
              <w:t>8</w:t>
            </w:r>
          </w:p>
        </w:tc>
        <w:tc>
          <w:tcPr>
            <w:tcW w:w="341" w:type="dxa"/>
            <w:tcBorders>
              <w:left w:val="nil"/>
              <w:bottom w:val="nil"/>
              <w:right w:val="nil"/>
            </w:tcBorders>
          </w:tcPr>
          <w:p>
            <w:pPr>
              <w:pStyle w:val="TableParagraph"/>
              <w:spacing w:before="40"/>
              <w:jc w:val="center"/>
              <w:rPr>
                <w:sz w:val="18"/>
              </w:rPr>
            </w:pPr>
            <w:r>
              <w:rPr>
                <w:w w:val="99"/>
                <w:sz w:val="18"/>
              </w:rPr>
              <w:t>3</w:t>
            </w:r>
          </w:p>
        </w:tc>
        <w:tc>
          <w:tcPr>
            <w:tcW w:w="341" w:type="dxa"/>
            <w:tcBorders>
              <w:left w:val="nil"/>
              <w:bottom w:val="nil"/>
              <w:right w:val="nil"/>
            </w:tcBorders>
          </w:tcPr>
          <w:p>
            <w:pPr>
              <w:pStyle w:val="TableParagraph"/>
              <w:spacing w:before="40"/>
              <w:ind w:right="118"/>
              <w:jc w:val="right"/>
              <w:rPr>
                <w:sz w:val="18"/>
              </w:rPr>
            </w:pPr>
            <w:r>
              <w:rPr>
                <w:w w:val="99"/>
                <w:sz w:val="18"/>
              </w:rPr>
              <w:t>9</w:t>
            </w:r>
          </w:p>
        </w:tc>
        <w:tc>
          <w:tcPr>
            <w:tcW w:w="341" w:type="dxa"/>
            <w:tcBorders>
              <w:left w:val="nil"/>
              <w:bottom w:val="nil"/>
              <w:right w:val="nil"/>
            </w:tcBorders>
          </w:tcPr>
          <w:p>
            <w:pPr>
              <w:pStyle w:val="TableParagraph"/>
              <w:spacing w:before="40"/>
              <w:jc w:val="center"/>
              <w:rPr>
                <w:sz w:val="18"/>
              </w:rPr>
            </w:pPr>
            <w:r>
              <w:rPr>
                <w:w w:val="99"/>
                <w:sz w:val="18"/>
              </w:rPr>
              <w:t>9</w:t>
            </w:r>
          </w:p>
        </w:tc>
        <w:tc>
          <w:tcPr>
            <w:tcW w:w="341" w:type="dxa"/>
            <w:tcBorders>
              <w:left w:val="nil"/>
              <w:bottom w:val="nil"/>
              <w:right w:val="nil"/>
            </w:tcBorders>
          </w:tcPr>
          <w:p>
            <w:pPr>
              <w:pStyle w:val="TableParagraph"/>
              <w:spacing w:before="40"/>
              <w:ind w:left="119"/>
              <w:rPr>
                <w:sz w:val="18"/>
              </w:rPr>
            </w:pPr>
            <w:r>
              <w:rPr>
                <w:w w:val="99"/>
                <w:sz w:val="18"/>
              </w:rPr>
              <w:t>4</w:t>
            </w:r>
          </w:p>
        </w:tc>
        <w:tc>
          <w:tcPr>
            <w:tcW w:w="341" w:type="dxa"/>
            <w:tcBorders>
              <w:left w:val="nil"/>
              <w:bottom w:val="nil"/>
            </w:tcBorders>
          </w:tcPr>
          <w:p>
            <w:pPr>
              <w:pStyle w:val="TableParagraph"/>
              <w:spacing w:before="40"/>
              <w:ind w:left="4"/>
              <w:jc w:val="center"/>
              <w:rPr>
                <w:sz w:val="18"/>
              </w:rPr>
            </w:pPr>
            <w:r>
              <w:rPr>
                <w:w w:val="100"/>
                <w:sz w:val="18"/>
              </w:rPr>
              <w:t>−</w:t>
            </w:r>
          </w:p>
        </w:tc>
        <w:tc>
          <w:tcPr>
            <w:tcW w:w="341" w:type="dxa"/>
            <w:tcBorders>
              <w:bottom w:val="nil"/>
              <w:right w:val="nil"/>
            </w:tcBorders>
          </w:tcPr>
          <w:p>
            <w:pPr>
              <w:pStyle w:val="TableParagraph"/>
              <w:spacing w:before="40"/>
              <w:ind w:right="3"/>
              <w:jc w:val="center"/>
              <w:rPr>
                <w:sz w:val="18"/>
              </w:rPr>
            </w:pPr>
            <w:r>
              <w:rPr>
                <w:w w:val="99"/>
                <w:sz w:val="18"/>
              </w:rPr>
              <w:t>5</w:t>
            </w:r>
          </w:p>
        </w:tc>
        <w:tc>
          <w:tcPr>
            <w:tcW w:w="341" w:type="dxa"/>
            <w:tcBorders>
              <w:left w:val="nil"/>
              <w:bottom w:val="nil"/>
              <w:right w:val="nil"/>
            </w:tcBorders>
          </w:tcPr>
          <w:p>
            <w:pPr>
              <w:pStyle w:val="TableParagraph"/>
              <w:spacing w:before="40"/>
              <w:ind w:left="69"/>
              <w:rPr>
                <w:sz w:val="18"/>
              </w:rPr>
            </w:pPr>
            <w:r>
              <w:rPr>
                <w:sz w:val="18"/>
              </w:rPr>
              <w:t>10</w:t>
            </w:r>
          </w:p>
        </w:tc>
        <w:tc>
          <w:tcPr>
            <w:tcW w:w="341" w:type="dxa"/>
            <w:tcBorders>
              <w:left w:val="nil"/>
              <w:bottom w:val="nil"/>
              <w:right w:val="nil"/>
            </w:tcBorders>
          </w:tcPr>
          <w:p>
            <w:pPr>
              <w:pStyle w:val="TableParagraph"/>
              <w:spacing w:before="40"/>
              <w:ind w:right="118"/>
              <w:jc w:val="right"/>
              <w:rPr>
                <w:sz w:val="18"/>
              </w:rPr>
            </w:pPr>
            <w:r>
              <w:rPr>
                <w:w w:val="99"/>
                <w:sz w:val="18"/>
              </w:rPr>
              <w:t>6</w:t>
            </w:r>
          </w:p>
        </w:tc>
        <w:tc>
          <w:tcPr>
            <w:tcW w:w="341" w:type="dxa"/>
            <w:tcBorders>
              <w:left w:val="nil"/>
              <w:bottom w:val="nil"/>
              <w:right w:val="nil"/>
            </w:tcBorders>
          </w:tcPr>
          <w:p>
            <w:pPr>
              <w:pStyle w:val="TableParagraph"/>
              <w:spacing w:before="40"/>
              <w:ind w:right="67"/>
              <w:jc w:val="right"/>
              <w:rPr>
                <w:sz w:val="18"/>
              </w:rPr>
            </w:pPr>
            <w:r>
              <w:rPr>
                <w:w w:val="95"/>
                <w:sz w:val="18"/>
              </w:rPr>
              <w:t>12</w:t>
            </w:r>
          </w:p>
        </w:tc>
        <w:tc>
          <w:tcPr>
            <w:tcW w:w="341" w:type="dxa"/>
            <w:tcBorders>
              <w:left w:val="nil"/>
              <w:bottom w:val="nil"/>
              <w:right w:val="nil"/>
            </w:tcBorders>
          </w:tcPr>
          <w:p>
            <w:pPr>
              <w:pStyle w:val="TableParagraph"/>
              <w:spacing w:before="40"/>
              <w:jc w:val="center"/>
              <w:rPr>
                <w:sz w:val="18"/>
              </w:rPr>
            </w:pPr>
            <w:r>
              <w:rPr>
                <w:w w:val="99"/>
                <w:sz w:val="18"/>
              </w:rPr>
              <w:t>7</w:t>
            </w:r>
          </w:p>
        </w:tc>
        <w:tc>
          <w:tcPr>
            <w:tcW w:w="342" w:type="dxa"/>
            <w:tcBorders>
              <w:left w:val="nil"/>
              <w:bottom w:val="nil"/>
              <w:right w:val="nil"/>
            </w:tcBorders>
          </w:tcPr>
          <w:p>
            <w:pPr>
              <w:pStyle w:val="TableParagraph"/>
              <w:spacing w:before="40"/>
              <w:ind w:left="119"/>
              <w:rPr>
                <w:sz w:val="18"/>
              </w:rPr>
            </w:pPr>
            <w:r>
              <w:rPr>
                <w:w w:val="99"/>
                <w:sz w:val="18"/>
              </w:rPr>
              <w:t>8</w:t>
            </w:r>
          </w:p>
        </w:tc>
        <w:tc>
          <w:tcPr>
            <w:tcW w:w="342" w:type="dxa"/>
            <w:tcBorders>
              <w:left w:val="nil"/>
              <w:bottom w:val="nil"/>
            </w:tcBorders>
          </w:tcPr>
          <w:p>
            <w:pPr>
              <w:pStyle w:val="TableParagraph"/>
              <w:spacing w:before="40"/>
              <w:ind w:right="113"/>
              <w:jc w:val="right"/>
              <w:rPr>
                <w:sz w:val="18"/>
              </w:rPr>
            </w:pPr>
            <w:r>
              <w:rPr>
                <w:w w:val="99"/>
                <w:sz w:val="18"/>
              </w:rPr>
              <w:t>8</w:t>
            </w:r>
          </w:p>
        </w:tc>
        <w:tc>
          <w:tcPr>
            <w:tcW w:w="341" w:type="dxa"/>
            <w:tcBorders>
              <w:bottom w:val="nil"/>
              <w:right w:val="nil"/>
            </w:tcBorders>
          </w:tcPr>
          <w:p>
            <w:pPr>
              <w:pStyle w:val="TableParagraph"/>
              <w:spacing w:before="40"/>
              <w:ind w:right="3"/>
              <w:jc w:val="center"/>
              <w:rPr>
                <w:sz w:val="18"/>
              </w:rPr>
            </w:pPr>
            <w:r>
              <w:rPr>
                <w:w w:val="100"/>
                <w:sz w:val="18"/>
              </w:rPr>
              <w:t>−</w:t>
            </w:r>
          </w:p>
        </w:tc>
        <w:tc>
          <w:tcPr>
            <w:tcW w:w="341" w:type="dxa"/>
            <w:tcBorders>
              <w:left w:val="nil"/>
              <w:bottom w:val="nil"/>
              <w:right w:val="nil"/>
            </w:tcBorders>
          </w:tcPr>
          <w:p>
            <w:pPr>
              <w:pStyle w:val="TableParagraph"/>
              <w:spacing w:before="40"/>
              <w:jc w:val="center"/>
              <w:rPr>
                <w:sz w:val="18"/>
              </w:rPr>
            </w:pPr>
            <w:r>
              <w:rPr>
                <w:w w:val="99"/>
                <w:sz w:val="18"/>
              </w:rPr>
              <w:t>1</w:t>
            </w:r>
          </w:p>
        </w:tc>
        <w:tc>
          <w:tcPr>
            <w:tcW w:w="341" w:type="dxa"/>
            <w:tcBorders>
              <w:left w:val="nil"/>
              <w:bottom w:val="nil"/>
              <w:right w:val="nil"/>
            </w:tcBorders>
          </w:tcPr>
          <w:p>
            <w:pPr>
              <w:pStyle w:val="TableParagraph"/>
              <w:spacing w:before="40"/>
              <w:ind w:left="119"/>
              <w:rPr>
                <w:sz w:val="18"/>
              </w:rPr>
            </w:pPr>
            <w:r>
              <w:rPr>
                <w:w w:val="99"/>
                <w:sz w:val="18"/>
              </w:rPr>
              <w:t>1</w:t>
            </w:r>
          </w:p>
        </w:tc>
        <w:tc>
          <w:tcPr>
            <w:tcW w:w="341" w:type="dxa"/>
            <w:tcBorders>
              <w:left w:val="nil"/>
              <w:bottom w:val="nil"/>
              <w:right w:val="nil"/>
            </w:tcBorders>
          </w:tcPr>
          <w:p>
            <w:pPr>
              <w:pStyle w:val="TableParagraph"/>
              <w:spacing w:before="40"/>
              <w:jc w:val="center"/>
              <w:rPr>
                <w:sz w:val="18"/>
              </w:rPr>
            </w:pPr>
            <w:r>
              <w:rPr>
                <w:w w:val="100"/>
                <w:sz w:val="18"/>
              </w:rPr>
              <w:t>−</w:t>
            </w:r>
          </w:p>
        </w:tc>
        <w:tc>
          <w:tcPr>
            <w:tcW w:w="343" w:type="dxa"/>
            <w:tcBorders>
              <w:left w:val="nil"/>
              <w:bottom w:val="nil"/>
              <w:right w:val="nil"/>
            </w:tcBorders>
          </w:tcPr>
          <w:p>
            <w:pPr>
              <w:pStyle w:val="TableParagraph"/>
              <w:spacing w:before="40"/>
              <w:jc w:val="center"/>
              <w:rPr>
                <w:sz w:val="18"/>
              </w:rPr>
            </w:pPr>
            <w:r>
              <w:rPr>
                <w:w w:val="100"/>
                <w:sz w:val="18"/>
              </w:rPr>
              <w:t>−</w:t>
            </w:r>
          </w:p>
        </w:tc>
      </w:tr>
      <w:tr>
        <w:trPr>
          <w:trHeight w:val="436" w:hRule="exact"/>
        </w:trPr>
        <w:tc>
          <w:tcPr>
            <w:tcW w:w="1944" w:type="dxa"/>
            <w:tcBorders>
              <w:top w:val="nil"/>
              <w:left w:val="nil"/>
              <w:bottom w:val="nil"/>
              <w:right w:val="nil"/>
            </w:tcBorders>
          </w:tcPr>
          <w:p>
            <w:pPr>
              <w:pStyle w:val="TableParagraph"/>
              <w:spacing w:before="10"/>
              <w:ind w:left="69" w:right="624"/>
              <w:rPr>
                <w:sz w:val="18"/>
              </w:rPr>
            </w:pPr>
            <w:r>
              <w:rPr>
                <w:sz w:val="18"/>
              </w:rPr>
              <w:t>VIALIDAD Y TRANSPORTE</w:t>
            </w:r>
          </w:p>
        </w:tc>
        <w:tc>
          <w:tcPr>
            <w:tcW w:w="578" w:type="dxa"/>
            <w:tcBorders>
              <w:top w:val="nil"/>
              <w:left w:val="nil"/>
              <w:bottom w:val="nil"/>
              <w:right w:val="nil"/>
            </w:tcBorders>
          </w:tcPr>
          <w:p>
            <w:pPr>
              <w:pStyle w:val="TableParagraph"/>
              <w:spacing w:before="114"/>
              <w:ind w:left="243"/>
              <w:rPr>
                <w:sz w:val="18"/>
              </w:rPr>
            </w:pPr>
            <w:r>
              <w:rPr>
                <w:w w:val="100"/>
                <w:sz w:val="18"/>
              </w:rPr>
              <w:t>−</w:t>
            </w:r>
          </w:p>
        </w:tc>
        <w:tc>
          <w:tcPr>
            <w:tcW w:w="544" w:type="dxa"/>
            <w:tcBorders>
              <w:top w:val="nil"/>
              <w:left w:val="nil"/>
              <w:bottom w:val="nil"/>
            </w:tcBorders>
          </w:tcPr>
          <w:p>
            <w:pPr>
              <w:pStyle w:val="TableParagraph"/>
              <w:spacing w:before="114"/>
              <w:ind w:left="224"/>
              <w:rPr>
                <w:sz w:val="18"/>
              </w:rPr>
            </w:pPr>
            <w:r>
              <w:rPr>
                <w:w w:val="100"/>
                <w:sz w:val="18"/>
              </w:rPr>
              <w:t>−</w:t>
            </w:r>
          </w:p>
        </w:tc>
        <w:tc>
          <w:tcPr>
            <w:tcW w:w="340" w:type="dxa"/>
            <w:tcBorders>
              <w:top w:val="nil"/>
              <w:bottom w:val="nil"/>
              <w:right w:val="nil"/>
            </w:tcBorders>
          </w:tcPr>
          <w:p>
            <w:pPr>
              <w:pStyle w:val="TableParagraph"/>
              <w:spacing w:before="114"/>
              <w:ind w:left="112"/>
              <w:rPr>
                <w:sz w:val="18"/>
              </w:rPr>
            </w:pPr>
            <w:r>
              <w:rPr>
                <w:w w:val="99"/>
                <w:sz w:val="18"/>
              </w:rPr>
              <w:t>3</w:t>
            </w:r>
          </w:p>
        </w:tc>
        <w:tc>
          <w:tcPr>
            <w:tcW w:w="342" w:type="dxa"/>
            <w:tcBorders>
              <w:top w:val="nil"/>
              <w:left w:val="nil"/>
              <w:bottom w:val="nil"/>
              <w:right w:val="nil"/>
            </w:tcBorders>
          </w:tcPr>
          <w:p>
            <w:pPr>
              <w:pStyle w:val="TableParagraph"/>
              <w:spacing w:before="114"/>
              <w:ind w:left="70"/>
              <w:rPr>
                <w:sz w:val="18"/>
              </w:rPr>
            </w:pPr>
            <w:r>
              <w:rPr>
                <w:sz w:val="18"/>
              </w:rPr>
              <w:t>10</w:t>
            </w:r>
          </w:p>
        </w:tc>
        <w:tc>
          <w:tcPr>
            <w:tcW w:w="341" w:type="dxa"/>
            <w:tcBorders>
              <w:top w:val="nil"/>
              <w:left w:val="nil"/>
              <w:bottom w:val="nil"/>
              <w:right w:val="nil"/>
            </w:tcBorders>
          </w:tcPr>
          <w:p>
            <w:pPr>
              <w:pStyle w:val="TableParagraph"/>
              <w:spacing w:before="114"/>
              <w:jc w:val="center"/>
              <w:rPr>
                <w:sz w:val="18"/>
              </w:rPr>
            </w:pPr>
            <w:r>
              <w:rPr>
                <w:w w:val="99"/>
                <w:sz w:val="18"/>
              </w:rPr>
              <w:t>4</w:t>
            </w:r>
          </w:p>
        </w:tc>
        <w:tc>
          <w:tcPr>
            <w:tcW w:w="341" w:type="dxa"/>
            <w:tcBorders>
              <w:top w:val="nil"/>
              <w:left w:val="nil"/>
              <w:bottom w:val="nil"/>
              <w:right w:val="nil"/>
            </w:tcBorders>
          </w:tcPr>
          <w:p>
            <w:pPr>
              <w:pStyle w:val="TableParagraph"/>
              <w:spacing w:before="114"/>
              <w:ind w:right="118"/>
              <w:jc w:val="right"/>
              <w:rPr>
                <w:sz w:val="18"/>
              </w:rPr>
            </w:pPr>
            <w:r>
              <w:rPr>
                <w:w w:val="99"/>
                <w:sz w:val="18"/>
              </w:rPr>
              <w:t>4</w:t>
            </w:r>
          </w:p>
        </w:tc>
        <w:tc>
          <w:tcPr>
            <w:tcW w:w="341" w:type="dxa"/>
            <w:tcBorders>
              <w:top w:val="nil"/>
              <w:left w:val="nil"/>
              <w:bottom w:val="nil"/>
              <w:right w:val="nil"/>
            </w:tcBorders>
          </w:tcPr>
          <w:p>
            <w:pPr>
              <w:pStyle w:val="TableParagraph"/>
              <w:spacing w:before="114"/>
              <w:jc w:val="center"/>
              <w:rPr>
                <w:sz w:val="18"/>
              </w:rPr>
            </w:pPr>
            <w:r>
              <w:rPr>
                <w:w w:val="99"/>
                <w:sz w:val="18"/>
              </w:rPr>
              <w:t>5</w:t>
            </w:r>
          </w:p>
        </w:tc>
        <w:tc>
          <w:tcPr>
            <w:tcW w:w="341" w:type="dxa"/>
            <w:tcBorders>
              <w:top w:val="nil"/>
              <w:left w:val="nil"/>
              <w:bottom w:val="nil"/>
              <w:right w:val="nil"/>
            </w:tcBorders>
          </w:tcPr>
          <w:p>
            <w:pPr>
              <w:pStyle w:val="TableParagraph"/>
              <w:spacing w:before="114"/>
              <w:ind w:left="119"/>
              <w:rPr>
                <w:sz w:val="18"/>
              </w:rPr>
            </w:pPr>
            <w:r>
              <w:rPr>
                <w:w w:val="99"/>
                <w:sz w:val="18"/>
              </w:rPr>
              <w:t>7</w:t>
            </w:r>
          </w:p>
        </w:tc>
        <w:tc>
          <w:tcPr>
            <w:tcW w:w="341" w:type="dxa"/>
            <w:tcBorders>
              <w:top w:val="nil"/>
              <w:left w:val="nil"/>
              <w:bottom w:val="nil"/>
            </w:tcBorders>
          </w:tcPr>
          <w:p>
            <w:pPr>
              <w:pStyle w:val="TableParagraph"/>
              <w:spacing w:before="114"/>
              <w:ind w:left="4"/>
              <w:jc w:val="center"/>
              <w:rPr>
                <w:sz w:val="18"/>
              </w:rPr>
            </w:pPr>
            <w:r>
              <w:rPr>
                <w:w w:val="99"/>
                <w:sz w:val="18"/>
              </w:rPr>
              <w:t>8</w:t>
            </w:r>
          </w:p>
        </w:tc>
        <w:tc>
          <w:tcPr>
            <w:tcW w:w="341" w:type="dxa"/>
            <w:tcBorders>
              <w:top w:val="nil"/>
              <w:bottom w:val="nil"/>
              <w:right w:val="nil"/>
            </w:tcBorders>
          </w:tcPr>
          <w:p>
            <w:pPr>
              <w:pStyle w:val="TableParagraph"/>
              <w:spacing w:before="114"/>
              <w:ind w:right="3"/>
              <w:jc w:val="center"/>
              <w:rPr>
                <w:sz w:val="18"/>
              </w:rPr>
            </w:pPr>
            <w:r>
              <w:rPr>
                <w:w w:val="99"/>
                <w:sz w:val="18"/>
              </w:rPr>
              <w:t>4</w:t>
            </w:r>
          </w:p>
        </w:tc>
        <w:tc>
          <w:tcPr>
            <w:tcW w:w="341" w:type="dxa"/>
            <w:tcBorders>
              <w:top w:val="nil"/>
              <w:left w:val="nil"/>
              <w:bottom w:val="nil"/>
              <w:right w:val="nil"/>
            </w:tcBorders>
          </w:tcPr>
          <w:p>
            <w:pPr>
              <w:pStyle w:val="TableParagraph"/>
              <w:spacing w:before="114"/>
              <w:ind w:left="119"/>
              <w:rPr>
                <w:sz w:val="18"/>
              </w:rPr>
            </w:pPr>
            <w:r>
              <w:rPr>
                <w:w w:val="99"/>
                <w:sz w:val="18"/>
              </w:rPr>
              <w:t>3</w:t>
            </w:r>
          </w:p>
        </w:tc>
        <w:tc>
          <w:tcPr>
            <w:tcW w:w="341" w:type="dxa"/>
            <w:tcBorders>
              <w:top w:val="nil"/>
              <w:left w:val="nil"/>
              <w:bottom w:val="nil"/>
              <w:right w:val="nil"/>
            </w:tcBorders>
          </w:tcPr>
          <w:p>
            <w:pPr>
              <w:pStyle w:val="TableParagraph"/>
              <w:spacing w:before="114"/>
              <w:ind w:right="67"/>
              <w:jc w:val="right"/>
              <w:rPr>
                <w:sz w:val="18"/>
              </w:rPr>
            </w:pPr>
            <w:r>
              <w:rPr>
                <w:w w:val="95"/>
                <w:sz w:val="18"/>
              </w:rPr>
              <w:t>11</w:t>
            </w:r>
          </w:p>
        </w:tc>
        <w:tc>
          <w:tcPr>
            <w:tcW w:w="341" w:type="dxa"/>
            <w:tcBorders>
              <w:top w:val="nil"/>
              <w:left w:val="nil"/>
              <w:bottom w:val="nil"/>
              <w:right w:val="nil"/>
            </w:tcBorders>
          </w:tcPr>
          <w:p>
            <w:pPr>
              <w:pStyle w:val="TableParagraph"/>
              <w:spacing w:before="114"/>
              <w:ind w:right="67"/>
              <w:jc w:val="right"/>
              <w:rPr>
                <w:sz w:val="18"/>
              </w:rPr>
            </w:pPr>
            <w:r>
              <w:rPr>
                <w:w w:val="95"/>
                <w:sz w:val="18"/>
              </w:rPr>
              <w:t>11</w:t>
            </w:r>
          </w:p>
        </w:tc>
        <w:tc>
          <w:tcPr>
            <w:tcW w:w="341" w:type="dxa"/>
            <w:tcBorders>
              <w:top w:val="nil"/>
              <w:left w:val="nil"/>
              <w:bottom w:val="nil"/>
              <w:right w:val="nil"/>
            </w:tcBorders>
          </w:tcPr>
          <w:p>
            <w:pPr>
              <w:pStyle w:val="TableParagraph"/>
              <w:spacing w:before="114"/>
              <w:ind w:left="50" w:right="50"/>
              <w:jc w:val="center"/>
              <w:rPr>
                <w:sz w:val="18"/>
              </w:rPr>
            </w:pPr>
            <w:r>
              <w:rPr>
                <w:sz w:val="18"/>
              </w:rPr>
              <w:t>12</w:t>
            </w:r>
          </w:p>
        </w:tc>
        <w:tc>
          <w:tcPr>
            <w:tcW w:w="342" w:type="dxa"/>
            <w:tcBorders>
              <w:top w:val="nil"/>
              <w:left w:val="nil"/>
              <w:bottom w:val="nil"/>
              <w:right w:val="nil"/>
            </w:tcBorders>
          </w:tcPr>
          <w:p>
            <w:pPr>
              <w:pStyle w:val="TableParagraph"/>
              <w:spacing w:before="114"/>
              <w:ind w:left="69"/>
              <w:rPr>
                <w:sz w:val="18"/>
              </w:rPr>
            </w:pPr>
            <w:r>
              <w:rPr>
                <w:sz w:val="18"/>
              </w:rPr>
              <w:t>13</w:t>
            </w:r>
          </w:p>
        </w:tc>
        <w:tc>
          <w:tcPr>
            <w:tcW w:w="342" w:type="dxa"/>
            <w:tcBorders>
              <w:top w:val="nil"/>
              <w:left w:val="nil"/>
              <w:bottom w:val="nil"/>
            </w:tcBorders>
          </w:tcPr>
          <w:p>
            <w:pPr>
              <w:pStyle w:val="TableParagraph"/>
              <w:spacing w:before="114"/>
              <w:ind w:right="62"/>
              <w:jc w:val="right"/>
              <w:rPr>
                <w:sz w:val="18"/>
              </w:rPr>
            </w:pPr>
            <w:r>
              <w:rPr>
                <w:w w:val="95"/>
                <w:sz w:val="18"/>
              </w:rPr>
              <w:t>16</w:t>
            </w:r>
          </w:p>
        </w:tc>
        <w:tc>
          <w:tcPr>
            <w:tcW w:w="341" w:type="dxa"/>
            <w:tcBorders>
              <w:top w:val="nil"/>
              <w:bottom w:val="nil"/>
              <w:right w:val="nil"/>
            </w:tcBorders>
          </w:tcPr>
          <w:p>
            <w:pPr>
              <w:pStyle w:val="TableParagraph"/>
              <w:spacing w:before="114"/>
              <w:ind w:right="3"/>
              <w:jc w:val="center"/>
              <w:rPr>
                <w:sz w:val="18"/>
              </w:rPr>
            </w:pPr>
            <w:r>
              <w:rPr>
                <w:w w:val="100"/>
                <w:sz w:val="18"/>
              </w:rPr>
              <w:t>−</w:t>
            </w:r>
          </w:p>
        </w:tc>
        <w:tc>
          <w:tcPr>
            <w:tcW w:w="341" w:type="dxa"/>
            <w:tcBorders>
              <w:top w:val="nil"/>
              <w:left w:val="nil"/>
              <w:bottom w:val="nil"/>
              <w:right w:val="nil"/>
            </w:tcBorders>
          </w:tcPr>
          <w:p>
            <w:pPr>
              <w:pStyle w:val="TableParagraph"/>
              <w:spacing w:before="114"/>
              <w:jc w:val="center"/>
              <w:rPr>
                <w:sz w:val="18"/>
              </w:rPr>
            </w:pPr>
            <w:r>
              <w:rPr>
                <w:w w:val="100"/>
                <w:sz w:val="18"/>
              </w:rPr>
              <w:t>−</w:t>
            </w:r>
          </w:p>
        </w:tc>
        <w:tc>
          <w:tcPr>
            <w:tcW w:w="341" w:type="dxa"/>
            <w:tcBorders>
              <w:top w:val="nil"/>
              <w:left w:val="nil"/>
              <w:bottom w:val="nil"/>
              <w:right w:val="nil"/>
            </w:tcBorders>
          </w:tcPr>
          <w:p>
            <w:pPr>
              <w:pStyle w:val="TableParagraph"/>
              <w:spacing w:before="114"/>
              <w:ind w:left="119"/>
              <w:rPr>
                <w:sz w:val="18"/>
              </w:rPr>
            </w:pPr>
            <w:r>
              <w:rPr>
                <w:w w:val="99"/>
                <w:sz w:val="18"/>
              </w:rPr>
              <w:t>3</w:t>
            </w:r>
          </w:p>
        </w:tc>
        <w:tc>
          <w:tcPr>
            <w:tcW w:w="341" w:type="dxa"/>
            <w:tcBorders>
              <w:top w:val="nil"/>
              <w:left w:val="nil"/>
              <w:bottom w:val="nil"/>
              <w:right w:val="nil"/>
            </w:tcBorders>
          </w:tcPr>
          <w:p>
            <w:pPr>
              <w:pStyle w:val="TableParagraph"/>
              <w:spacing w:before="114"/>
              <w:jc w:val="center"/>
              <w:rPr>
                <w:sz w:val="18"/>
              </w:rPr>
            </w:pPr>
            <w:r>
              <w:rPr>
                <w:w w:val="99"/>
                <w:sz w:val="18"/>
              </w:rPr>
              <w:t>7</w:t>
            </w:r>
          </w:p>
        </w:tc>
        <w:tc>
          <w:tcPr>
            <w:tcW w:w="343" w:type="dxa"/>
            <w:tcBorders>
              <w:top w:val="nil"/>
              <w:left w:val="nil"/>
              <w:bottom w:val="nil"/>
              <w:right w:val="nil"/>
            </w:tcBorders>
          </w:tcPr>
          <w:p>
            <w:pPr>
              <w:pStyle w:val="TableParagraph"/>
              <w:spacing w:before="114"/>
              <w:jc w:val="center"/>
              <w:rPr>
                <w:sz w:val="18"/>
              </w:rPr>
            </w:pPr>
            <w:r>
              <w:rPr>
                <w:w w:val="100"/>
                <w:sz w:val="18"/>
              </w:rPr>
              <w:t>−</w:t>
            </w:r>
          </w:p>
        </w:tc>
      </w:tr>
      <w:tr>
        <w:trPr>
          <w:trHeight w:val="640" w:hRule="exact"/>
        </w:trPr>
        <w:tc>
          <w:tcPr>
            <w:tcW w:w="1944" w:type="dxa"/>
            <w:tcBorders>
              <w:top w:val="nil"/>
              <w:left w:val="nil"/>
              <w:bottom w:val="nil"/>
              <w:right w:val="nil"/>
            </w:tcBorders>
          </w:tcPr>
          <w:p>
            <w:pPr>
              <w:pStyle w:val="TableParagraph"/>
              <w:ind w:left="69" w:right="154"/>
              <w:rPr>
                <w:sz w:val="18"/>
              </w:rPr>
            </w:pPr>
            <w:r>
              <w:rPr>
                <w:sz w:val="18"/>
              </w:rPr>
              <w:t>PROTECCIÓN CIVIL Y/O SEGURIDAD PÚBLICA</w:t>
            </w:r>
          </w:p>
        </w:tc>
        <w:tc>
          <w:tcPr>
            <w:tcW w:w="578" w:type="dxa"/>
            <w:tcBorders>
              <w:top w:val="nil"/>
              <w:left w:val="nil"/>
              <w:bottom w:val="nil"/>
              <w:right w:val="nil"/>
            </w:tcBorders>
          </w:tcPr>
          <w:p>
            <w:pPr>
              <w:pStyle w:val="TableParagraph"/>
              <w:spacing w:before="1"/>
              <w:rPr>
                <w:b/>
                <w:sz w:val="17"/>
              </w:rPr>
            </w:pPr>
          </w:p>
          <w:p>
            <w:pPr>
              <w:pStyle w:val="TableParagraph"/>
              <w:ind w:left="245"/>
              <w:rPr>
                <w:sz w:val="18"/>
              </w:rPr>
            </w:pPr>
            <w:r>
              <w:rPr>
                <w:w w:val="99"/>
                <w:sz w:val="18"/>
              </w:rPr>
              <w:t>1</w:t>
            </w:r>
          </w:p>
        </w:tc>
        <w:tc>
          <w:tcPr>
            <w:tcW w:w="544" w:type="dxa"/>
            <w:tcBorders>
              <w:top w:val="nil"/>
              <w:left w:val="nil"/>
              <w:bottom w:val="nil"/>
            </w:tcBorders>
          </w:tcPr>
          <w:p>
            <w:pPr>
              <w:pStyle w:val="TableParagraph"/>
              <w:spacing w:before="1"/>
              <w:rPr>
                <w:b/>
                <w:sz w:val="17"/>
              </w:rPr>
            </w:pPr>
          </w:p>
          <w:p>
            <w:pPr>
              <w:pStyle w:val="TableParagraph"/>
              <w:ind w:left="224"/>
              <w:rPr>
                <w:sz w:val="18"/>
              </w:rPr>
            </w:pPr>
            <w:r>
              <w:rPr>
                <w:w w:val="100"/>
                <w:sz w:val="18"/>
              </w:rPr>
              <w:t>−</w:t>
            </w:r>
          </w:p>
        </w:tc>
        <w:tc>
          <w:tcPr>
            <w:tcW w:w="340" w:type="dxa"/>
            <w:tcBorders>
              <w:top w:val="nil"/>
              <w:bottom w:val="nil"/>
              <w:right w:val="nil"/>
            </w:tcBorders>
          </w:tcPr>
          <w:p>
            <w:pPr>
              <w:pStyle w:val="TableParagraph"/>
              <w:spacing w:before="1"/>
              <w:rPr>
                <w:b/>
                <w:sz w:val="17"/>
              </w:rPr>
            </w:pPr>
          </w:p>
          <w:p>
            <w:pPr>
              <w:pStyle w:val="TableParagraph"/>
              <w:ind w:left="110"/>
              <w:rPr>
                <w:sz w:val="18"/>
              </w:rPr>
            </w:pPr>
            <w:r>
              <w:rPr>
                <w:w w:val="100"/>
                <w:sz w:val="18"/>
              </w:rPr>
              <w:t>−</w:t>
            </w:r>
          </w:p>
        </w:tc>
        <w:tc>
          <w:tcPr>
            <w:tcW w:w="342" w:type="dxa"/>
            <w:tcBorders>
              <w:top w:val="nil"/>
              <w:left w:val="nil"/>
              <w:bottom w:val="nil"/>
              <w:right w:val="nil"/>
            </w:tcBorders>
          </w:tcPr>
          <w:p>
            <w:pPr>
              <w:pStyle w:val="TableParagraph"/>
              <w:spacing w:before="1"/>
              <w:rPr>
                <w:b/>
                <w:sz w:val="17"/>
              </w:rPr>
            </w:pPr>
          </w:p>
          <w:p>
            <w:pPr>
              <w:pStyle w:val="TableParagraph"/>
              <w:ind w:left="118"/>
              <w:rPr>
                <w:sz w:val="18"/>
              </w:rPr>
            </w:pPr>
            <w:r>
              <w:rPr>
                <w:w w:val="100"/>
                <w:sz w:val="18"/>
              </w:rPr>
              <w:t>−</w:t>
            </w:r>
          </w:p>
        </w:tc>
        <w:tc>
          <w:tcPr>
            <w:tcW w:w="341" w:type="dxa"/>
            <w:tcBorders>
              <w:top w:val="nil"/>
              <w:left w:val="nil"/>
              <w:bottom w:val="nil"/>
              <w:right w:val="nil"/>
            </w:tcBorders>
          </w:tcPr>
          <w:p>
            <w:pPr>
              <w:pStyle w:val="TableParagraph"/>
              <w:spacing w:before="1"/>
              <w:rPr>
                <w:b/>
                <w:sz w:val="17"/>
              </w:rPr>
            </w:pPr>
          </w:p>
          <w:p>
            <w:pPr>
              <w:pStyle w:val="TableParagraph"/>
              <w:jc w:val="center"/>
              <w:rPr>
                <w:sz w:val="18"/>
              </w:rPr>
            </w:pPr>
            <w:r>
              <w:rPr>
                <w:w w:val="100"/>
                <w:sz w:val="18"/>
              </w:rPr>
              <w:t>−</w:t>
            </w:r>
          </w:p>
        </w:tc>
        <w:tc>
          <w:tcPr>
            <w:tcW w:w="341" w:type="dxa"/>
            <w:tcBorders>
              <w:top w:val="nil"/>
              <w:left w:val="nil"/>
              <w:bottom w:val="nil"/>
              <w:right w:val="nil"/>
            </w:tcBorders>
          </w:tcPr>
          <w:p>
            <w:pPr>
              <w:pStyle w:val="TableParagraph"/>
              <w:spacing w:before="1"/>
              <w:rPr>
                <w:b/>
                <w:sz w:val="17"/>
              </w:rPr>
            </w:pPr>
          </w:p>
          <w:p>
            <w:pPr>
              <w:pStyle w:val="TableParagraph"/>
              <w:ind w:right="116"/>
              <w:jc w:val="right"/>
              <w:rPr>
                <w:sz w:val="18"/>
              </w:rPr>
            </w:pPr>
            <w:r>
              <w:rPr>
                <w:w w:val="100"/>
                <w:sz w:val="18"/>
              </w:rPr>
              <w:t>−</w:t>
            </w:r>
          </w:p>
        </w:tc>
        <w:tc>
          <w:tcPr>
            <w:tcW w:w="341" w:type="dxa"/>
            <w:tcBorders>
              <w:top w:val="nil"/>
              <w:left w:val="nil"/>
              <w:bottom w:val="nil"/>
              <w:right w:val="nil"/>
            </w:tcBorders>
          </w:tcPr>
          <w:p>
            <w:pPr>
              <w:pStyle w:val="TableParagraph"/>
              <w:spacing w:before="1"/>
              <w:rPr>
                <w:b/>
                <w:sz w:val="17"/>
              </w:rPr>
            </w:pPr>
          </w:p>
          <w:p>
            <w:pPr>
              <w:pStyle w:val="TableParagraph"/>
              <w:jc w:val="center"/>
              <w:rPr>
                <w:sz w:val="18"/>
              </w:rPr>
            </w:pPr>
            <w:r>
              <w:rPr>
                <w:w w:val="100"/>
                <w:sz w:val="18"/>
              </w:rPr>
              <w:t>−</w:t>
            </w:r>
          </w:p>
        </w:tc>
        <w:tc>
          <w:tcPr>
            <w:tcW w:w="341" w:type="dxa"/>
            <w:tcBorders>
              <w:top w:val="nil"/>
              <w:left w:val="nil"/>
              <w:bottom w:val="nil"/>
              <w:right w:val="nil"/>
            </w:tcBorders>
          </w:tcPr>
          <w:p>
            <w:pPr>
              <w:pStyle w:val="TableParagraph"/>
              <w:spacing w:before="1"/>
              <w:rPr>
                <w:b/>
                <w:sz w:val="17"/>
              </w:rPr>
            </w:pPr>
          </w:p>
          <w:p>
            <w:pPr>
              <w:pStyle w:val="TableParagraph"/>
              <w:ind w:left="117"/>
              <w:rPr>
                <w:sz w:val="18"/>
              </w:rPr>
            </w:pPr>
            <w:r>
              <w:rPr>
                <w:w w:val="100"/>
                <w:sz w:val="18"/>
              </w:rPr>
              <w:t>−</w:t>
            </w:r>
          </w:p>
        </w:tc>
        <w:tc>
          <w:tcPr>
            <w:tcW w:w="341" w:type="dxa"/>
            <w:tcBorders>
              <w:top w:val="nil"/>
              <w:left w:val="nil"/>
              <w:bottom w:val="nil"/>
            </w:tcBorders>
          </w:tcPr>
          <w:p>
            <w:pPr>
              <w:pStyle w:val="TableParagraph"/>
              <w:spacing w:before="1"/>
              <w:rPr>
                <w:b/>
                <w:sz w:val="17"/>
              </w:rPr>
            </w:pPr>
          </w:p>
          <w:p>
            <w:pPr>
              <w:pStyle w:val="TableParagraph"/>
              <w:ind w:left="4"/>
              <w:jc w:val="center"/>
              <w:rPr>
                <w:sz w:val="18"/>
              </w:rPr>
            </w:pPr>
            <w:r>
              <w:rPr>
                <w:w w:val="99"/>
                <w:sz w:val="18"/>
              </w:rPr>
              <w:t>1</w:t>
            </w:r>
          </w:p>
        </w:tc>
        <w:tc>
          <w:tcPr>
            <w:tcW w:w="341" w:type="dxa"/>
            <w:tcBorders>
              <w:top w:val="nil"/>
              <w:bottom w:val="nil"/>
              <w:right w:val="nil"/>
            </w:tcBorders>
          </w:tcPr>
          <w:p>
            <w:pPr>
              <w:pStyle w:val="TableParagraph"/>
              <w:spacing w:before="1"/>
              <w:rPr>
                <w:b/>
                <w:sz w:val="17"/>
              </w:rPr>
            </w:pPr>
          </w:p>
          <w:p>
            <w:pPr>
              <w:pStyle w:val="TableParagraph"/>
              <w:ind w:right="3"/>
              <w:jc w:val="center"/>
              <w:rPr>
                <w:sz w:val="18"/>
              </w:rPr>
            </w:pPr>
            <w:r>
              <w:rPr>
                <w:w w:val="100"/>
                <w:sz w:val="18"/>
              </w:rPr>
              <w:t>−</w:t>
            </w:r>
          </w:p>
        </w:tc>
        <w:tc>
          <w:tcPr>
            <w:tcW w:w="341" w:type="dxa"/>
            <w:tcBorders>
              <w:top w:val="nil"/>
              <w:left w:val="nil"/>
              <w:bottom w:val="nil"/>
              <w:right w:val="nil"/>
            </w:tcBorders>
          </w:tcPr>
          <w:p>
            <w:pPr>
              <w:pStyle w:val="TableParagraph"/>
              <w:spacing w:before="1"/>
              <w:rPr>
                <w:b/>
                <w:sz w:val="17"/>
              </w:rPr>
            </w:pPr>
          </w:p>
          <w:p>
            <w:pPr>
              <w:pStyle w:val="TableParagraph"/>
              <w:ind w:left="117"/>
              <w:rPr>
                <w:sz w:val="18"/>
              </w:rPr>
            </w:pPr>
            <w:r>
              <w:rPr>
                <w:w w:val="100"/>
                <w:sz w:val="18"/>
              </w:rPr>
              <w:t>−</w:t>
            </w:r>
          </w:p>
        </w:tc>
        <w:tc>
          <w:tcPr>
            <w:tcW w:w="341" w:type="dxa"/>
            <w:tcBorders>
              <w:top w:val="nil"/>
              <w:left w:val="nil"/>
              <w:bottom w:val="nil"/>
              <w:right w:val="nil"/>
            </w:tcBorders>
          </w:tcPr>
          <w:p>
            <w:pPr>
              <w:pStyle w:val="TableParagraph"/>
              <w:spacing w:before="1"/>
              <w:rPr>
                <w:b/>
                <w:sz w:val="17"/>
              </w:rPr>
            </w:pPr>
          </w:p>
          <w:p>
            <w:pPr>
              <w:pStyle w:val="TableParagraph"/>
              <w:ind w:right="116"/>
              <w:jc w:val="right"/>
              <w:rPr>
                <w:sz w:val="18"/>
              </w:rPr>
            </w:pPr>
            <w:r>
              <w:rPr>
                <w:w w:val="100"/>
                <w:sz w:val="18"/>
              </w:rPr>
              <w:t>−</w:t>
            </w:r>
          </w:p>
        </w:tc>
        <w:tc>
          <w:tcPr>
            <w:tcW w:w="341" w:type="dxa"/>
            <w:tcBorders>
              <w:top w:val="nil"/>
              <w:left w:val="nil"/>
              <w:bottom w:val="nil"/>
              <w:right w:val="nil"/>
            </w:tcBorders>
          </w:tcPr>
          <w:p>
            <w:pPr>
              <w:pStyle w:val="TableParagraph"/>
              <w:spacing w:before="1"/>
              <w:rPr>
                <w:b/>
                <w:sz w:val="17"/>
              </w:rPr>
            </w:pPr>
          </w:p>
          <w:p>
            <w:pPr>
              <w:pStyle w:val="TableParagraph"/>
              <w:ind w:right="119"/>
              <w:jc w:val="right"/>
              <w:rPr>
                <w:sz w:val="18"/>
              </w:rPr>
            </w:pPr>
            <w:r>
              <w:rPr>
                <w:w w:val="99"/>
                <w:sz w:val="18"/>
              </w:rPr>
              <w:t>2</w:t>
            </w:r>
          </w:p>
        </w:tc>
        <w:tc>
          <w:tcPr>
            <w:tcW w:w="341" w:type="dxa"/>
            <w:tcBorders>
              <w:top w:val="nil"/>
              <w:left w:val="nil"/>
              <w:bottom w:val="nil"/>
              <w:right w:val="nil"/>
            </w:tcBorders>
          </w:tcPr>
          <w:p>
            <w:pPr>
              <w:pStyle w:val="TableParagraph"/>
              <w:spacing w:before="1"/>
              <w:rPr>
                <w:b/>
                <w:sz w:val="17"/>
              </w:rPr>
            </w:pPr>
          </w:p>
          <w:p>
            <w:pPr>
              <w:pStyle w:val="TableParagraph"/>
              <w:jc w:val="center"/>
              <w:rPr>
                <w:sz w:val="18"/>
              </w:rPr>
            </w:pPr>
            <w:r>
              <w:rPr>
                <w:w w:val="99"/>
                <w:sz w:val="18"/>
              </w:rPr>
              <w:t>1</w:t>
            </w:r>
          </w:p>
        </w:tc>
        <w:tc>
          <w:tcPr>
            <w:tcW w:w="342" w:type="dxa"/>
            <w:tcBorders>
              <w:top w:val="nil"/>
              <w:left w:val="nil"/>
              <w:bottom w:val="nil"/>
              <w:right w:val="nil"/>
            </w:tcBorders>
          </w:tcPr>
          <w:p>
            <w:pPr>
              <w:pStyle w:val="TableParagraph"/>
              <w:spacing w:before="1"/>
              <w:rPr>
                <w:b/>
                <w:sz w:val="17"/>
              </w:rPr>
            </w:pPr>
          </w:p>
          <w:p>
            <w:pPr>
              <w:pStyle w:val="TableParagraph"/>
              <w:ind w:left="117"/>
              <w:rPr>
                <w:sz w:val="18"/>
              </w:rPr>
            </w:pPr>
            <w:r>
              <w:rPr>
                <w:w w:val="100"/>
                <w:sz w:val="18"/>
              </w:rPr>
              <w:t>−</w:t>
            </w:r>
          </w:p>
        </w:tc>
        <w:tc>
          <w:tcPr>
            <w:tcW w:w="342" w:type="dxa"/>
            <w:tcBorders>
              <w:top w:val="nil"/>
              <w:left w:val="nil"/>
              <w:bottom w:val="nil"/>
            </w:tcBorders>
          </w:tcPr>
          <w:p>
            <w:pPr>
              <w:pStyle w:val="TableParagraph"/>
              <w:spacing w:before="1"/>
              <w:rPr>
                <w:b/>
                <w:sz w:val="17"/>
              </w:rPr>
            </w:pPr>
          </w:p>
          <w:p>
            <w:pPr>
              <w:pStyle w:val="TableParagraph"/>
              <w:ind w:right="113"/>
              <w:jc w:val="right"/>
              <w:rPr>
                <w:sz w:val="18"/>
              </w:rPr>
            </w:pPr>
            <w:r>
              <w:rPr>
                <w:w w:val="99"/>
                <w:sz w:val="18"/>
              </w:rPr>
              <w:t>2</w:t>
            </w:r>
          </w:p>
        </w:tc>
        <w:tc>
          <w:tcPr>
            <w:tcW w:w="341" w:type="dxa"/>
            <w:tcBorders>
              <w:top w:val="nil"/>
              <w:bottom w:val="nil"/>
              <w:right w:val="nil"/>
            </w:tcBorders>
          </w:tcPr>
          <w:p>
            <w:pPr>
              <w:pStyle w:val="TableParagraph"/>
              <w:spacing w:before="1"/>
              <w:rPr>
                <w:b/>
                <w:sz w:val="17"/>
              </w:rPr>
            </w:pPr>
          </w:p>
          <w:p>
            <w:pPr>
              <w:pStyle w:val="TableParagraph"/>
              <w:ind w:right="3"/>
              <w:jc w:val="center"/>
              <w:rPr>
                <w:sz w:val="18"/>
              </w:rPr>
            </w:pPr>
            <w:r>
              <w:rPr>
                <w:w w:val="100"/>
                <w:sz w:val="18"/>
              </w:rPr>
              <w:t>−</w:t>
            </w:r>
          </w:p>
        </w:tc>
        <w:tc>
          <w:tcPr>
            <w:tcW w:w="341" w:type="dxa"/>
            <w:tcBorders>
              <w:top w:val="nil"/>
              <w:left w:val="nil"/>
              <w:bottom w:val="nil"/>
              <w:right w:val="nil"/>
            </w:tcBorders>
          </w:tcPr>
          <w:p>
            <w:pPr>
              <w:pStyle w:val="TableParagraph"/>
              <w:spacing w:before="1"/>
              <w:rPr>
                <w:b/>
                <w:sz w:val="17"/>
              </w:rPr>
            </w:pPr>
          </w:p>
          <w:p>
            <w:pPr>
              <w:pStyle w:val="TableParagraph"/>
              <w:jc w:val="center"/>
              <w:rPr>
                <w:sz w:val="18"/>
              </w:rPr>
            </w:pPr>
            <w:r>
              <w:rPr>
                <w:w w:val="100"/>
                <w:sz w:val="18"/>
              </w:rPr>
              <w:t>−</w:t>
            </w:r>
          </w:p>
        </w:tc>
        <w:tc>
          <w:tcPr>
            <w:tcW w:w="341" w:type="dxa"/>
            <w:tcBorders>
              <w:top w:val="nil"/>
              <w:left w:val="nil"/>
              <w:bottom w:val="nil"/>
              <w:right w:val="nil"/>
            </w:tcBorders>
          </w:tcPr>
          <w:p>
            <w:pPr>
              <w:pStyle w:val="TableParagraph"/>
              <w:spacing w:before="1"/>
              <w:rPr>
                <w:b/>
                <w:sz w:val="17"/>
              </w:rPr>
            </w:pPr>
          </w:p>
          <w:p>
            <w:pPr>
              <w:pStyle w:val="TableParagraph"/>
              <w:ind w:left="117"/>
              <w:rPr>
                <w:sz w:val="18"/>
              </w:rPr>
            </w:pPr>
            <w:r>
              <w:rPr>
                <w:w w:val="100"/>
                <w:sz w:val="18"/>
              </w:rPr>
              <w:t>−</w:t>
            </w:r>
          </w:p>
        </w:tc>
        <w:tc>
          <w:tcPr>
            <w:tcW w:w="341" w:type="dxa"/>
            <w:tcBorders>
              <w:top w:val="nil"/>
              <w:left w:val="nil"/>
              <w:bottom w:val="nil"/>
              <w:right w:val="nil"/>
            </w:tcBorders>
          </w:tcPr>
          <w:p>
            <w:pPr>
              <w:pStyle w:val="TableParagraph"/>
              <w:spacing w:before="1"/>
              <w:rPr>
                <w:b/>
                <w:sz w:val="17"/>
              </w:rPr>
            </w:pPr>
          </w:p>
          <w:p>
            <w:pPr>
              <w:pStyle w:val="TableParagraph"/>
              <w:jc w:val="center"/>
              <w:rPr>
                <w:sz w:val="18"/>
              </w:rPr>
            </w:pPr>
            <w:r>
              <w:rPr>
                <w:w w:val="100"/>
                <w:sz w:val="18"/>
              </w:rPr>
              <w:t>−</w:t>
            </w:r>
          </w:p>
        </w:tc>
        <w:tc>
          <w:tcPr>
            <w:tcW w:w="343" w:type="dxa"/>
            <w:tcBorders>
              <w:top w:val="nil"/>
              <w:left w:val="nil"/>
              <w:bottom w:val="nil"/>
              <w:right w:val="nil"/>
            </w:tcBorders>
          </w:tcPr>
          <w:p>
            <w:pPr>
              <w:pStyle w:val="TableParagraph"/>
              <w:spacing w:before="1"/>
              <w:rPr>
                <w:b/>
                <w:sz w:val="17"/>
              </w:rPr>
            </w:pPr>
          </w:p>
          <w:p>
            <w:pPr>
              <w:pStyle w:val="TableParagraph"/>
              <w:jc w:val="center"/>
              <w:rPr>
                <w:sz w:val="18"/>
              </w:rPr>
            </w:pPr>
            <w:r>
              <w:rPr>
                <w:w w:val="100"/>
                <w:sz w:val="18"/>
              </w:rPr>
              <w:t>−</w:t>
            </w:r>
          </w:p>
        </w:tc>
      </w:tr>
      <w:tr>
        <w:trPr>
          <w:trHeight w:val="247" w:hRule="exact"/>
        </w:trPr>
        <w:tc>
          <w:tcPr>
            <w:tcW w:w="1944" w:type="dxa"/>
            <w:tcBorders>
              <w:top w:val="nil"/>
              <w:left w:val="nil"/>
              <w:bottom w:val="nil"/>
              <w:right w:val="nil"/>
            </w:tcBorders>
          </w:tcPr>
          <w:p>
            <w:pPr>
              <w:pStyle w:val="TableParagraph"/>
              <w:spacing w:before="10"/>
              <w:ind w:left="69" w:right="154"/>
              <w:rPr>
                <w:sz w:val="18"/>
              </w:rPr>
            </w:pPr>
            <w:r>
              <w:rPr>
                <w:sz w:val="18"/>
              </w:rPr>
              <w:t>AMBIENTALES</w:t>
            </w:r>
          </w:p>
        </w:tc>
        <w:tc>
          <w:tcPr>
            <w:tcW w:w="578" w:type="dxa"/>
            <w:tcBorders>
              <w:top w:val="nil"/>
              <w:left w:val="nil"/>
              <w:bottom w:val="nil"/>
              <w:right w:val="nil"/>
            </w:tcBorders>
          </w:tcPr>
          <w:p>
            <w:pPr>
              <w:pStyle w:val="TableParagraph"/>
              <w:spacing w:before="10"/>
              <w:ind w:left="243"/>
              <w:rPr>
                <w:sz w:val="18"/>
              </w:rPr>
            </w:pPr>
            <w:r>
              <w:rPr>
                <w:w w:val="100"/>
                <w:sz w:val="18"/>
              </w:rPr>
              <w:t>−</w:t>
            </w:r>
          </w:p>
        </w:tc>
        <w:tc>
          <w:tcPr>
            <w:tcW w:w="544" w:type="dxa"/>
            <w:tcBorders>
              <w:top w:val="nil"/>
              <w:left w:val="nil"/>
              <w:bottom w:val="nil"/>
            </w:tcBorders>
          </w:tcPr>
          <w:p>
            <w:pPr>
              <w:pStyle w:val="TableParagraph"/>
              <w:spacing w:before="10"/>
              <w:ind w:left="224"/>
              <w:rPr>
                <w:sz w:val="18"/>
              </w:rPr>
            </w:pPr>
            <w:r>
              <w:rPr>
                <w:w w:val="100"/>
                <w:sz w:val="18"/>
              </w:rPr>
              <w:t>−</w:t>
            </w:r>
          </w:p>
        </w:tc>
        <w:tc>
          <w:tcPr>
            <w:tcW w:w="340" w:type="dxa"/>
            <w:tcBorders>
              <w:top w:val="nil"/>
              <w:bottom w:val="nil"/>
              <w:right w:val="nil"/>
            </w:tcBorders>
          </w:tcPr>
          <w:p>
            <w:pPr>
              <w:pStyle w:val="TableParagraph"/>
              <w:spacing w:before="10"/>
              <w:ind w:left="112"/>
              <w:rPr>
                <w:sz w:val="18"/>
              </w:rPr>
            </w:pPr>
            <w:r>
              <w:rPr>
                <w:w w:val="99"/>
                <w:sz w:val="18"/>
              </w:rPr>
              <w:t>1</w:t>
            </w:r>
          </w:p>
        </w:tc>
        <w:tc>
          <w:tcPr>
            <w:tcW w:w="342" w:type="dxa"/>
            <w:tcBorders>
              <w:top w:val="nil"/>
              <w:left w:val="nil"/>
              <w:bottom w:val="nil"/>
              <w:right w:val="nil"/>
            </w:tcBorders>
          </w:tcPr>
          <w:p>
            <w:pPr>
              <w:pStyle w:val="TableParagraph"/>
              <w:spacing w:before="10"/>
              <w:ind w:left="121"/>
              <w:rPr>
                <w:sz w:val="18"/>
              </w:rPr>
            </w:pPr>
            <w:r>
              <w:rPr>
                <w:w w:val="99"/>
                <w:sz w:val="18"/>
              </w:rPr>
              <w:t>2</w:t>
            </w:r>
          </w:p>
        </w:tc>
        <w:tc>
          <w:tcPr>
            <w:tcW w:w="341" w:type="dxa"/>
            <w:tcBorders>
              <w:top w:val="nil"/>
              <w:left w:val="nil"/>
              <w:bottom w:val="nil"/>
              <w:right w:val="nil"/>
            </w:tcBorders>
          </w:tcPr>
          <w:p>
            <w:pPr>
              <w:pStyle w:val="TableParagraph"/>
              <w:spacing w:before="10"/>
              <w:jc w:val="center"/>
              <w:rPr>
                <w:sz w:val="18"/>
              </w:rPr>
            </w:pPr>
            <w:r>
              <w:rPr>
                <w:w w:val="99"/>
                <w:sz w:val="18"/>
              </w:rPr>
              <w:t>1</w:t>
            </w:r>
          </w:p>
        </w:tc>
        <w:tc>
          <w:tcPr>
            <w:tcW w:w="341" w:type="dxa"/>
            <w:tcBorders>
              <w:top w:val="nil"/>
              <w:left w:val="nil"/>
              <w:bottom w:val="nil"/>
              <w:right w:val="nil"/>
            </w:tcBorders>
          </w:tcPr>
          <w:p>
            <w:pPr>
              <w:pStyle w:val="TableParagraph"/>
              <w:spacing w:before="10"/>
              <w:ind w:right="118"/>
              <w:jc w:val="right"/>
              <w:rPr>
                <w:sz w:val="18"/>
              </w:rPr>
            </w:pPr>
            <w:r>
              <w:rPr>
                <w:w w:val="99"/>
                <w:sz w:val="18"/>
              </w:rPr>
              <w:t>1</w:t>
            </w:r>
          </w:p>
        </w:tc>
        <w:tc>
          <w:tcPr>
            <w:tcW w:w="341" w:type="dxa"/>
            <w:tcBorders>
              <w:top w:val="nil"/>
              <w:left w:val="nil"/>
              <w:bottom w:val="nil"/>
              <w:right w:val="nil"/>
            </w:tcBorders>
          </w:tcPr>
          <w:p>
            <w:pPr>
              <w:pStyle w:val="TableParagraph"/>
              <w:spacing w:before="10"/>
              <w:jc w:val="center"/>
              <w:rPr>
                <w:sz w:val="18"/>
              </w:rPr>
            </w:pPr>
            <w:r>
              <w:rPr>
                <w:w w:val="99"/>
                <w:sz w:val="18"/>
              </w:rPr>
              <w:t>1</w:t>
            </w:r>
          </w:p>
        </w:tc>
        <w:tc>
          <w:tcPr>
            <w:tcW w:w="341" w:type="dxa"/>
            <w:tcBorders>
              <w:top w:val="nil"/>
              <w:left w:val="nil"/>
              <w:bottom w:val="nil"/>
              <w:right w:val="nil"/>
            </w:tcBorders>
          </w:tcPr>
          <w:p>
            <w:pPr>
              <w:pStyle w:val="TableParagraph"/>
              <w:spacing w:before="10"/>
              <w:ind w:left="119"/>
              <w:rPr>
                <w:sz w:val="18"/>
              </w:rPr>
            </w:pPr>
            <w:r>
              <w:rPr>
                <w:w w:val="99"/>
                <w:sz w:val="18"/>
              </w:rPr>
              <w:t>1</w:t>
            </w:r>
          </w:p>
        </w:tc>
        <w:tc>
          <w:tcPr>
            <w:tcW w:w="341" w:type="dxa"/>
            <w:tcBorders>
              <w:top w:val="nil"/>
              <w:left w:val="nil"/>
              <w:bottom w:val="nil"/>
            </w:tcBorders>
          </w:tcPr>
          <w:p>
            <w:pPr>
              <w:pStyle w:val="TableParagraph"/>
              <w:spacing w:before="10"/>
              <w:ind w:left="4"/>
              <w:jc w:val="center"/>
              <w:rPr>
                <w:sz w:val="18"/>
              </w:rPr>
            </w:pPr>
            <w:r>
              <w:rPr>
                <w:w w:val="99"/>
                <w:sz w:val="18"/>
              </w:rPr>
              <w:t>1</w:t>
            </w:r>
          </w:p>
        </w:tc>
        <w:tc>
          <w:tcPr>
            <w:tcW w:w="341" w:type="dxa"/>
            <w:tcBorders>
              <w:top w:val="nil"/>
              <w:bottom w:val="nil"/>
              <w:right w:val="nil"/>
            </w:tcBorders>
          </w:tcPr>
          <w:p>
            <w:pPr>
              <w:pStyle w:val="TableParagraph"/>
              <w:spacing w:before="10"/>
              <w:ind w:right="3"/>
              <w:jc w:val="center"/>
              <w:rPr>
                <w:sz w:val="18"/>
              </w:rPr>
            </w:pPr>
            <w:r>
              <w:rPr>
                <w:w w:val="100"/>
                <w:sz w:val="18"/>
              </w:rPr>
              <w:t>−</w:t>
            </w:r>
          </w:p>
        </w:tc>
        <w:tc>
          <w:tcPr>
            <w:tcW w:w="341" w:type="dxa"/>
            <w:tcBorders>
              <w:top w:val="nil"/>
              <w:left w:val="nil"/>
              <w:bottom w:val="nil"/>
              <w:right w:val="nil"/>
            </w:tcBorders>
          </w:tcPr>
          <w:p>
            <w:pPr>
              <w:pStyle w:val="TableParagraph"/>
              <w:spacing w:before="10"/>
              <w:ind w:left="119"/>
              <w:rPr>
                <w:sz w:val="18"/>
              </w:rPr>
            </w:pPr>
            <w:r>
              <w:rPr>
                <w:w w:val="99"/>
                <w:sz w:val="18"/>
              </w:rPr>
              <w:t>1</w:t>
            </w:r>
          </w:p>
        </w:tc>
        <w:tc>
          <w:tcPr>
            <w:tcW w:w="341" w:type="dxa"/>
            <w:tcBorders>
              <w:top w:val="nil"/>
              <w:left w:val="nil"/>
              <w:bottom w:val="nil"/>
              <w:right w:val="nil"/>
            </w:tcBorders>
          </w:tcPr>
          <w:p>
            <w:pPr>
              <w:pStyle w:val="TableParagraph"/>
              <w:spacing w:before="10"/>
              <w:ind w:right="139"/>
              <w:jc w:val="right"/>
              <w:rPr>
                <w:sz w:val="18"/>
              </w:rPr>
            </w:pPr>
            <w:r>
              <w:rPr>
                <w:w w:val="99"/>
                <w:sz w:val="18"/>
              </w:rPr>
              <w:t>-</w:t>
            </w:r>
          </w:p>
        </w:tc>
        <w:tc>
          <w:tcPr>
            <w:tcW w:w="341" w:type="dxa"/>
            <w:tcBorders>
              <w:top w:val="nil"/>
              <w:left w:val="nil"/>
              <w:bottom w:val="nil"/>
              <w:right w:val="nil"/>
            </w:tcBorders>
          </w:tcPr>
          <w:p>
            <w:pPr>
              <w:pStyle w:val="TableParagraph"/>
              <w:spacing w:before="10"/>
              <w:ind w:right="119"/>
              <w:jc w:val="right"/>
              <w:rPr>
                <w:sz w:val="18"/>
              </w:rPr>
            </w:pPr>
            <w:r>
              <w:rPr>
                <w:w w:val="99"/>
                <w:sz w:val="18"/>
              </w:rPr>
              <w:t>1</w:t>
            </w:r>
          </w:p>
        </w:tc>
        <w:tc>
          <w:tcPr>
            <w:tcW w:w="341" w:type="dxa"/>
            <w:tcBorders>
              <w:top w:val="nil"/>
              <w:left w:val="nil"/>
              <w:bottom w:val="nil"/>
              <w:right w:val="nil"/>
            </w:tcBorders>
          </w:tcPr>
          <w:p>
            <w:pPr>
              <w:pStyle w:val="TableParagraph"/>
              <w:spacing w:before="10"/>
              <w:jc w:val="center"/>
              <w:rPr>
                <w:sz w:val="18"/>
              </w:rPr>
            </w:pPr>
            <w:r>
              <w:rPr>
                <w:w w:val="100"/>
                <w:sz w:val="18"/>
              </w:rPr>
              <w:t>−</w:t>
            </w:r>
          </w:p>
        </w:tc>
        <w:tc>
          <w:tcPr>
            <w:tcW w:w="342" w:type="dxa"/>
            <w:tcBorders>
              <w:top w:val="nil"/>
              <w:left w:val="nil"/>
              <w:bottom w:val="nil"/>
              <w:right w:val="nil"/>
            </w:tcBorders>
          </w:tcPr>
          <w:p>
            <w:pPr>
              <w:pStyle w:val="TableParagraph"/>
              <w:spacing w:before="10"/>
              <w:ind w:left="117"/>
              <w:rPr>
                <w:sz w:val="18"/>
              </w:rPr>
            </w:pPr>
            <w:r>
              <w:rPr>
                <w:w w:val="100"/>
                <w:sz w:val="18"/>
              </w:rPr>
              <w:t>−</w:t>
            </w:r>
          </w:p>
        </w:tc>
        <w:tc>
          <w:tcPr>
            <w:tcW w:w="342" w:type="dxa"/>
            <w:tcBorders>
              <w:top w:val="nil"/>
              <w:left w:val="nil"/>
              <w:bottom w:val="nil"/>
            </w:tcBorders>
          </w:tcPr>
          <w:p>
            <w:pPr>
              <w:pStyle w:val="TableParagraph"/>
              <w:spacing w:before="10"/>
              <w:ind w:right="113"/>
              <w:jc w:val="right"/>
              <w:rPr>
                <w:sz w:val="18"/>
              </w:rPr>
            </w:pPr>
            <w:r>
              <w:rPr>
                <w:w w:val="99"/>
                <w:sz w:val="18"/>
              </w:rPr>
              <w:t>3</w:t>
            </w:r>
          </w:p>
        </w:tc>
        <w:tc>
          <w:tcPr>
            <w:tcW w:w="341" w:type="dxa"/>
            <w:tcBorders>
              <w:top w:val="nil"/>
              <w:bottom w:val="nil"/>
              <w:right w:val="nil"/>
            </w:tcBorders>
          </w:tcPr>
          <w:p>
            <w:pPr>
              <w:pStyle w:val="TableParagraph"/>
              <w:spacing w:before="10"/>
              <w:ind w:right="3"/>
              <w:jc w:val="center"/>
              <w:rPr>
                <w:sz w:val="18"/>
              </w:rPr>
            </w:pPr>
            <w:r>
              <w:rPr>
                <w:w w:val="100"/>
                <w:sz w:val="18"/>
              </w:rPr>
              <w:t>−</w:t>
            </w:r>
          </w:p>
        </w:tc>
        <w:tc>
          <w:tcPr>
            <w:tcW w:w="341" w:type="dxa"/>
            <w:tcBorders>
              <w:top w:val="nil"/>
              <w:left w:val="nil"/>
              <w:bottom w:val="nil"/>
              <w:right w:val="nil"/>
            </w:tcBorders>
          </w:tcPr>
          <w:p>
            <w:pPr>
              <w:pStyle w:val="TableParagraph"/>
              <w:spacing w:before="10"/>
              <w:jc w:val="center"/>
              <w:rPr>
                <w:sz w:val="18"/>
              </w:rPr>
            </w:pPr>
            <w:r>
              <w:rPr>
                <w:w w:val="100"/>
                <w:sz w:val="18"/>
              </w:rPr>
              <w:t>−</w:t>
            </w:r>
          </w:p>
        </w:tc>
        <w:tc>
          <w:tcPr>
            <w:tcW w:w="341" w:type="dxa"/>
            <w:tcBorders>
              <w:top w:val="nil"/>
              <w:left w:val="nil"/>
              <w:bottom w:val="nil"/>
              <w:right w:val="nil"/>
            </w:tcBorders>
          </w:tcPr>
          <w:p>
            <w:pPr>
              <w:pStyle w:val="TableParagraph"/>
              <w:spacing w:before="10"/>
              <w:ind w:left="117"/>
              <w:rPr>
                <w:sz w:val="18"/>
              </w:rPr>
            </w:pPr>
            <w:r>
              <w:rPr>
                <w:w w:val="100"/>
                <w:sz w:val="18"/>
              </w:rPr>
              <w:t>−</w:t>
            </w:r>
          </w:p>
        </w:tc>
        <w:tc>
          <w:tcPr>
            <w:tcW w:w="341" w:type="dxa"/>
            <w:tcBorders>
              <w:top w:val="nil"/>
              <w:left w:val="nil"/>
              <w:bottom w:val="nil"/>
              <w:right w:val="nil"/>
            </w:tcBorders>
          </w:tcPr>
          <w:p>
            <w:pPr>
              <w:pStyle w:val="TableParagraph"/>
              <w:spacing w:before="10"/>
              <w:jc w:val="center"/>
              <w:rPr>
                <w:sz w:val="18"/>
              </w:rPr>
            </w:pPr>
            <w:r>
              <w:rPr>
                <w:w w:val="100"/>
                <w:sz w:val="18"/>
              </w:rPr>
              <w:t>−</w:t>
            </w:r>
          </w:p>
        </w:tc>
        <w:tc>
          <w:tcPr>
            <w:tcW w:w="343" w:type="dxa"/>
            <w:tcBorders>
              <w:top w:val="nil"/>
              <w:left w:val="nil"/>
              <w:bottom w:val="nil"/>
              <w:right w:val="nil"/>
            </w:tcBorders>
          </w:tcPr>
          <w:p>
            <w:pPr>
              <w:pStyle w:val="TableParagraph"/>
              <w:spacing w:before="10"/>
              <w:jc w:val="center"/>
              <w:rPr>
                <w:sz w:val="18"/>
              </w:rPr>
            </w:pPr>
            <w:r>
              <w:rPr>
                <w:w w:val="100"/>
                <w:sz w:val="18"/>
              </w:rPr>
              <w:t>−</w:t>
            </w:r>
          </w:p>
        </w:tc>
      </w:tr>
      <w:tr>
        <w:trPr>
          <w:trHeight w:val="456" w:hRule="exact"/>
        </w:trPr>
        <w:tc>
          <w:tcPr>
            <w:tcW w:w="1944" w:type="dxa"/>
            <w:tcBorders>
              <w:top w:val="nil"/>
              <w:left w:val="nil"/>
              <w:bottom w:val="nil"/>
              <w:right w:val="nil"/>
            </w:tcBorders>
          </w:tcPr>
          <w:p>
            <w:pPr>
              <w:pStyle w:val="TableParagraph"/>
              <w:spacing w:before="11"/>
              <w:ind w:left="69"/>
              <w:rPr>
                <w:sz w:val="18"/>
              </w:rPr>
            </w:pPr>
            <w:r>
              <w:rPr>
                <w:w w:val="95"/>
                <w:sz w:val="18"/>
              </w:rPr>
              <w:t>INFRAESTRUCTURA </w:t>
            </w:r>
            <w:r>
              <w:rPr>
                <w:sz w:val="18"/>
              </w:rPr>
              <w:t>SOCIAL</w:t>
            </w:r>
          </w:p>
        </w:tc>
        <w:tc>
          <w:tcPr>
            <w:tcW w:w="578" w:type="dxa"/>
            <w:tcBorders>
              <w:top w:val="nil"/>
              <w:left w:val="nil"/>
              <w:bottom w:val="nil"/>
              <w:right w:val="nil"/>
            </w:tcBorders>
          </w:tcPr>
          <w:p>
            <w:pPr>
              <w:pStyle w:val="TableParagraph"/>
              <w:spacing w:before="116"/>
              <w:ind w:left="245"/>
              <w:rPr>
                <w:sz w:val="18"/>
              </w:rPr>
            </w:pPr>
            <w:r>
              <w:rPr>
                <w:w w:val="99"/>
                <w:sz w:val="18"/>
              </w:rPr>
              <w:t>1</w:t>
            </w:r>
          </w:p>
        </w:tc>
        <w:tc>
          <w:tcPr>
            <w:tcW w:w="544" w:type="dxa"/>
            <w:tcBorders>
              <w:top w:val="nil"/>
              <w:left w:val="nil"/>
              <w:bottom w:val="nil"/>
            </w:tcBorders>
          </w:tcPr>
          <w:p>
            <w:pPr>
              <w:pStyle w:val="TableParagraph"/>
              <w:spacing w:before="116"/>
              <w:ind w:left="224"/>
              <w:rPr>
                <w:sz w:val="18"/>
              </w:rPr>
            </w:pPr>
            <w:r>
              <w:rPr>
                <w:w w:val="100"/>
                <w:sz w:val="18"/>
              </w:rPr>
              <w:t>−</w:t>
            </w:r>
          </w:p>
        </w:tc>
        <w:tc>
          <w:tcPr>
            <w:tcW w:w="340" w:type="dxa"/>
            <w:tcBorders>
              <w:top w:val="nil"/>
              <w:bottom w:val="nil"/>
              <w:right w:val="nil"/>
            </w:tcBorders>
          </w:tcPr>
          <w:p>
            <w:pPr>
              <w:pStyle w:val="TableParagraph"/>
              <w:spacing w:before="116"/>
              <w:ind w:left="110"/>
              <w:rPr>
                <w:sz w:val="18"/>
              </w:rPr>
            </w:pPr>
            <w:r>
              <w:rPr>
                <w:w w:val="100"/>
                <w:sz w:val="18"/>
              </w:rPr>
              <w:t>−</w:t>
            </w:r>
          </w:p>
        </w:tc>
        <w:tc>
          <w:tcPr>
            <w:tcW w:w="342" w:type="dxa"/>
            <w:tcBorders>
              <w:top w:val="nil"/>
              <w:left w:val="nil"/>
              <w:bottom w:val="nil"/>
              <w:right w:val="nil"/>
            </w:tcBorders>
          </w:tcPr>
          <w:p>
            <w:pPr>
              <w:pStyle w:val="TableParagraph"/>
              <w:spacing w:before="116"/>
              <w:ind w:left="118"/>
              <w:rPr>
                <w:sz w:val="18"/>
              </w:rPr>
            </w:pPr>
            <w:r>
              <w:rPr>
                <w:w w:val="100"/>
                <w:sz w:val="18"/>
              </w:rPr>
              <w:t>−</w:t>
            </w:r>
          </w:p>
        </w:tc>
        <w:tc>
          <w:tcPr>
            <w:tcW w:w="341" w:type="dxa"/>
            <w:tcBorders>
              <w:top w:val="nil"/>
              <w:left w:val="nil"/>
              <w:bottom w:val="nil"/>
              <w:right w:val="nil"/>
            </w:tcBorders>
          </w:tcPr>
          <w:p>
            <w:pPr>
              <w:pStyle w:val="TableParagraph"/>
              <w:spacing w:before="116"/>
              <w:jc w:val="center"/>
              <w:rPr>
                <w:sz w:val="18"/>
              </w:rPr>
            </w:pPr>
            <w:r>
              <w:rPr>
                <w:w w:val="100"/>
                <w:sz w:val="18"/>
              </w:rPr>
              <w:t>−</w:t>
            </w:r>
          </w:p>
        </w:tc>
        <w:tc>
          <w:tcPr>
            <w:tcW w:w="341" w:type="dxa"/>
            <w:tcBorders>
              <w:top w:val="nil"/>
              <w:left w:val="nil"/>
              <w:bottom w:val="nil"/>
              <w:right w:val="nil"/>
            </w:tcBorders>
          </w:tcPr>
          <w:p>
            <w:pPr>
              <w:pStyle w:val="TableParagraph"/>
              <w:spacing w:before="116"/>
              <w:ind w:right="118"/>
              <w:jc w:val="right"/>
              <w:rPr>
                <w:sz w:val="18"/>
              </w:rPr>
            </w:pPr>
            <w:r>
              <w:rPr>
                <w:w w:val="99"/>
                <w:sz w:val="18"/>
              </w:rPr>
              <w:t>2</w:t>
            </w:r>
          </w:p>
        </w:tc>
        <w:tc>
          <w:tcPr>
            <w:tcW w:w="341" w:type="dxa"/>
            <w:tcBorders>
              <w:top w:val="nil"/>
              <w:left w:val="nil"/>
              <w:bottom w:val="nil"/>
              <w:right w:val="nil"/>
            </w:tcBorders>
          </w:tcPr>
          <w:p>
            <w:pPr>
              <w:pStyle w:val="TableParagraph"/>
              <w:spacing w:before="116"/>
              <w:jc w:val="center"/>
              <w:rPr>
                <w:sz w:val="18"/>
              </w:rPr>
            </w:pPr>
            <w:r>
              <w:rPr>
                <w:w w:val="99"/>
                <w:sz w:val="18"/>
              </w:rPr>
              <w:t>2</w:t>
            </w:r>
          </w:p>
        </w:tc>
        <w:tc>
          <w:tcPr>
            <w:tcW w:w="341" w:type="dxa"/>
            <w:tcBorders>
              <w:top w:val="nil"/>
              <w:left w:val="nil"/>
              <w:bottom w:val="nil"/>
              <w:right w:val="nil"/>
            </w:tcBorders>
          </w:tcPr>
          <w:p>
            <w:pPr>
              <w:pStyle w:val="TableParagraph"/>
              <w:spacing w:before="116"/>
              <w:ind w:left="119"/>
              <w:rPr>
                <w:sz w:val="18"/>
              </w:rPr>
            </w:pPr>
            <w:r>
              <w:rPr>
                <w:w w:val="99"/>
                <w:sz w:val="18"/>
              </w:rPr>
              <w:t>2</w:t>
            </w:r>
          </w:p>
        </w:tc>
        <w:tc>
          <w:tcPr>
            <w:tcW w:w="341" w:type="dxa"/>
            <w:tcBorders>
              <w:top w:val="nil"/>
              <w:left w:val="nil"/>
              <w:bottom w:val="nil"/>
            </w:tcBorders>
          </w:tcPr>
          <w:p>
            <w:pPr>
              <w:pStyle w:val="TableParagraph"/>
              <w:spacing w:before="116"/>
              <w:ind w:left="4"/>
              <w:jc w:val="center"/>
              <w:rPr>
                <w:sz w:val="18"/>
              </w:rPr>
            </w:pPr>
            <w:r>
              <w:rPr>
                <w:w w:val="99"/>
                <w:sz w:val="18"/>
              </w:rPr>
              <w:t>1</w:t>
            </w:r>
          </w:p>
        </w:tc>
        <w:tc>
          <w:tcPr>
            <w:tcW w:w="341" w:type="dxa"/>
            <w:tcBorders>
              <w:top w:val="nil"/>
              <w:bottom w:val="nil"/>
              <w:right w:val="nil"/>
            </w:tcBorders>
          </w:tcPr>
          <w:p>
            <w:pPr>
              <w:pStyle w:val="TableParagraph"/>
              <w:spacing w:before="116"/>
              <w:ind w:right="3"/>
              <w:jc w:val="center"/>
              <w:rPr>
                <w:sz w:val="18"/>
              </w:rPr>
            </w:pPr>
            <w:r>
              <w:rPr>
                <w:w w:val="100"/>
                <w:sz w:val="18"/>
              </w:rPr>
              <w:t>−</w:t>
            </w:r>
          </w:p>
        </w:tc>
        <w:tc>
          <w:tcPr>
            <w:tcW w:w="341" w:type="dxa"/>
            <w:tcBorders>
              <w:top w:val="nil"/>
              <w:left w:val="nil"/>
              <w:bottom w:val="nil"/>
              <w:right w:val="nil"/>
            </w:tcBorders>
          </w:tcPr>
          <w:p>
            <w:pPr>
              <w:pStyle w:val="TableParagraph"/>
              <w:spacing w:before="116"/>
              <w:ind w:left="119"/>
              <w:rPr>
                <w:sz w:val="18"/>
              </w:rPr>
            </w:pPr>
            <w:r>
              <w:rPr>
                <w:w w:val="99"/>
                <w:sz w:val="18"/>
              </w:rPr>
              <w:t>1</w:t>
            </w:r>
          </w:p>
        </w:tc>
        <w:tc>
          <w:tcPr>
            <w:tcW w:w="341" w:type="dxa"/>
            <w:tcBorders>
              <w:top w:val="nil"/>
              <w:left w:val="nil"/>
              <w:bottom w:val="nil"/>
              <w:right w:val="nil"/>
            </w:tcBorders>
          </w:tcPr>
          <w:p>
            <w:pPr>
              <w:pStyle w:val="TableParagraph"/>
              <w:spacing w:before="116"/>
              <w:ind w:right="118"/>
              <w:jc w:val="right"/>
              <w:rPr>
                <w:sz w:val="18"/>
              </w:rPr>
            </w:pPr>
            <w:r>
              <w:rPr>
                <w:w w:val="99"/>
                <w:sz w:val="18"/>
              </w:rPr>
              <w:t>1</w:t>
            </w:r>
          </w:p>
        </w:tc>
        <w:tc>
          <w:tcPr>
            <w:tcW w:w="341" w:type="dxa"/>
            <w:tcBorders>
              <w:top w:val="nil"/>
              <w:left w:val="nil"/>
              <w:bottom w:val="nil"/>
              <w:right w:val="nil"/>
            </w:tcBorders>
          </w:tcPr>
          <w:p>
            <w:pPr>
              <w:pStyle w:val="TableParagraph"/>
              <w:spacing w:before="116"/>
              <w:ind w:right="119"/>
              <w:jc w:val="right"/>
              <w:rPr>
                <w:sz w:val="18"/>
              </w:rPr>
            </w:pPr>
            <w:r>
              <w:rPr>
                <w:w w:val="99"/>
                <w:sz w:val="18"/>
              </w:rPr>
              <w:t>3</w:t>
            </w:r>
          </w:p>
        </w:tc>
        <w:tc>
          <w:tcPr>
            <w:tcW w:w="341" w:type="dxa"/>
            <w:tcBorders>
              <w:top w:val="nil"/>
              <w:left w:val="nil"/>
              <w:bottom w:val="nil"/>
              <w:right w:val="nil"/>
            </w:tcBorders>
          </w:tcPr>
          <w:p>
            <w:pPr>
              <w:pStyle w:val="TableParagraph"/>
              <w:spacing w:before="116"/>
              <w:jc w:val="center"/>
              <w:rPr>
                <w:sz w:val="18"/>
              </w:rPr>
            </w:pPr>
            <w:r>
              <w:rPr>
                <w:w w:val="99"/>
                <w:sz w:val="18"/>
              </w:rPr>
              <w:t>1</w:t>
            </w:r>
          </w:p>
        </w:tc>
        <w:tc>
          <w:tcPr>
            <w:tcW w:w="342" w:type="dxa"/>
            <w:tcBorders>
              <w:top w:val="nil"/>
              <w:left w:val="nil"/>
              <w:bottom w:val="nil"/>
              <w:right w:val="nil"/>
            </w:tcBorders>
          </w:tcPr>
          <w:p>
            <w:pPr>
              <w:pStyle w:val="TableParagraph"/>
              <w:spacing w:before="116"/>
              <w:ind w:left="119"/>
              <w:rPr>
                <w:sz w:val="18"/>
              </w:rPr>
            </w:pPr>
            <w:r>
              <w:rPr>
                <w:w w:val="99"/>
                <w:sz w:val="18"/>
              </w:rPr>
              <w:t>2</w:t>
            </w:r>
          </w:p>
        </w:tc>
        <w:tc>
          <w:tcPr>
            <w:tcW w:w="342" w:type="dxa"/>
            <w:tcBorders>
              <w:top w:val="nil"/>
              <w:left w:val="nil"/>
              <w:bottom w:val="nil"/>
            </w:tcBorders>
          </w:tcPr>
          <w:p>
            <w:pPr>
              <w:pStyle w:val="TableParagraph"/>
              <w:spacing w:before="116"/>
              <w:ind w:right="113"/>
              <w:jc w:val="right"/>
              <w:rPr>
                <w:sz w:val="18"/>
              </w:rPr>
            </w:pPr>
            <w:r>
              <w:rPr>
                <w:w w:val="99"/>
                <w:sz w:val="18"/>
              </w:rPr>
              <w:t>7</w:t>
            </w:r>
          </w:p>
        </w:tc>
        <w:tc>
          <w:tcPr>
            <w:tcW w:w="341" w:type="dxa"/>
            <w:tcBorders>
              <w:top w:val="nil"/>
              <w:bottom w:val="nil"/>
              <w:right w:val="nil"/>
            </w:tcBorders>
          </w:tcPr>
          <w:p>
            <w:pPr>
              <w:pStyle w:val="TableParagraph"/>
              <w:spacing w:before="116"/>
              <w:ind w:right="3"/>
              <w:jc w:val="center"/>
              <w:rPr>
                <w:sz w:val="18"/>
              </w:rPr>
            </w:pPr>
            <w:r>
              <w:rPr>
                <w:w w:val="100"/>
                <w:sz w:val="18"/>
              </w:rPr>
              <w:t>−</w:t>
            </w:r>
          </w:p>
        </w:tc>
        <w:tc>
          <w:tcPr>
            <w:tcW w:w="341" w:type="dxa"/>
            <w:tcBorders>
              <w:top w:val="nil"/>
              <w:left w:val="nil"/>
              <w:bottom w:val="nil"/>
              <w:right w:val="nil"/>
            </w:tcBorders>
          </w:tcPr>
          <w:p>
            <w:pPr>
              <w:pStyle w:val="TableParagraph"/>
              <w:spacing w:before="116"/>
              <w:jc w:val="center"/>
              <w:rPr>
                <w:sz w:val="18"/>
              </w:rPr>
            </w:pPr>
            <w:r>
              <w:rPr>
                <w:w w:val="100"/>
                <w:sz w:val="18"/>
              </w:rPr>
              <w:t>−</w:t>
            </w:r>
          </w:p>
        </w:tc>
        <w:tc>
          <w:tcPr>
            <w:tcW w:w="341" w:type="dxa"/>
            <w:tcBorders>
              <w:top w:val="nil"/>
              <w:left w:val="nil"/>
              <w:bottom w:val="nil"/>
              <w:right w:val="nil"/>
            </w:tcBorders>
          </w:tcPr>
          <w:p>
            <w:pPr>
              <w:pStyle w:val="TableParagraph"/>
              <w:spacing w:before="116"/>
              <w:ind w:left="117"/>
              <w:rPr>
                <w:sz w:val="18"/>
              </w:rPr>
            </w:pPr>
            <w:r>
              <w:rPr>
                <w:w w:val="100"/>
                <w:sz w:val="18"/>
              </w:rPr>
              <w:t>−</w:t>
            </w:r>
          </w:p>
        </w:tc>
        <w:tc>
          <w:tcPr>
            <w:tcW w:w="341" w:type="dxa"/>
            <w:tcBorders>
              <w:top w:val="nil"/>
              <w:left w:val="nil"/>
              <w:bottom w:val="nil"/>
              <w:right w:val="nil"/>
            </w:tcBorders>
          </w:tcPr>
          <w:p>
            <w:pPr>
              <w:pStyle w:val="TableParagraph"/>
              <w:spacing w:before="116"/>
              <w:jc w:val="center"/>
              <w:rPr>
                <w:sz w:val="18"/>
              </w:rPr>
            </w:pPr>
            <w:r>
              <w:rPr>
                <w:w w:val="100"/>
                <w:sz w:val="18"/>
              </w:rPr>
              <w:t>−</w:t>
            </w:r>
          </w:p>
        </w:tc>
        <w:tc>
          <w:tcPr>
            <w:tcW w:w="343" w:type="dxa"/>
            <w:tcBorders>
              <w:top w:val="nil"/>
              <w:left w:val="nil"/>
              <w:bottom w:val="nil"/>
              <w:right w:val="nil"/>
            </w:tcBorders>
          </w:tcPr>
          <w:p>
            <w:pPr>
              <w:pStyle w:val="TableParagraph"/>
              <w:spacing w:before="116"/>
              <w:jc w:val="center"/>
              <w:rPr>
                <w:sz w:val="18"/>
              </w:rPr>
            </w:pPr>
            <w:r>
              <w:rPr>
                <w:w w:val="100"/>
                <w:sz w:val="18"/>
              </w:rPr>
              <w:t>−</w:t>
            </w:r>
          </w:p>
        </w:tc>
      </w:tr>
      <w:tr>
        <w:trPr>
          <w:trHeight w:val="268" w:hRule="exact"/>
        </w:trPr>
        <w:tc>
          <w:tcPr>
            <w:tcW w:w="1944" w:type="dxa"/>
            <w:tcBorders>
              <w:top w:val="nil"/>
              <w:left w:val="nil"/>
              <w:bottom w:val="nil"/>
              <w:right w:val="nil"/>
            </w:tcBorders>
          </w:tcPr>
          <w:p>
            <w:pPr>
              <w:pStyle w:val="TableParagraph"/>
              <w:spacing w:before="10"/>
              <w:ind w:left="69" w:right="154"/>
              <w:rPr>
                <w:sz w:val="18"/>
              </w:rPr>
            </w:pPr>
            <w:r>
              <w:rPr>
                <w:sz w:val="18"/>
              </w:rPr>
              <w:t>PLANEACIÓN</w:t>
            </w:r>
          </w:p>
        </w:tc>
        <w:tc>
          <w:tcPr>
            <w:tcW w:w="578" w:type="dxa"/>
            <w:tcBorders>
              <w:top w:val="nil"/>
              <w:left w:val="nil"/>
              <w:bottom w:val="nil"/>
              <w:right w:val="nil"/>
            </w:tcBorders>
          </w:tcPr>
          <w:p>
            <w:pPr>
              <w:pStyle w:val="TableParagraph"/>
              <w:spacing w:before="10"/>
              <w:ind w:left="243"/>
              <w:rPr>
                <w:sz w:val="18"/>
              </w:rPr>
            </w:pPr>
            <w:r>
              <w:rPr>
                <w:w w:val="100"/>
                <w:sz w:val="18"/>
              </w:rPr>
              <w:t>−</w:t>
            </w:r>
          </w:p>
        </w:tc>
        <w:tc>
          <w:tcPr>
            <w:tcW w:w="544" w:type="dxa"/>
            <w:tcBorders>
              <w:top w:val="nil"/>
              <w:left w:val="nil"/>
              <w:bottom w:val="nil"/>
            </w:tcBorders>
          </w:tcPr>
          <w:p>
            <w:pPr>
              <w:pStyle w:val="TableParagraph"/>
              <w:spacing w:before="10"/>
              <w:ind w:left="226"/>
              <w:rPr>
                <w:sz w:val="18"/>
              </w:rPr>
            </w:pPr>
            <w:r>
              <w:rPr>
                <w:w w:val="99"/>
                <w:sz w:val="18"/>
              </w:rPr>
              <w:t>1</w:t>
            </w:r>
          </w:p>
        </w:tc>
        <w:tc>
          <w:tcPr>
            <w:tcW w:w="340" w:type="dxa"/>
            <w:tcBorders>
              <w:top w:val="nil"/>
              <w:bottom w:val="nil"/>
              <w:right w:val="nil"/>
            </w:tcBorders>
          </w:tcPr>
          <w:p>
            <w:pPr>
              <w:pStyle w:val="TableParagraph"/>
              <w:spacing w:before="10"/>
              <w:ind w:left="112"/>
              <w:rPr>
                <w:sz w:val="18"/>
              </w:rPr>
            </w:pPr>
            <w:r>
              <w:rPr>
                <w:w w:val="99"/>
                <w:sz w:val="18"/>
              </w:rPr>
              <w:t>1</w:t>
            </w:r>
          </w:p>
        </w:tc>
        <w:tc>
          <w:tcPr>
            <w:tcW w:w="342" w:type="dxa"/>
            <w:tcBorders>
              <w:top w:val="nil"/>
              <w:left w:val="nil"/>
              <w:bottom w:val="nil"/>
              <w:right w:val="nil"/>
            </w:tcBorders>
          </w:tcPr>
          <w:p>
            <w:pPr>
              <w:pStyle w:val="TableParagraph"/>
              <w:spacing w:before="10"/>
              <w:ind w:left="121"/>
              <w:rPr>
                <w:sz w:val="18"/>
              </w:rPr>
            </w:pPr>
            <w:r>
              <w:rPr>
                <w:w w:val="99"/>
                <w:sz w:val="18"/>
              </w:rPr>
              <w:t>5</w:t>
            </w:r>
          </w:p>
        </w:tc>
        <w:tc>
          <w:tcPr>
            <w:tcW w:w="341" w:type="dxa"/>
            <w:tcBorders>
              <w:top w:val="nil"/>
              <w:left w:val="nil"/>
              <w:bottom w:val="nil"/>
              <w:right w:val="nil"/>
            </w:tcBorders>
          </w:tcPr>
          <w:p>
            <w:pPr>
              <w:pStyle w:val="TableParagraph"/>
              <w:spacing w:before="10"/>
              <w:jc w:val="center"/>
              <w:rPr>
                <w:sz w:val="18"/>
              </w:rPr>
            </w:pPr>
            <w:r>
              <w:rPr>
                <w:w w:val="99"/>
                <w:sz w:val="18"/>
              </w:rPr>
              <w:t>1</w:t>
            </w:r>
          </w:p>
        </w:tc>
        <w:tc>
          <w:tcPr>
            <w:tcW w:w="341" w:type="dxa"/>
            <w:tcBorders>
              <w:top w:val="nil"/>
              <w:left w:val="nil"/>
              <w:bottom w:val="nil"/>
              <w:right w:val="nil"/>
            </w:tcBorders>
          </w:tcPr>
          <w:p>
            <w:pPr>
              <w:pStyle w:val="TableParagraph"/>
              <w:spacing w:before="10"/>
              <w:ind w:right="118"/>
              <w:jc w:val="right"/>
              <w:rPr>
                <w:sz w:val="18"/>
              </w:rPr>
            </w:pPr>
            <w:r>
              <w:rPr>
                <w:w w:val="99"/>
                <w:sz w:val="18"/>
              </w:rPr>
              <w:t>3</w:t>
            </w:r>
          </w:p>
        </w:tc>
        <w:tc>
          <w:tcPr>
            <w:tcW w:w="341" w:type="dxa"/>
            <w:tcBorders>
              <w:top w:val="nil"/>
              <w:left w:val="nil"/>
              <w:bottom w:val="nil"/>
              <w:right w:val="nil"/>
            </w:tcBorders>
          </w:tcPr>
          <w:p>
            <w:pPr>
              <w:pStyle w:val="TableParagraph"/>
              <w:spacing w:before="10"/>
              <w:jc w:val="center"/>
              <w:rPr>
                <w:sz w:val="18"/>
              </w:rPr>
            </w:pPr>
            <w:r>
              <w:rPr>
                <w:w w:val="99"/>
                <w:sz w:val="18"/>
              </w:rPr>
              <w:t>2</w:t>
            </w:r>
          </w:p>
        </w:tc>
        <w:tc>
          <w:tcPr>
            <w:tcW w:w="341" w:type="dxa"/>
            <w:tcBorders>
              <w:top w:val="nil"/>
              <w:left w:val="nil"/>
              <w:bottom w:val="nil"/>
              <w:right w:val="nil"/>
            </w:tcBorders>
          </w:tcPr>
          <w:p>
            <w:pPr>
              <w:pStyle w:val="TableParagraph"/>
              <w:spacing w:before="10"/>
              <w:ind w:left="117"/>
              <w:rPr>
                <w:sz w:val="18"/>
              </w:rPr>
            </w:pPr>
            <w:r>
              <w:rPr>
                <w:w w:val="100"/>
                <w:sz w:val="18"/>
              </w:rPr>
              <w:t>−</w:t>
            </w:r>
          </w:p>
        </w:tc>
        <w:tc>
          <w:tcPr>
            <w:tcW w:w="341" w:type="dxa"/>
            <w:tcBorders>
              <w:top w:val="nil"/>
              <w:left w:val="nil"/>
              <w:bottom w:val="nil"/>
            </w:tcBorders>
          </w:tcPr>
          <w:p>
            <w:pPr>
              <w:pStyle w:val="TableParagraph"/>
              <w:spacing w:before="10"/>
              <w:ind w:left="4"/>
              <w:jc w:val="center"/>
              <w:rPr>
                <w:sz w:val="18"/>
              </w:rPr>
            </w:pPr>
            <w:r>
              <w:rPr>
                <w:w w:val="100"/>
                <w:sz w:val="18"/>
              </w:rPr>
              <w:t>−</w:t>
            </w:r>
          </w:p>
        </w:tc>
        <w:tc>
          <w:tcPr>
            <w:tcW w:w="341" w:type="dxa"/>
            <w:tcBorders>
              <w:top w:val="nil"/>
              <w:bottom w:val="nil"/>
              <w:right w:val="nil"/>
            </w:tcBorders>
          </w:tcPr>
          <w:p>
            <w:pPr>
              <w:pStyle w:val="TableParagraph"/>
              <w:spacing w:before="10"/>
              <w:ind w:right="3"/>
              <w:jc w:val="center"/>
              <w:rPr>
                <w:sz w:val="18"/>
              </w:rPr>
            </w:pPr>
            <w:r>
              <w:rPr>
                <w:w w:val="100"/>
                <w:sz w:val="18"/>
              </w:rPr>
              <w:t>−</w:t>
            </w:r>
          </w:p>
        </w:tc>
        <w:tc>
          <w:tcPr>
            <w:tcW w:w="341" w:type="dxa"/>
            <w:tcBorders>
              <w:top w:val="nil"/>
              <w:left w:val="nil"/>
              <w:bottom w:val="nil"/>
              <w:right w:val="nil"/>
            </w:tcBorders>
          </w:tcPr>
          <w:p>
            <w:pPr>
              <w:pStyle w:val="TableParagraph"/>
              <w:spacing w:before="10"/>
              <w:ind w:left="119"/>
              <w:rPr>
                <w:sz w:val="18"/>
              </w:rPr>
            </w:pPr>
            <w:r>
              <w:rPr>
                <w:w w:val="99"/>
                <w:sz w:val="18"/>
              </w:rPr>
              <w:t>4</w:t>
            </w:r>
          </w:p>
        </w:tc>
        <w:tc>
          <w:tcPr>
            <w:tcW w:w="341" w:type="dxa"/>
            <w:tcBorders>
              <w:top w:val="nil"/>
              <w:left w:val="nil"/>
              <w:bottom w:val="nil"/>
              <w:right w:val="nil"/>
            </w:tcBorders>
          </w:tcPr>
          <w:p>
            <w:pPr>
              <w:pStyle w:val="TableParagraph"/>
              <w:spacing w:before="10"/>
              <w:ind w:right="116"/>
              <w:jc w:val="right"/>
              <w:rPr>
                <w:sz w:val="18"/>
              </w:rPr>
            </w:pPr>
            <w:r>
              <w:rPr>
                <w:w w:val="100"/>
                <w:sz w:val="18"/>
              </w:rPr>
              <w:t>−</w:t>
            </w:r>
          </w:p>
        </w:tc>
        <w:tc>
          <w:tcPr>
            <w:tcW w:w="341" w:type="dxa"/>
            <w:tcBorders>
              <w:top w:val="nil"/>
              <w:left w:val="nil"/>
              <w:bottom w:val="nil"/>
              <w:right w:val="nil"/>
            </w:tcBorders>
          </w:tcPr>
          <w:p>
            <w:pPr>
              <w:pStyle w:val="TableParagraph"/>
              <w:spacing w:before="10"/>
              <w:ind w:right="119"/>
              <w:jc w:val="right"/>
              <w:rPr>
                <w:sz w:val="18"/>
              </w:rPr>
            </w:pPr>
            <w:r>
              <w:rPr>
                <w:w w:val="99"/>
                <w:sz w:val="18"/>
              </w:rPr>
              <w:t>1</w:t>
            </w:r>
          </w:p>
        </w:tc>
        <w:tc>
          <w:tcPr>
            <w:tcW w:w="341" w:type="dxa"/>
            <w:tcBorders>
              <w:top w:val="nil"/>
              <w:left w:val="nil"/>
              <w:bottom w:val="nil"/>
              <w:right w:val="nil"/>
            </w:tcBorders>
          </w:tcPr>
          <w:p>
            <w:pPr>
              <w:pStyle w:val="TableParagraph"/>
              <w:spacing w:before="10"/>
              <w:jc w:val="center"/>
              <w:rPr>
                <w:sz w:val="18"/>
              </w:rPr>
            </w:pPr>
            <w:r>
              <w:rPr>
                <w:w w:val="99"/>
                <w:sz w:val="18"/>
              </w:rPr>
              <w:t>4</w:t>
            </w:r>
          </w:p>
        </w:tc>
        <w:tc>
          <w:tcPr>
            <w:tcW w:w="342" w:type="dxa"/>
            <w:tcBorders>
              <w:top w:val="nil"/>
              <w:left w:val="nil"/>
              <w:bottom w:val="nil"/>
              <w:right w:val="nil"/>
            </w:tcBorders>
          </w:tcPr>
          <w:p>
            <w:pPr>
              <w:pStyle w:val="TableParagraph"/>
              <w:spacing w:before="10"/>
              <w:ind w:left="119"/>
              <w:rPr>
                <w:sz w:val="18"/>
              </w:rPr>
            </w:pPr>
            <w:r>
              <w:rPr>
                <w:w w:val="99"/>
                <w:sz w:val="18"/>
              </w:rPr>
              <w:t>4</w:t>
            </w:r>
          </w:p>
        </w:tc>
        <w:tc>
          <w:tcPr>
            <w:tcW w:w="342" w:type="dxa"/>
            <w:tcBorders>
              <w:top w:val="nil"/>
              <w:left w:val="nil"/>
              <w:bottom w:val="nil"/>
            </w:tcBorders>
          </w:tcPr>
          <w:p>
            <w:pPr>
              <w:pStyle w:val="TableParagraph"/>
              <w:spacing w:before="10"/>
              <w:ind w:right="113"/>
              <w:jc w:val="right"/>
              <w:rPr>
                <w:sz w:val="18"/>
              </w:rPr>
            </w:pPr>
            <w:r>
              <w:rPr>
                <w:w w:val="99"/>
                <w:sz w:val="18"/>
              </w:rPr>
              <w:t>7</w:t>
            </w:r>
          </w:p>
        </w:tc>
        <w:tc>
          <w:tcPr>
            <w:tcW w:w="341" w:type="dxa"/>
            <w:tcBorders>
              <w:top w:val="nil"/>
              <w:bottom w:val="nil"/>
              <w:right w:val="nil"/>
            </w:tcBorders>
          </w:tcPr>
          <w:p>
            <w:pPr>
              <w:pStyle w:val="TableParagraph"/>
              <w:spacing w:before="10"/>
              <w:ind w:right="3"/>
              <w:jc w:val="center"/>
              <w:rPr>
                <w:sz w:val="18"/>
              </w:rPr>
            </w:pPr>
            <w:r>
              <w:rPr>
                <w:w w:val="99"/>
                <w:sz w:val="18"/>
              </w:rPr>
              <w:t>4</w:t>
            </w:r>
          </w:p>
        </w:tc>
        <w:tc>
          <w:tcPr>
            <w:tcW w:w="341" w:type="dxa"/>
            <w:tcBorders>
              <w:top w:val="nil"/>
              <w:left w:val="nil"/>
              <w:bottom w:val="nil"/>
              <w:right w:val="nil"/>
            </w:tcBorders>
          </w:tcPr>
          <w:p>
            <w:pPr>
              <w:pStyle w:val="TableParagraph"/>
              <w:spacing w:before="10"/>
              <w:jc w:val="center"/>
              <w:rPr>
                <w:sz w:val="18"/>
              </w:rPr>
            </w:pPr>
            <w:r>
              <w:rPr>
                <w:w w:val="99"/>
                <w:sz w:val="18"/>
              </w:rPr>
              <w:t>3</w:t>
            </w:r>
          </w:p>
        </w:tc>
        <w:tc>
          <w:tcPr>
            <w:tcW w:w="341" w:type="dxa"/>
            <w:tcBorders>
              <w:top w:val="nil"/>
              <w:left w:val="nil"/>
              <w:bottom w:val="nil"/>
              <w:right w:val="nil"/>
            </w:tcBorders>
          </w:tcPr>
          <w:p>
            <w:pPr>
              <w:pStyle w:val="TableParagraph"/>
              <w:spacing w:before="10"/>
              <w:ind w:left="119"/>
              <w:rPr>
                <w:sz w:val="18"/>
              </w:rPr>
            </w:pPr>
            <w:r>
              <w:rPr>
                <w:w w:val="99"/>
                <w:sz w:val="18"/>
              </w:rPr>
              <w:t>1</w:t>
            </w:r>
          </w:p>
        </w:tc>
        <w:tc>
          <w:tcPr>
            <w:tcW w:w="341" w:type="dxa"/>
            <w:tcBorders>
              <w:top w:val="nil"/>
              <w:left w:val="nil"/>
              <w:bottom w:val="nil"/>
              <w:right w:val="nil"/>
            </w:tcBorders>
          </w:tcPr>
          <w:p>
            <w:pPr>
              <w:pStyle w:val="TableParagraph"/>
              <w:spacing w:before="10"/>
              <w:jc w:val="center"/>
              <w:rPr>
                <w:sz w:val="18"/>
              </w:rPr>
            </w:pPr>
            <w:r>
              <w:rPr>
                <w:w w:val="99"/>
                <w:sz w:val="18"/>
              </w:rPr>
              <w:t>2</w:t>
            </w:r>
          </w:p>
        </w:tc>
        <w:tc>
          <w:tcPr>
            <w:tcW w:w="343" w:type="dxa"/>
            <w:tcBorders>
              <w:top w:val="nil"/>
              <w:left w:val="nil"/>
              <w:bottom w:val="nil"/>
              <w:right w:val="nil"/>
            </w:tcBorders>
          </w:tcPr>
          <w:p>
            <w:pPr>
              <w:pStyle w:val="TableParagraph"/>
              <w:spacing w:before="10"/>
              <w:ind w:right="2"/>
              <w:jc w:val="center"/>
              <w:rPr>
                <w:sz w:val="18"/>
              </w:rPr>
            </w:pPr>
            <w:r>
              <w:rPr>
                <w:w w:val="99"/>
                <w:sz w:val="18"/>
              </w:rPr>
              <w:t>4</w:t>
            </w:r>
          </w:p>
        </w:tc>
      </w:tr>
      <w:tr>
        <w:trPr>
          <w:trHeight w:val="288" w:hRule="exact"/>
        </w:trPr>
        <w:tc>
          <w:tcPr>
            <w:tcW w:w="1944" w:type="dxa"/>
            <w:tcBorders>
              <w:top w:val="nil"/>
              <w:left w:val="nil"/>
              <w:bottom w:val="nil"/>
              <w:right w:val="nil"/>
            </w:tcBorders>
          </w:tcPr>
          <w:p>
            <w:pPr>
              <w:pStyle w:val="TableParagraph"/>
              <w:spacing w:before="31"/>
              <w:ind w:left="69" w:right="154"/>
              <w:rPr>
                <w:sz w:val="18"/>
              </w:rPr>
            </w:pPr>
            <w:r>
              <w:rPr>
                <w:sz w:val="18"/>
              </w:rPr>
              <w:t>OTROS</w:t>
            </w:r>
          </w:p>
        </w:tc>
        <w:tc>
          <w:tcPr>
            <w:tcW w:w="578" w:type="dxa"/>
            <w:tcBorders>
              <w:top w:val="nil"/>
              <w:left w:val="nil"/>
              <w:bottom w:val="nil"/>
              <w:right w:val="nil"/>
            </w:tcBorders>
          </w:tcPr>
          <w:p>
            <w:pPr>
              <w:pStyle w:val="TableParagraph"/>
              <w:spacing w:before="31"/>
              <w:ind w:left="243"/>
              <w:rPr>
                <w:sz w:val="18"/>
              </w:rPr>
            </w:pPr>
            <w:r>
              <w:rPr>
                <w:w w:val="100"/>
                <w:sz w:val="18"/>
              </w:rPr>
              <w:t>−</w:t>
            </w:r>
          </w:p>
        </w:tc>
        <w:tc>
          <w:tcPr>
            <w:tcW w:w="544" w:type="dxa"/>
            <w:tcBorders>
              <w:top w:val="nil"/>
              <w:left w:val="nil"/>
              <w:bottom w:val="nil"/>
            </w:tcBorders>
          </w:tcPr>
          <w:p>
            <w:pPr>
              <w:pStyle w:val="TableParagraph"/>
              <w:spacing w:before="31"/>
              <w:ind w:left="248"/>
              <w:rPr>
                <w:sz w:val="18"/>
              </w:rPr>
            </w:pPr>
            <w:r>
              <w:rPr>
                <w:w w:val="99"/>
                <w:sz w:val="18"/>
              </w:rPr>
              <w:t>-</w:t>
            </w:r>
          </w:p>
        </w:tc>
        <w:tc>
          <w:tcPr>
            <w:tcW w:w="340" w:type="dxa"/>
            <w:tcBorders>
              <w:top w:val="nil"/>
              <w:bottom w:val="nil"/>
              <w:right w:val="nil"/>
            </w:tcBorders>
          </w:tcPr>
          <w:p>
            <w:pPr>
              <w:pStyle w:val="TableParagraph"/>
              <w:spacing w:before="31"/>
              <w:ind w:left="112"/>
              <w:rPr>
                <w:sz w:val="18"/>
              </w:rPr>
            </w:pPr>
            <w:r>
              <w:rPr>
                <w:w w:val="99"/>
                <w:sz w:val="18"/>
              </w:rPr>
              <w:t>1</w:t>
            </w:r>
          </w:p>
        </w:tc>
        <w:tc>
          <w:tcPr>
            <w:tcW w:w="342" w:type="dxa"/>
            <w:tcBorders>
              <w:top w:val="nil"/>
              <w:left w:val="nil"/>
              <w:bottom w:val="nil"/>
              <w:right w:val="nil"/>
            </w:tcBorders>
          </w:tcPr>
          <w:p>
            <w:pPr>
              <w:pStyle w:val="TableParagraph"/>
              <w:spacing w:before="31"/>
              <w:ind w:left="118"/>
              <w:rPr>
                <w:sz w:val="18"/>
              </w:rPr>
            </w:pPr>
            <w:r>
              <w:rPr>
                <w:w w:val="100"/>
                <w:sz w:val="18"/>
              </w:rPr>
              <w:t>−</w:t>
            </w:r>
          </w:p>
        </w:tc>
        <w:tc>
          <w:tcPr>
            <w:tcW w:w="341" w:type="dxa"/>
            <w:tcBorders>
              <w:top w:val="nil"/>
              <w:left w:val="nil"/>
              <w:bottom w:val="nil"/>
              <w:right w:val="nil"/>
            </w:tcBorders>
          </w:tcPr>
          <w:p>
            <w:pPr>
              <w:pStyle w:val="TableParagraph"/>
              <w:spacing w:before="31"/>
              <w:jc w:val="center"/>
              <w:rPr>
                <w:sz w:val="18"/>
              </w:rPr>
            </w:pPr>
            <w:r>
              <w:rPr>
                <w:w w:val="100"/>
                <w:sz w:val="18"/>
              </w:rPr>
              <w:t>−</w:t>
            </w:r>
          </w:p>
        </w:tc>
        <w:tc>
          <w:tcPr>
            <w:tcW w:w="341" w:type="dxa"/>
            <w:tcBorders>
              <w:top w:val="nil"/>
              <w:left w:val="nil"/>
              <w:bottom w:val="nil"/>
              <w:right w:val="nil"/>
            </w:tcBorders>
          </w:tcPr>
          <w:p>
            <w:pPr>
              <w:pStyle w:val="TableParagraph"/>
              <w:spacing w:before="31"/>
              <w:ind w:right="116"/>
              <w:jc w:val="right"/>
              <w:rPr>
                <w:sz w:val="18"/>
              </w:rPr>
            </w:pPr>
            <w:r>
              <w:rPr>
                <w:w w:val="100"/>
                <w:sz w:val="18"/>
              </w:rPr>
              <w:t>−</w:t>
            </w:r>
          </w:p>
        </w:tc>
        <w:tc>
          <w:tcPr>
            <w:tcW w:w="341" w:type="dxa"/>
            <w:tcBorders>
              <w:top w:val="nil"/>
              <w:left w:val="nil"/>
              <w:bottom w:val="nil"/>
              <w:right w:val="nil"/>
            </w:tcBorders>
          </w:tcPr>
          <w:p>
            <w:pPr>
              <w:pStyle w:val="TableParagraph"/>
              <w:spacing w:before="31"/>
              <w:jc w:val="center"/>
              <w:rPr>
                <w:sz w:val="18"/>
              </w:rPr>
            </w:pPr>
            <w:r>
              <w:rPr>
                <w:w w:val="100"/>
                <w:sz w:val="18"/>
              </w:rPr>
              <w:t>−</w:t>
            </w:r>
          </w:p>
        </w:tc>
        <w:tc>
          <w:tcPr>
            <w:tcW w:w="341" w:type="dxa"/>
            <w:tcBorders>
              <w:top w:val="nil"/>
              <w:left w:val="nil"/>
              <w:bottom w:val="nil"/>
              <w:right w:val="nil"/>
            </w:tcBorders>
          </w:tcPr>
          <w:p>
            <w:pPr>
              <w:pStyle w:val="TableParagraph"/>
              <w:spacing w:before="31"/>
              <w:ind w:left="117"/>
              <w:rPr>
                <w:sz w:val="18"/>
              </w:rPr>
            </w:pPr>
            <w:r>
              <w:rPr>
                <w:w w:val="100"/>
                <w:sz w:val="18"/>
              </w:rPr>
              <w:t>−</w:t>
            </w:r>
          </w:p>
        </w:tc>
        <w:tc>
          <w:tcPr>
            <w:tcW w:w="341" w:type="dxa"/>
            <w:tcBorders>
              <w:top w:val="nil"/>
              <w:left w:val="nil"/>
              <w:bottom w:val="nil"/>
            </w:tcBorders>
          </w:tcPr>
          <w:p>
            <w:pPr>
              <w:pStyle w:val="TableParagraph"/>
              <w:spacing w:before="31"/>
              <w:ind w:left="4"/>
              <w:jc w:val="center"/>
              <w:rPr>
                <w:sz w:val="18"/>
              </w:rPr>
            </w:pPr>
            <w:r>
              <w:rPr>
                <w:w w:val="100"/>
                <w:sz w:val="18"/>
              </w:rPr>
              <w:t>−</w:t>
            </w:r>
          </w:p>
        </w:tc>
        <w:tc>
          <w:tcPr>
            <w:tcW w:w="341" w:type="dxa"/>
            <w:tcBorders>
              <w:top w:val="nil"/>
              <w:bottom w:val="nil"/>
              <w:right w:val="nil"/>
            </w:tcBorders>
          </w:tcPr>
          <w:p>
            <w:pPr>
              <w:pStyle w:val="TableParagraph"/>
              <w:spacing w:before="31"/>
              <w:ind w:right="3"/>
              <w:jc w:val="center"/>
              <w:rPr>
                <w:sz w:val="18"/>
              </w:rPr>
            </w:pPr>
            <w:r>
              <w:rPr>
                <w:w w:val="100"/>
                <w:sz w:val="18"/>
              </w:rPr>
              <w:t>−</w:t>
            </w:r>
          </w:p>
        </w:tc>
        <w:tc>
          <w:tcPr>
            <w:tcW w:w="341" w:type="dxa"/>
            <w:tcBorders>
              <w:top w:val="nil"/>
              <w:left w:val="nil"/>
              <w:bottom w:val="nil"/>
              <w:right w:val="nil"/>
            </w:tcBorders>
          </w:tcPr>
          <w:p>
            <w:pPr>
              <w:pStyle w:val="TableParagraph"/>
              <w:spacing w:before="31"/>
              <w:ind w:left="119"/>
              <w:rPr>
                <w:sz w:val="18"/>
              </w:rPr>
            </w:pPr>
            <w:r>
              <w:rPr>
                <w:w w:val="99"/>
                <w:sz w:val="18"/>
              </w:rPr>
              <w:t>2</w:t>
            </w:r>
          </w:p>
        </w:tc>
        <w:tc>
          <w:tcPr>
            <w:tcW w:w="341" w:type="dxa"/>
            <w:tcBorders>
              <w:top w:val="nil"/>
              <w:left w:val="nil"/>
              <w:bottom w:val="nil"/>
              <w:right w:val="nil"/>
            </w:tcBorders>
          </w:tcPr>
          <w:p>
            <w:pPr>
              <w:pStyle w:val="TableParagraph"/>
              <w:spacing w:before="31"/>
              <w:ind w:right="116"/>
              <w:jc w:val="right"/>
              <w:rPr>
                <w:sz w:val="18"/>
              </w:rPr>
            </w:pPr>
            <w:r>
              <w:rPr>
                <w:w w:val="100"/>
                <w:sz w:val="18"/>
              </w:rPr>
              <w:t>−</w:t>
            </w:r>
          </w:p>
        </w:tc>
        <w:tc>
          <w:tcPr>
            <w:tcW w:w="341" w:type="dxa"/>
            <w:tcBorders>
              <w:top w:val="nil"/>
              <w:left w:val="nil"/>
              <w:bottom w:val="nil"/>
              <w:right w:val="nil"/>
            </w:tcBorders>
          </w:tcPr>
          <w:p>
            <w:pPr>
              <w:pStyle w:val="TableParagraph"/>
              <w:spacing w:before="31"/>
              <w:ind w:right="83"/>
              <w:jc w:val="right"/>
              <w:rPr>
                <w:sz w:val="18"/>
              </w:rPr>
            </w:pPr>
            <w:r>
              <w:rPr>
                <w:w w:val="95"/>
                <w:sz w:val="18"/>
              </w:rPr>
              <w:t>1*</w:t>
            </w:r>
          </w:p>
        </w:tc>
        <w:tc>
          <w:tcPr>
            <w:tcW w:w="341" w:type="dxa"/>
            <w:tcBorders>
              <w:top w:val="nil"/>
              <w:left w:val="nil"/>
              <w:bottom w:val="nil"/>
              <w:right w:val="nil"/>
            </w:tcBorders>
          </w:tcPr>
          <w:p>
            <w:pPr>
              <w:pStyle w:val="TableParagraph"/>
              <w:spacing w:before="31"/>
              <w:jc w:val="center"/>
              <w:rPr>
                <w:sz w:val="18"/>
              </w:rPr>
            </w:pPr>
            <w:r>
              <w:rPr>
                <w:w w:val="100"/>
                <w:sz w:val="18"/>
              </w:rPr>
              <w:t>−</w:t>
            </w:r>
          </w:p>
        </w:tc>
        <w:tc>
          <w:tcPr>
            <w:tcW w:w="342" w:type="dxa"/>
            <w:tcBorders>
              <w:top w:val="nil"/>
              <w:left w:val="nil"/>
              <w:bottom w:val="nil"/>
              <w:right w:val="nil"/>
            </w:tcBorders>
          </w:tcPr>
          <w:p>
            <w:pPr>
              <w:pStyle w:val="TableParagraph"/>
              <w:spacing w:before="31"/>
              <w:ind w:left="117"/>
              <w:rPr>
                <w:sz w:val="18"/>
              </w:rPr>
            </w:pPr>
            <w:r>
              <w:rPr>
                <w:w w:val="100"/>
                <w:sz w:val="18"/>
              </w:rPr>
              <w:t>−</w:t>
            </w:r>
          </w:p>
        </w:tc>
        <w:tc>
          <w:tcPr>
            <w:tcW w:w="342" w:type="dxa"/>
            <w:tcBorders>
              <w:top w:val="nil"/>
              <w:left w:val="nil"/>
              <w:bottom w:val="nil"/>
            </w:tcBorders>
          </w:tcPr>
          <w:p>
            <w:pPr>
              <w:pStyle w:val="TableParagraph"/>
              <w:spacing w:before="31"/>
              <w:ind w:right="113"/>
              <w:jc w:val="right"/>
              <w:rPr>
                <w:sz w:val="18"/>
              </w:rPr>
            </w:pPr>
            <w:r>
              <w:rPr>
                <w:w w:val="99"/>
                <w:sz w:val="18"/>
              </w:rPr>
              <w:t>1</w:t>
            </w:r>
          </w:p>
        </w:tc>
        <w:tc>
          <w:tcPr>
            <w:tcW w:w="341" w:type="dxa"/>
            <w:tcBorders>
              <w:top w:val="nil"/>
              <w:bottom w:val="nil"/>
              <w:right w:val="nil"/>
            </w:tcBorders>
          </w:tcPr>
          <w:p>
            <w:pPr>
              <w:pStyle w:val="TableParagraph"/>
              <w:spacing w:before="31"/>
              <w:ind w:right="3"/>
              <w:jc w:val="center"/>
              <w:rPr>
                <w:sz w:val="18"/>
              </w:rPr>
            </w:pPr>
            <w:r>
              <w:rPr>
                <w:w w:val="100"/>
                <w:sz w:val="18"/>
              </w:rPr>
              <w:t>−</w:t>
            </w:r>
          </w:p>
        </w:tc>
        <w:tc>
          <w:tcPr>
            <w:tcW w:w="341" w:type="dxa"/>
            <w:tcBorders>
              <w:top w:val="nil"/>
              <w:left w:val="nil"/>
              <w:bottom w:val="nil"/>
              <w:right w:val="nil"/>
            </w:tcBorders>
          </w:tcPr>
          <w:p>
            <w:pPr>
              <w:pStyle w:val="TableParagraph"/>
              <w:spacing w:before="31"/>
              <w:jc w:val="center"/>
              <w:rPr>
                <w:sz w:val="18"/>
              </w:rPr>
            </w:pPr>
            <w:r>
              <w:rPr>
                <w:w w:val="100"/>
                <w:sz w:val="18"/>
              </w:rPr>
              <w:t>−</w:t>
            </w:r>
          </w:p>
        </w:tc>
        <w:tc>
          <w:tcPr>
            <w:tcW w:w="341" w:type="dxa"/>
            <w:tcBorders>
              <w:top w:val="nil"/>
              <w:left w:val="nil"/>
              <w:bottom w:val="nil"/>
              <w:right w:val="nil"/>
            </w:tcBorders>
          </w:tcPr>
          <w:p>
            <w:pPr>
              <w:pStyle w:val="TableParagraph"/>
              <w:spacing w:before="31"/>
              <w:ind w:left="117"/>
              <w:rPr>
                <w:sz w:val="18"/>
              </w:rPr>
            </w:pPr>
            <w:r>
              <w:rPr>
                <w:w w:val="100"/>
                <w:sz w:val="18"/>
              </w:rPr>
              <w:t>−</w:t>
            </w:r>
          </w:p>
        </w:tc>
        <w:tc>
          <w:tcPr>
            <w:tcW w:w="341" w:type="dxa"/>
            <w:tcBorders>
              <w:top w:val="nil"/>
              <w:left w:val="nil"/>
              <w:bottom w:val="nil"/>
              <w:right w:val="nil"/>
            </w:tcBorders>
          </w:tcPr>
          <w:p>
            <w:pPr>
              <w:pStyle w:val="TableParagraph"/>
              <w:spacing w:before="31"/>
              <w:jc w:val="center"/>
              <w:rPr>
                <w:sz w:val="18"/>
              </w:rPr>
            </w:pPr>
            <w:r>
              <w:rPr>
                <w:w w:val="100"/>
                <w:sz w:val="18"/>
              </w:rPr>
              <w:t>−</w:t>
            </w:r>
          </w:p>
        </w:tc>
        <w:tc>
          <w:tcPr>
            <w:tcW w:w="343" w:type="dxa"/>
            <w:tcBorders>
              <w:top w:val="nil"/>
              <w:left w:val="nil"/>
              <w:bottom w:val="nil"/>
              <w:right w:val="nil"/>
            </w:tcBorders>
          </w:tcPr>
          <w:p>
            <w:pPr>
              <w:pStyle w:val="TableParagraph"/>
              <w:spacing w:before="31"/>
              <w:ind w:right="2"/>
              <w:jc w:val="center"/>
              <w:rPr>
                <w:sz w:val="18"/>
              </w:rPr>
            </w:pPr>
            <w:r>
              <w:rPr>
                <w:w w:val="99"/>
                <w:sz w:val="18"/>
              </w:rPr>
              <w:t>1</w:t>
            </w:r>
          </w:p>
        </w:tc>
      </w:tr>
      <w:tr>
        <w:trPr>
          <w:trHeight w:val="268" w:hRule="exact"/>
        </w:trPr>
        <w:tc>
          <w:tcPr>
            <w:tcW w:w="1944" w:type="dxa"/>
            <w:tcBorders>
              <w:top w:val="nil"/>
              <w:left w:val="nil"/>
              <w:bottom w:val="nil"/>
              <w:right w:val="nil"/>
            </w:tcBorders>
          </w:tcPr>
          <w:p>
            <w:pPr>
              <w:pStyle w:val="TableParagraph"/>
              <w:spacing w:before="31"/>
              <w:ind w:left="331" w:right="154"/>
              <w:rPr>
                <w:sz w:val="18"/>
              </w:rPr>
            </w:pPr>
            <w:r>
              <w:rPr>
                <w:sz w:val="18"/>
              </w:rPr>
              <w:t>TOTAL ANUAL</w:t>
            </w:r>
          </w:p>
        </w:tc>
        <w:tc>
          <w:tcPr>
            <w:tcW w:w="578" w:type="dxa"/>
            <w:tcBorders>
              <w:top w:val="nil"/>
              <w:left w:val="nil"/>
              <w:bottom w:val="nil"/>
              <w:right w:val="nil"/>
            </w:tcBorders>
          </w:tcPr>
          <w:p>
            <w:pPr>
              <w:pStyle w:val="TableParagraph"/>
              <w:spacing w:before="31"/>
              <w:ind w:left="245"/>
              <w:rPr>
                <w:sz w:val="18"/>
              </w:rPr>
            </w:pPr>
            <w:r>
              <w:rPr>
                <w:w w:val="99"/>
                <w:sz w:val="18"/>
              </w:rPr>
              <w:t>3</w:t>
            </w:r>
          </w:p>
        </w:tc>
        <w:tc>
          <w:tcPr>
            <w:tcW w:w="544" w:type="dxa"/>
            <w:tcBorders>
              <w:top w:val="nil"/>
              <w:left w:val="nil"/>
              <w:bottom w:val="nil"/>
            </w:tcBorders>
          </w:tcPr>
          <w:p>
            <w:pPr>
              <w:pStyle w:val="TableParagraph"/>
              <w:spacing w:before="31"/>
              <w:ind w:left="226"/>
              <w:rPr>
                <w:sz w:val="18"/>
              </w:rPr>
            </w:pPr>
            <w:r>
              <w:rPr>
                <w:w w:val="99"/>
                <w:sz w:val="18"/>
              </w:rPr>
              <w:t>2</w:t>
            </w:r>
          </w:p>
        </w:tc>
        <w:tc>
          <w:tcPr>
            <w:tcW w:w="340" w:type="dxa"/>
            <w:tcBorders>
              <w:top w:val="nil"/>
              <w:bottom w:val="nil"/>
              <w:right w:val="nil"/>
            </w:tcBorders>
          </w:tcPr>
          <w:p>
            <w:pPr>
              <w:pStyle w:val="TableParagraph"/>
              <w:spacing w:before="31"/>
              <w:ind w:left="62"/>
              <w:rPr>
                <w:sz w:val="18"/>
              </w:rPr>
            </w:pPr>
            <w:r>
              <w:rPr>
                <w:sz w:val="18"/>
              </w:rPr>
              <w:t>13</w:t>
            </w:r>
          </w:p>
        </w:tc>
        <w:tc>
          <w:tcPr>
            <w:tcW w:w="342" w:type="dxa"/>
            <w:tcBorders>
              <w:top w:val="nil"/>
              <w:left w:val="nil"/>
              <w:bottom w:val="nil"/>
              <w:right w:val="nil"/>
            </w:tcBorders>
          </w:tcPr>
          <w:p>
            <w:pPr>
              <w:pStyle w:val="TableParagraph"/>
              <w:spacing w:before="31"/>
              <w:ind w:left="70"/>
              <w:rPr>
                <w:sz w:val="18"/>
              </w:rPr>
            </w:pPr>
            <w:r>
              <w:rPr>
                <w:sz w:val="18"/>
              </w:rPr>
              <w:t>25</w:t>
            </w:r>
          </w:p>
        </w:tc>
        <w:tc>
          <w:tcPr>
            <w:tcW w:w="341" w:type="dxa"/>
            <w:tcBorders>
              <w:top w:val="nil"/>
              <w:left w:val="nil"/>
              <w:bottom w:val="nil"/>
              <w:right w:val="nil"/>
            </w:tcBorders>
          </w:tcPr>
          <w:p>
            <w:pPr>
              <w:pStyle w:val="TableParagraph"/>
              <w:spacing w:before="31"/>
              <w:jc w:val="center"/>
              <w:rPr>
                <w:sz w:val="18"/>
              </w:rPr>
            </w:pPr>
            <w:r>
              <w:rPr>
                <w:w w:val="99"/>
                <w:sz w:val="18"/>
              </w:rPr>
              <w:t>9</w:t>
            </w:r>
          </w:p>
        </w:tc>
        <w:tc>
          <w:tcPr>
            <w:tcW w:w="341" w:type="dxa"/>
            <w:tcBorders>
              <w:top w:val="nil"/>
              <w:left w:val="nil"/>
              <w:bottom w:val="nil"/>
              <w:right w:val="nil"/>
            </w:tcBorders>
          </w:tcPr>
          <w:p>
            <w:pPr>
              <w:pStyle w:val="TableParagraph"/>
              <w:spacing w:before="31"/>
              <w:ind w:right="67"/>
              <w:jc w:val="right"/>
              <w:rPr>
                <w:sz w:val="18"/>
              </w:rPr>
            </w:pPr>
            <w:r>
              <w:rPr>
                <w:w w:val="95"/>
                <w:sz w:val="18"/>
              </w:rPr>
              <w:t>19</w:t>
            </w:r>
          </w:p>
        </w:tc>
        <w:tc>
          <w:tcPr>
            <w:tcW w:w="341" w:type="dxa"/>
            <w:tcBorders>
              <w:top w:val="nil"/>
              <w:left w:val="nil"/>
              <w:bottom w:val="nil"/>
              <w:right w:val="nil"/>
            </w:tcBorders>
          </w:tcPr>
          <w:p>
            <w:pPr>
              <w:pStyle w:val="TableParagraph"/>
              <w:spacing w:before="31"/>
              <w:ind w:left="50" w:right="50"/>
              <w:jc w:val="center"/>
              <w:rPr>
                <w:sz w:val="18"/>
              </w:rPr>
            </w:pPr>
            <w:r>
              <w:rPr>
                <w:sz w:val="18"/>
              </w:rPr>
              <w:t>19</w:t>
            </w:r>
          </w:p>
        </w:tc>
        <w:tc>
          <w:tcPr>
            <w:tcW w:w="341" w:type="dxa"/>
            <w:tcBorders>
              <w:top w:val="nil"/>
              <w:left w:val="nil"/>
              <w:bottom w:val="nil"/>
              <w:right w:val="nil"/>
            </w:tcBorders>
          </w:tcPr>
          <w:p>
            <w:pPr>
              <w:pStyle w:val="TableParagraph"/>
              <w:spacing w:before="31"/>
              <w:ind w:left="69"/>
              <w:rPr>
                <w:sz w:val="18"/>
              </w:rPr>
            </w:pPr>
            <w:r>
              <w:rPr>
                <w:sz w:val="18"/>
              </w:rPr>
              <w:t>14</w:t>
            </w:r>
          </w:p>
        </w:tc>
        <w:tc>
          <w:tcPr>
            <w:tcW w:w="341" w:type="dxa"/>
            <w:tcBorders>
              <w:top w:val="nil"/>
              <w:left w:val="nil"/>
              <w:bottom w:val="nil"/>
            </w:tcBorders>
          </w:tcPr>
          <w:p>
            <w:pPr>
              <w:pStyle w:val="TableParagraph"/>
              <w:spacing w:before="31"/>
              <w:ind w:left="46" w:right="42"/>
              <w:jc w:val="center"/>
              <w:rPr>
                <w:sz w:val="18"/>
              </w:rPr>
            </w:pPr>
            <w:r>
              <w:rPr>
                <w:sz w:val="18"/>
              </w:rPr>
              <w:t>11</w:t>
            </w:r>
          </w:p>
        </w:tc>
        <w:tc>
          <w:tcPr>
            <w:tcW w:w="341" w:type="dxa"/>
            <w:tcBorders>
              <w:top w:val="nil"/>
              <w:bottom w:val="nil"/>
              <w:right w:val="nil"/>
            </w:tcBorders>
          </w:tcPr>
          <w:p>
            <w:pPr>
              <w:pStyle w:val="TableParagraph"/>
              <w:spacing w:before="31"/>
              <w:ind w:right="3"/>
              <w:jc w:val="center"/>
              <w:rPr>
                <w:sz w:val="18"/>
              </w:rPr>
            </w:pPr>
            <w:r>
              <w:rPr>
                <w:w w:val="99"/>
                <w:sz w:val="18"/>
              </w:rPr>
              <w:t>9</w:t>
            </w:r>
          </w:p>
        </w:tc>
        <w:tc>
          <w:tcPr>
            <w:tcW w:w="341" w:type="dxa"/>
            <w:tcBorders>
              <w:top w:val="nil"/>
              <w:left w:val="nil"/>
              <w:bottom w:val="nil"/>
              <w:right w:val="nil"/>
            </w:tcBorders>
          </w:tcPr>
          <w:p>
            <w:pPr>
              <w:pStyle w:val="TableParagraph"/>
              <w:spacing w:before="31"/>
              <w:ind w:left="69"/>
              <w:rPr>
                <w:sz w:val="18"/>
              </w:rPr>
            </w:pPr>
            <w:r>
              <w:rPr>
                <w:sz w:val="18"/>
              </w:rPr>
              <w:t>21</w:t>
            </w:r>
          </w:p>
        </w:tc>
        <w:tc>
          <w:tcPr>
            <w:tcW w:w="341" w:type="dxa"/>
            <w:tcBorders>
              <w:top w:val="nil"/>
              <w:left w:val="nil"/>
              <w:bottom w:val="nil"/>
              <w:right w:val="nil"/>
            </w:tcBorders>
          </w:tcPr>
          <w:p>
            <w:pPr>
              <w:pStyle w:val="TableParagraph"/>
              <w:spacing w:before="31"/>
              <w:ind w:right="67"/>
              <w:jc w:val="right"/>
              <w:rPr>
                <w:sz w:val="18"/>
              </w:rPr>
            </w:pPr>
            <w:r>
              <w:rPr>
                <w:w w:val="95"/>
                <w:sz w:val="18"/>
              </w:rPr>
              <w:t>18</w:t>
            </w:r>
          </w:p>
        </w:tc>
        <w:tc>
          <w:tcPr>
            <w:tcW w:w="341" w:type="dxa"/>
            <w:tcBorders>
              <w:top w:val="nil"/>
              <w:left w:val="nil"/>
              <w:bottom w:val="nil"/>
              <w:right w:val="nil"/>
            </w:tcBorders>
          </w:tcPr>
          <w:p>
            <w:pPr>
              <w:pStyle w:val="TableParagraph"/>
              <w:spacing w:before="31"/>
              <w:ind w:right="67"/>
              <w:jc w:val="right"/>
              <w:rPr>
                <w:sz w:val="18"/>
              </w:rPr>
            </w:pPr>
            <w:r>
              <w:rPr>
                <w:w w:val="95"/>
                <w:sz w:val="18"/>
              </w:rPr>
              <w:t>30</w:t>
            </w:r>
          </w:p>
        </w:tc>
        <w:tc>
          <w:tcPr>
            <w:tcW w:w="341" w:type="dxa"/>
            <w:tcBorders>
              <w:top w:val="nil"/>
              <w:left w:val="nil"/>
              <w:bottom w:val="nil"/>
              <w:right w:val="nil"/>
            </w:tcBorders>
          </w:tcPr>
          <w:p>
            <w:pPr>
              <w:pStyle w:val="TableParagraph"/>
              <w:spacing w:before="31"/>
              <w:ind w:left="50" w:right="50"/>
              <w:jc w:val="center"/>
              <w:rPr>
                <w:sz w:val="18"/>
              </w:rPr>
            </w:pPr>
            <w:r>
              <w:rPr>
                <w:sz w:val="18"/>
              </w:rPr>
              <w:t>25</w:t>
            </w:r>
          </w:p>
        </w:tc>
        <w:tc>
          <w:tcPr>
            <w:tcW w:w="342" w:type="dxa"/>
            <w:tcBorders>
              <w:top w:val="nil"/>
              <w:left w:val="nil"/>
              <w:bottom w:val="nil"/>
              <w:right w:val="nil"/>
            </w:tcBorders>
          </w:tcPr>
          <w:p>
            <w:pPr>
              <w:pStyle w:val="TableParagraph"/>
              <w:spacing w:before="31"/>
              <w:ind w:left="69"/>
              <w:rPr>
                <w:sz w:val="18"/>
              </w:rPr>
            </w:pPr>
            <w:r>
              <w:rPr>
                <w:sz w:val="18"/>
              </w:rPr>
              <w:t>27</w:t>
            </w:r>
          </w:p>
        </w:tc>
        <w:tc>
          <w:tcPr>
            <w:tcW w:w="342" w:type="dxa"/>
            <w:tcBorders>
              <w:top w:val="nil"/>
              <w:left w:val="nil"/>
              <w:bottom w:val="nil"/>
            </w:tcBorders>
          </w:tcPr>
          <w:p>
            <w:pPr>
              <w:pStyle w:val="TableParagraph"/>
              <w:spacing w:before="31"/>
              <w:ind w:right="62"/>
              <w:jc w:val="right"/>
              <w:rPr>
                <w:sz w:val="18"/>
              </w:rPr>
            </w:pPr>
            <w:r>
              <w:rPr>
                <w:w w:val="95"/>
                <w:sz w:val="18"/>
              </w:rPr>
              <w:t>44</w:t>
            </w:r>
          </w:p>
        </w:tc>
        <w:tc>
          <w:tcPr>
            <w:tcW w:w="341" w:type="dxa"/>
            <w:tcBorders>
              <w:top w:val="nil"/>
              <w:bottom w:val="nil"/>
              <w:right w:val="nil"/>
            </w:tcBorders>
          </w:tcPr>
          <w:p>
            <w:pPr>
              <w:pStyle w:val="TableParagraph"/>
              <w:spacing w:before="31"/>
              <w:ind w:right="3"/>
              <w:jc w:val="center"/>
              <w:rPr>
                <w:sz w:val="18"/>
              </w:rPr>
            </w:pPr>
            <w:r>
              <w:rPr>
                <w:w w:val="99"/>
                <w:sz w:val="18"/>
              </w:rPr>
              <w:t>4</w:t>
            </w:r>
          </w:p>
        </w:tc>
        <w:tc>
          <w:tcPr>
            <w:tcW w:w="341" w:type="dxa"/>
            <w:tcBorders>
              <w:top w:val="nil"/>
              <w:left w:val="nil"/>
              <w:bottom w:val="nil"/>
              <w:right w:val="nil"/>
            </w:tcBorders>
          </w:tcPr>
          <w:p>
            <w:pPr>
              <w:pStyle w:val="TableParagraph"/>
              <w:spacing w:before="31"/>
              <w:jc w:val="center"/>
              <w:rPr>
                <w:sz w:val="18"/>
              </w:rPr>
            </w:pPr>
            <w:r>
              <w:rPr>
                <w:w w:val="99"/>
                <w:sz w:val="18"/>
              </w:rPr>
              <w:t>3</w:t>
            </w:r>
          </w:p>
        </w:tc>
        <w:tc>
          <w:tcPr>
            <w:tcW w:w="341" w:type="dxa"/>
            <w:tcBorders>
              <w:top w:val="nil"/>
              <w:left w:val="nil"/>
              <w:bottom w:val="nil"/>
              <w:right w:val="nil"/>
            </w:tcBorders>
          </w:tcPr>
          <w:p>
            <w:pPr>
              <w:pStyle w:val="TableParagraph"/>
              <w:spacing w:before="31"/>
              <w:ind w:left="119"/>
              <w:rPr>
                <w:sz w:val="18"/>
              </w:rPr>
            </w:pPr>
            <w:r>
              <w:rPr>
                <w:w w:val="99"/>
                <w:sz w:val="18"/>
              </w:rPr>
              <w:t>5</w:t>
            </w:r>
          </w:p>
        </w:tc>
        <w:tc>
          <w:tcPr>
            <w:tcW w:w="341" w:type="dxa"/>
            <w:tcBorders>
              <w:top w:val="nil"/>
              <w:left w:val="nil"/>
              <w:bottom w:val="nil"/>
              <w:right w:val="nil"/>
            </w:tcBorders>
          </w:tcPr>
          <w:p>
            <w:pPr>
              <w:pStyle w:val="TableParagraph"/>
              <w:spacing w:before="31"/>
              <w:jc w:val="center"/>
              <w:rPr>
                <w:sz w:val="18"/>
              </w:rPr>
            </w:pPr>
            <w:r>
              <w:rPr>
                <w:w w:val="99"/>
                <w:sz w:val="18"/>
              </w:rPr>
              <w:t>9</w:t>
            </w:r>
          </w:p>
        </w:tc>
        <w:tc>
          <w:tcPr>
            <w:tcW w:w="343" w:type="dxa"/>
            <w:tcBorders>
              <w:top w:val="nil"/>
              <w:left w:val="nil"/>
              <w:bottom w:val="nil"/>
              <w:right w:val="nil"/>
            </w:tcBorders>
          </w:tcPr>
          <w:p>
            <w:pPr>
              <w:pStyle w:val="TableParagraph"/>
              <w:spacing w:before="31"/>
              <w:ind w:right="2"/>
              <w:jc w:val="center"/>
              <w:rPr>
                <w:sz w:val="18"/>
              </w:rPr>
            </w:pPr>
            <w:r>
              <w:rPr>
                <w:w w:val="99"/>
                <w:sz w:val="18"/>
              </w:rPr>
              <w:t>5</w:t>
            </w:r>
          </w:p>
        </w:tc>
      </w:tr>
      <w:tr>
        <w:trPr>
          <w:trHeight w:val="638" w:hRule="exact"/>
        </w:trPr>
        <w:tc>
          <w:tcPr>
            <w:tcW w:w="1944" w:type="dxa"/>
            <w:tcBorders>
              <w:top w:val="nil"/>
              <w:left w:val="nil"/>
              <w:right w:val="nil"/>
            </w:tcBorders>
          </w:tcPr>
          <w:p>
            <w:pPr>
              <w:pStyle w:val="TableParagraph"/>
              <w:spacing w:before="10"/>
              <w:ind w:left="540" w:right="170" w:hanging="368"/>
              <w:rPr>
                <w:sz w:val="18"/>
              </w:rPr>
            </w:pPr>
            <w:r>
              <w:rPr>
                <w:sz w:val="18"/>
              </w:rPr>
              <w:t>AGREGADOS POR PERIODO 2006-2012</w:t>
            </w:r>
          </w:p>
        </w:tc>
        <w:tc>
          <w:tcPr>
            <w:tcW w:w="578" w:type="dxa"/>
            <w:tcBorders>
              <w:top w:val="nil"/>
              <w:left w:val="nil"/>
              <w:right w:val="nil"/>
            </w:tcBorders>
          </w:tcPr>
          <w:p>
            <w:pPr>
              <w:pStyle w:val="TableParagraph"/>
              <w:spacing w:before="10"/>
              <w:rPr>
                <w:b/>
                <w:sz w:val="18"/>
              </w:rPr>
            </w:pPr>
          </w:p>
          <w:p>
            <w:pPr>
              <w:pStyle w:val="TableParagraph"/>
              <w:ind w:right="-32"/>
              <w:jc w:val="right"/>
              <w:rPr>
                <w:sz w:val="18"/>
              </w:rPr>
            </w:pPr>
            <w:r>
              <w:rPr>
                <w:w w:val="99"/>
                <w:sz w:val="18"/>
              </w:rPr>
              <w:t>5</w:t>
            </w:r>
          </w:p>
        </w:tc>
        <w:tc>
          <w:tcPr>
            <w:tcW w:w="544" w:type="dxa"/>
            <w:tcBorders>
              <w:top w:val="nil"/>
              <w:left w:val="nil"/>
            </w:tcBorders>
          </w:tcPr>
          <w:p>
            <w:pPr/>
          </w:p>
        </w:tc>
        <w:tc>
          <w:tcPr>
            <w:tcW w:w="340" w:type="dxa"/>
            <w:tcBorders>
              <w:top w:val="nil"/>
              <w:right w:val="nil"/>
            </w:tcBorders>
          </w:tcPr>
          <w:p>
            <w:pPr/>
          </w:p>
        </w:tc>
        <w:tc>
          <w:tcPr>
            <w:tcW w:w="342" w:type="dxa"/>
            <w:tcBorders>
              <w:top w:val="nil"/>
              <w:left w:val="nil"/>
              <w:right w:val="nil"/>
            </w:tcBorders>
          </w:tcPr>
          <w:p>
            <w:pPr/>
          </w:p>
        </w:tc>
        <w:tc>
          <w:tcPr>
            <w:tcW w:w="341" w:type="dxa"/>
            <w:tcBorders>
              <w:top w:val="nil"/>
              <w:left w:val="nil"/>
              <w:right w:val="nil"/>
            </w:tcBorders>
          </w:tcPr>
          <w:p>
            <w:pPr/>
          </w:p>
        </w:tc>
        <w:tc>
          <w:tcPr>
            <w:tcW w:w="341" w:type="dxa"/>
            <w:tcBorders>
              <w:top w:val="nil"/>
              <w:left w:val="nil"/>
              <w:right w:val="nil"/>
            </w:tcBorders>
          </w:tcPr>
          <w:p>
            <w:pPr>
              <w:pStyle w:val="TableParagraph"/>
              <w:spacing w:before="10"/>
              <w:rPr>
                <w:b/>
                <w:sz w:val="18"/>
              </w:rPr>
            </w:pPr>
          </w:p>
          <w:p>
            <w:pPr>
              <w:pStyle w:val="TableParagraph"/>
              <w:ind w:right="19"/>
              <w:jc w:val="right"/>
              <w:rPr>
                <w:sz w:val="18"/>
              </w:rPr>
            </w:pPr>
            <w:r>
              <w:rPr>
                <w:w w:val="95"/>
                <w:sz w:val="18"/>
              </w:rPr>
              <w:t>110</w:t>
            </w:r>
          </w:p>
        </w:tc>
        <w:tc>
          <w:tcPr>
            <w:tcW w:w="341" w:type="dxa"/>
            <w:tcBorders>
              <w:top w:val="nil"/>
              <w:left w:val="nil"/>
              <w:right w:val="nil"/>
            </w:tcBorders>
          </w:tcPr>
          <w:p>
            <w:pPr/>
          </w:p>
        </w:tc>
        <w:tc>
          <w:tcPr>
            <w:tcW w:w="341" w:type="dxa"/>
            <w:tcBorders>
              <w:top w:val="nil"/>
              <w:left w:val="nil"/>
              <w:right w:val="nil"/>
            </w:tcBorders>
          </w:tcPr>
          <w:p>
            <w:pPr/>
          </w:p>
        </w:tc>
        <w:tc>
          <w:tcPr>
            <w:tcW w:w="341" w:type="dxa"/>
            <w:tcBorders>
              <w:top w:val="nil"/>
              <w:left w:val="nil"/>
            </w:tcBorders>
          </w:tcPr>
          <w:p>
            <w:pPr/>
          </w:p>
        </w:tc>
        <w:tc>
          <w:tcPr>
            <w:tcW w:w="341" w:type="dxa"/>
            <w:tcBorders>
              <w:top w:val="nil"/>
              <w:right w:val="nil"/>
            </w:tcBorders>
          </w:tcPr>
          <w:p>
            <w:pPr/>
          </w:p>
        </w:tc>
        <w:tc>
          <w:tcPr>
            <w:tcW w:w="341" w:type="dxa"/>
            <w:tcBorders>
              <w:top w:val="nil"/>
              <w:left w:val="nil"/>
              <w:right w:val="nil"/>
            </w:tcBorders>
          </w:tcPr>
          <w:p>
            <w:pPr/>
          </w:p>
        </w:tc>
        <w:tc>
          <w:tcPr>
            <w:tcW w:w="341" w:type="dxa"/>
            <w:tcBorders>
              <w:top w:val="nil"/>
              <w:left w:val="nil"/>
              <w:right w:val="nil"/>
            </w:tcBorders>
          </w:tcPr>
          <w:p>
            <w:pPr/>
          </w:p>
        </w:tc>
        <w:tc>
          <w:tcPr>
            <w:tcW w:w="341" w:type="dxa"/>
            <w:tcBorders>
              <w:top w:val="nil"/>
              <w:left w:val="nil"/>
              <w:right w:val="nil"/>
            </w:tcBorders>
          </w:tcPr>
          <w:p>
            <w:pPr>
              <w:pStyle w:val="TableParagraph"/>
              <w:spacing w:before="10"/>
              <w:rPr>
                <w:b/>
                <w:sz w:val="18"/>
              </w:rPr>
            </w:pPr>
          </w:p>
          <w:p>
            <w:pPr>
              <w:pStyle w:val="TableParagraph"/>
              <w:ind w:right="17"/>
              <w:jc w:val="right"/>
              <w:rPr>
                <w:sz w:val="18"/>
              </w:rPr>
            </w:pPr>
            <w:r>
              <w:rPr>
                <w:w w:val="95"/>
                <w:sz w:val="18"/>
              </w:rPr>
              <w:t>174</w:t>
            </w:r>
          </w:p>
        </w:tc>
        <w:tc>
          <w:tcPr>
            <w:tcW w:w="341" w:type="dxa"/>
            <w:tcBorders>
              <w:top w:val="nil"/>
              <w:left w:val="nil"/>
              <w:right w:val="nil"/>
            </w:tcBorders>
          </w:tcPr>
          <w:p>
            <w:pPr/>
          </w:p>
        </w:tc>
        <w:tc>
          <w:tcPr>
            <w:tcW w:w="342" w:type="dxa"/>
            <w:tcBorders>
              <w:top w:val="nil"/>
              <w:left w:val="nil"/>
              <w:right w:val="nil"/>
            </w:tcBorders>
          </w:tcPr>
          <w:p>
            <w:pPr/>
          </w:p>
        </w:tc>
        <w:tc>
          <w:tcPr>
            <w:tcW w:w="342" w:type="dxa"/>
            <w:tcBorders>
              <w:top w:val="nil"/>
              <w:left w:val="nil"/>
            </w:tcBorders>
          </w:tcPr>
          <w:p>
            <w:pPr/>
          </w:p>
        </w:tc>
        <w:tc>
          <w:tcPr>
            <w:tcW w:w="341" w:type="dxa"/>
            <w:tcBorders>
              <w:top w:val="nil"/>
              <w:right w:val="nil"/>
            </w:tcBorders>
          </w:tcPr>
          <w:p>
            <w:pPr/>
          </w:p>
        </w:tc>
        <w:tc>
          <w:tcPr>
            <w:tcW w:w="341" w:type="dxa"/>
            <w:tcBorders>
              <w:top w:val="nil"/>
              <w:left w:val="nil"/>
              <w:right w:val="nil"/>
            </w:tcBorders>
          </w:tcPr>
          <w:p>
            <w:pPr/>
          </w:p>
        </w:tc>
        <w:tc>
          <w:tcPr>
            <w:tcW w:w="341" w:type="dxa"/>
            <w:tcBorders>
              <w:top w:val="nil"/>
              <w:left w:val="nil"/>
              <w:right w:val="nil"/>
            </w:tcBorders>
          </w:tcPr>
          <w:p>
            <w:pPr>
              <w:pStyle w:val="TableParagraph"/>
              <w:spacing w:before="10"/>
              <w:rPr>
                <w:b/>
                <w:sz w:val="18"/>
              </w:rPr>
            </w:pPr>
          </w:p>
          <w:p>
            <w:pPr>
              <w:pStyle w:val="TableParagraph"/>
              <w:ind w:left="71"/>
              <w:rPr>
                <w:sz w:val="18"/>
              </w:rPr>
            </w:pPr>
            <w:r>
              <w:rPr>
                <w:sz w:val="18"/>
              </w:rPr>
              <w:t>26</w:t>
            </w:r>
          </w:p>
        </w:tc>
        <w:tc>
          <w:tcPr>
            <w:tcW w:w="341" w:type="dxa"/>
            <w:tcBorders>
              <w:top w:val="nil"/>
              <w:left w:val="nil"/>
              <w:right w:val="nil"/>
            </w:tcBorders>
          </w:tcPr>
          <w:p>
            <w:pPr/>
          </w:p>
        </w:tc>
        <w:tc>
          <w:tcPr>
            <w:tcW w:w="343" w:type="dxa"/>
            <w:tcBorders>
              <w:top w:val="nil"/>
              <w:left w:val="nil"/>
              <w:right w:val="nil"/>
            </w:tcBorders>
          </w:tcPr>
          <w:p>
            <w:pPr/>
          </w:p>
        </w:tc>
      </w:tr>
    </w:tbl>
    <w:p>
      <w:pPr>
        <w:pStyle w:val="BodyText"/>
        <w:spacing w:before="2"/>
        <w:rPr>
          <w:b/>
          <w:sz w:val="11"/>
        </w:rPr>
      </w:pPr>
    </w:p>
    <w:p>
      <w:pPr>
        <w:spacing w:before="77"/>
        <w:ind w:left="178" w:right="336" w:firstLine="0"/>
        <w:jc w:val="left"/>
        <w:rPr>
          <w:sz w:val="18"/>
        </w:rPr>
      </w:pPr>
      <w:r>
        <w:rPr>
          <w:sz w:val="18"/>
        </w:rPr>
        <w:t>* Se refiere a Reintegro de economías de los fondos 2006 - 2008 del Edomex. No se cuenta como proyecto o gasto ejercido.</w:t>
      </w:r>
    </w:p>
    <w:p>
      <w:pPr>
        <w:spacing w:line="307" w:lineRule="auto" w:before="2"/>
        <w:ind w:left="178" w:right="1507" w:firstLine="0"/>
        <w:jc w:val="left"/>
        <w:rPr>
          <w:sz w:val="18"/>
        </w:rPr>
      </w:pPr>
      <w:r>
        <w:rPr>
          <w:sz w:val="18"/>
        </w:rPr>
        <w:t>**El Estado de Hidalgo se integró a los trabajos de las comisiones metropolitanas a partir de 2008 Los años que no aparecen indican que no existieron proyectos para la entidad o de gestión conjunta</w:t>
      </w:r>
    </w:p>
    <w:p>
      <w:pPr>
        <w:spacing w:line="191" w:lineRule="exact" w:before="0"/>
        <w:ind w:left="340" w:right="347" w:firstLine="0"/>
        <w:jc w:val="center"/>
        <w:rPr>
          <w:b/>
          <w:sz w:val="18"/>
        </w:rPr>
      </w:pPr>
      <w:r>
        <w:rPr>
          <w:b/>
          <w:sz w:val="18"/>
        </w:rPr>
        <w:t>Fuente: Elaboración propia con base en los reportes tomados de la página electrónica de la Secretaría de</w:t>
      </w:r>
    </w:p>
    <w:p>
      <w:pPr>
        <w:spacing w:line="207" w:lineRule="exact" w:before="0"/>
        <w:ind w:left="340" w:right="338" w:firstLine="0"/>
        <w:jc w:val="center"/>
        <w:rPr>
          <w:sz w:val="18"/>
        </w:rPr>
      </w:pPr>
      <w:r>
        <w:rPr>
          <w:b/>
          <w:sz w:val="18"/>
        </w:rPr>
        <w:t>Desarrollo Metropolitano del Estado de México: </w:t>
      </w:r>
      <w:hyperlink r:id="rId14">
        <w:r>
          <w:rPr>
            <w:b/>
            <w:sz w:val="18"/>
          </w:rPr>
          <w:t>www.edomex.gob.mx/sedeme</w:t>
        </w:r>
        <w:r>
          <w:rPr>
            <w:sz w:val="18"/>
          </w:rPr>
          <w:t>.</w:t>
        </w:r>
      </w:hyperlink>
    </w:p>
    <w:p>
      <w:pPr>
        <w:pStyle w:val="BodyText"/>
        <w:rPr>
          <w:sz w:val="18"/>
        </w:rPr>
      </w:pPr>
    </w:p>
    <w:p>
      <w:pPr>
        <w:pStyle w:val="BodyText"/>
        <w:spacing w:before="3"/>
        <w:rPr>
          <w:sz w:val="26"/>
        </w:rPr>
      </w:pPr>
    </w:p>
    <w:p>
      <w:pPr>
        <w:pStyle w:val="BodyText"/>
        <w:spacing w:line="480" w:lineRule="auto"/>
        <w:ind w:left="178" w:right="174"/>
        <w:jc w:val="both"/>
      </w:pPr>
      <w:r>
        <w:rPr/>
        <w:t>Si bien en términos de la cantidad de proyectos el Estado de México llevó a cabo la mayor  parte, en cuanto a la cantidad de recursos económicos que les correspondió se puede observar otro comportamiento. En 2006 llama la atención que el 84.2 por ciento del gasto ejercido lo realizó la Ciudad de México y; en lo particular, el tipo “Transporte y Vialidad” consumió el 65.2 por ciento. No obstante, del 2007 al 2009 el Estado de México tuvo una mayor participación en el gasto (cuadro 2). Es decir, el primer año los recursos se concentraron en un tema en específico y en una entidad en lo</w:t>
      </w:r>
      <w:r>
        <w:rPr>
          <w:spacing w:val="-13"/>
        </w:rPr>
        <w:t> </w:t>
      </w:r>
      <w:r>
        <w:rPr/>
        <w:t>particular.</w:t>
      </w:r>
    </w:p>
    <w:p>
      <w:pPr>
        <w:spacing w:after="0" w:line="480" w:lineRule="auto"/>
        <w:jc w:val="both"/>
        <w:sectPr>
          <w:pgSz w:w="12240" w:h="15840"/>
          <w:pgMar w:header="305" w:footer="595" w:top="880" w:bottom="780" w:left="1240" w:right="1240"/>
        </w:sectPr>
      </w:pPr>
    </w:p>
    <w:p>
      <w:pPr>
        <w:pStyle w:val="BodyText"/>
        <w:rPr>
          <w:sz w:val="20"/>
        </w:rPr>
      </w:pPr>
    </w:p>
    <w:p>
      <w:pPr>
        <w:pStyle w:val="BodyText"/>
        <w:spacing w:before="8"/>
        <w:rPr>
          <w:sz w:val="18"/>
        </w:rPr>
      </w:pPr>
    </w:p>
    <w:p>
      <w:pPr>
        <w:pStyle w:val="BodyText"/>
        <w:spacing w:line="480" w:lineRule="auto" w:before="73"/>
        <w:ind w:left="118" w:right="114"/>
        <w:jc w:val="both"/>
      </w:pPr>
      <w:r>
        <w:rPr/>
        <w:t>A partir de 2010 hubo una distribución más equilibrada de recursos entre la Ciudad de México y el Estado de México y una participación superior de Hidalgo (cuadro 2). Las observaciones anteriores indican que aunque en la Ciudad de México fue menor la cantidad de proyectos realizados, el monto de los mismos denota mayor calidad o complejidad en su ejecución, características y cobertura.</w:t>
      </w:r>
    </w:p>
    <w:p>
      <w:pPr>
        <w:pStyle w:val="BodyText"/>
      </w:pPr>
    </w:p>
    <w:p>
      <w:pPr>
        <w:pStyle w:val="BodyText"/>
        <w:spacing w:before="8"/>
      </w:pPr>
    </w:p>
    <w:p>
      <w:pPr>
        <w:pStyle w:val="BodyText"/>
        <w:spacing w:line="480" w:lineRule="auto"/>
        <w:ind w:left="118" w:right="111"/>
        <w:jc w:val="both"/>
      </w:pPr>
      <w:r>
        <w:rPr/>
        <w:t>En relación con los proyectos que se han gestionado de manera conjunta, resalta el año 2007 porque se ejerció el 13.7 por ciento del total del gasto programado. Los proyectos se concentraron en “Agua” (8.9 por ciento) y, en segundo lugar, en “Infraestructura social” (cuadro 2); de manera marginal se emprendieron proyectos conjuntos en materia de “Protección civil/seguridad pública”.</w:t>
      </w:r>
    </w:p>
    <w:p>
      <w:pPr>
        <w:pStyle w:val="BodyText"/>
      </w:pPr>
    </w:p>
    <w:p>
      <w:pPr>
        <w:pStyle w:val="BodyText"/>
        <w:spacing w:before="8"/>
      </w:pPr>
    </w:p>
    <w:p>
      <w:pPr>
        <w:pStyle w:val="BodyText"/>
        <w:spacing w:line="480" w:lineRule="auto"/>
        <w:ind w:left="118" w:right="112"/>
        <w:jc w:val="both"/>
      </w:pPr>
      <w:r>
        <w:rPr/>
        <w:t>En el monto de los recursos asignados a la categoría “Agua” no puede identificarse una constante; el gasto ejercido fue variable en cada uno de los años de estudio y en cada entidad. No obstante lo anterior, en el Estado de México durante el trienio 2007-2009 se observó un promedio del 20.6 por ciento, lo cual indica continuidad de los proyectos. De manera incipiente en Hidalgo se realizaron algunos del tipo analizado en 2009 y 2010 y no se volvieron a programar en los años posteriores (cuadro 2).</w:t>
      </w:r>
    </w:p>
    <w:p>
      <w:pPr>
        <w:pStyle w:val="BodyText"/>
      </w:pPr>
    </w:p>
    <w:p>
      <w:pPr>
        <w:pStyle w:val="BodyText"/>
        <w:spacing w:before="5"/>
      </w:pPr>
    </w:p>
    <w:p>
      <w:pPr>
        <w:pStyle w:val="BodyText"/>
        <w:spacing w:line="480" w:lineRule="auto"/>
        <w:ind w:left="118" w:right="113"/>
        <w:jc w:val="both"/>
      </w:pPr>
      <w:r>
        <w:rPr/>
        <w:t>La Ciudad de México durante el trienio 2009-2011 mantuvo un promedio ligeramente superior  al 30 por ciento en la categoría de “Vialidad y Transporte”, cuestión que disminuyó en 2012 (cuadro 2). En el Estado de México, durante los dos primeros años de vigencia del fondo metropolitano, el gasto ejercido fue inferior en comparación con el resto de los años estudiados. En Hidalgo el ejercicio presupuestal correspondiente a la categoría reseñada se ubicó durante 2010 y 2011 en poco más del cinco por ciento, y en 2012 no se programaron actividades de tal tipo (cuadro</w:t>
      </w:r>
      <w:r>
        <w:rPr>
          <w:spacing w:val="-5"/>
        </w:rPr>
        <w:t> </w:t>
      </w:r>
      <w:r>
        <w:rPr/>
        <w:t>2).</w:t>
      </w:r>
    </w:p>
    <w:p>
      <w:pPr>
        <w:spacing w:after="0" w:line="480" w:lineRule="auto"/>
        <w:jc w:val="both"/>
        <w:sectPr>
          <w:pgSz w:w="12240" w:h="15840"/>
          <w:pgMar w:header="305" w:footer="595" w:top="880" w:bottom="780" w:left="1300" w:right="1300"/>
        </w:sectPr>
      </w:pPr>
    </w:p>
    <w:p>
      <w:pPr>
        <w:pStyle w:val="BodyText"/>
        <w:rPr>
          <w:sz w:val="20"/>
        </w:rPr>
      </w:pPr>
    </w:p>
    <w:p>
      <w:pPr>
        <w:pStyle w:val="BodyText"/>
        <w:rPr>
          <w:sz w:val="20"/>
        </w:rPr>
      </w:pPr>
    </w:p>
    <w:p>
      <w:pPr>
        <w:pStyle w:val="BodyText"/>
        <w:spacing w:before="5"/>
        <w:rPr>
          <w:sz w:val="18"/>
        </w:rPr>
      </w:pPr>
    </w:p>
    <w:p>
      <w:pPr>
        <w:spacing w:before="74"/>
        <w:ind w:left="340" w:right="340" w:firstLine="0"/>
        <w:jc w:val="center"/>
        <w:rPr>
          <w:b/>
          <w:sz w:val="20"/>
        </w:rPr>
      </w:pPr>
      <w:r>
        <w:rPr>
          <w:b/>
          <w:sz w:val="20"/>
        </w:rPr>
        <w:t>CUADRO 2</w:t>
      </w:r>
    </w:p>
    <w:p>
      <w:pPr>
        <w:pStyle w:val="BodyText"/>
        <w:spacing w:before="9"/>
        <w:rPr>
          <w:b/>
          <w:sz w:val="19"/>
        </w:rPr>
      </w:pPr>
    </w:p>
    <w:p>
      <w:pPr>
        <w:spacing w:before="1" w:after="6"/>
        <w:ind w:left="2022" w:right="2022" w:hanging="7"/>
        <w:jc w:val="center"/>
        <w:rPr>
          <w:b/>
          <w:sz w:val="20"/>
        </w:rPr>
      </w:pPr>
      <w:r>
        <w:rPr>
          <w:b/>
          <w:sz w:val="20"/>
        </w:rPr>
        <w:t>PORCENTAJE DEL FONDO METROPOLITANO EJERCIDO POR CADA ENTIDAD FEDERATIVA DE LA ZMVM, 2006-2012</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5"/>
        <w:gridCol w:w="487"/>
        <w:gridCol w:w="411"/>
        <w:gridCol w:w="390"/>
        <w:gridCol w:w="390"/>
        <w:gridCol w:w="390"/>
        <w:gridCol w:w="390"/>
        <w:gridCol w:w="390"/>
        <w:gridCol w:w="390"/>
        <w:gridCol w:w="392"/>
        <w:gridCol w:w="388"/>
        <w:gridCol w:w="390"/>
        <w:gridCol w:w="390"/>
        <w:gridCol w:w="410"/>
        <w:gridCol w:w="391"/>
        <w:gridCol w:w="390"/>
        <w:gridCol w:w="392"/>
        <w:gridCol w:w="318"/>
        <w:gridCol w:w="319"/>
        <w:gridCol w:w="320"/>
        <w:gridCol w:w="321"/>
        <w:gridCol w:w="323"/>
      </w:tblGrid>
      <w:tr>
        <w:trPr>
          <w:trHeight w:val="346" w:hRule="exact"/>
        </w:trPr>
        <w:tc>
          <w:tcPr>
            <w:tcW w:w="1565" w:type="dxa"/>
            <w:vMerge w:val="restart"/>
            <w:tcBorders>
              <w:left w:val="nil"/>
              <w:right w:val="nil"/>
            </w:tcBorders>
          </w:tcPr>
          <w:p>
            <w:pPr>
              <w:pStyle w:val="TableParagraph"/>
              <w:rPr>
                <w:b/>
                <w:sz w:val="12"/>
              </w:rPr>
            </w:pPr>
          </w:p>
          <w:p>
            <w:pPr>
              <w:pStyle w:val="TableParagraph"/>
              <w:rPr>
                <w:b/>
                <w:sz w:val="12"/>
              </w:rPr>
            </w:pPr>
          </w:p>
          <w:p>
            <w:pPr>
              <w:pStyle w:val="TableParagraph"/>
              <w:spacing w:before="10"/>
              <w:rPr>
                <w:b/>
                <w:sz w:val="11"/>
              </w:rPr>
            </w:pPr>
          </w:p>
          <w:p>
            <w:pPr>
              <w:pStyle w:val="TableParagraph"/>
              <w:ind w:left="69" w:right="508"/>
              <w:rPr>
                <w:sz w:val="12"/>
              </w:rPr>
            </w:pPr>
            <w:r>
              <w:rPr>
                <w:sz w:val="12"/>
              </w:rPr>
              <w:t>TIPO DE PROYECTO/AÑO</w:t>
            </w:r>
          </w:p>
        </w:tc>
        <w:tc>
          <w:tcPr>
            <w:tcW w:w="898" w:type="dxa"/>
            <w:gridSpan w:val="2"/>
            <w:tcBorders>
              <w:left w:val="nil"/>
            </w:tcBorders>
          </w:tcPr>
          <w:p>
            <w:pPr>
              <w:pStyle w:val="TableParagraph"/>
              <w:spacing w:before="29"/>
              <w:ind w:left="122" w:right="98" w:firstLine="55"/>
              <w:rPr>
                <w:sz w:val="12"/>
              </w:rPr>
            </w:pPr>
            <w:r>
              <w:rPr>
                <w:sz w:val="12"/>
              </w:rPr>
              <w:t>GESTIÓN CONJUNTA</w:t>
            </w:r>
          </w:p>
        </w:tc>
        <w:tc>
          <w:tcPr>
            <w:tcW w:w="2732" w:type="dxa"/>
            <w:gridSpan w:val="7"/>
          </w:tcPr>
          <w:p>
            <w:pPr>
              <w:pStyle w:val="TableParagraph"/>
              <w:spacing w:before="96"/>
              <w:ind w:left="775"/>
              <w:rPr>
                <w:sz w:val="12"/>
              </w:rPr>
            </w:pPr>
            <w:r>
              <w:rPr>
                <w:sz w:val="12"/>
              </w:rPr>
              <w:t>CIUDAD DE MÉXICO</w:t>
            </w:r>
          </w:p>
        </w:tc>
        <w:tc>
          <w:tcPr>
            <w:tcW w:w="2751" w:type="dxa"/>
            <w:gridSpan w:val="7"/>
          </w:tcPr>
          <w:p>
            <w:pPr>
              <w:pStyle w:val="TableParagraph"/>
              <w:spacing w:before="96"/>
              <w:ind w:left="1089" w:right="1091"/>
              <w:jc w:val="center"/>
              <w:rPr>
                <w:sz w:val="12"/>
              </w:rPr>
            </w:pPr>
            <w:r>
              <w:rPr>
                <w:sz w:val="12"/>
              </w:rPr>
              <w:t>EDOMEX</w:t>
            </w:r>
          </w:p>
        </w:tc>
        <w:tc>
          <w:tcPr>
            <w:tcW w:w="1601" w:type="dxa"/>
            <w:gridSpan w:val="5"/>
            <w:tcBorders>
              <w:right w:val="nil"/>
            </w:tcBorders>
          </w:tcPr>
          <w:p>
            <w:pPr>
              <w:pStyle w:val="TableParagraph"/>
              <w:spacing w:before="96"/>
              <w:ind w:left="477"/>
              <w:rPr>
                <w:sz w:val="12"/>
              </w:rPr>
            </w:pPr>
            <w:r>
              <w:rPr>
                <w:sz w:val="12"/>
              </w:rPr>
              <w:t>HIDALGO**</w:t>
            </w:r>
          </w:p>
        </w:tc>
      </w:tr>
      <w:tr>
        <w:trPr>
          <w:trHeight w:val="672" w:hRule="exact"/>
        </w:trPr>
        <w:tc>
          <w:tcPr>
            <w:tcW w:w="1565" w:type="dxa"/>
            <w:vMerge/>
            <w:tcBorders>
              <w:left w:val="nil"/>
              <w:right w:val="nil"/>
            </w:tcBorders>
          </w:tcPr>
          <w:p>
            <w:pPr/>
          </w:p>
        </w:tc>
        <w:tc>
          <w:tcPr>
            <w:tcW w:w="487" w:type="dxa"/>
            <w:tcBorders>
              <w:left w:val="nil"/>
              <w:right w:val="nil"/>
            </w:tcBorders>
          </w:tcPr>
          <w:p>
            <w:pPr>
              <w:pStyle w:val="TableParagraph"/>
              <w:rPr>
                <w:b/>
                <w:sz w:val="12"/>
              </w:rPr>
            </w:pPr>
          </w:p>
          <w:p>
            <w:pPr>
              <w:pStyle w:val="TableParagraph"/>
              <w:spacing w:before="6"/>
              <w:rPr>
                <w:b/>
                <w:sz w:val="10"/>
              </w:rPr>
            </w:pPr>
          </w:p>
          <w:p>
            <w:pPr>
              <w:pStyle w:val="TableParagraph"/>
              <w:ind w:right="173"/>
              <w:jc w:val="right"/>
              <w:rPr>
                <w:sz w:val="12"/>
              </w:rPr>
            </w:pPr>
            <w:r>
              <w:rPr>
                <w:sz w:val="12"/>
              </w:rPr>
              <w:t>07</w:t>
            </w:r>
          </w:p>
        </w:tc>
        <w:tc>
          <w:tcPr>
            <w:tcW w:w="411" w:type="dxa"/>
            <w:tcBorders>
              <w:left w:val="nil"/>
            </w:tcBorders>
          </w:tcPr>
          <w:p>
            <w:pPr>
              <w:pStyle w:val="TableParagraph"/>
              <w:rPr>
                <w:b/>
                <w:sz w:val="12"/>
              </w:rPr>
            </w:pPr>
          </w:p>
          <w:p>
            <w:pPr>
              <w:pStyle w:val="TableParagraph"/>
              <w:spacing w:before="6"/>
              <w:rPr>
                <w:b/>
                <w:sz w:val="10"/>
              </w:rPr>
            </w:pPr>
          </w:p>
          <w:p>
            <w:pPr>
              <w:pStyle w:val="TableParagraph"/>
              <w:ind w:left="139"/>
              <w:rPr>
                <w:sz w:val="12"/>
              </w:rPr>
            </w:pPr>
            <w:r>
              <w:rPr>
                <w:sz w:val="12"/>
              </w:rPr>
              <w:t>11</w:t>
            </w:r>
          </w:p>
        </w:tc>
        <w:tc>
          <w:tcPr>
            <w:tcW w:w="390" w:type="dxa"/>
            <w:tcBorders>
              <w:right w:val="nil"/>
            </w:tcBorders>
          </w:tcPr>
          <w:p>
            <w:pPr>
              <w:pStyle w:val="TableParagraph"/>
              <w:rPr>
                <w:b/>
                <w:sz w:val="12"/>
              </w:rPr>
            </w:pPr>
          </w:p>
          <w:p>
            <w:pPr>
              <w:pStyle w:val="TableParagraph"/>
              <w:spacing w:before="6"/>
              <w:rPr>
                <w:b/>
                <w:sz w:val="10"/>
              </w:rPr>
            </w:pPr>
          </w:p>
          <w:p>
            <w:pPr>
              <w:pStyle w:val="TableParagraph"/>
              <w:ind w:left="122"/>
              <w:rPr>
                <w:sz w:val="12"/>
              </w:rPr>
            </w:pPr>
            <w:r>
              <w:rPr>
                <w:sz w:val="12"/>
              </w:rPr>
              <w:t>06</w:t>
            </w:r>
          </w:p>
        </w:tc>
        <w:tc>
          <w:tcPr>
            <w:tcW w:w="390" w:type="dxa"/>
            <w:tcBorders>
              <w:left w:val="nil"/>
              <w:right w:val="nil"/>
            </w:tcBorders>
          </w:tcPr>
          <w:p>
            <w:pPr>
              <w:pStyle w:val="TableParagraph"/>
              <w:rPr>
                <w:b/>
                <w:sz w:val="12"/>
              </w:rPr>
            </w:pPr>
          </w:p>
          <w:p>
            <w:pPr>
              <w:pStyle w:val="TableParagraph"/>
              <w:spacing w:before="6"/>
              <w:rPr>
                <w:b/>
                <w:sz w:val="10"/>
              </w:rPr>
            </w:pPr>
          </w:p>
          <w:p>
            <w:pPr>
              <w:pStyle w:val="TableParagraph"/>
              <w:ind w:left="57" w:right="55"/>
              <w:jc w:val="center"/>
              <w:rPr>
                <w:sz w:val="12"/>
              </w:rPr>
            </w:pPr>
            <w:r>
              <w:rPr>
                <w:sz w:val="12"/>
              </w:rPr>
              <w:t>07</w:t>
            </w:r>
          </w:p>
        </w:tc>
        <w:tc>
          <w:tcPr>
            <w:tcW w:w="390" w:type="dxa"/>
            <w:tcBorders>
              <w:left w:val="nil"/>
              <w:right w:val="nil"/>
            </w:tcBorders>
          </w:tcPr>
          <w:p>
            <w:pPr>
              <w:pStyle w:val="TableParagraph"/>
              <w:rPr>
                <w:b/>
                <w:sz w:val="12"/>
              </w:rPr>
            </w:pPr>
          </w:p>
          <w:p>
            <w:pPr>
              <w:pStyle w:val="TableParagraph"/>
              <w:spacing w:before="6"/>
              <w:rPr>
                <w:b/>
                <w:sz w:val="10"/>
              </w:rPr>
            </w:pPr>
          </w:p>
          <w:p>
            <w:pPr>
              <w:pStyle w:val="TableParagraph"/>
              <w:ind w:left="57" w:right="57"/>
              <w:jc w:val="center"/>
              <w:rPr>
                <w:sz w:val="12"/>
              </w:rPr>
            </w:pPr>
            <w:r>
              <w:rPr>
                <w:sz w:val="12"/>
              </w:rPr>
              <w:t>08</w:t>
            </w:r>
          </w:p>
        </w:tc>
        <w:tc>
          <w:tcPr>
            <w:tcW w:w="390" w:type="dxa"/>
            <w:tcBorders>
              <w:left w:val="nil"/>
              <w:right w:val="nil"/>
            </w:tcBorders>
          </w:tcPr>
          <w:p>
            <w:pPr>
              <w:pStyle w:val="TableParagraph"/>
              <w:rPr>
                <w:b/>
                <w:sz w:val="12"/>
              </w:rPr>
            </w:pPr>
          </w:p>
          <w:p>
            <w:pPr>
              <w:pStyle w:val="TableParagraph"/>
              <w:spacing w:before="6"/>
              <w:rPr>
                <w:b/>
                <w:sz w:val="10"/>
              </w:rPr>
            </w:pPr>
          </w:p>
          <w:p>
            <w:pPr>
              <w:pStyle w:val="TableParagraph"/>
              <w:ind w:left="57" w:right="55"/>
              <w:jc w:val="center"/>
              <w:rPr>
                <w:sz w:val="12"/>
              </w:rPr>
            </w:pPr>
            <w:r>
              <w:rPr>
                <w:sz w:val="12"/>
              </w:rPr>
              <w:t>09</w:t>
            </w:r>
          </w:p>
        </w:tc>
        <w:tc>
          <w:tcPr>
            <w:tcW w:w="390" w:type="dxa"/>
            <w:tcBorders>
              <w:left w:val="nil"/>
              <w:right w:val="nil"/>
            </w:tcBorders>
          </w:tcPr>
          <w:p>
            <w:pPr>
              <w:pStyle w:val="TableParagraph"/>
              <w:rPr>
                <w:b/>
                <w:sz w:val="12"/>
              </w:rPr>
            </w:pPr>
          </w:p>
          <w:p>
            <w:pPr>
              <w:pStyle w:val="TableParagraph"/>
              <w:spacing w:before="6"/>
              <w:rPr>
                <w:b/>
                <w:sz w:val="10"/>
              </w:rPr>
            </w:pPr>
          </w:p>
          <w:p>
            <w:pPr>
              <w:pStyle w:val="TableParagraph"/>
              <w:ind w:left="57" w:right="57"/>
              <w:jc w:val="center"/>
              <w:rPr>
                <w:sz w:val="12"/>
              </w:rPr>
            </w:pPr>
            <w:r>
              <w:rPr>
                <w:sz w:val="12"/>
              </w:rPr>
              <w:t>10</w:t>
            </w:r>
          </w:p>
        </w:tc>
        <w:tc>
          <w:tcPr>
            <w:tcW w:w="390" w:type="dxa"/>
            <w:tcBorders>
              <w:left w:val="nil"/>
              <w:right w:val="nil"/>
            </w:tcBorders>
          </w:tcPr>
          <w:p>
            <w:pPr>
              <w:pStyle w:val="TableParagraph"/>
              <w:rPr>
                <w:b/>
                <w:sz w:val="12"/>
              </w:rPr>
            </w:pPr>
          </w:p>
          <w:p>
            <w:pPr>
              <w:pStyle w:val="TableParagraph"/>
              <w:spacing w:before="6"/>
              <w:rPr>
                <w:b/>
                <w:sz w:val="10"/>
              </w:rPr>
            </w:pPr>
          </w:p>
          <w:p>
            <w:pPr>
              <w:pStyle w:val="TableParagraph"/>
              <w:ind w:right="124"/>
              <w:jc w:val="right"/>
              <w:rPr>
                <w:sz w:val="12"/>
              </w:rPr>
            </w:pPr>
            <w:r>
              <w:rPr>
                <w:sz w:val="12"/>
              </w:rPr>
              <w:t>11</w:t>
            </w:r>
          </w:p>
        </w:tc>
        <w:tc>
          <w:tcPr>
            <w:tcW w:w="392" w:type="dxa"/>
            <w:tcBorders>
              <w:left w:val="nil"/>
            </w:tcBorders>
          </w:tcPr>
          <w:p>
            <w:pPr>
              <w:pStyle w:val="TableParagraph"/>
              <w:rPr>
                <w:b/>
                <w:sz w:val="12"/>
              </w:rPr>
            </w:pPr>
          </w:p>
          <w:p>
            <w:pPr>
              <w:pStyle w:val="TableParagraph"/>
              <w:spacing w:before="6"/>
              <w:rPr>
                <w:b/>
                <w:sz w:val="10"/>
              </w:rPr>
            </w:pPr>
          </w:p>
          <w:p>
            <w:pPr>
              <w:pStyle w:val="TableParagraph"/>
              <w:ind w:right="122"/>
              <w:jc w:val="right"/>
              <w:rPr>
                <w:sz w:val="12"/>
              </w:rPr>
            </w:pPr>
            <w:r>
              <w:rPr>
                <w:sz w:val="12"/>
              </w:rPr>
              <w:t>12</w:t>
            </w:r>
          </w:p>
        </w:tc>
        <w:tc>
          <w:tcPr>
            <w:tcW w:w="388" w:type="dxa"/>
            <w:tcBorders>
              <w:right w:val="nil"/>
            </w:tcBorders>
          </w:tcPr>
          <w:p>
            <w:pPr>
              <w:pStyle w:val="TableParagraph"/>
              <w:rPr>
                <w:b/>
                <w:sz w:val="12"/>
              </w:rPr>
            </w:pPr>
          </w:p>
          <w:p>
            <w:pPr>
              <w:pStyle w:val="TableParagraph"/>
              <w:spacing w:before="6"/>
              <w:rPr>
                <w:b/>
                <w:sz w:val="10"/>
              </w:rPr>
            </w:pPr>
          </w:p>
          <w:p>
            <w:pPr>
              <w:pStyle w:val="TableParagraph"/>
              <w:ind w:left="122"/>
              <w:rPr>
                <w:sz w:val="12"/>
              </w:rPr>
            </w:pPr>
            <w:r>
              <w:rPr>
                <w:sz w:val="12"/>
              </w:rPr>
              <w:t>06</w:t>
            </w:r>
          </w:p>
        </w:tc>
        <w:tc>
          <w:tcPr>
            <w:tcW w:w="390" w:type="dxa"/>
            <w:tcBorders>
              <w:left w:val="nil"/>
              <w:right w:val="nil"/>
            </w:tcBorders>
          </w:tcPr>
          <w:p>
            <w:pPr>
              <w:pStyle w:val="TableParagraph"/>
              <w:rPr>
                <w:b/>
                <w:sz w:val="12"/>
              </w:rPr>
            </w:pPr>
          </w:p>
          <w:p>
            <w:pPr>
              <w:pStyle w:val="TableParagraph"/>
              <w:spacing w:before="6"/>
              <w:rPr>
                <w:b/>
                <w:sz w:val="10"/>
              </w:rPr>
            </w:pPr>
          </w:p>
          <w:p>
            <w:pPr>
              <w:pStyle w:val="TableParagraph"/>
              <w:ind w:left="127"/>
              <w:rPr>
                <w:sz w:val="12"/>
              </w:rPr>
            </w:pPr>
            <w:r>
              <w:rPr>
                <w:sz w:val="12"/>
              </w:rPr>
              <w:t>07</w:t>
            </w:r>
          </w:p>
        </w:tc>
        <w:tc>
          <w:tcPr>
            <w:tcW w:w="390" w:type="dxa"/>
            <w:tcBorders>
              <w:left w:val="nil"/>
              <w:right w:val="nil"/>
            </w:tcBorders>
          </w:tcPr>
          <w:p>
            <w:pPr>
              <w:pStyle w:val="TableParagraph"/>
              <w:rPr>
                <w:b/>
                <w:sz w:val="12"/>
              </w:rPr>
            </w:pPr>
          </w:p>
          <w:p>
            <w:pPr>
              <w:pStyle w:val="TableParagraph"/>
              <w:spacing w:before="6"/>
              <w:rPr>
                <w:b/>
                <w:sz w:val="10"/>
              </w:rPr>
            </w:pPr>
          </w:p>
          <w:p>
            <w:pPr>
              <w:pStyle w:val="TableParagraph"/>
              <w:ind w:left="57" w:right="55"/>
              <w:jc w:val="center"/>
              <w:rPr>
                <w:sz w:val="12"/>
              </w:rPr>
            </w:pPr>
            <w:r>
              <w:rPr>
                <w:sz w:val="12"/>
              </w:rPr>
              <w:t>08</w:t>
            </w:r>
          </w:p>
        </w:tc>
        <w:tc>
          <w:tcPr>
            <w:tcW w:w="410" w:type="dxa"/>
            <w:tcBorders>
              <w:left w:val="nil"/>
              <w:right w:val="nil"/>
            </w:tcBorders>
          </w:tcPr>
          <w:p>
            <w:pPr>
              <w:pStyle w:val="TableParagraph"/>
              <w:rPr>
                <w:b/>
                <w:sz w:val="12"/>
              </w:rPr>
            </w:pPr>
          </w:p>
          <w:p>
            <w:pPr>
              <w:pStyle w:val="TableParagraph"/>
              <w:spacing w:before="6"/>
              <w:rPr>
                <w:b/>
                <w:sz w:val="10"/>
              </w:rPr>
            </w:pPr>
          </w:p>
          <w:p>
            <w:pPr>
              <w:pStyle w:val="TableParagraph"/>
              <w:ind w:right="136"/>
              <w:jc w:val="right"/>
              <w:rPr>
                <w:sz w:val="12"/>
              </w:rPr>
            </w:pPr>
            <w:r>
              <w:rPr>
                <w:sz w:val="12"/>
              </w:rPr>
              <w:t>09</w:t>
            </w:r>
          </w:p>
        </w:tc>
        <w:tc>
          <w:tcPr>
            <w:tcW w:w="391" w:type="dxa"/>
            <w:tcBorders>
              <w:left w:val="nil"/>
              <w:right w:val="nil"/>
            </w:tcBorders>
          </w:tcPr>
          <w:p>
            <w:pPr>
              <w:pStyle w:val="TableParagraph"/>
              <w:rPr>
                <w:b/>
                <w:sz w:val="12"/>
              </w:rPr>
            </w:pPr>
          </w:p>
          <w:p>
            <w:pPr>
              <w:pStyle w:val="TableParagraph"/>
              <w:spacing w:before="6"/>
              <w:rPr>
                <w:b/>
                <w:sz w:val="10"/>
              </w:rPr>
            </w:pPr>
          </w:p>
          <w:p>
            <w:pPr>
              <w:pStyle w:val="TableParagraph"/>
              <w:ind w:left="58" w:right="58"/>
              <w:jc w:val="center"/>
              <w:rPr>
                <w:sz w:val="12"/>
              </w:rPr>
            </w:pPr>
            <w:r>
              <w:rPr>
                <w:sz w:val="12"/>
              </w:rPr>
              <w:t>10</w:t>
            </w:r>
          </w:p>
        </w:tc>
        <w:tc>
          <w:tcPr>
            <w:tcW w:w="390" w:type="dxa"/>
            <w:tcBorders>
              <w:left w:val="nil"/>
              <w:right w:val="nil"/>
            </w:tcBorders>
          </w:tcPr>
          <w:p>
            <w:pPr>
              <w:pStyle w:val="TableParagraph"/>
              <w:rPr>
                <w:b/>
                <w:sz w:val="12"/>
              </w:rPr>
            </w:pPr>
          </w:p>
          <w:p>
            <w:pPr>
              <w:pStyle w:val="TableParagraph"/>
              <w:spacing w:before="6"/>
              <w:rPr>
                <w:b/>
                <w:sz w:val="10"/>
              </w:rPr>
            </w:pPr>
          </w:p>
          <w:p>
            <w:pPr>
              <w:pStyle w:val="TableParagraph"/>
              <w:ind w:left="57" w:right="55"/>
              <w:jc w:val="center"/>
              <w:rPr>
                <w:sz w:val="12"/>
              </w:rPr>
            </w:pPr>
            <w:r>
              <w:rPr>
                <w:sz w:val="12"/>
              </w:rPr>
              <w:t>11</w:t>
            </w:r>
          </w:p>
        </w:tc>
        <w:tc>
          <w:tcPr>
            <w:tcW w:w="392" w:type="dxa"/>
            <w:tcBorders>
              <w:left w:val="nil"/>
            </w:tcBorders>
          </w:tcPr>
          <w:p>
            <w:pPr>
              <w:pStyle w:val="TableParagraph"/>
              <w:rPr>
                <w:b/>
                <w:sz w:val="12"/>
              </w:rPr>
            </w:pPr>
          </w:p>
          <w:p>
            <w:pPr>
              <w:pStyle w:val="TableParagraph"/>
              <w:spacing w:before="6"/>
              <w:rPr>
                <w:b/>
                <w:sz w:val="10"/>
              </w:rPr>
            </w:pPr>
          </w:p>
          <w:p>
            <w:pPr>
              <w:pStyle w:val="TableParagraph"/>
              <w:ind w:left="57" w:right="55"/>
              <w:jc w:val="center"/>
              <w:rPr>
                <w:sz w:val="12"/>
              </w:rPr>
            </w:pPr>
            <w:r>
              <w:rPr>
                <w:sz w:val="12"/>
              </w:rPr>
              <w:t>12</w:t>
            </w:r>
          </w:p>
        </w:tc>
        <w:tc>
          <w:tcPr>
            <w:tcW w:w="318" w:type="dxa"/>
            <w:tcBorders>
              <w:right w:val="nil"/>
            </w:tcBorders>
          </w:tcPr>
          <w:p>
            <w:pPr>
              <w:pStyle w:val="TableParagraph"/>
              <w:rPr>
                <w:b/>
                <w:sz w:val="12"/>
              </w:rPr>
            </w:pPr>
          </w:p>
          <w:p>
            <w:pPr>
              <w:pStyle w:val="TableParagraph"/>
              <w:spacing w:before="6"/>
              <w:rPr>
                <w:b/>
                <w:sz w:val="10"/>
              </w:rPr>
            </w:pPr>
          </w:p>
          <w:p>
            <w:pPr>
              <w:pStyle w:val="TableParagraph"/>
              <w:ind w:left="51" w:right="54"/>
              <w:jc w:val="center"/>
              <w:rPr>
                <w:sz w:val="12"/>
              </w:rPr>
            </w:pPr>
            <w:r>
              <w:rPr>
                <w:sz w:val="12"/>
              </w:rPr>
              <w:t>08</w:t>
            </w:r>
          </w:p>
        </w:tc>
        <w:tc>
          <w:tcPr>
            <w:tcW w:w="319" w:type="dxa"/>
            <w:tcBorders>
              <w:left w:val="nil"/>
              <w:right w:val="nil"/>
            </w:tcBorders>
          </w:tcPr>
          <w:p>
            <w:pPr>
              <w:pStyle w:val="TableParagraph"/>
              <w:rPr>
                <w:b/>
                <w:sz w:val="12"/>
              </w:rPr>
            </w:pPr>
          </w:p>
          <w:p>
            <w:pPr>
              <w:pStyle w:val="TableParagraph"/>
              <w:spacing w:before="6"/>
              <w:rPr>
                <w:b/>
                <w:sz w:val="10"/>
              </w:rPr>
            </w:pPr>
          </w:p>
          <w:p>
            <w:pPr>
              <w:pStyle w:val="TableParagraph"/>
              <w:ind w:left="56" w:right="56"/>
              <w:jc w:val="center"/>
              <w:rPr>
                <w:sz w:val="12"/>
              </w:rPr>
            </w:pPr>
            <w:r>
              <w:rPr>
                <w:sz w:val="12"/>
              </w:rPr>
              <w:t>09</w:t>
            </w:r>
          </w:p>
        </w:tc>
        <w:tc>
          <w:tcPr>
            <w:tcW w:w="320" w:type="dxa"/>
            <w:tcBorders>
              <w:left w:val="nil"/>
              <w:right w:val="nil"/>
            </w:tcBorders>
          </w:tcPr>
          <w:p>
            <w:pPr>
              <w:pStyle w:val="TableParagraph"/>
              <w:rPr>
                <w:b/>
                <w:sz w:val="12"/>
              </w:rPr>
            </w:pPr>
          </w:p>
          <w:p>
            <w:pPr>
              <w:pStyle w:val="TableParagraph"/>
              <w:spacing w:before="6"/>
              <w:rPr>
                <w:b/>
                <w:sz w:val="10"/>
              </w:rPr>
            </w:pPr>
          </w:p>
          <w:p>
            <w:pPr>
              <w:pStyle w:val="TableParagraph"/>
              <w:ind w:left="56" w:right="56"/>
              <w:jc w:val="center"/>
              <w:rPr>
                <w:sz w:val="12"/>
              </w:rPr>
            </w:pPr>
            <w:r>
              <w:rPr>
                <w:sz w:val="12"/>
              </w:rPr>
              <w:t>10</w:t>
            </w:r>
          </w:p>
        </w:tc>
        <w:tc>
          <w:tcPr>
            <w:tcW w:w="321" w:type="dxa"/>
            <w:tcBorders>
              <w:left w:val="nil"/>
              <w:right w:val="nil"/>
            </w:tcBorders>
          </w:tcPr>
          <w:p>
            <w:pPr>
              <w:pStyle w:val="TableParagraph"/>
              <w:rPr>
                <w:b/>
                <w:sz w:val="12"/>
              </w:rPr>
            </w:pPr>
          </w:p>
          <w:p>
            <w:pPr>
              <w:pStyle w:val="TableParagraph"/>
              <w:spacing w:before="6"/>
              <w:rPr>
                <w:b/>
                <w:sz w:val="10"/>
              </w:rPr>
            </w:pPr>
          </w:p>
          <w:p>
            <w:pPr>
              <w:pStyle w:val="TableParagraph"/>
              <w:ind w:left="56" w:right="55"/>
              <w:jc w:val="center"/>
              <w:rPr>
                <w:sz w:val="12"/>
              </w:rPr>
            </w:pPr>
            <w:r>
              <w:rPr>
                <w:sz w:val="12"/>
              </w:rPr>
              <w:t>11</w:t>
            </w:r>
          </w:p>
        </w:tc>
        <w:tc>
          <w:tcPr>
            <w:tcW w:w="323" w:type="dxa"/>
            <w:tcBorders>
              <w:left w:val="nil"/>
              <w:right w:val="nil"/>
            </w:tcBorders>
          </w:tcPr>
          <w:p>
            <w:pPr>
              <w:pStyle w:val="TableParagraph"/>
              <w:rPr>
                <w:b/>
                <w:sz w:val="12"/>
              </w:rPr>
            </w:pPr>
          </w:p>
          <w:p>
            <w:pPr>
              <w:pStyle w:val="TableParagraph"/>
              <w:spacing w:before="6"/>
              <w:rPr>
                <w:b/>
                <w:sz w:val="10"/>
              </w:rPr>
            </w:pPr>
          </w:p>
          <w:p>
            <w:pPr>
              <w:pStyle w:val="TableParagraph"/>
              <w:ind w:left="57" w:right="58"/>
              <w:jc w:val="center"/>
              <w:rPr>
                <w:sz w:val="12"/>
              </w:rPr>
            </w:pPr>
            <w:r>
              <w:rPr>
                <w:sz w:val="12"/>
              </w:rPr>
              <w:t>12</w:t>
            </w:r>
          </w:p>
        </w:tc>
      </w:tr>
      <w:tr>
        <w:trPr>
          <w:trHeight w:val="276" w:hRule="exact"/>
        </w:trPr>
        <w:tc>
          <w:tcPr>
            <w:tcW w:w="1565" w:type="dxa"/>
            <w:tcBorders>
              <w:left w:val="nil"/>
              <w:bottom w:val="nil"/>
              <w:right w:val="nil"/>
            </w:tcBorders>
          </w:tcPr>
          <w:p>
            <w:pPr>
              <w:pStyle w:val="TableParagraph"/>
              <w:spacing w:before="74"/>
              <w:ind w:left="69" w:right="508"/>
              <w:rPr>
                <w:sz w:val="12"/>
              </w:rPr>
            </w:pPr>
            <w:r>
              <w:rPr>
                <w:sz w:val="12"/>
              </w:rPr>
              <w:t>AGUA</w:t>
            </w:r>
          </w:p>
        </w:tc>
        <w:tc>
          <w:tcPr>
            <w:tcW w:w="487" w:type="dxa"/>
            <w:tcBorders>
              <w:left w:val="nil"/>
              <w:bottom w:val="nil"/>
              <w:right w:val="nil"/>
            </w:tcBorders>
          </w:tcPr>
          <w:p>
            <w:pPr>
              <w:pStyle w:val="TableParagraph"/>
              <w:spacing w:before="74"/>
              <w:ind w:right="157"/>
              <w:jc w:val="right"/>
              <w:rPr>
                <w:sz w:val="12"/>
              </w:rPr>
            </w:pPr>
            <w:r>
              <w:rPr>
                <w:sz w:val="12"/>
              </w:rPr>
              <w:t>8.9</w:t>
            </w:r>
          </w:p>
        </w:tc>
        <w:tc>
          <w:tcPr>
            <w:tcW w:w="411" w:type="dxa"/>
            <w:tcBorders>
              <w:left w:val="nil"/>
              <w:bottom w:val="nil"/>
            </w:tcBorders>
          </w:tcPr>
          <w:p>
            <w:pPr>
              <w:pStyle w:val="TableParagraph"/>
              <w:spacing w:before="74"/>
              <w:ind w:left="171"/>
              <w:rPr>
                <w:sz w:val="12"/>
              </w:rPr>
            </w:pPr>
            <w:r>
              <w:rPr>
                <w:w w:val="100"/>
                <w:sz w:val="12"/>
              </w:rPr>
              <w:t>−</w:t>
            </w:r>
          </w:p>
        </w:tc>
        <w:tc>
          <w:tcPr>
            <w:tcW w:w="390" w:type="dxa"/>
            <w:tcBorders>
              <w:bottom w:val="nil"/>
              <w:right w:val="nil"/>
            </w:tcBorders>
          </w:tcPr>
          <w:p>
            <w:pPr>
              <w:pStyle w:val="TableParagraph"/>
              <w:spacing w:before="74"/>
              <w:ind w:left="71"/>
              <w:rPr>
                <w:sz w:val="12"/>
              </w:rPr>
            </w:pPr>
            <w:r>
              <w:rPr>
                <w:sz w:val="12"/>
              </w:rPr>
              <w:t>17.6</w:t>
            </w:r>
          </w:p>
        </w:tc>
        <w:tc>
          <w:tcPr>
            <w:tcW w:w="390" w:type="dxa"/>
            <w:tcBorders>
              <w:left w:val="nil"/>
              <w:bottom w:val="nil"/>
              <w:right w:val="nil"/>
            </w:tcBorders>
          </w:tcPr>
          <w:p>
            <w:pPr>
              <w:pStyle w:val="TableParagraph"/>
              <w:spacing w:before="74"/>
              <w:ind w:left="57" w:right="56"/>
              <w:jc w:val="center"/>
              <w:rPr>
                <w:sz w:val="12"/>
              </w:rPr>
            </w:pPr>
            <w:r>
              <w:rPr>
                <w:sz w:val="12"/>
              </w:rPr>
              <w:t>12.0</w:t>
            </w:r>
          </w:p>
        </w:tc>
        <w:tc>
          <w:tcPr>
            <w:tcW w:w="390" w:type="dxa"/>
            <w:tcBorders>
              <w:left w:val="nil"/>
              <w:bottom w:val="nil"/>
              <w:right w:val="nil"/>
            </w:tcBorders>
          </w:tcPr>
          <w:p>
            <w:pPr>
              <w:pStyle w:val="TableParagraph"/>
              <w:spacing w:before="74"/>
              <w:ind w:left="56" w:right="57"/>
              <w:jc w:val="center"/>
              <w:rPr>
                <w:sz w:val="12"/>
              </w:rPr>
            </w:pPr>
            <w:r>
              <w:rPr>
                <w:sz w:val="12"/>
              </w:rPr>
              <w:t>7.1</w:t>
            </w:r>
          </w:p>
        </w:tc>
        <w:tc>
          <w:tcPr>
            <w:tcW w:w="390" w:type="dxa"/>
            <w:tcBorders>
              <w:left w:val="nil"/>
              <w:bottom w:val="nil"/>
              <w:right w:val="nil"/>
            </w:tcBorders>
          </w:tcPr>
          <w:p>
            <w:pPr>
              <w:pStyle w:val="TableParagraph"/>
              <w:spacing w:before="74"/>
              <w:ind w:left="57" w:right="56"/>
              <w:jc w:val="center"/>
              <w:rPr>
                <w:sz w:val="12"/>
              </w:rPr>
            </w:pPr>
            <w:r>
              <w:rPr>
                <w:sz w:val="12"/>
              </w:rPr>
              <w:t>7.7</w:t>
            </w:r>
          </w:p>
        </w:tc>
        <w:tc>
          <w:tcPr>
            <w:tcW w:w="390" w:type="dxa"/>
            <w:tcBorders>
              <w:left w:val="nil"/>
              <w:bottom w:val="nil"/>
              <w:right w:val="nil"/>
            </w:tcBorders>
          </w:tcPr>
          <w:p>
            <w:pPr>
              <w:pStyle w:val="TableParagraph"/>
              <w:spacing w:before="74"/>
              <w:ind w:left="57" w:right="58"/>
              <w:jc w:val="center"/>
              <w:rPr>
                <w:sz w:val="12"/>
              </w:rPr>
            </w:pPr>
            <w:r>
              <w:rPr>
                <w:sz w:val="12"/>
              </w:rPr>
              <w:t>8.6</w:t>
            </w:r>
          </w:p>
        </w:tc>
        <w:tc>
          <w:tcPr>
            <w:tcW w:w="390" w:type="dxa"/>
            <w:tcBorders>
              <w:left w:val="nil"/>
              <w:bottom w:val="nil"/>
              <w:right w:val="nil"/>
            </w:tcBorders>
          </w:tcPr>
          <w:p>
            <w:pPr>
              <w:pStyle w:val="TableParagraph"/>
              <w:spacing w:before="74"/>
              <w:ind w:right="108"/>
              <w:jc w:val="right"/>
              <w:rPr>
                <w:sz w:val="12"/>
              </w:rPr>
            </w:pPr>
            <w:r>
              <w:rPr>
                <w:sz w:val="12"/>
              </w:rPr>
              <w:t>3.4</w:t>
            </w:r>
          </w:p>
        </w:tc>
        <w:tc>
          <w:tcPr>
            <w:tcW w:w="392" w:type="dxa"/>
            <w:tcBorders>
              <w:left w:val="nil"/>
              <w:bottom w:val="nil"/>
            </w:tcBorders>
          </w:tcPr>
          <w:p>
            <w:pPr>
              <w:pStyle w:val="TableParagraph"/>
              <w:spacing w:before="74"/>
              <w:ind w:right="171"/>
              <w:jc w:val="right"/>
              <w:rPr>
                <w:sz w:val="12"/>
              </w:rPr>
            </w:pPr>
            <w:r>
              <w:rPr>
                <w:w w:val="99"/>
                <w:sz w:val="12"/>
              </w:rPr>
              <w:t>-</w:t>
            </w:r>
          </w:p>
        </w:tc>
        <w:tc>
          <w:tcPr>
            <w:tcW w:w="388" w:type="dxa"/>
            <w:tcBorders>
              <w:bottom w:val="nil"/>
              <w:right w:val="nil"/>
            </w:tcBorders>
          </w:tcPr>
          <w:p>
            <w:pPr>
              <w:pStyle w:val="TableParagraph"/>
              <w:spacing w:before="74"/>
              <w:ind w:left="71"/>
              <w:rPr>
                <w:sz w:val="12"/>
              </w:rPr>
            </w:pPr>
            <w:r>
              <w:rPr>
                <w:sz w:val="12"/>
              </w:rPr>
              <w:t>12.0</w:t>
            </w:r>
          </w:p>
        </w:tc>
        <w:tc>
          <w:tcPr>
            <w:tcW w:w="390" w:type="dxa"/>
            <w:tcBorders>
              <w:left w:val="nil"/>
              <w:bottom w:val="nil"/>
              <w:right w:val="nil"/>
            </w:tcBorders>
          </w:tcPr>
          <w:p>
            <w:pPr>
              <w:pStyle w:val="TableParagraph"/>
              <w:spacing w:before="74"/>
              <w:ind w:left="77"/>
              <w:rPr>
                <w:sz w:val="12"/>
              </w:rPr>
            </w:pPr>
            <w:r>
              <w:rPr>
                <w:sz w:val="12"/>
              </w:rPr>
              <w:t>19.6</w:t>
            </w:r>
          </w:p>
        </w:tc>
        <w:tc>
          <w:tcPr>
            <w:tcW w:w="390" w:type="dxa"/>
            <w:tcBorders>
              <w:left w:val="nil"/>
              <w:bottom w:val="nil"/>
              <w:right w:val="nil"/>
            </w:tcBorders>
          </w:tcPr>
          <w:p>
            <w:pPr>
              <w:pStyle w:val="TableParagraph"/>
              <w:spacing w:before="74"/>
              <w:ind w:left="57" w:right="56"/>
              <w:jc w:val="center"/>
              <w:rPr>
                <w:sz w:val="12"/>
              </w:rPr>
            </w:pPr>
            <w:r>
              <w:rPr>
                <w:sz w:val="12"/>
              </w:rPr>
              <w:t>21.0</w:t>
            </w:r>
          </w:p>
        </w:tc>
        <w:tc>
          <w:tcPr>
            <w:tcW w:w="410" w:type="dxa"/>
            <w:tcBorders>
              <w:left w:val="nil"/>
              <w:bottom w:val="nil"/>
              <w:right w:val="nil"/>
            </w:tcBorders>
          </w:tcPr>
          <w:p>
            <w:pPr>
              <w:pStyle w:val="TableParagraph"/>
              <w:spacing w:before="74"/>
              <w:ind w:right="84"/>
              <w:jc w:val="right"/>
              <w:rPr>
                <w:sz w:val="12"/>
              </w:rPr>
            </w:pPr>
            <w:r>
              <w:rPr>
                <w:sz w:val="12"/>
              </w:rPr>
              <w:t>21.2</w:t>
            </w:r>
          </w:p>
        </w:tc>
        <w:tc>
          <w:tcPr>
            <w:tcW w:w="391" w:type="dxa"/>
            <w:tcBorders>
              <w:left w:val="nil"/>
              <w:bottom w:val="nil"/>
              <w:right w:val="nil"/>
            </w:tcBorders>
          </w:tcPr>
          <w:p>
            <w:pPr>
              <w:pStyle w:val="TableParagraph"/>
              <w:spacing w:before="74"/>
              <w:ind w:left="58" w:right="58"/>
              <w:jc w:val="center"/>
              <w:rPr>
                <w:sz w:val="12"/>
              </w:rPr>
            </w:pPr>
            <w:r>
              <w:rPr>
                <w:sz w:val="12"/>
              </w:rPr>
              <w:t>12.2</w:t>
            </w:r>
          </w:p>
        </w:tc>
        <w:tc>
          <w:tcPr>
            <w:tcW w:w="390" w:type="dxa"/>
            <w:tcBorders>
              <w:left w:val="nil"/>
              <w:bottom w:val="nil"/>
              <w:right w:val="nil"/>
            </w:tcBorders>
          </w:tcPr>
          <w:p>
            <w:pPr>
              <w:pStyle w:val="TableParagraph"/>
              <w:spacing w:before="74"/>
              <w:ind w:left="57" w:right="56"/>
              <w:jc w:val="center"/>
              <w:rPr>
                <w:sz w:val="12"/>
              </w:rPr>
            </w:pPr>
            <w:r>
              <w:rPr>
                <w:sz w:val="12"/>
              </w:rPr>
              <w:t>8.3</w:t>
            </w:r>
          </w:p>
        </w:tc>
        <w:tc>
          <w:tcPr>
            <w:tcW w:w="392" w:type="dxa"/>
            <w:tcBorders>
              <w:left w:val="nil"/>
              <w:bottom w:val="nil"/>
            </w:tcBorders>
          </w:tcPr>
          <w:p>
            <w:pPr>
              <w:pStyle w:val="TableParagraph"/>
              <w:spacing w:before="74"/>
              <w:ind w:left="57" w:right="55"/>
              <w:jc w:val="center"/>
              <w:rPr>
                <w:sz w:val="12"/>
              </w:rPr>
            </w:pPr>
            <w:r>
              <w:rPr>
                <w:sz w:val="12"/>
              </w:rPr>
              <w:t>3.1</w:t>
            </w:r>
          </w:p>
        </w:tc>
        <w:tc>
          <w:tcPr>
            <w:tcW w:w="318" w:type="dxa"/>
            <w:tcBorders>
              <w:bottom w:val="nil"/>
              <w:right w:val="nil"/>
            </w:tcBorders>
          </w:tcPr>
          <w:p>
            <w:pPr>
              <w:pStyle w:val="TableParagraph"/>
              <w:spacing w:before="74"/>
              <w:ind w:right="2"/>
              <w:jc w:val="center"/>
              <w:rPr>
                <w:sz w:val="12"/>
              </w:rPr>
            </w:pPr>
            <w:r>
              <w:rPr>
                <w:w w:val="99"/>
                <w:sz w:val="12"/>
              </w:rPr>
              <w:t>-</w:t>
            </w:r>
          </w:p>
        </w:tc>
        <w:tc>
          <w:tcPr>
            <w:tcW w:w="319" w:type="dxa"/>
            <w:tcBorders>
              <w:left w:val="nil"/>
              <w:bottom w:val="nil"/>
              <w:right w:val="nil"/>
            </w:tcBorders>
          </w:tcPr>
          <w:p>
            <w:pPr>
              <w:pStyle w:val="TableParagraph"/>
              <w:spacing w:before="74"/>
              <w:ind w:left="56" w:right="56"/>
              <w:jc w:val="center"/>
              <w:rPr>
                <w:sz w:val="12"/>
              </w:rPr>
            </w:pPr>
            <w:r>
              <w:rPr>
                <w:sz w:val="12"/>
              </w:rPr>
              <w:t>1.6</w:t>
            </w:r>
          </w:p>
        </w:tc>
        <w:tc>
          <w:tcPr>
            <w:tcW w:w="320" w:type="dxa"/>
            <w:tcBorders>
              <w:left w:val="nil"/>
              <w:bottom w:val="nil"/>
              <w:right w:val="nil"/>
            </w:tcBorders>
          </w:tcPr>
          <w:p>
            <w:pPr>
              <w:pStyle w:val="TableParagraph"/>
              <w:spacing w:before="74"/>
              <w:ind w:left="56" w:right="57"/>
              <w:jc w:val="center"/>
              <w:rPr>
                <w:sz w:val="12"/>
              </w:rPr>
            </w:pPr>
            <w:r>
              <w:rPr>
                <w:sz w:val="12"/>
              </w:rPr>
              <w:t>2.5</w:t>
            </w:r>
          </w:p>
        </w:tc>
        <w:tc>
          <w:tcPr>
            <w:tcW w:w="321" w:type="dxa"/>
            <w:tcBorders>
              <w:left w:val="nil"/>
              <w:bottom w:val="nil"/>
              <w:right w:val="nil"/>
            </w:tcBorders>
          </w:tcPr>
          <w:p>
            <w:pPr>
              <w:pStyle w:val="TableParagraph"/>
              <w:spacing w:before="74"/>
              <w:ind w:left="3"/>
              <w:jc w:val="center"/>
              <w:rPr>
                <w:sz w:val="12"/>
              </w:rPr>
            </w:pPr>
            <w:r>
              <w:rPr>
                <w:w w:val="99"/>
                <w:sz w:val="12"/>
              </w:rPr>
              <w:t>-</w:t>
            </w:r>
          </w:p>
        </w:tc>
        <w:tc>
          <w:tcPr>
            <w:tcW w:w="323" w:type="dxa"/>
            <w:tcBorders>
              <w:left w:val="nil"/>
              <w:bottom w:val="nil"/>
              <w:right w:val="nil"/>
            </w:tcBorders>
          </w:tcPr>
          <w:p>
            <w:pPr>
              <w:pStyle w:val="TableParagraph"/>
              <w:spacing w:before="74"/>
              <w:ind w:right="1"/>
              <w:jc w:val="center"/>
              <w:rPr>
                <w:sz w:val="12"/>
              </w:rPr>
            </w:pPr>
            <w:r>
              <w:rPr>
                <w:w w:val="99"/>
                <w:sz w:val="12"/>
              </w:rPr>
              <w:t>-</w:t>
            </w:r>
          </w:p>
        </w:tc>
      </w:tr>
      <w:tr>
        <w:trPr>
          <w:trHeight w:val="442" w:hRule="exact"/>
        </w:trPr>
        <w:tc>
          <w:tcPr>
            <w:tcW w:w="1565" w:type="dxa"/>
            <w:tcBorders>
              <w:top w:val="nil"/>
              <w:left w:val="nil"/>
              <w:bottom w:val="nil"/>
              <w:right w:val="nil"/>
            </w:tcBorders>
          </w:tcPr>
          <w:p>
            <w:pPr>
              <w:pStyle w:val="TableParagraph"/>
              <w:spacing w:before="46"/>
              <w:ind w:left="69" w:right="655"/>
              <w:rPr>
                <w:sz w:val="12"/>
              </w:rPr>
            </w:pPr>
            <w:r>
              <w:rPr>
                <w:sz w:val="12"/>
              </w:rPr>
              <w:t>VIALIDAD Y TRANSPORTE</w:t>
            </w:r>
          </w:p>
        </w:tc>
        <w:tc>
          <w:tcPr>
            <w:tcW w:w="487" w:type="dxa"/>
            <w:tcBorders>
              <w:top w:val="nil"/>
              <w:left w:val="nil"/>
              <w:bottom w:val="nil"/>
              <w:right w:val="nil"/>
            </w:tcBorders>
          </w:tcPr>
          <w:p>
            <w:pPr>
              <w:pStyle w:val="TableParagraph"/>
              <w:rPr>
                <w:b/>
                <w:sz w:val="10"/>
              </w:rPr>
            </w:pPr>
          </w:p>
          <w:p>
            <w:pPr>
              <w:pStyle w:val="TableParagraph"/>
              <w:ind w:right="203"/>
              <w:jc w:val="right"/>
              <w:rPr>
                <w:sz w:val="12"/>
              </w:rPr>
            </w:pPr>
            <w:r>
              <w:rPr>
                <w:w w:val="100"/>
                <w:sz w:val="12"/>
              </w:rPr>
              <w:t>−</w:t>
            </w:r>
          </w:p>
        </w:tc>
        <w:tc>
          <w:tcPr>
            <w:tcW w:w="411" w:type="dxa"/>
            <w:tcBorders>
              <w:top w:val="nil"/>
              <w:left w:val="nil"/>
              <w:bottom w:val="nil"/>
            </w:tcBorders>
          </w:tcPr>
          <w:p>
            <w:pPr>
              <w:pStyle w:val="TableParagraph"/>
              <w:rPr>
                <w:b/>
                <w:sz w:val="10"/>
              </w:rPr>
            </w:pPr>
          </w:p>
          <w:p>
            <w:pPr>
              <w:pStyle w:val="TableParagraph"/>
              <w:ind w:left="171"/>
              <w:rPr>
                <w:sz w:val="12"/>
              </w:rPr>
            </w:pPr>
            <w:r>
              <w:rPr>
                <w:w w:val="100"/>
                <w:sz w:val="12"/>
              </w:rPr>
              <w:t>−</w:t>
            </w:r>
          </w:p>
        </w:tc>
        <w:tc>
          <w:tcPr>
            <w:tcW w:w="390" w:type="dxa"/>
            <w:tcBorders>
              <w:top w:val="nil"/>
              <w:bottom w:val="nil"/>
              <w:right w:val="nil"/>
            </w:tcBorders>
          </w:tcPr>
          <w:p>
            <w:pPr>
              <w:pStyle w:val="TableParagraph"/>
              <w:rPr>
                <w:b/>
                <w:sz w:val="10"/>
              </w:rPr>
            </w:pPr>
          </w:p>
          <w:p>
            <w:pPr>
              <w:pStyle w:val="TableParagraph"/>
              <w:ind w:left="71"/>
              <w:rPr>
                <w:sz w:val="12"/>
              </w:rPr>
            </w:pPr>
            <w:r>
              <w:rPr>
                <w:sz w:val="12"/>
              </w:rPr>
              <w:t>65.2</w:t>
            </w:r>
          </w:p>
        </w:tc>
        <w:tc>
          <w:tcPr>
            <w:tcW w:w="390" w:type="dxa"/>
            <w:tcBorders>
              <w:top w:val="nil"/>
              <w:left w:val="nil"/>
              <w:bottom w:val="nil"/>
              <w:right w:val="nil"/>
            </w:tcBorders>
          </w:tcPr>
          <w:p>
            <w:pPr>
              <w:pStyle w:val="TableParagraph"/>
              <w:rPr>
                <w:b/>
                <w:sz w:val="10"/>
              </w:rPr>
            </w:pPr>
          </w:p>
          <w:p>
            <w:pPr>
              <w:pStyle w:val="TableParagraph"/>
              <w:ind w:left="57" w:right="56"/>
              <w:jc w:val="center"/>
              <w:rPr>
                <w:sz w:val="12"/>
              </w:rPr>
            </w:pPr>
            <w:r>
              <w:rPr>
                <w:sz w:val="12"/>
              </w:rPr>
              <w:t>25.9</w:t>
            </w:r>
          </w:p>
        </w:tc>
        <w:tc>
          <w:tcPr>
            <w:tcW w:w="390" w:type="dxa"/>
            <w:tcBorders>
              <w:top w:val="nil"/>
              <w:left w:val="nil"/>
              <w:bottom w:val="nil"/>
              <w:right w:val="nil"/>
            </w:tcBorders>
          </w:tcPr>
          <w:p>
            <w:pPr>
              <w:pStyle w:val="TableParagraph"/>
              <w:rPr>
                <w:b/>
                <w:sz w:val="10"/>
              </w:rPr>
            </w:pPr>
          </w:p>
          <w:p>
            <w:pPr>
              <w:pStyle w:val="TableParagraph"/>
              <w:ind w:left="56" w:right="57"/>
              <w:jc w:val="center"/>
              <w:rPr>
                <w:sz w:val="12"/>
              </w:rPr>
            </w:pPr>
            <w:r>
              <w:rPr>
                <w:sz w:val="12"/>
              </w:rPr>
              <w:t>17.4</w:t>
            </w:r>
          </w:p>
        </w:tc>
        <w:tc>
          <w:tcPr>
            <w:tcW w:w="390" w:type="dxa"/>
            <w:tcBorders>
              <w:top w:val="nil"/>
              <w:left w:val="nil"/>
              <w:bottom w:val="nil"/>
              <w:right w:val="nil"/>
            </w:tcBorders>
          </w:tcPr>
          <w:p>
            <w:pPr>
              <w:pStyle w:val="TableParagraph"/>
              <w:rPr>
                <w:b/>
                <w:sz w:val="10"/>
              </w:rPr>
            </w:pPr>
          </w:p>
          <w:p>
            <w:pPr>
              <w:pStyle w:val="TableParagraph"/>
              <w:ind w:left="57" w:right="56"/>
              <w:jc w:val="center"/>
              <w:rPr>
                <w:sz w:val="12"/>
              </w:rPr>
            </w:pPr>
            <w:r>
              <w:rPr>
                <w:sz w:val="12"/>
              </w:rPr>
              <w:t>32.2</w:t>
            </w:r>
          </w:p>
        </w:tc>
        <w:tc>
          <w:tcPr>
            <w:tcW w:w="390" w:type="dxa"/>
            <w:tcBorders>
              <w:top w:val="nil"/>
              <w:left w:val="nil"/>
              <w:bottom w:val="nil"/>
              <w:right w:val="nil"/>
            </w:tcBorders>
          </w:tcPr>
          <w:p>
            <w:pPr>
              <w:pStyle w:val="TableParagraph"/>
              <w:rPr>
                <w:b/>
                <w:sz w:val="10"/>
              </w:rPr>
            </w:pPr>
          </w:p>
          <w:p>
            <w:pPr>
              <w:pStyle w:val="TableParagraph"/>
              <w:ind w:left="57" w:right="58"/>
              <w:jc w:val="center"/>
              <w:rPr>
                <w:sz w:val="12"/>
              </w:rPr>
            </w:pPr>
            <w:r>
              <w:rPr>
                <w:sz w:val="12"/>
              </w:rPr>
              <w:t>30.0</w:t>
            </w:r>
          </w:p>
        </w:tc>
        <w:tc>
          <w:tcPr>
            <w:tcW w:w="390" w:type="dxa"/>
            <w:tcBorders>
              <w:top w:val="nil"/>
              <w:left w:val="nil"/>
              <w:bottom w:val="nil"/>
              <w:right w:val="nil"/>
            </w:tcBorders>
          </w:tcPr>
          <w:p>
            <w:pPr>
              <w:pStyle w:val="TableParagraph"/>
              <w:rPr>
                <w:b/>
                <w:sz w:val="10"/>
              </w:rPr>
            </w:pPr>
          </w:p>
          <w:p>
            <w:pPr>
              <w:pStyle w:val="TableParagraph"/>
              <w:ind w:right="75"/>
              <w:jc w:val="right"/>
              <w:rPr>
                <w:sz w:val="12"/>
              </w:rPr>
            </w:pPr>
            <w:r>
              <w:rPr>
                <w:sz w:val="12"/>
              </w:rPr>
              <w:t>30.7</w:t>
            </w:r>
          </w:p>
        </w:tc>
        <w:tc>
          <w:tcPr>
            <w:tcW w:w="392" w:type="dxa"/>
            <w:tcBorders>
              <w:top w:val="nil"/>
              <w:left w:val="nil"/>
              <w:bottom w:val="nil"/>
            </w:tcBorders>
          </w:tcPr>
          <w:p>
            <w:pPr>
              <w:pStyle w:val="TableParagraph"/>
              <w:rPr>
                <w:b/>
                <w:sz w:val="10"/>
              </w:rPr>
            </w:pPr>
          </w:p>
          <w:p>
            <w:pPr>
              <w:pStyle w:val="TableParagraph"/>
              <w:ind w:right="73"/>
              <w:jc w:val="right"/>
              <w:rPr>
                <w:sz w:val="12"/>
              </w:rPr>
            </w:pPr>
            <w:r>
              <w:rPr>
                <w:sz w:val="12"/>
              </w:rPr>
              <w:t>23.3</w:t>
            </w:r>
          </w:p>
        </w:tc>
        <w:tc>
          <w:tcPr>
            <w:tcW w:w="388" w:type="dxa"/>
            <w:tcBorders>
              <w:top w:val="nil"/>
              <w:bottom w:val="nil"/>
              <w:right w:val="nil"/>
            </w:tcBorders>
          </w:tcPr>
          <w:p>
            <w:pPr>
              <w:pStyle w:val="TableParagraph"/>
              <w:rPr>
                <w:b/>
                <w:sz w:val="10"/>
              </w:rPr>
            </w:pPr>
          </w:p>
          <w:p>
            <w:pPr>
              <w:pStyle w:val="TableParagraph"/>
              <w:ind w:left="105"/>
              <w:rPr>
                <w:sz w:val="12"/>
              </w:rPr>
            </w:pPr>
            <w:r>
              <w:rPr>
                <w:sz w:val="12"/>
              </w:rPr>
              <w:t>3.8</w:t>
            </w:r>
          </w:p>
        </w:tc>
        <w:tc>
          <w:tcPr>
            <w:tcW w:w="390" w:type="dxa"/>
            <w:tcBorders>
              <w:top w:val="nil"/>
              <w:left w:val="nil"/>
              <w:bottom w:val="nil"/>
              <w:right w:val="nil"/>
            </w:tcBorders>
          </w:tcPr>
          <w:p>
            <w:pPr>
              <w:pStyle w:val="TableParagraph"/>
              <w:rPr>
                <w:b/>
                <w:sz w:val="10"/>
              </w:rPr>
            </w:pPr>
          </w:p>
          <w:p>
            <w:pPr>
              <w:pStyle w:val="TableParagraph"/>
              <w:ind w:left="110"/>
              <w:rPr>
                <w:sz w:val="12"/>
              </w:rPr>
            </w:pPr>
            <w:r>
              <w:rPr>
                <w:sz w:val="12"/>
              </w:rPr>
              <w:t>9.5</w:t>
            </w:r>
          </w:p>
        </w:tc>
        <w:tc>
          <w:tcPr>
            <w:tcW w:w="390" w:type="dxa"/>
            <w:tcBorders>
              <w:top w:val="nil"/>
              <w:left w:val="nil"/>
              <w:bottom w:val="nil"/>
              <w:right w:val="nil"/>
            </w:tcBorders>
          </w:tcPr>
          <w:p>
            <w:pPr>
              <w:pStyle w:val="TableParagraph"/>
              <w:rPr>
                <w:b/>
                <w:sz w:val="10"/>
              </w:rPr>
            </w:pPr>
          </w:p>
          <w:p>
            <w:pPr>
              <w:pStyle w:val="TableParagraph"/>
              <w:ind w:left="57" w:right="56"/>
              <w:jc w:val="center"/>
              <w:rPr>
                <w:sz w:val="12"/>
              </w:rPr>
            </w:pPr>
            <w:r>
              <w:rPr>
                <w:sz w:val="12"/>
              </w:rPr>
              <w:t>31.4</w:t>
            </w:r>
          </w:p>
        </w:tc>
        <w:tc>
          <w:tcPr>
            <w:tcW w:w="410" w:type="dxa"/>
            <w:tcBorders>
              <w:top w:val="nil"/>
              <w:left w:val="nil"/>
              <w:bottom w:val="nil"/>
              <w:right w:val="nil"/>
            </w:tcBorders>
          </w:tcPr>
          <w:p>
            <w:pPr>
              <w:pStyle w:val="TableParagraph"/>
              <w:rPr>
                <w:b/>
                <w:sz w:val="10"/>
              </w:rPr>
            </w:pPr>
          </w:p>
          <w:p>
            <w:pPr>
              <w:pStyle w:val="TableParagraph"/>
              <w:ind w:right="84"/>
              <w:jc w:val="right"/>
              <w:rPr>
                <w:sz w:val="12"/>
              </w:rPr>
            </w:pPr>
            <w:r>
              <w:rPr>
                <w:sz w:val="12"/>
              </w:rPr>
              <w:t>22.8</w:t>
            </w:r>
          </w:p>
        </w:tc>
        <w:tc>
          <w:tcPr>
            <w:tcW w:w="391" w:type="dxa"/>
            <w:tcBorders>
              <w:top w:val="nil"/>
              <w:left w:val="nil"/>
              <w:bottom w:val="nil"/>
              <w:right w:val="nil"/>
            </w:tcBorders>
          </w:tcPr>
          <w:p>
            <w:pPr>
              <w:pStyle w:val="TableParagraph"/>
              <w:rPr>
                <w:b/>
                <w:sz w:val="10"/>
              </w:rPr>
            </w:pPr>
          </w:p>
          <w:p>
            <w:pPr>
              <w:pStyle w:val="TableParagraph"/>
              <w:ind w:left="58" w:right="58"/>
              <w:jc w:val="center"/>
              <w:rPr>
                <w:sz w:val="12"/>
              </w:rPr>
            </w:pPr>
            <w:r>
              <w:rPr>
                <w:sz w:val="12"/>
              </w:rPr>
              <w:t>21.0</w:t>
            </w:r>
          </w:p>
        </w:tc>
        <w:tc>
          <w:tcPr>
            <w:tcW w:w="390" w:type="dxa"/>
            <w:tcBorders>
              <w:top w:val="nil"/>
              <w:left w:val="nil"/>
              <w:bottom w:val="nil"/>
              <w:right w:val="nil"/>
            </w:tcBorders>
          </w:tcPr>
          <w:p>
            <w:pPr>
              <w:pStyle w:val="TableParagraph"/>
              <w:rPr>
                <w:b/>
                <w:sz w:val="10"/>
              </w:rPr>
            </w:pPr>
          </w:p>
          <w:p>
            <w:pPr>
              <w:pStyle w:val="TableParagraph"/>
              <w:ind w:left="57" w:right="56"/>
              <w:jc w:val="center"/>
              <w:rPr>
                <w:sz w:val="12"/>
              </w:rPr>
            </w:pPr>
            <w:r>
              <w:rPr>
                <w:sz w:val="12"/>
              </w:rPr>
              <w:t>23.1</w:t>
            </w:r>
          </w:p>
        </w:tc>
        <w:tc>
          <w:tcPr>
            <w:tcW w:w="392" w:type="dxa"/>
            <w:tcBorders>
              <w:top w:val="nil"/>
              <w:left w:val="nil"/>
              <w:bottom w:val="nil"/>
            </w:tcBorders>
          </w:tcPr>
          <w:p>
            <w:pPr>
              <w:pStyle w:val="TableParagraph"/>
              <w:rPr>
                <w:b/>
                <w:sz w:val="10"/>
              </w:rPr>
            </w:pPr>
          </w:p>
          <w:p>
            <w:pPr>
              <w:pStyle w:val="TableParagraph"/>
              <w:ind w:left="57" w:right="56"/>
              <w:jc w:val="center"/>
              <w:rPr>
                <w:sz w:val="12"/>
              </w:rPr>
            </w:pPr>
            <w:r>
              <w:rPr>
                <w:sz w:val="12"/>
              </w:rPr>
              <w:t>26.1</w:t>
            </w:r>
          </w:p>
        </w:tc>
        <w:tc>
          <w:tcPr>
            <w:tcW w:w="318" w:type="dxa"/>
            <w:tcBorders>
              <w:top w:val="nil"/>
              <w:bottom w:val="nil"/>
              <w:right w:val="nil"/>
            </w:tcBorders>
          </w:tcPr>
          <w:p>
            <w:pPr>
              <w:pStyle w:val="TableParagraph"/>
              <w:rPr>
                <w:b/>
                <w:sz w:val="10"/>
              </w:rPr>
            </w:pPr>
          </w:p>
          <w:p>
            <w:pPr>
              <w:pStyle w:val="TableParagraph"/>
              <w:ind w:right="2"/>
              <w:jc w:val="center"/>
              <w:rPr>
                <w:sz w:val="12"/>
              </w:rPr>
            </w:pPr>
            <w:r>
              <w:rPr>
                <w:w w:val="99"/>
                <w:sz w:val="12"/>
              </w:rPr>
              <w:t>-</w:t>
            </w:r>
          </w:p>
        </w:tc>
        <w:tc>
          <w:tcPr>
            <w:tcW w:w="319" w:type="dxa"/>
            <w:tcBorders>
              <w:top w:val="nil"/>
              <w:left w:val="nil"/>
              <w:bottom w:val="nil"/>
              <w:right w:val="nil"/>
            </w:tcBorders>
          </w:tcPr>
          <w:p>
            <w:pPr>
              <w:pStyle w:val="TableParagraph"/>
              <w:rPr>
                <w:b/>
                <w:sz w:val="10"/>
              </w:rPr>
            </w:pPr>
          </w:p>
          <w:p>
            <w:pPr>
              <w:pStyle w:val="TableParagraph"/>
              <w:ind w:left="2"/>
              <w:jc w:val="center"/>
              <w:rPr>
                <w:sz w:val="12"/>
              </w:rPr>
            </w:pPr>
            <w:r>
              <w:rPr>
                <w:w w:val="99"/>
                <w:sz w:val="12"/>
              </w:rPr>
              <w:t>-</w:t>
            </w:r>
          </w:p>
        </w:tc>
        <w:tc>
          <w:tcPr>
            <w:tcW w:w="320" w:type="dxa"/>
            <w:tcBorders>
              <w:top w:val="nil"/>
              <w:left w:val="nil"/>
              <w:bottom w:val="nil"/>
              <w:right w:val="nil"/>
            </w:tcBorders>
          </w:tcPr>
          <w:p>
            <w:pPr>
              <w:pStyle w:val="TableParagraph"/>
              <w:rPr>
                <w:b/>
                <w:sz w:val="10"/>
              </w:rPr>
            </w:pPr>
          </w:p>
          <w:p>
            <w:pPr>
              <w:pStyle w:val="TableParagraph"/>
              <w:ind w:left="56" w:right="57"/>
              <w:jc w:val="center"/>
              <w:rPr>
                <w:sz w:val="12"/>
              </w:rPr>
            </w:pPr>
            <w:r>
              <w:rPr>
                <w:sz w:val="12"/>
              </w:rPr>
              <w:t>5.1</w:t>
            </w:r>
          </w:p>
        </w:tc>
        <w:tc>
          <w:tcPr>
            <w:tcW w:w="321" w:type="dxa"/>
            <w:tcBorders>
              <w:top w:val="nil"/>
              <w:left w:val="nil"/>
              <w:bottom w:val="nil"/>
              <w:right w:val="nil"/>
            </w:tcBorders>
          </w:tcPr>
          <w:p>
            <w:pPr>
              <w:pStyle w:val="TableParagraph"/>
              <w:rPr>
                <w:b/>
                <w:sz w:val="10"/>
              </w:rPr>
            </w:pPr>
          </w:p>
          <w:p>
            <w:pPr>
              <w:pStyle w:val="TableParagraph"/>
              <w:ind w:left="56" w:right="56"/>
              <w:jc w:val="center"/>
              <w:rPr>
                <w:sz w:val="12"/>
              </w:rPr>
            </w:pPr>
            <w:r>
              <w:rPr>
                <w:sz w:val="12"/>
              </w:rPr>
              <w:t>5.8</w:t>
            </w:r>
          </w:p>
        </w:tc>
        <w:tc>
          <w:tcPr>
            <w:tcW w:w="323" w:type="dxa"/>
            <w:tcBorders>
              <w:top w:val="nil"/>
              <w:left w:val="nil"/>
              <w:bottom w:val="nil"/>
              <w:right w:val="nil"/>
            </w:tcBorders>
          </w:tcPr>
          <w:p>
            <w:pPr>
              <w:pStyle w:val="TableParagraph"/>
              <w:rPr>
                <w:b/>
                <w:sz w:val="10"/>
              </w:rPr>
            </w:pPr>
          </w:p>
          <w:p>
            <w:pPr>
              <w:pStyle w:val="TableParagraph"/>
              <w:ind w:right="1"/>
              <w:jc w:val="center"/>
              <w:rPr>
                <w:sz w:val="12"/>
              </w:rPr>
            </w:pPr>
            <w:r>
              <w:rPr>
                <w:w w:val="99"/>
                <w:sz w:val="12"/>
              </w:rPr>
              <w:t>-</w:t>
            </w:r>
          </w:p>
        </w:tc>
      </w:tr>
      <w:tr>
        <w:trPr>
          <w:trHeight w:val="527" w:hRule="exact"/>
        </w:trPr>
        <w:tc>
          <w:tcPr>
            <w:tcW w:w="1565" w:type="dxa"/>
            <w:tcBorders>
              <w:top w:val="nil"/>
              <w:left w:val="nil"/>
              <w:bottom w:val="nil"/>
              <w:right w:val="nil"/>
            </w:tcBorders>
          </w:tcPr>
          <w:p>
            <w:pPr>
              <w:pStyle w:val="TableParagraph"/>
              <w:spacing w:before="5"/>
              <w:rPr>
                <w:b/>
                <w:sz w:val="9"/>
              </w:rPr>
            </w:pPr>
          </w:p>
          <w:p>
            <w:pPr>
              <w:pStyle w:val="TableParagraph"/>
              <w:ind w:left="69" w:right="102"/>
              <w:rPr>
                <w:sz w:val="12"/>
              </w:rPr>
            </w:pPr>
            <w:r>
              <w:rPr>
                <w:sz w:val="12"/>
              </w:rPr>
              <w:t>PROTECCIÓN CIVIL Y/O SEGURIDAD PÚBLICA</w:t>
            </w:r>
          </w:p>
        </w:tc>
        <w:tc>
          <w:tcPr>
            <w:tcW w:w="487" w:type="dxa"/>
            <w:tcBorders>
              <w:top w:val="nil"/>
              <w:left w:val="nil"/>
              <w:bottom w:val="nil"/>
              <w:right w:val="nil"/>
            </w:tcBorders>
          </w:tcPr>
          <w:p>
            <w:pPr>
              <w:pStyle w:val="TableParagraph"/>
              <w:spacing w:before="5"/>
              <w:rPr>
                <w:b/>
                <w:sz w:val="15"/>
              </w:rPr>
            </w:pPr>
          </w:p>
          <w:p>
            <w:pPr>
              <w:pStyle w:val="TableParagraph"/>
              <w:ind w:right="157"/>
              <w:jc w:val="right"/>
              <w:rPr>
                <w:sz w:val="12"/>
              </w:rPr>
            </w:pPr>
            <w:r>
              <w:rPr>
                <w:sz w:val="12"/>
              </w:rPr>
              <w:t>0.7</w:t>
            </w:r>
          </w:p>
        </w:tc>
        <w:tc>
          <w:tcPr>
            <w:tcW w:w="411" w:type="dxa"/>
            <w:tcBorders>
              <w:top w:val="nil"/>
              <w:left w:val="nil"/>
              <w:bottom w:val="nil"/>
            </w:tcBorders>
          </w:tcPr>
          <w:p>
            <w:pPr>
              <w:pStyle w:val="TableParagraph"/>
              <w:spacing w:before="5"/>
              <w:rPr>
                <w:b/>
                <w:sz w:val="15"/>
              </w:rPr>
            </w:pPr>
          </w:p>
          <w:p>
            <w:pPr>
              <w:pStyle w:val="TableParagraph"/>
              <w:ind w:left="171"/>
              <w:rPr>
                <w:sz w:val="12"/>
              </w:rPr>
            </w:pPr>
            <w:r>
              <w:rPr>
                <w:w w:val="100"/>
                <w:sz w:val="12"/>
              </w:rPr>
              <w:t>−</w:t>
            </w:r>
          </w:p>
        </w:tc>
        <w:tc>
          <w:tcPr>
            <w:tcW w:w="390" w:type="dxa"/>
            <w:tcBorders>
              <w:top w:val="nil"/>
              <w:bottom w:val="nil"/>
              <w:right w:val="nil"/>
            </w:tcBorders>
          </w:tcPr>
          <w:p>
            <w:pPr>
              <w:pStyle w:val="TableParagraph"/>
              <w:spacing w:before="5"/>
              <w:rPr>
                <w:b/>
                <w:sz w:val="15"/>
              </w:rPr>
            </w:pPr>
          </w:p>
          <w:p>
            <w:pPr>
              <w:pStyle w:val="TableParagraph"/>
              <w:ind w:left="153"/>
              <w:rPr>
                <w:sz w:val="12"/>
              </w:rPr>
            </w:pPr>
            <w:r>
              <w:rPr>
                <w:w w:val="100"/>
                <w:sz w:val="12"/>
              </w:rPr>
              <w:t>−</w:t>
            </w:r>
          </w:p>
        </w:tc>
        <w:tc>
          <w:tcPr>
            <w:tcW w:w="390" w:type="dxa"/>
            <w:tcBorders>
              <w:top w:val="nil"/>
              <w:left w:val="nil"/>
              <w:bottom w:val="nil"/>
              <w:right w:val="nil"/>
            </w:tcBorders>
          </w:tcPr>
          <w:p>
            <w:pPr>
              <w:pStyle w:val="TableParagraph"/>
              <w:spacing w:before="5"/>
              <w:rPr>
                <w:b/>
                <w:sz w:val="15"/>
              </w:rPr>
            </w:pPr>
          </w:p>
          <w:p>
            <w:pPr>
              <w:pStyle w:val="TableParagraph"/>
              <w:jc w:val="center"/>
              <w:rPr>
                <w:sz w:val="12"/>
              </w:rPr>
            </w:pPr>
            <w:r>
              <w:rPr>
                <w:w w:val="100"/>
                <w:sz w:val="12"/>
              </w:rPr>
              <w:t>−</w:t>
            </w:r>
          </w:p>
        </w:tc>
        <w:tc>
          <w:tcPr>
            <w:tcW w:w="390" w:type="dxa"/>
            <w:tcBorders>
              <w:top w:val="nil"/>
              <w:left w:val="nil"/>
              <w:bottom w:val="nil"/>
              <w:right w:val="nil"/>
            </w:tcBorders>
          </w:tcPr>
          <w:p>
            <w:pPr>
              <w:pStyle w:val="TableParagraph"/>
              <w:spacing w:before="5"/>
              <w:rPr>
                <w:b/>
                <w:sz w:val="15"/>
              </w:rPr>
            </w:pPr>
          </w:p>
          <w:p>
            <w:pPr>
              <w:pStyle w:val="TableParagraph"/>
              <w:jc w:val="center"/>
              <w:rPr>
                <w:sz w:val="12"/>
              </w:rPr>
            </w:pPr>
            <w:r>
              <w:rPr>
                <w:w w:val="100"/>
                <w:sz w:val="12"/>
              </w:rPr>
              <w:t>−</w:t>
            </w:r>
          </w:p>
        </w:tc>
        <w:tc>
          <w:tcPr>
            <w:tcW w:w="390" w:type="dxa"/>
            <w:tcBorders>
              <w:top w:val="nil"/>
              <w:left w:val="nil"/>
              <w:bottom w:val="nil"/>
              <w:right w:val="nil"/>
            </w:tcBorders>
          </w:tcPr>
          <w:p>
            <w:pPr>
              <w:pStyle w:val="TableParagraph"/>
              <w:spacing w:before="5"/>
              <w:rPr>
                <w:b/>
                <w:sz w:val="15"/>
              </w:rPr>
            </w:pPr>
          </w:p>
          <w:p>
            <w:pPr>
              <w:pStyle w:val="TableParagraph"/>
              <w:jc w:val="center"/>
              <w:rPr>
                <w:sz w:val="12"/>
              </w:rPr>
            </w:pPr>
            <w:r>
              <w:rPr>
                <w:w w:val="100"/>
                <w:sz w:val="12"/>
              </w:rPr>
              <w:t>−</w:t>
            </w:r>
          </w:p>
        </w:tc>
        <w:tc>
          <w:tcPr>
            <w:tcW w:w="390" w:type="dxa"/>
            <w:tcBorders>
              <w:top w:val="nil"/>
              <w:left w:val="nil"/>
              <w:bottom w:val="nil"/>
              <w:right w:val="nil"/>
            </w:tcBorders>
          </w:tcPr>
          <w:p>
            <w:pPr>
              <w:pStyle w:val="TableParagraph"/>
              <w:spacing w:before="5"/>
              <w:rPr>
                <w:b/>
                <w:sz w:val="15"/>
              </w:rPr>
            </w:pPr>
          </w:p>
          <w:p>
            <w:pPr>
              <w:pStyle w:val="TableParagraph"/>
              <w:jc w:val="center"/>
              <w:rPr>
                <w:sz w:val="12"/>
              </w:rPr>
            </w:pPr>
            <w:r>
              <w:rPr>
                <w:w w:val="100"/>
                <w:sz w:val="12"/>
              </w:rPr>
              <w:t>−</w:t>
            </w:r>
          </w:p>
        </w:tc>
        <w:tc>
          <w:tcPr>
            <w:tcW w:w="390" w:type="dxa"/>
            <w:tcBorders>
              <w:top w:val="nil"/>
              <w:left w:val="nil"/>
              <w:bottom w:val="nil"/>
              <w:right w:val="nil"/>
            </w:tcBorders>
          </w:tcPr>
          <w:p>
            <w:pPr>
              <w:pStyle w:val="TableParagraph"/>
              <w:spacing w:before="5"/>
              <w:rPr>
                <w:b/>
                <w:sz w:val="15"/>
              </w:rPr>
            </w:pPr>
          </w:p>
          <w:p>
            <w:pPr>
              <w:pStyle w:val="TableParagraph"/>
              <w:ind w:right="157"/>
              <w:jc w:val="right"/>
              <w:rPr>
                <w:sz w:val="12"/>
              </w:rPr>
            </w:pPr>
            <w:r>
              <w:rPr>
                <w:w w:val="100"/>
                <w:sz w:val="12"/>
              </w:rPr>
              <w:t>−</w:t>
            </w:r>
          </w:p>
        </w:tc>
        <w:tc>
          <w:tcPr>
            <w:tcW w:w="392" w:type="dxa"/>
            <w:tcBorders>
              <w:top w:val="nil"/>
              <w:left w:val="nil"/>
              <w:bottom w:val="nil"/>
            </w:tcBorders>
          </w:tcPr>
          <w:p>
            <w:pPr>
              <w:pStyle w:val="TableParagraph"/>
              <w:spacing w:before="5"/>
              <w:rPr>
                <w:b/>
                <w:sz w:val="15"/>
              </w:rPr>
            </w:pPr>
          </w:p>
          <w:p>
            <w:pPr>
              <w:pStyle w:val="TableParagraph"/>
              <w:ind w:right="106"/>
              <w:jc w:val="right"/>
              <w:rPr>
                <w:sz w:val="12"/>
              </w:rPr>
            </w:pPr>
            <w:r>
              <w:rPr>
                <w:sz w:val="12"/>
              </w:rPr>
              <w:t>1.7</w:t>
            </w:r>
          </w:p>
        </w:tc>
        <w:tc>
          <w:tcPr>
            <w:tcW w:w="388" w:type="dxa"/>
            <w:tcBorders>
              <w:top w:val="nil"/>
              <w:bottom w:val="nil"/>
              <w:right w:val="nil"/>
            </w:tcBorders>
          </w:tcPr>
          <w:p>
            <w:pPr>
              <w:pStyle w:val="TableParagraph"/>
              <w:spacing w:before="5"/>
              <w:rPr>
                <w:b/>
                <w:sz w:val="15"/>
              </w:rPr>
            </w:pPr>
          </w:p>
          <w:p>
            <w:pPr>
              <w:pStyle w:val="TableParagraph"/>
              <w:ind w:left="153"/>
              <w:rPr>
                <w:sz w:val="12"/>
              </w:rPr>
            </w:pPr>
            <w:r>
              <w:rPr>
                <w:w w:val="100"/>
                <w:sz w:val="12"/>
              </w:rPr>
              <w:t>−</w:t>
            </w:r>
          </w:p>
        </w:tc>
        <w:tc>
          <w:tcPr>
            <w:tcW w:w="390" w:type="dxa"/>
            <w:tcBorders>
              <w:top w:val="nil"/>
              <w:left w:val="nil"/>
              <w:bottom w:val="nil"/>
              <w:right w:val="nil"/>
            </w:tcBorders>
          </w:tcPr>
          <w:p>
            <w:pPr>
              <w:pStyle w:val="TableParagraph"/>
              <w:spacing w:before="5"/>
              <w:rPr>
                <w:b/>
                <w:sz w:val="15"/>
              </w:rPr>
            </w:pPr>
          </w:p>
          <w:p>
            <w:pPr>
              <w:pStyle w:val="TableParagraph"/>
              <w:ind w:left="158"/>
              <w:rPr>
                <w:sz w:val="12"/>
              </w:rPr>
            </w:pPr>
            <w:r>
              <w:rPr>
                <w:w w:val="100"/>
                <w:sz w:val="12"/>
              </w:rPr>
              <w:t>−</w:t>
            </w:r>
          </w:p>
        </w:tc>
        <w:tc>
          <w:tcPr>
            <w:tcW w:w="390" w:type="dxa"/>
            <w:tcBorders>
              <w:top w:val="nil"/>
              <w:left w:val="nil"/>
              <w:bottom w:val="nil"/>
              <w:right w:val="nil"/>
            </w:tcBorders>
          </w:tcPr>
          <w:p>
            <w:pPr>
              <w:pStyle w:val="TableParagraph"/>
              <w:spacing w:before="5"/>
              <w:rPr>
                <w:b/>
                <w:sz w:val="15"/>
              </w:rPr>
            </w:pPr>
          </w:p>
          <w:p>
            <w:pPr>
              <w:pStyle w:val="TableParagraph"/>
              <w:jc w:val="center"/>
              <w:rPr>
                <w:sz w:val="12"/>
              </w:rPr>
            </w:pPr>
            <w:r>
              <w:rPr>
                <w:w w:val="100"/>
                <w:sz w:val="12"/>
              </w:rPr>
              <w:t>−</w:t>
            </w:r>
          </w:p>
        </w:tc>
        <w:tc>
          <w:tcPr>
            <w:tcW w:w="410" w:type="dxa"/>
            <w:tcBorders>
              <w:top w:val="nil"/>
              <w:left w:val="nil"/>
              <w:bottom w:val="nil"/>
              <w:right w:val="nil"/>
            </w:tcBorders>
          </w:tcPr>
          <w:p>
            <w:pPr>
              <w:pStyle w:val="TableParagraph"/>
              <w:spacing w:before="5"/>
              <w:rPr>
                <w:b/>
                <w:sz w:val="15"/>
              </w:rPr>
            </w:pPr>
          </w:p>
          <w:p>
            <w:pPr>
              <w:pStyle w:val="TableParagraph"/>
              <w:ind w:right="120"/>
              <w:jc w:val="right"/>
              <w:rPr>
                <w:sz w:val="12"/>
              </w:rPr>
            </w:pPr>
            <w:r>
              <w:rPr>
                <w:sz w:val="12"/>
              </w:rPr>
              <w:t>3.9</w:t>
            </w:r>
          </w:p>
        </w:tc>
        <w:tc>
          <w:tcPr>
            <w:tcW w:w="391" w:type="dxa"/>
            <w:tcBorders>
              <w:top w:val="nil"/>
              <w:left w:val="nil"/>
              <w:bottom w:val="nil"/>
              <w:right w:val="nil"/>
            </w:tcBorders>
          </w:tcPr>
          <w:p>
            <w:pPr>
              <w:pStyle w:val="TableParagraph"/>
              <w:spacing w:before="5"/>
              <w:rPr>
                <w:b/>
                <w:sz w:val="15"/>
              </w:rPr>
            </w:pPr>
          </w:p>
          <w:p>
            <w:pPr>
              <w:pStyle w:val="TableParagraph"/>
              <w:ind w:left="58" w:right="58"/>
              <w:jc w:val="center"/>
              <w:rPr>
                <w:sz w:val="12"/>
              </w:rPr>
            </w:pPr>
            <w:r>
              <w:rPr>
                <w:sz w:val="12"/>
              </w:rPr>
              <w:t>7.7</w:t>
            </w:r>
          </w:p>
        </w:tc>
        <w:tc>
          <w:tcPr>
            <w:tcW w:w="390" w:type="dxa"/>
            <w:tcBorders>
              <w:top w:val="nil"/>
              <w:left w:val="nil"/>
              <w:bottom w:val="nil"/>
              <w:right w:val="nil"/>
            </w:tcBorders>
          </w:tcPr>
          <w:p>
            <w:pPr>
              <w:pStyle w:val="TableParagraph"/>
              <w:spacing w:before="5"/>
              <w:rPr>
                <w:b/>
                <w:sz w:val="15"/>
              </w:rPr>
            </w:pPr>
          </w:p>
          <w:p>
            <w:pPr>
              <w:pStyle w:val="TableParagraph"/>
              <w:ind w:right="1"/>
              <w:jc w:val="center"/>
              <w:rPr>
                <w:sz w:val="12"/>
              </w:rPr>
            </w:pPr>
            <w:r>
              <w:rPr>
                <w:w w:val="99"/>
                <w:sz w:val="12"/>
              </w:rPr>
              <w:t>-</w:t>
            </w:r>
          </w:p>
        </w:tc>
        <w:tc>
          <w:tcPr>
            <w:tcW w:w="392" w:type="dxa"/>
            <w:tcBorders>
              <w:top w:val="nil"/>
              <w:left w:val="nil"/>
              <w:bottom w:val="nil"/>
            </w:tcBorders>
          </w:tcPr>
          <w:p>
            <w:pPr>
              <w:pStyle w:val="TableParagraph"/>
              <w:spacing w:before="5"/>
              <w:rPr>
                <w:b/>
                <w:sz w:val="15"/>
              </w:rPr>
            </w:pPr>
          </w:p>
          <w:p>
            <w:pPr>
              <w:pStyle w:val="TableParagraph"/>
              <w:ind w:left="57" w:right="55"/>
              <w:jc w:val="center"/>
              <w:rPr>
                <w:sz w:val="12"/>
              </w:rPr>
            </w:pPr>
            <w:r>
              <w:rPr>
                <w:sz w:val="12"/>
              </w:rPr>
              <w:t>8.1</w:t>
            </w:r>
          </w:p>
        </w:tc>
        <w:tc>
          <w:tcPr>
            <w:tcW w:w="318" w:type="dxa"/>
            <w:tcBorders>
              <w:top w:val="nil"/>
              <w:bottom w:val="nil"/>
              <w:right w:val="nil"/>
            </w:tcBorders>
          </w:tcPr>
          <w:p>
            <w:pPr>
              <w:pStyle w:val="TableParagraph"/>
              <w:spacing w:before="5"/>
              <w:rPr>
                <w:b/>
                <w:sz w:val="15"/>
              </w:rPr>
            </w:pPr>
          </w:p>
          <w:p>
            <w:pPr>
              <w:pStyle w:val="TableParagraph"/>
              <w:ind w:right="2"/>
              <w:jc w:val="center"/>
              <w:rPr>
                <w:sz w:val="12"/>
              </w:rPr>
            </w:pPr>
            <w:r>
              <w:rPr>
                <w:w w:val="99"/>
                <w:sz w:val="12"/>
              </w:rPr>
              <w:t>-</w:t>
            </w:r>
          </w:p>
        </w:tc>
        <w:tc>
          <w:tcPr>
            <w:tcW w:w="319" w:type="dxa"/>
            <w:tcBorders>
              <w:top w:val="nil"/>
              <w:left w:val="nil"/>
              <w:bottom w:val="nil"/>
              <w:right w:val="nil"/>
            </w:tcBorders>
          </w:tcPr>
          <w:p>
            <w:pPr>
              <w:pStyle w:val="TableParagraph"/>
              <w:spacing w:before="5"/>
              <w:rPr>
                <w:b/>
                <w:sz w:val="15"/>
              </w:rPr>
            </w:pPr>
          </w:p>
          <w:p>
            <w:pPr>
              <w:pStyle w:val="TableParagraph"/>
              <w:ind w:left="2"/>
              <w:jc w:val="center"/>
              <w:rPr>
                <w:sz w:val="12"/>
              </w:rPr>
            </w:pPr>
            <w:r>
              <w:rPr>
                <w:w w:val="99"/>
                <w:sz w:val="12"/>
              </w:rPr>
              <w:t>-</w:t>
            </w:r>
          </w:p>
        </w:tc>
        <w:tc>
          <w:tcPr>
            <w:tcW w:w="320" w:type="dxa"/>
            <w:tcBorders>
              <w:top w:val="nil"/>
              <w:left w:val="nil"/>
              <w:bottom w:val="nil"/>
              <w:right w:val="nil"/>
            </w:tcBorders>
          </w:tcPr>
          <w:p>
            <w:pPr>
              <w:pStyle w:val="TableParagraph"/>
              <w:spacing w:before="5"/>
              <w:rPr>
                <w:b/>
                <w:sz w:val="15"/>
              </w:rPr>
            </w:pPr>
          </w:p>
          <w:p>
            <w:pPr>
              <w:pStyle w:val="TableParagraph"/>
              <w:ind w:left="1"/>
              <w:jc w:val="center"/>
              <w:rPr>
                <w:sz w:val="12"/>
              </w:rPr>
            </w:pPr>
            <w:r>
              <w:rPr>
                <w:w w:val="99"/>
                <w:sz w:val="12"/>
              </w:rPr>
              <w:t>-</w:t>
            </w:r>
          </w:p>
        </w:tc>
        <w:tc>
          <w:tcPr>
            <w:tcW w:w="321" w:type="dxa"/>
            <w:tcBorders>
              <w:top w:val="nil"/>
              <w:left w:val="nil"/>
              <w:bottom w:val="nil"/>
              <w:right w:val="nil"/>
            </w:tcBorders>
          </w:tcPr>
          <w:p>
            <w:pPr>
              <w:pStyle w:val="TableParagraph"/>
              <w:spacing w:before="5"/>
              <w:rPr>
                <w:b/>
                <w:sz w:val="15"/>
              </w:rPr>
            </w:pPr>
          </w:p>
          <w:p>
            <w:pPr>
              <w:pStyle w:val="TableParagraph"/>
              <w:ind w:left="3"/>
              <w:jc w:val="center"/>
              <w:rPr>
                <w:sz w:val="12"/>
              </w:rPr>
            </w:pPr>
            <w:r>
              <w:rPr>
                <w:w w:val="99"/>
                <w:sz w:val="12"/>
              </w:rPr>
              <w:t>-</w:t>
            </w:r>
          </w:p>
        </w:tc>
        <w:tc>
          <w:tcPr>
            <w:tcW w:w="323" w:type="dxa"/>
            <w:tcBorders>
              <w:top w:val="nil"/>
              <w:left w:val="nil"/>
              <w:bottom w:val="nil"/>
              <w:right w:val="nil"/>
            </w:tcBorders>
          </w:tcPr>
          <w:p>
            <w:pPr>
              <w:pStyle w:val="TableParagraph"/>
              <w:spacing w:before="5"/>
              <w:rPr>
                <w:b/>
                <w:sz w:val="15"/>
              </w:rPr>
            </w:pPr>
          </w:p>
          <w:p>
            <w:pPr>
              <w:pStyle w:val="TableParagraph"/>
              <w:ind w:right="1"/>
              <w:jc w:val="center"/>
              <w:rPr>
                <w:sz w:val="12"/>
              </w:rPr>
            </w:pPr>
            <w:r>
              <w:rPr>
                <w:w w:val="99"/>
                <w:sz w:val="12"/>
              </w:rPr>
              <w:t>-</w:t>
            </w:r>
          </w:p>
        </w:tc>
      </w:tr>
      <w:tr>
        <w:trPr>
          <w:trHeight w:val="328" w:hRule="exact"/>
        </w:trPr>
        <w:tc>
          <w:tcPr>
            <w:tcW w:w="1565" w:type="dxa"/>
            <w:tcBorders>
              <w:top w:val="nil"/>
              <w:left w:val="nil"/>
              <w:bottom w:val="nil"/>
              <w:right w:val="nil"/>
            </w:tcBorders>
          </w:tcPr>
          <w:p>
            <w:pPr>
              <w:pStyle w:val="TableParagraph"/>
              <w:spacing w:before="4"/>
              <w:rPr>
                <w:b/>
                <w:sz w:val="11"/>
              </w:rPr>
            </w:pPr>
          </w:p>
          <w:p>
            <w:pPr>
              <w:pStyle w:val="TableParagraph"/>
              <w:ind w:left="69" w:right="508"/>
              <w:rPr>
                <w:sz w:val="12"/>
              </w:rPr>
            </w:pPr>
            <w:r>
              <w:rPr>
                <w:sz w:val="12"/>
              </w:rPr>
              <w:t>AMBIENTALES</w:t>
            </w:r>
          </w:p>
        </w:tc>
        <w:tc>
          <w:tcPr>
            <w:tcW w:w="487" w:type="dxa"/>
            <w:tcBorders>
              <w:top w:val="nil"/>
              <w:left w:val="nil"/>
              <w:bottom w:val="nil"/>
              <w:right w:val="nil"/>
            </w:tcBorders>
          </w:tcPr>
          <w:p>
            <w:pPr>
              <w:pStyle w:val="TableParagraph"/>
              <w:spacing w:before="4"/>
              <w:rPr>
                <w:b/>
                <w:sz w:val="11"/>
              </w:rPr>
            </w:pPr>
          </w:p>
          <w:p>
            <w:pPr>
              <w:pStyle w:val="TableParagraph"/>
              <w:ind w:right="203"/>
              <w:jc w:val="right"/>
              <w:rPr>
                <w:sz w:val="12"/>
              </w:rPr>
            </w:pPr>
            <w:r>
              <w:rPr>
                <w:w w:val="100"/>
                <w:sz w:val="12"/>
              </w:rPr>
              <w:t>−</w:t>
            </w:r>
          </w:p>
        </w:tc>
        <w:tc>
          <w:tcPr>
            <w:tcW w:w="411" w:type="dxa"/>
            <w:tcBorders>
              <w:top w:val="nil"/>
              <w:left w:val="nil"/>
              <w:bottom w:val="nil"/>
            </w:tcBorders>
          </w:tcPr>
          <w:p>
            <w:pPr>
              <w:pStyle w:val="TableParagraph"/>
              <w:spacing w:before="4"/>
              <w:rPr>
                <w:b/>
                <w:sz w:val="11"/>
              </w:rPr>
            </w:pPr>
          </w:p>
          <w:p>
            <w:pPr>
              <w:pStyle w:val="TableParagraph"/>
              <w:ind w:left="171"/>
              <w:rPr>
                <w:sz w:val="12"/>
              </w:rPr>
            </w:pPr>
            <w:r>
              <w:rPr>
                <w:w w:val="100"/>
                <w:sz w:val="12"/>
              </w:rPr>
              <w:t>−</w:t>
            </w:r>
          </w:p>
        </w:tc>
        <w:tc>
          <w:tcPr>
            <w:tcW w:w="390" w:type="dxa"/>
            <w:tcBorders>
              <w:top w:val="nil"/>
              <w:bottom w:val="nil"/>
              <w:right w:val="nil"/>
            </w:tcBorders>
          </w:tcPr>
          <w:p>
            <w:pPr>
              <w:pStyle w:val="TableParagraph"/>
              <w:spacing w:before="4"/>
              <w:rPr>
                <w:b/>
                <w:sz w:val="11"/>
              </w:rPr>
            </w:pPr>
          </w:p>
          <w:p>
            <w:pPr>
              <w:pStyle w:val="TableParagraph"/>
              <w:ind w:left="105"/>
              <w:rPr>
                <w:sz w:val="12"/>
              </w:rPr>
            </w:pPr>
            <w:r>
              <w:rPr>
                <w:sz w:val="12"/>
              </w:rPr>
              <w:t>0.9</w:t>
            </w:r>
          </w:p>
        </w:tc>
        <w:tc>
          <w:tcPr>
            <w:tcW w:w="390" w:type="dxa"/>
            <w:tcBorders>
              <w:top w:val="nil"/>
              <w:left w:val="nil"/>
              <w:bottom w:val="nil"/>
              <w:right w:val="nil"/>
            </w:tcBorders>
          </w:tcPr>
          <w:p>
            <w:pPr>
              <w:pStyle w:val="TableParagraph"/>
              <w:spacing w:before="4"/>
              <w:rPr>
                <w:b/>
                <w:sz w:val="11"/>
              </w:rPr>
            </w:pPr>
          </w:p>
          <w:p>
            <w:pPr>
              <w:pStyle w:val="TableParagraph"/>
              <w:ind w:left="57" w:right="56"/>
              <w:jc w:val="center"/>
              <w:rPr>
                <w:sz w:val="12"/>
              </w:rPr>
            </w:pPr>
            <w:r>
              <w:rPr>
                <w:sz w:val="12"/>
              </w:rPr>
              <w:t>0.3</w:t>
            </w:r>
          </w:p>
        </w:tc>
        <w:tc>
          <w:tcPr>
            <w:tcW w:w="390" w:type="dxa"/>
            <w:tcBorders>
              <w:top w:val="nil"/>
              <w:left w:val="nil"/>
              <w:bottom w:val="nil"/>
              <w:right w:val="nil"/>
            </w:tcBorders>
          </w:tcPr>
          <w:p>
            <w:pPr>
              <w:pStyle w:val="TableParagraph"/>
              <w:spacing w:before="4"/>
              <w:rPr>
                <w:b/>
                <w:sz w:val="11"/>
              </w:rPr>
            </w:pPr>
          </w:p>
          <w:p>
            <w:pPr>
              <w:pStyle w:val="TableParagraph"/>
              <w:ind w:left="56" w:right="57"/>
              <w:jc w:val="center"/>
              <w:rPr>
                <w:sz w:val="12"/>
              </w:rPr>
            </w:pPr>
            <w:r>
              <w:rPr>
                <w:sz w:val="12"/>
              </w:rPr>
              <w:t>5.2</w:t>
            </w:r>
          </w:p>
        </w:tc>
        <w:tc>
          <w:tcPr>
            <w:tcW w:w="390" w:type="dxa"/>
            <w:tcBorders>
              <w:top w:val="nil"/>
              <w:left w:val="nil"/>
              <w:bottom w:val="nil"/>
              <w:right w:val="nil"/>
            </w:tcBorders>
          </w:tcPr>
          <w:p>
            <w:pPr>
              <w:pStyle w:val="TableParagraph"/>
              <w:spacing w:before="4"/>
              <w:rPr>
                <w:b/>
                <w:sz w:val="11"/>
              </w:rPr>
            </w:pPr>
          </w:p>
          <w:p>
            <w:pPr>
              <w:pStyle w:val="TableParagraph"/>
              <w:ind w:right="1"/>
              <w:jc w:val="center"/>
              <w:rPr>
                <w:sz w:val="12"/>
              </w:rPr>
            </w:pPr>
            <w:r>
              <w:rPr>
                <w:w w:val="99"/>
                <w:sz w:val="12"/>
              </w:rPr>
              <w:t>-</w:t>
            </w:r>
          </w:p>
        </w:tc>
        <w:tc>
          <w:tcPr>
            <w:tcW w:w="390" w:type="dxa"/>
            <w:tcBorders>
              <w:top w:val="nil"/>
              <w:left w:val="nil"/>
              <w:bottom w:val="nil"/>
              <w:right w:val="nil"/>
            </w:tcBorders>
          </w:tcPr>
          <w:p>
            <w:pPr>
              <w:pStyle w:val="TableParagraph"/>
              <w:spacing w:before="4"/>
              <w:rPr>
                <w:b/>
                <w:sz w:val="11"/>
              </w:rPr>
            </w:pPr>
          </w:p>
          <w:p>
            <w:pPr>
              <w:pStyle w:val="TableParagraph"/>
              <w:ind w:left="57" w:right="58"/>
              <w:jc w:val="center"/>
              <w:rPr>
                <w:sz w:val="12"/>
              </w:rPr>
            </w:pPr>
            <w:r>
              <w:rPr>
                <w:sz w:val="12"/>
              </w:rPr>
              <w:t>0.1</w:t>
            </w:r>
          </w:p>
        </w:tc>
        <w:tc>
          <w:tcPr>
            <w:tcW w:w="390" w:type="dxa"/>
            <w:tcBorders>
              <w:top w:val="nil"/>
              <w:left w:val="nil"/>
              <w:bottom w:val="nil"/>
              <w:right w:val="nil"/>
            </w:tcBorders>
          </w:tcPr>
          <w:p>
            <w:pPr>
              <w:pStyle w:val="TableParagraph"/>
              <w:spacing w:before="4"/>
              <w:rPr>
                <w:b/>
                <w:sz w:val="11"/>
              </w:rPr>
            </w:pPr>
          </w:p>
          <w:p>
            <w:pPr>
              <w:pStyle w:val="TableParagraph"/>
              <w:ind w:right="75"/>
              <w:jc w:val="right"/>
              <w:rPr>
                <w:sz w:val="12"/>
              </w:rPr>
            </w:pPr>
            <w:r>
              <w:rPr>
                <w:sz w:val="12"/>
              </w:rPr>
              <w:t>12.2</w:t>
            </w:r>
          </w:p>
        </w:tc>
        <w:tc>
          <w:tcPr>
            <w:tcW w:w="392" w:type="dxa"/>
            <w:tcBorders>
              <w:top w:val="nil"/>
              <w:left w:val="nil"/>
              <w:bottom w:val="nil"/>
            </w:tcBorders>
          </w:tcPr>
          <w:p>
            <w:pPr>
              <w:pStyle w:val="TableParagraph"/>
              <w:spacing w:before="4"/>
              <w:rPr>
                <w:b/>
                <w:sz w:val="11"/>
              </w:rPr>
            </w:pPr>
          </w:p>
          <w:p>
            <w:pPr>
              <w:pStyle w:val="TableParagraph"/>
              <w:ind w:right="73"/>
              <w:jc w:val="right"/>
              <w:rPr>
                <w:sz w:val="12"/>
              </w:rPr>
            </w:pPr>
            <w:r>
              <w:rPr>
                <w:sz w:val="12"/>
              </w:rPr>
              <w:t>18.2</w:t>
            </w:r>
          </w:p>
        </w:tc>
        <w:tc>
          <w:tcPr>
            <w:tcW w:w="388" w:type="dxa"/>
            <w:tcBorders>
              <w:top w:val="nil"/>
              <w:bottom w:val="nil"/>
              <w:right w:val="nil"/>
            </w:tcBorders>
          </w:tcPr>
          <w:p>
            <w:pPr>
              <w:pStyle w:val="TableParagraph"/>
              <w:spacing w:before="4"/>
              <w:rPr>
                <w:b/>
                <w:sz w:val="11"/>
              </w:rPr>
            </w:pPr>
          </w:p>
          <w:p>
            <w:pPr>
              <w:pStyle w:val="TableParagraph"/>
              <w:ind w:left="153"/>
              <w:rPr>
                <w:sz w:val="12"/>
              </w:rPr>
            </w:pPr>
            <w:r>
              <w:rPr>
                <w:w w:val="100"/>
                <w:sz w:val="12"/>
              </w:rPr>
              <w:t>−</w:t>
            </w:r>
          </w:p>
        </w:tc>
        <w:tc>
          <w:tcPr>
            <w:tcW w:w="390" w:type="dxa"/>
            <w:tcBorders>
              <w:top w:val="nil"/>
              <w:left w:val="nil"/>
              <w:bottom w:val="nil"/>
              <w:right w:val="nil"/>
            </w:tcBorders>
          </w:tcPr>
          <w:p>
            <w:pPr>
              <w:pStyle w:val="TableParagraph"/>
              <w:spacing w:before="4"/>
              <w:rPr>
                <w:b/>
                <w:sz w:val="11"/>
              </w:rPr>
            </w:pPr>
          </w:p>
          <w:p>
            <w:pPr>
              <w:pStyle w:val="TableParagraph"/>
              <w:ind w:left="110"/>
              <w:rPr>
                <w:sz w:val="12"/>
              </w:rPr>
            </w:pPr>
            <w:r>
              <w:rPr>
                <w:sz w:val="12"/>
              </w:rPr>
              <w:t>0.1</w:t>
            </w:r>
          </w:p>
        </w:tc>
        <w:tc>
          <w:tcPr>
            <w:tcW w:w="390" w:type="dxa"/>
            <w:tcBorders>
              <w:top w:val="nil"/>
              <w:left w:val="nil"/>
              <w:bottom w:val="nil"/>
              <w:right w:val="nil"/>
            </w:tcBorders>
          </w:tcPr>
          <w:p>
            <w:pPr>
              <w:pStyle w:val="TableParagraph"/>
              <w:spacing w:before="4"/>
              <w:rPr>
                <w:b/>
                <w:sz w:val="11"/>
              </w:rPr>
            </w:pPr>
          </w:p>
          <w:p>
            <w:pPr>
              <w:pStyle w:val="TableParagraph"/>
              <w:jc w:val="center"/>
              <w:rPr>
                <w:sz w:val="12"/>
              </w:rPr>
            </w:pPr>
            <w:r>
              <w:rPr>
                <w:w w:val="100"/>
                <w:sz w:val="12"/>
              </w:rPr>
              <w:t>−</w:t>
            </w:r>
          </w:p>
        </w:tc>
        <w:tc>
          <w:tcPr>
            <w:tcW w:w="410" w:type="dxa"/>
            <w:tcBorders>
              <w:top w:val="nil"/>
              <w:left w:val="nil"/>
              <w:bottom w:val="nil"/>
              <w:right w:val="nil"/>
            </w:tcBorders>
          </w:tcPr>
          <w:p>
            <w:pPr>
              <w:pStyle w:val="TableParagraph"/>
              <w:spacing w:before="4"/>
              <w:rPr>
                <w:b/>
                <w:sz w:val="11"/>
              </w:rPr>
            </w:pPr>
          </w:p>
          <w:p>
            <w:pPr>
              <w:pStyle w:val="TableParagraph"/>
              <w:ind w:right="120"/>
              <w:jc w:val="right"/>
              <w:rPr>
                <w:sz w:val="12"/>
              </w:rPr>
            </w:pPr>
            <w:r>
              <w:rPr>
                <w:sz w:val="12"/>
              </w:rPr>
              <w:t>0.3</w:t>
            </w:r>
          </w:p>
        </w:tc>
        <w:tc>
          <w:tcPr>
            <w:tcW w:w="391" w:type="dxa"/>
            <w:tcBorders>
              <w:top w:val="nil"/>
              <w:left w:val="nil"/>
              <w:bottom w:val="nil"/>
              <w:right w:val="nil"/>
            </w:tcBorders>
          </w:tcPr>
          <w:p>
            <w:pPr>
              <w:pStyle w:val="TableParagraph"/>
              <w:spacing w:before="4"/>
              <w:rPr>
                <w:b/>
                <w:sz w:val="11"/>
              </w:rPr>
            </w:pPr>
          </w:p>
          <w:p>
            <w:pPr>
              <w:pStyle w:val="TableParagraph"/>
              <w:jc w:val="center"/>
              <w:rPr>
                <w:sz w:val="12"/>
              </w:rPr>
            </w:pPr>
            <w:r>
              <w:rPr>
                <w:w w:val="99"/>
                <w:sz w:val="12"/>
              </w:rPr>
              <w:t>-</w:t>
            </w:r>
          </w:p>
        </w:tc>
        <w:tc>
          <w:tcPr>
            <w:tcW w:w="390" w:type="dxa"/>
            <w:tcBorders>
              <w:top w:val="nil"/>
              <w:left w:val="nil"/>
              <w:bottom w:val="nil"/>
              <w:right w:val="nil"/>
            </w:tcBorders>
          </w:tcPr>
          <w:p>
            <w:pPr>
              <w:pStyle w:val="TableParagraph"/>
              <w:spacing w:before="4"/>
              <w:rPr>
                <w:b/>
                <w:sz w:val="11"/>
              </w:rPr>
            </w:pPr>
          </w:p>
          <w:p>
            <w:pPr>
              <w:pStyle w:val="TableParagraph"/>
              <w:ind w:right="1"/>
              <w:jc w:val="center"/>
              <w:rPr>
                <w:sz w:val="12"/>
              </w:rPr>
            </w:pPr>
            <w:r>
              <w:rPr>
                <w:w w:val="99"/>
                <w:sz w:val="12"/>
              </w:rPr>
              <w:t>-</w:t>
            </w:r>
          </w:p>
        </w:tc>
        <w:tc>
          <w:tcPr>
            <w:tcW w:w="392" w:type="dxa"/>
            <w:tcBorders>
              <w:top w:val="nil"/>
              <w:left w:val="nil"/>
              <w:bottom w:val="nil"/>
            </w:tcBorders>
          </w:tcPr>
          <w:p>
            <w:pPr>
              <w:pStyle w:val="TableParagraph"/>
              <w:spacing w:before="4"/>
              <w:rPr>
                <w:b/>
                <w:sz w:val="11"/>
              </w:rPr>
            </w:pPr>
          </w:p>
          <w:p>
            <w:pPr>
              <w:pStyle w:val="TableParagraph"/>
              <w:ind w:left="57" w:right="55"/>
              <w:jc w:val="center"/>
              <w:rPr>
                <w:sz w:val="12"/>
              </w:rPr>
            </w:pPr>
            <w:r>
              <w:rPr>
                <w:sz w:val="12"/>
              </w:rPr>
              <w:t>0.2</w:t>
            </w:r>
          </w:p>
        </w:tc>
        <w:tc>
          <w:tcPr>
            <w:tcW w:w="318" w:type="dxa"/>
            <w:tcBorders>
              <w:top w:val="nil"/>
              <w:bottom w:val="nil"/>
              <w:right w:val="nil"/>
            </w:tcBorders>
          </w:tcPr>
          <w:p>
            <w:pPr>
              <w:pStyle w:val="TableParagraph"/>
              <w:spacing w:before="4"/>
              <w:rPr>
                <w:b/>
                <w:sz w:val="11"/>
              </w:rPr>
            </w:pPr>
          </w:p>
          <w:p>
            <w:pPr>
              <w:pStyle w:val="TableParagraph"/>
              <w:ind w:right="2"/>
              <w:jc w:val="center"/>
              <w:rPr>
                <w:sz w:val="12"/>
              </w:rPr>
            </w:pPr>
            <w:r>
              <w:rPr>
                <w:w w:val="99"/>
                <w:sz w:val="12"/>
              </w:rPr>
              <w:t>-</w:t>
            </w:r>
          </w:p>
        </w:tc>
        <w:tc>
          <w:tcPr>
            <w:tcW w:w="319" w:type="dxa"/>
            <w:tcBorders>
              <w:top w:val="nil"/>
              <w:left w:val="nil"/>
              <w:bottom w:val="nil"/>
              <w:right w:val="nil"/>
            </w:tcBorders>
          </w:tcPr>
          <w:p>
            <w:pPr>
              <w:pStyle w:val="TableParagraph"/>
              <w:spacing w:before="4"/>
              <w:rPr>
                <w:b/>
                <w:sz w:val="11"/>
              </w:rPr>
            </w:pPr>
          </w:p>
          <w:p>
            <w:pPr>
              <w:pStyle w:val="TableParagraph"/>
              <w:ind w:left="2"/>
              <w:jc w:val="center"/>
              <w:rPr>
                <w:sz w:val="12"/>
              </w:rPr>
            </w:pPr>
            <w:r>
              <w:rPr>
                <w:w w:val="99"/>
                <w:sz w:val="12"/>
              </w:rPr>
              <w:t>-</w:t>
            </w:r>
          </w:p>
        </w:tc>
        <w:tc>
          <w:tcPr>
            <w:tcW w:w="320" w:type="dxa"/>
            <w:tcBorders>
              <w:top w:val="nil"/>
              <w:left w:val="nil"/>
              <w:bottom w:val="nil"/>
              <w:right w:val="nil"/>
            </w:tcBorders>
          </w:tcPr>
          <w:p>
            <w:pPr>
              <w:pStyle w:val="TableParagraph"/>
              <w:spacing w:before="4"/>
              <w:rPr>
                <w:b/>
                <w:sz w:val="11"/>
              </w:rPr>
            </w:pPr>
          </w:p>
          <w:p>
            <w:pPr>
              <w:pStyle w:val="TableParagraph"/>
              <w:ind w:left="1"/>
              <w:jc w:val="center"/>
              <w:rPr>
                <w:sz w:val="12"/>
              </w:rPr>
            </w:pPr>
            <w:r>
              <w:rPr>
                <w:w w:val="99"/>
                <w:sz w:val="12"/>
              </w:rPr>
              <w:t>-</w:t>
            </w:r>
          </w:p>
        </w:tc>
        <w:tc>
          <w:tcPr>
            <w:tcW w:w="321" w:type="dxa"/>
            <w:tcBorders>
              <w:top w:val="nil"/>
              <w:left w:val="nil"/>
              <w:bottom w:val="nil"/>
              <w:right w:val="nil"/>
            </w:tcBorders>
          </w:tcPr>
          <w:p>
            <w:pPr>
              <w:pStyle w:val="TableParagraph"/>
              <w:spacing w:before="4"/>
              <w:rPr>
                <w:b/>
                <w:sz w:val="11"/>
              </w:rPr>
            </w:pPr>
          </w:p>
          <w:p>
            <w:pPr>
              <w:pStyle w:val="TableParagraph"/>
              <w:ind w:left="3"/>
              <w:jc w:val="center"/>
              <w:rPr>
                <w:sz w:val="12"/>
              </w:rPr>
            </w:pPr>
            <w:r>
              <w:rPr>
                <w:w w:val="99"/>
                <w:sz w:val="12"/>
              </w:rPr>
              <w:t>-</w:t>
            </w:r>
          </w:p>
        </w:tc>
        <w:tc>
          <w:tcPr>
            <w:tcW w:w="323" w:type="dxa"/>
            <w:tcBorders>
              <w:top w:val="nil"/>
              <w:left w:val="nil"/>
              <w:bottom w:val="nil"/>
              <w:right w:val="nil"/>
            </w:tcBorders>
          </w:tcPr>
          <w:p>
            <w:pPr>
              <w:pStyle w:val="TableParagraph"/>
              <w:spacing w:before="4"/>
              <w:rPr>
                <w:b/>
                <w:sz w:val="11"/>
              </w:rPr>
            </w:pPr>
          </w:p>
          <w:p>
            <w:pPr>
              <w:pStyle w:val="TableParagraph"/>
              <w:ind w:right="1"/>
              <w:jc w:val="center"/>
              <w:rPr>
                <w:sz w:val="12"/>
              </w:rPr>
            </w:pPr>
            <w:r>
              <w:rPr>
                <w:w w:val="99"/>
                <w:sz w:val="12"/>
              </w:rPr>
              <w:t>-</w:t>
            </w:r>
          </w:p>
        </w:tc>
      </w:tr>
      <w:tr>
        <w:trPr>
          <w:trHeight w:val="380" w:hRule="exact"/>
        </w:trPr>
        <w:tc>
          <w:tcPr>
            <w:tcW w:w="1565" w:type="dxa"/>
            <w:tcBorders>
              <w:top w:val="nil"/>
              <w:left w:val="nil"/>
              <w:bottom w:val="nil"/>
              <w:right w:val="nil"/>
            </w:tcBorders>
          </w:tcPr>
          <w:p>
            <w:pPr>
              <w:pStyle w:val="TableParagraph"/>
              <w:spacing w:before="46"/>
              <w:ind w:left="69" w:right="295"/>
              <w:rPr>
                <w:sz w:val="12"/>
              </w:rPr>
            </w:pPr>
            <w:r>
              <w:rPr>
                <w:sz w:val="12"/>
              </w:rPr>
              <w:t>INFRAESTRUCTURA SOCIAL</w:t>
            </w:r>
          </w:p>
        </w:tc>
        <w:tc>
          <w:tcPr>
            <w:tcW w:w="487" w:type="dxa"/>
            <w:tcBorders>
              <w:top w:val="nil"/>
              <w:left w:val="nil"/>
              <w:bottom w:val="nil"/>
              <w:right w:val="nil"/>
            </w:tcBorders>
          </w:tcPr>
          <w:p>
            <w:pPr>
              <w:pStyle w:val="TableParagraph"/>
              <w:rPr>
                <w:b/>
                <w:sz w:val="10"/>
              </w:rPr>
            </w:pPr>
          </w:p>
          <w:p>
            <w:pPr>
              <w:pStyle w:val="TableParagraph"/>
              <w:ind w:right="157"/>
              <w:jc w:val="right"/>
              <w:rPr>
                <w:sz w:val="12"/>
              </w:rPr>
            </w:pPr>
            <w:r>
              <w:rPr>
                <w:sz w:val="12"/>
              </w:rPr>
              <w:t>4.1</w:t>
            </w:r>
          </w:p>
        </w:tc>
        <w:tc>
          <w:tcPr>
            <w:tcW w:w="411" w:type="dxa"/>
            <w:tcBorders>
              <w:top w:val="nil"/>
              <w:left w:val="nil"/>
              <w:bottom w:val="nil"/>
            </w:tcBorders>
          </w:tcPr>
          <w:p>
            <w:pPr>
              <w:pStyle w:val="TableParagraph"/>
              <w:rPr>
                <w:b/>
                <w:sz w:val="10"/>
              </w:rPr>
            </w:pPr>
          </w:p>
          <w:p>
            <w:pPr>
              <w:pStyle w:val="TableParagraph"/>
              <w:ind w:left="171"/>
              <w:rPr>
                <w:sz w:val="12"/>
              </w:rPr>
            </w:pPr>
            <w:r>
              <w:rPr>
                <w:w w:val="100"/>
                <w:sz w:val="12"/>
              </w:rPr>
              <w:t>−</w:t>
            </w:r>
          </w:p>
        </w:tc>
        <w:tc>
          <w:tcPr>
            <w:tcW w:w="390" w:type="dxa"/>
            <w:tcBorders>
              <w:top w:val="nil"/>
              <w:bottom w:val="nil"/>
              <w:right w:val="nil"/>
            </w:tcBorders>
          </w:tcPr>
          <w:p>
            <w:pPr>
              <w:pStyle w:val="TableParagraph"/>
              <w:rPr>
                <w:b/>
                <w:sz w:val="10"/>
              </w:rPr>
            </w:pPr>
          </w:p>
          <w:p>
            <w:pPr>
              <w:pStyle w:val="TableParagraph"/>
              <w:ind w:left="153"/>
              <w:rPr>
                <w:sz w:val="12"/>
              </w:rPr>
            </w:pPr>
            <w:r>
              <w:rPr>
                <w:w w:val="100"/>
                <w:sz w:val="12"/>
              </w:rPr>
              <w:t>−</w:t>
            </w:r>
          </w:p>
        </w:tc>
        <w:tc>
          <w:tcPr>
            <w:tcW w:w="390" w:type="dxa"/>
            <w:tcBorders>
              <w:top w:val="nil"/>
              <w:left w:val="nil"/>
              <w:bottom w:val="nil"/>
              <w:right w:val="nil"/>
            </w:tcBorders>
          </w:tcPr>
          <w:p>
            <w:pPr>
              <w:pStyle w:val="TableParagraph"/>
              <w:rPr>
                <w:b/>
                <w:sz w:val="10"/>
              </w:rPr>
            </w:pPr>
          </w:p>
          <w:p>
            <w:pPr>
              <w:pStyle w:val="TableParagraph"/>
              <w:ind w:right="1"/>
              <w:jc w:val="center"/>
              <w:rPr>
                <w:sz w:val="12"/>
              </w:rPr>
            </w:pPr>
            <w:r>
              <w:rPr>
                <w:w w:val="99"/>
                <w:sz w:val="12"/>
              </w:rPr>
              <w:t>-</w:t>
            </w:r>
          </w:p>
        </w:tc>
        <w:tc>
          <w:tcPr>
            <w:tcW w:w="390" w:type="dxa"/>
            <w:tcBorders>
              <w:top w:val="nil"/>
              <w:left w:val="nil"/>
              <w:bottom w:val="nil"/>
              <w:right w:val="nil"/>
            </w:tcBorders>
          </w:tcPr>
          <w:p>
            <w:pPr>
              <w:pStyle w:val="TableParagraph"/>
              <w:rPr>
                <w:b/>
                <w:sz w:val="10"/>
              </w:rPr>
            </w:pPr>
          </w:p>
          <w:p>
            <w:pPr>
              <w:pStyle w:val="TableParagraph"/>
              <w:ind w:right="1"/>
              <w:jc w:val="center"/>
              <w:rPr>
                <w:sz w:val="12"/>
              </w:rPr>
            </w:pPr>
            <w:r>
              <w:rPr>
                <w:w w:val="99"/>
                <w:sz w:val="12"/>
              </w:rPr>
              <w:t>-</w:t>
            </w:r>
          </w:p>
        </w:tc>
        <w:tc>
          <w:tcPr>
            <w:tcW w:w="390" w:type="dxa"/>
            <w:tcBorders>
              <w:top w:val="nil"/>
              <w:left w:val="nil"/>
              <w:bottom w:val="nil"/>
              <w:right w:val="nil"/>
            </w:tcBorders>
          </w:tcPr>
          <w:p>
            <w:pPr>
              <w:pStyle w:val="TableParagraph"/>
              <w:rPr>
                <w:b/>
                <w:sz w:val="10"/>
              </w:rPr>
            </w:pPr>
          </w:p>
          <w:p>
            <w:pPr>
              <w:pStyle w:val="TableParagraph"/>
              <w:ind w:left="57" w:right="56"/>
              <w:jc w:val="center"/>
              <w:rPr>
                <w:sz w:val="12"/>
              </w:rPr>
            </w:pPr>
            <w:r>
              <w:rPr>
                <w:sz w:val="12"/>
              </w:rPr>
              <w:t>3.2</w:t>
            </w:r>
          </w:p>
        </w:tc>
        <w:tc>
          <w:tcPr>
            <w:tcW w:w="390" w:type="dxa"/>
            <w:tcBorders>
              <w:top w:val="nil"/>
              <w:left w:val="nil"/>
              <w:bottom w:val="nil"/>
              <w:right w:val="nil"/>
            </w:tcBorders>
          </w:tcPr>
          <w:p>
            <w:pPr>
              <w:pStyle w:val="TableParagraph"/>
              <w:rPr>
                <w:b/>
                <w:sz w:val="10"/>
              </w:rPr>
            </w:pPr>
          </w:p>
          <w:p>
            <w:pPr>
              <w:pStyle w:val="TableParagraph"/>
              <w:ind w:left="57" w:right="58"/>
              <w:jc w:val="center"/>
              <w:rPr>
                <w:sz w:val="12"/>
              </w:rPr>
            </w:pPr>
            <w:r>
              <w:rPr>
                <w:sz w:val="12"/>
              </w:rPr>
              <w:t>7.6</w:t>
            </w:r>
          </w:p>
        </w:tc>
        <w:tc>
          <w:tcPr>
            <w:tcW w:w="390" w:type="dxa"/>
            <w:tcBorders>
              <w:top w:val="nil"/>
              <w:left w:val="nil"/>
              <w:bottom w:val="nil"/>
              <w:right w:val="nil"/>
            </w:tcBorders>
          </w:tcPr>
          <w:p>
            <w:pPr>
              <w:pStyle w:val="TableParagraph"/>
              <w:rPr>
                <w:b/>
                <w:sz w:val="10"/>
              </w:rPr>
            </w:pPr>
          </w:p>
          <w:p>
            <w:pPr>
              <w:pStyle w:val="TableParagraph"/>
              <w:ind w:right="108"/>
              <w:jc w:val="right"/>
              <w:rPr>
                <w:sz w:val="12"/>
              </w:rPr>
            </w:pPr>
            <w:r>
              <w:rPr>
                <w:sz w:val="12"/>
              </w:rPr>
              <w:t>0.4</w:t>
            </w:r>
          </w:p>
        </w:tc>
        <w:tc>
          <w:tcPr>
            <w:tcW w:w="392" w:type="dxa"/>
            <w:tcBorders>
              <w:top w:val="nil"/>
              <w:left w:val="nil"/>
              <w:bottom w:val="nil"/>
            </w:tcBorders>
          </w:tcPr>
          <w:p>
            <w:pPr>
              <w:pStyle w:val="TableParagraph"/>
              <w:rPr>
                <w:b/>
                <w:sz w:val="10"/>
              </w:rPr>
            </w:pPr>
          </w:p>
          <w:p>
            <w:pPr>
              <w:pStyle w:val="TableParagraph"/>
              <w:ind w:right="106"/>
              <w:jc w:val="right"/>
              <w:rPr>
                <w:sz w:val="12"/>
              </w:rPr>
            </w:pPr>
            <w:r>
              <w:rPr>
                <w:sz w:val="12"/>
              </w:rPr>
              <w:t>5.0</w:t>
            </w:r>
          </w:p>
        </w:tc>
        <w:tc>
          <w:tcPr>
            <w:tcW w:w="388" w:type="dxa"/>
            <w:tcBorders>
              <w:top w:val="nil"/>
              <w:bottom w:val="nil"/>
              <w:right w:val="nil"/>
            </w:tcBorders>
          </w:tcPr>
          <w:p>
            <w:pPr>
              <w:pStyle w:val="TableParagraph"/>
              <w:rPr>
                <w:b/>
                <w:sz w:val="10"/>
              </w:rPr>
            </w:pPr>
          </w:p>
          <w:p>
            <w:pPr>
              <w:pStyle w:val="TableParagraph"/>
              <w:ind w:left="153"/>
              <w:rPr>
                <w:sz w:val="12"/>
              </w:rPr>
            </w:pPr>
            <w:r>
              <w:rPr>
                <w:w w:val="100"/>
                <w:sz w:val="12"/>
              </w:rPr>
              <w:t>−</w:t>
            </w:r>
          </w:p>
        </w:tc>
        <w:tc>
          <w:tcPr>
            <w:tcW w:w="390" w:type="dxa"/>
            <w:tcBorders>
              <w:top w:val="nil"/>
              <w:left w:val="nil"/>
              <w:bottom w:val="nil"/>
              <w:right w:val="nil"/>
            </w:tcBorders>
          </w:tcPr>
          <w:p>
            <w:pPr>
              <w:pStyle w:val="TableParagraph"/>
              <w:rPr>
                <w:b/>
                <w:sz w:val="10"/>
              </w:rPr>
            </w:pPr>
          </w:p>
          <w:p>
            <w:pPr>
              <w:pStyle w:val="TableParagraph"/>
              <w:ind w:left="110"/>
              <w:rPr>
                <w:sz w:val="12"/>
              </w:rPr>
            </w:pPr>
            <w:r>
              <w:rPr>
                <w:sz w:val="12"/>
              </w:rPr>
              <w:t>3.0</w:t>
            </w:r>
          </w:p>
        </w:tc>
        <w:tc>
          <w:tcPr>
            <w:tcW w:w="390" w:type="dxa"/>
            <w:tcBorders>
              <w:top w:val="nil"/>
              <w:left w:val="nil"/>
              <w:bottom w:val="nil"/>
              <w:right w:val="nil"/>
            </w:tcBorders>
          </w:tcPr>
          <w:p>
            <w:pPr>
              <w:pStyle w:val="TableParagraph"/>
              <w:rPr>
                <w:b/>
                <w:sz w:val="10"/>
              </w:rPr>
            </w:pPr>
          </w:p>
          <w:p>
            <w:pPr>
              <w:pStyle w:val="TableParagraph"/>
              <w:ind w:left="57" w:right="56"/>
              <w:jc w:val="center"/>
              <w:rPr>
                <w:sz w:val="12"/>
              </w:rPr>
            </w:pPr>
            <w:r>
              <w:rPr>
                <w:sz w:val="12"/>
              </w:rPr>
              <w:t>1.5</w:t>
            </w:r>
          </w:p>
        </w:tc>
        <w:tc>
          <w:tcPr>
            <w:tcW w:w="410" w:type="dxa"/>
            <w:tcBorders>
              <w:top w:val="nil"/>
              <w:left w:val="nil"/>
              <w:bottom w:val="nil"/>
              <w:right w:val="nil"/>
            </w:tcBorders>
          </w:tcPr>
          <w:p>
            <w:pPr>
              <w:pStyle w:val="TableParagraph"/>
              <w:rPr>
                <w:b/>
                <w:sz w:val="10"/>
              </w:rPr>
            </w:pPr>
          </w:p>
          <w:p>
            <w:pPr>
              <w:pStyle w:val="TableParagraph"/>
              <w:ind w:right="120"/>
              <w:jc w:val="right"/>
              <w:rPr>
                <w:sz w:val="12"/>
              </w:rPr>
            </w:pPr>
            <w:r>
              <w:rPr>
                <w:sz w:val="12"/>
              </w:rPr>
              <w:t>3.6</w:t>
            </w:r>
          </w:p>
        </w:tc>
        <w:tc>
          <w:tcPr>
            <w:tcW w:w="391" w:type="dxa"/>
            <w:tcBorders>
              <w:top w:val="nil"/>
              <w:left w:val="nil"/>
              <w:bottom w:val="nil"/>
              <w:right w:val="nil"/>
            </w:tcBorders>
          </w:tcPr>
          <w:p>
            <w:pPr>
              <w:pStyle w:val="TableParagraph"/>
              <w:rPr>
                <w:b/>
                <w:sz w:val="10"/>
              </w:rPr>
            </w:pPr>
          </w:p>
          <w:p>
            <w:pPr>
              <w:pStyle w:val="TableParagraph"/>
              <w:ind w:left="58" w:right="58"/>
              <w:jc w:val="center"/>
              <w:rPr>
                <w:sz w:val="12"/>
              </w:rPr>
            </w:pPr>
            <w:r>
              <w:rPr>
                <w:sz w:val="12"/>
              </w:rPr>
              <w:t>3.4</w:t>
            </w:r>
          </w:p>
        </w:tc>
        <w:tc>
          <w:tcPr>
            <w:tcW w:w="390" w:type="dxa"/>
            <w:tcBorders>
              <w:top w:val="nil"/>
              <w:left w:val="nil"/>
              <w:bottom w:val="nil"/>
              <w:right w:val="nil"/>
            </w:tcBorders>
          </w:tcPr>
          <w:p>
            <w:pPr>
              <w:pStyle w:val="TableParagraph"/>
              <w:rPr>
                <w:b/>
                <w:sz w:val="10"/>
              </w:rPr>
            </w:pPr>
          </w:p>
          <w:p>
            <w:pPr>
              <w:pStyle w:val="TableParagraph"/>
              <w:ind w:left="57" w:right="56"/>
              <w:jc w:val="center"/>
              <w:rPr>
                <w:sz w:val="12"/>
              </w:rPr>
            </w:pPr>
            <w:r>
              <w:rPr>
                <w:sz w:val="12"/>
              </w:rPr>
              <w:t>9.4</w:t>
            </w:r>
          </w:p>
        </w:tc>
        <w:tc>
          <w:tcPr>
            <w:tcW w:w="392" w:type="dxa"/>
            <w:tcBorders>
              <w:top w:val="nil"/>
              <w:left w:val="nil"/>
              <w:bottom w:val="nil"/>
            </w:tcBorders>
          </w:tcPr>
          <w:p>
            <w:pPr>
              <w:pStyle w:val="TableParagraph"/>
              <w:rPr>
                <w:b/>
                <w:sz w:val="10"/>
              </w:rPr>
            </w:pPr>
          </w:p>
          <w:p>
            <w:pPr>
              <w:pStyle w:val="TableParagraph"/>
              <w:ind w:left="57" w:right="55"/>
              <w:jc w:val="center"/>
              <w:rPr>
                <w:sz w:val="12"/>
              </w:rPr>
            </w:pPr>
            <w:r>
              <w:rPr>
                <w:sz w:val="12"/>
              </w:rPr>
              <w:t>3.3</w:t>
            </w:r>
          </w:p>
        </w:tc>
        <w:tc>
          <w:tcPr>
            <w:tcW w:w="318" w:type="dxa"/>
            <w:tcBorders>
              <w:top w:val="nil"/>
              <w:bottom w:val="nil"/>
              <w:right w:val="nil"/>
            </w:tcBorders>
          </w:tcPr>
          <w:p>
            <w:pPr>
              <w:pStyle w:val="TableParagraph"/>
              <w:rPr>
                <w:b/>
                <w:sz w:val="10"/>
              </w:rPr>
            </w:pPr>
          </w:p>
          <w:p>
            <w:pPr>
              <w:pStyle w:val="TableParagraph"/>
              <w:ind w:right="2"/>
              <w:jc w:val="center"/>
              <w:rPr>
                <w:sz w:val="12"/>
              </w:rPr>
            </w:pPr>
            <w:r>
              <w:rPr>
                <w:w w:val="99"/>
                <w:sz w:val="12"/>
              </w:rPr>
              <w:t>-</w:t>
            </w:r>
          </w:p>
        </w:tc>
        <w:tc>
          <w:tcPr>
            <w:tcW w:w="319" w:type="dxa"/>
            <w:tcBorders>
              <w:top w:val="nil"/>
              <w:left w:val="nil"/>
              <w:bottom w:val="nil"/>
              <w:right w:val="nil"/>
            </w:tcBorders>
          </w:tcPr>
          <w:p>
            <w:pPr>
              <w:pStyle w:val="TableParagraph"/>
              <w:rPr>
                <w:b/>
                <w:sz w:val="10"/>
              </w:rPr>
            </w:pPr>
          </w:p>
          <w:p>
            <w:pPr>
              <w:pStyle w:val="TableParagraph"/>
              <w:ind w:left="2"/>
              <w:jc w:val="center"/>
              <w:rPr>
                <w:sz w:val="12"/>
              </w:rPr>
            </w:pPr>
            <w:r>
              <w:rPr>
                <w:w w:val="99"/>
                <w:sz w:val="12"/>
              </w:rPr>
              <w:t>-</w:t>
            </w:r>
          </w:p>
        </w:tc>
        <w:tc>
          <w:tcPr>
            <w:tcW w:w="320" w:type="dxa"/>
            <w:tcBorders>
              <w:top w:val="nil"/>
              <w:left w:val="nil"/>
              <w:bottom w:val="nil"/>
              <w:right w:val="nil"/>
            </w:tcBorders>
          </w:tcPr>
          <w:p>
            <w:pPr>
              <w:pStyle w:val="TableParagraph"/>
              <w:rPr>
                <w:b/>
                <w:sz w:val="10"/>
              </w:rPr>
            </w:pPr>
          </w:p>
          <w:p>
            <w:pPr>
              <w:pStyle w:val="TableParagraph"/>
              <w:ind w:left="1"/>
              <w:jc w:val="center"/>
              <w:rPr>
                <w:sz w:val="12"/>
              </w:rPr>
            </w:pPr>
            <w:r>
              <w:rPr>
                <w:w w:val="99"/>
                <w:sz w:val="12"/>
              </w:rPr>
              <w:t>-</w:t>
            </w:r>
          </w:p>
        </w:tc>
        <w:tc>
          <w:tcPr>
            <w:tcW w:w="321" w:type="dxa"/>
            <w:tcBorders>
              <w:top w:val="nil"/>
              <w:left w:val="nil"/>
              <w:bottom w:val="nil"/>
              <w:right w:val="nil"/>
            </w:tcBorders>
          </w:tcPr>
          <w:p>
            <w:pPr>
              <w:pStyle w:val="TableParagraph"/>
              <w:rPr>
                <w:b/>
                <w:sz w:val="10"/>
              </w:rPr>
            </w:pPr>
          </w:p>
          <w:p>
            <w:pPr>
              <w:pStyle w:val="TableParagraph"/>
              <w:ind w:left="3"/>
              <w:jc w:val="center"/>
              <w:rPr>
                <w:sz w:val="12"/>
              </w:rPr>
            </w:pPr>
            <w:r>
              <w:rPr>
                <w:w w:val="99"/>
                <w:sz w:val="12"/>
              </w:rPr>
              <w:t>-</w:t>
            </w:r>
          </w:p>
        </w:tc>
        <w:tc>
          <w:tcPr>
            <w:tcW w:w="323" w:type="dxa"/>
            <w:tcBorders>
              <w:top w:val="nil"/>
              <w:left w:val="nil"/>
              <w:bottom w:val="nil"/>
              <w:right w:val="nil"/>
            </w:tcBorders>
          </w:tcPr>
          <w:p>
            <w:pPr>
              <w:pStyle w:val="TableParagraph"/>
              <w:rPr>
                <w:b/>
                <w:sz w:val="10"/>
              </w:rPr>
            </w:pPr>
          </w:p>
          <w:p>
            <w:pPr>
              <w:pStyle w:val="TableParagraph"/>
              <w:ind w:right="1"/>
              <w:jc w:val="center"/>
              <w:rPr>
                <w:sz w:val="12"/>
              </w:rPr>
            </w:pPr>
            <w:r>
              <w:rPr>
                <w:w w:val="99"/>
                <w:sz w:val="12"/>
              </w:rPr>
              <w:t>-</w:t>
            </w:r>
          </w:p>
        </w:tc>
      </w:tr>
      <w:tr>
        <w:trPr>
          <w:trHeight w:val="266" w:hRule="exact"/>
        </w:trPr>
        <w:tc>
          <w:tcPr>
            <w:tcW w:w="1565" w:type="dxa"/>
            <w:tcBorders>
              <w:top w:val="nil"/>
              <w:left w:val="nil"/>
              <w:bottom w:val="nil"/>
              <w:right w:val="nil"/>
            </w:tcBorders>
          </w:tcPr>
          <w:p>
            <w:pPr>
              <w:pStyle w:val="TableParagraph"/>
              <w:spacing w:before="47"/>
              <w:ind w:left="69" w:right="508"/>
              <w:rPr>
                <w:sz w:val="12"/>
              </w:rPr>
            </w:pPr>
            <w:r>
              <w:rPr>
                <w:sz w:val="12"/>
              </w:rPr>
              <w:t>PLANEACIÓN</w:t>
            </w:r>
          </w:p>
        </w:tc>
        <w:tc>
          <w:tcPr>
            <w:tcW w:w="487" w:type="dxa"/>
            <w:tcBorders>
              <w:top w:val="nil"/>
              <w:left w:val="nil"/>
              <w:bottom w:val="nil"/>
              <w:right w:val="nil"/>
            </w:tcBorders>
          </w:tcPr>
          <w:p>
            <w:pPr>
              <w:pStyle w:val="TableParagraph"/>
              <w:spacing w:before="47"/>
              <w:ind w:right="203"/>
              <w:jc w:val="right"/>
              <w:rPr>
                <w:sz w:val="12"/>
              </w:rPr>
            </w:pPr>
            <w:r>
              <w:rPr>
                <w:w w:val="100"/>
                <w:sz w:val="12"/>
              </w:rPr>
              <w:t>−</w:t>
            </w:r>
          </w:p>
        </w:tc>
        <w:tc>
          <w:tcPr>
            <w:tcW w:w="411" w:type="dxa"/>
            <w:tcBorders>
              <w:top w:val="nil"/>
              <w:left w:val="nil"/>
              <w:bottom w:val="nil"/>
            </w:tcBorders>
          </w:tcPr>
          <w:p>
            <w:pPr>
              <w:pStyle w:val="TableParagraph"/>
              <w:spacing w:before="47"/>
              <w:ind w:left="123"/>
              <w:rPr>
                <w:sz w:val="12"/>
              </w:rPr>
            </w:pPr>
            <w:r>
              <w:rPr>
                <w:sz w:val="12"/>
              </w:rPr>
              <w:t>0.2</w:t>
            </w:r>
          </w:p>
        </w:tc>
        <w:tc>
          <w:tcPr>
            <w:tcW w:w="390" w:type="dxa"/>
            <w:tcBorders>
              <w:top w:val="nil"/>
              <w:bottom w:val="nil"/>
              <w:right w:val="nil"/>
            </w:tcBorders>
          </w:tcPr>
          <w:p>
            <w:pPr>
              <w:pStyle w:val="TableParagraph"/>
              <w:spacing w:before="47"/>
              <w:ind w:left="105"/>
              <w:rPr>
                <w:sz w:val="12"/>
              </w:rPr>
            </w:pPr>
            <w:r>
              <w:rPr>
                <w:sz w:val="12"/>
              </w:rPr>
              <w:t>0.3</w:t>
            </w:r>
          </w:p>
        </w:tc>
        <w:tc>
          <w:tcPr>
            <w:tcW w:w="390" w:type="dxa"/>
            <w:tcBorders>
              <w:top w:val="nil"/>
              <w:left w:val="nil"/>
              <w:bottom w:val="nil"/>
              <w:right w:val="nil"/>
            </w:tcBorders>
          </w:tcPr>
          <w:p>
            <w:pPr>
              <w:pStyle w:val="TableParagraph"/>
              <w:spacing w:before="47"/>
              <w:ind w:left="57" w:right="56"/>
              <w:jc w:val="center"/>
              <w:rPr>
                <w:sz w:val="12"/>
              </w:rPr>
            </w:pPr>
            <w:r>
              <w:rPr>
                <w:sz w:val="12"/>
              </w:rPr>
              <w:t>2.6</w:t>
            </w:r>
          </w:p>
        </w:tc>
        <w:tc>
          <w:tcPr>
            <w:tcW w:w="390" w:type="dxa"/>
            <w:tcBorders>
              <w:top w:val="nil"/>
              <w:left w:val="nil"/>
              <w:bottom w:val="nil"/>
              <w:right w:val="nil"/>
            </w:tcBorders>
          </w:tcPr>
          <w:p>
            <w:pPr>
              <w:pStyle w:val="TableParagraph"/>
              <w:spacing w:before="47"/>
              <w:ind w:left="56" w:right="57"/>
              <w:jc w:val="center"/>
              <w:rPr>
                <w:sz w:val="12"/>
              </w:rPr>
            </w:pPr>
            <w:r>
              <w:rPr>
                <w:sz w:val="12"/>
              </w:rPr>
              <w:t>11.5</w:t>
            </w:r>
          </w:p>
        </w:tc>
        <w:tc>
          <w:tcPr>
            <w:tcW w:w="390" w:type="dxa"/>
            <w:tcBorders>
              <w:top w:val="nil"/>
              <w:left w:val="nil"/>
              <w:bottom w:val="nil"/>
              <w:right w:val="nil"/>
            </w:tcBorders>
          </w:tcPr>
          <w:p>
            <w:pPr>
              <w:pStyle w:val="TableParagraph"/>
              <w:spacing w:before="47"/>
              <w:ind w:left="57" w:right="56"/>
              <w:jc w:val="center"/>
              <w:rPr>
                <w:sz w:val="12"/>
              </w:rPr>
            </w:pPr>
            <w:r>
              <w:rPr>
                <w:sz w:val="12"/>
              </w:rPr>
              <w:t>0.2</w:t>
            </w:r>
          </w:p>
        </w:tc>
        <w:tc>
          <w:tcPr>
            <w:tcW w:w="390" w:type="dxa"/>
            <w:tcBorders>
              <w:top w:val="nil"/>
              <w:left w:val="nil"/>
              <w:bottom w:val="nil"/>
              <w:right w:val="nil"/>
            </w:tcBorders>
          </w:tcPr>
          <w:p>
            <w:pPr>
              <w:pStyle w:val="TableParagraph"/>
              <w:spacing w:before="47"/>
              <w:ind w:left="57" w:right="58"/>
              <w:jc w:val="center"/>
              <w:rPr>
                <w:sz w:val="12"/>
              </w:rPr>
            </w:pPr>
            <w:r>
              <w:rPr>
                <w:sz w:val="12"/>
              </w:rPr>
              <w:t>0.1</w:t>
            </w:r>
          </w:p>
        </w:tc>
        <w:tc>
          <w:tcPr>
            <w:tcW w:w="390" w:type="dxa"/>
            <w:tcBorders>
              <w:top w:val="nil"/>
              <w:left w:val="nil"/>
              <w:bottom w:val="nil"/>
              <w:right w:val="nil"/>
            </w:tcBorders>
          </w:tcPr>
          <w:p>
            <w:pPr>
              <w:pStyle w:val="TableParagraph"/>
              <w:spacing w:before="47"/>
              <w:ind w:right="173"/>
              <w:jc w:val="right"/>
              <w:rPr>
                <w:sz w:val="12"/>
              </w:rPr>
            </w:pPr>
            <w:r>
              <w:rPr>
                <w:w w:val="99"/>
                <w:sz w:val="12"/>
              </w:rPr>
              <w:t>-</w:t>
            </w:r>
          </w:p>
        </w:tc>
        <w:tc>
          <w:tcPr>
            <w:tcW w:w="392" w:type="dxa"/>
            <w:tcBorders>
              <w:top w:val="nil"/>
              <w:left w:val="nil"/>
              <w:bottom w:val="nil"/>
            </w:tcBorders>
          </w:tcPr>
          <w:p>
            <w:pPr>
              <w:pStyle w:val="TableParagraph"/>
              <w:spacing w:before="47"/>
              <w:ind w:right="171"/>
              <w:jc w:val="right"/>
              <w:rPr>
                <w:sz w:val="12"/>
              </w:rPr>
            </w:pPr>
            <w:r>
              <w:rPr>
                <w:w w:val="99"/>
                <w:sz w:val="12"/>
              </w:rPr>
              <w:t>-</w:t>
            </w:r>
          </w:p>
        </w:tc>
        <w:tc>
          <w:tcPr>
            <w:tcW w:w="388" w:type="dxa"/>
            <w:tcBorders>
              <w:top w:val="nil"/>
              <w:bottom w:val="nil"/>
              <w:right w:val="nil"/>
            </w:tcBorders>
          </w:tcPr>
          <w:p>
            <w:pPr>
              <w:pStyle w:val="TableParagraph"/>
              <w:spacing w:before="47"/>
              <w:ind w:left="153"/>
              <w:rPr>
                <w:sz w:val="12"/>
              </w:rPr>
            </w:pPr>
            <w:r>
              <w:rPr>
                <w:w w:val="100"/>
                <w:sz w:val="12"/>
              </w:rPr>
              <w:t>−</w:t>
            </w:r>
          </w:p>
        </w:tc>
        <w:tc>
          <w:tcPr>
            <w:tcW w:w="390" w:type="dxa"/>
            <w:tcBorders>
              <w:top w:val="nil"/>
              <w:left w:val="nil"/>
              <w:bottom w:val="nil"/>
              <w:right w:val="nil"/>
            </w:tcBorders>
          </w:tcPr>
          <w:p>
            <w:pPr>
              <w:pStyle w:val="TableParagraph"/>
              <w:spacing w:before="47"/>
              <w:ind w:left="77"/>
              <w:rPr>
                <w:sz w:val="12"/>
              </w:rPr>
            </w:pPr>
            <w:r>
              <w:rPr>
                <w:sz w:val="12"/>
              </w:rPr>
              <w:t>13.3</w:t>
            </w:r>
          </w:p>
        </w:tc>
        <w:tc>
          <w:tcPr>
            <w:tcW w:w="390" w:type="dxa"/>
            <w:tcBorders>
              <w:top w:val="nil"/>
              <w:left w:val="nil"/>
              <w:bottom w:val="nil"/>
              <w:right w:val="nil"/>
            </w:tcBorders>
          </w:tcPr>
          <w:p>
            <w:pPr>
              <w:pStyle w:val="TableParagraph"/>
              <w:spacing w:before="47"/>
              <w:jc w:val="center"/>
              <w:rPr>
                <w:sz w:val="12"/>
              </w:rPr>
            </w:pPr>
            <w:r>
              <w:rPr>
                <w:w w:val="100"/>
                <w:sz w:val="12"/>
              </w:rPr>
              <w:t>−</w:t>
            </w:r>
          </w:p>
        </w:tc>
        <w:tc>
          <w:tcPr>
            <w:tcW w:w="410" w:type="dxa"/>
            <w:tcBorders>
              <w:top w:val="nil"/>
              <w:left w:val="nil"/>
              <w:bottom w:val="nil"/>
              <w:right w:val="nil"/>
            </w:tcBorders>
          </w:tcPr>
          <w:p>
            <w:pPr>
              <w:pStyle w:val="TableParagraph"/>
              <w:spacing w:before="47"/>
              <w:ind w:right="120"/>
              <w:jc w:val="right"/>
              <w:rPr>
                <w:sz w:val="12"/>
              </w:rPr>
            </w:pPr>
            <w:r>
              <w:rPr>
                <w:sz w:val="12"/>
              </w:rPr>
              <w:t>1.2</w:t>
            </w:r>
          </w:p>
        </w:tc>
        <w:tc>
          <w:tcPr>
            <w:tcW w:w="391" w:type="dxa"/>
            <w:tcBorders>
              <w:top w:val="nil"/>
              <w:left w:val="nil"/>
              <w:bottom w:val="nil"/>
              <w:right w:val="nil"/>
            </w:tcBorders>
          </w:tcPr>
          <w:p>
            <w:pPr>
              <w:pStyle w:val="TableParagraph"/>
              <w:spacing w:before="47"/>
              <w:ind w:left="58" w:right="58"/>
              <w:jc w:val="center"/>
              <w:rPr>
                <w:sz w:val="12"/>
              </w:rPr>
            </w:pPr>
            <w:r>
              <w:rPr>
                <w:sz w:val="12"/>
              </w:rPr>
              <w:t>1.7</w:t>
            </w:r>
          </w:p>
        </w:tc>
        <w:tc>
          <w:tcPr>
            <w:tcW w:w="390" w:type="dxa"/>
            <w:tcBorders>
              <w:top w:val="nil"/>
              <w:left w:val="nil"/>
              <w:bottom w:val="nil"/>
              <w:right w:val="nil"/>
            </w:tcBorders>
          </w:tcPr>
          <w:p>
            <w:pPr>
              <w:pStyle w:val="TableParagraph"/>
              <w:spacing w:before="47"/>
              <w:ind w:left="57" w:right="56"/>
              <w:jc w:val="center"/>
              <w:rPr>
                <w:sz w:val="12"/>
              </w:rPr>
            </w:pPr>
            <w:r>
              <w:rPr>
                <w:sz w:val="12"/>
              </w:rPr>
              <w:t>5.3</w:t>
            </w:r>
          </w:p>
        </w:tc>
        <w:tc>
          <w:tcPr>
            <w:tcW w:w="392" w:type="dxa"/>
            <w:tcBorders>
              <w:top w:val="nil"/>
              <w:left w:val="nil"/>
              <w:bottom w:val="nil"/>
            </w:tcBorders>
          </w:tcPr>
          <w:p>
            <w:pPr>
              <w:pStyle w:val="TableParagraph"/>
              <w:spacing w:before="47"/>
              <w:ind w:left="57" w:right="55"/>
              <w:jc w:val="center"/>
              <w:rPr>
                <w:sz w:val="12"/>
              </w:rPr>
            </w:pPr>
            <w:r>
              <w:rPr>
                <w:sz w:val="12"/>
              </w:rPr>
              <w:t>4.2</w:t>
            </w:r>
          </w:p>
        </w:tc>
        <w:tc>
          <w:tcPr>
            <w:tcW w:w="318" w:type="dxa"/>
            <w:tcBorders>
              <w:top w:val="nil"/>
              <w:bottom w:val="nil"/>
              <w:right w:val="nil"/>
            </w:tcBorders>
          </w:tcPr>
          <w:p>
            <w:pPr>
              <w:pStyle w:val="TableParagraph"/>
              <w:spacing w:before="47"/>
              <w:ind w:left="51" w:right="55"/>
              <w:jc w:val="center"/>
              <w:rPr>
                <w:sz w:val="12"/>
              </w:rPr>
            </w:pPr>
            <w:r>
              <w:rPr>
                <w:sz w:val="12"/>
              </w:rPr>
              <w:t>4.9</w:t>
            </w:r>
          </w:p>
        </w:tc>
        <w:tc>
          <w:tcPr>
            <w:tcW w:w="319" w:type="dxa"/>
            <w:tcBorders>
              <w:top w:val="nil"/>
              <w:left w:val="nil"/>
              <w:bottom w:val="nil"/>
              <w:right w:val="nil"/>
            </w:tcBorders>
          </w:tcPr>
          <w:p>
            <w:pPr>
              <w:pStyle w:val="TableParagraph"/>
              <w:spacing w:before="47"/>
              <w:ind w:left="56" w:right="56"/>
              <w:jc w:val="center"/>
              <w:rPr>
                <w:sz w:val="12"/>
              </w:rPr>
            </w:pPr>
            <w:r>
              <w:rPr>
                <w:sz w:val="12"/>
              </w:rPr>
              <w:t>2.1</w:t>
            </w:r>
          </w:p>
        </w:tc>
        <w:tc>
          <w:tcPr>
            <w:tcW w:w="320" w:type="dxa"/>
            <w:tcBorders>
              <w:top w:val="nil"/>
              <w:left w:val="nil"/>
              <w:bottom w:val="nil"/>
              <w:right w:val="nil"/>
            </w:tcBorders>
          </w:tcPr>
          <w:p>
            <w:pPr>
              <w:pStyle w:val="TableParagraph"/>
              <w:spacing w:before="47"/>
              <w:ind w:left="56" w:right="57"/>
              <w:jc w:val="center"/>
              <w:rPr>
                <w:sz w:val="12"/>
              </w:rPr>
            </w:pPr>
            <w:r>
              <w:rPr>
                <w:sz w:val="12"/>
              </w:rPr>
              <w:t>0.1</w:t>
            </w:r>
          </w:p>
        </w:tc>
        <w:tc>
          <w:tcPr>
            <w:tcW w:w="321" w:type="dxa"/>
            <w:tcBorders>
              <w:top w:val="nil"/>
              <w:left w:val="nil"/>
              <w:bottom w:val="nil"/>
              <w:right w:val="nil"/>
            </w:tcBorders>
          </w:tcPr>
          <w:p>
            <w:pPr>
              <w:pStyle w:val="TableParagraph"/>
              <w:spacing w:before="47"/>
              <w:ind w:left="56" w:right="56"/>
              <w:jc w:val="center"/>
              <w:rPr>
                <w:sz w:val="12"/>
              </w:rPr>
            </w:pPr>
            <w:r>
              <w:rPr>
                <w:sz w:val="12"/>
              </w:rPr>
              <w:t>1.2</w:t>
            </w:r>
          </w:p>
        </w:tc>
        <w:tc>
          <w:tcPr>
            <w:tcW w:w="323" w:type="dxa"/>
            <w:tcBorders>
              <w:top w:val="nil"/>
              <w:left w:val="nil"/>
              <w:bottom w:val="nil"/>
              <w:right w:val="nil"/>
            </w:tcBorders>
          </w:tcPr>
          <w:p>
            <w:pPr>
              <w:pStyle w:val="TableParagraph"/>
              <w:spacing w:before="47"/>
              <w:ind w:left="57" w:right="58"/>
              <w:jc w:val="center"/>
              <w:rPr>
                <w:sz w:val="12"/>
              </w:rPr>
            </w:pPr>
            <w:r>
              <w:rPr>
                <w:sz w:val="12"/>
              </w:rPr>
              <w:t>2.0</w:t>
            </w:r>
          </w:p>
        </w:tc>
      </w:tr>
      <w:tr>
        <w:trPr>
          <w:trHeight w:val="340" w:hRule="exact"/>
        </w:trPr>
        <w:tc>
          <w:tcPr>
            <w:tcW w:w="1565" w:type="dxa"/>
            <w:tcBorders>
              <w:top w:val="nil"/>
              <w:left w:val="nil"/>
              <w:bottom w:val="nil"/>
              <w:right w:val="nil"/>
            </w:tcBorders>
          </w:tcPr>
          <w:p>
            <w:pPr>
              <w:pStyle w:val="TableParagraph"/>
              <w:spacing w:before="68"/>
              <w:ind w:left="69" w:right="508"/>
              <w:rPr>
                <w:sz w:val="12"/>
              </w:rPr>
            </w:pPr>
            <w:r>
              <w:rPr>
                <w:sz w:val="12"/>
              </w:rPr>
              <w:t>OTROS</w:t>
            </w:r>
          </w:p>
        </w:tc>
        <w:tc>
          <w:tcPr>
            <w:tcW w:w="487" w:type="dxa"/>
            <w:tcBorders>
              <w:top w:val="nil"/>
              <w:left w:val="nil"/>
              <w:bottom w:val="nil"/>
              <w:right w:val="nil"/>
            </w:tcBorders>
          </w:tcPr>
          <w:p>
            <w:pPr>
              <w:pStyle w:val="TableParagraph"/>
              <w:spacing w:before="68"/>
              <w:ind w:right="203"/>
              <w:jc w:val="right"/>
              <w:rPr>
                <w:sz w:val="12"/>
              </w:rPr>
            </w:pPr>
            <w:r>
              <w:rPr>
                <w:w w:val="100"/>
                <w:sz w:val="12"/>
              </w:rPr>
              <w:t>−</w:t>
            </w:r>
          </w:p>
        </w:tc>
        <w:tc>
          <w:tcPr>
            <w:tcW w:w="411" w:type="dxa"/>
            <w:tcBorders>
              <w:top w:val="nil"/>
              <w:left w:val="nil"/>
              <w:bottom w:val="nil"/>
            </w:tcBorders>
          </w:tcPr>
          <w:p>
            <w:pPr>
              <w:pStyle w:val="TableParagraph"/>
              <w:spacing w:before="68"/>
              <w:ind w:left="171"/>
              <w:rPr>
                <w:sz w:val="12"/>
              </w:rPr>
            </w:pPr>
            <w:r>
              <w:rPr>
                <w:w w:val="100"/>
                <w:sz w:val="12"/>
              </w:rPr>
              <w:t>−</w:t>
            </w:r>
          </w:p>
        </w:tc>
        <w:tc>
          <w:tcPr>
            <w:tcW w:w="390" w:type="dxa"/>
            <w:tcBorders>
              <w:top w:val="nil"/>
              <w:bottom w:val="nil"/>
              <w:right w:val="nil"/>
            </w:tcBorders>
          </w:tcPr>
          <w:p>
            <w:pPr>
              <w:pStyle w:val="TableParagraph"/>
              <w:spacing w:before="68"/>
              <w:ind w:left="105"/>
              <w:rPr>
                <w:sz w:val="12"/>
              </w:rPr>
            </w:pPr>
            <w:r>
              <w:rPr>
                <w:sz w:val="12"/>
              </w:rPr>
              <w:t>0.2</w:t>
            </w:r>
          </w:p>
        </w:tc>
        <w:tc>
          <w:tcPr>
            <w:tcW w:w="390" w:type="dxa"/>
            <w:tcBorders>
              <w:top w:val="nil"/>
              <w:left w:val="nil"/>
              <w:bottom w:val="nil"/>
              <w:right w:val="nil"/>
            </w:tcBorders>
          </w:tcPr>
          <w:p>
            <w:pPr>
              <w:pStyle w:val="TableParagraph"/>
              <w:spacing w:before="68"/>
              <w:ind w:right="1"/>
              <w:jc w:val="center"/>
              <w:rPr>
                <w:sz w:val="12"/>
              </w:rPr>
            </w:pPr>
            <w:r>
              <w:rPr>
                <w:w w:val="99"/>
                <w:sz w:val="12"/>
              </w:rPr>
              <w:t>-</w:t>
            </w:r>
          </w:p>
        </w:tc>
        <w:tc>
          <w:tcPr>
            <w:tcW w:w="390" w:type="dxa"/>
            <w:tcBorders>
              <w:top w:val="nil"/>
              <w:left w:val="nil"/>
              <w:bottom w:val="nil"/>
              <w:right w:val="nil"/>
            </w:tcBorders>
          </w:tcPr>
          <w:p>
            <w:pPr>
              <w:pStyle w:val="TableParagraph"/>
              <w:spacing w:before="68"/>
              <w:ind w:right="1"/>
              <w:jc w:val="center"/>
              <w:rPr>
                <w:sz w:val="12"/>
              </w:rPr>
            </w:pPr>
            <w:r>
              <w:rPr>
                <w:w w:val="99"/>
                <w:sz w:val="12"/>
              </w:rPr>
              <w:t>-</w:t>
            </w:r>
          </w:p>
        </w:tc>
        <w:tc>
          <w:tcPr>
            <w:tcW w:w="390" w:type="dxa"/>
            <w:tcBorders>
              <w:top w:val="nil"/>
              <w:left w:val="nil"/>
              <w:bottom w:val="nil"/>
              <w:right w:val="nil"/>
            </w:tcBorders>
          </w:tcPr>
          <w:p>
            <w:pPr>
              <w:pStyle w:val="TableParagraph"/>
              <w:spacing w:before="68"/>
              <w:ind w:right="1"/>
              <w:jc w:val="center"/>
              <w:rPr>
                <w:sz w:val="12"/>
              </w:rPr>
            </w:pPr>
            <w:r>
              <w:rPr>
                <w:w w:val="99"/>
                <w:sz w:val="12"/>
              </w:rPr>
              <w:t>-</w:t>
            </w:r>
          </w:p>
        </w:tc>
        <w:tc>
          <w:tcPr>
            <w:tcW w:w="390" w:type="dxa"/>
            <w:tcBorders>
              <w:top w:val="nil"/>
              <w:left w:val="nil"/>
              <w:bottom w:val="nil"/>
              <w:right w:val="nil"/>
            </w:tcBorders>
          </w:tcPr>
          <w:p>
            <w:pPr>
              <w:pStyle w:val="TableParagraph"/>
              <w:spacing w:before="68"/>
              <w:jc w:val="center"/>
              <w:rPr>
                <w:sz w:val="12"/>
              </w:rPr>
            </w:pPr>
            <w:r>
              <w:rPr>
                <w:w w:val="100"/>
                <w:sz w:val="12"/>
              </w:rPr>
              <w:t>−</w:t>
            </w:r>
          </w:p>
        </w:tc>
        <w:tc>
          <w:tcPr>
            <w:tcW w:w="390" w:type="dxa"/>
            <w:tcBorders>
              <w:top w:val="nil"/>
              <w:left w:val="nil"/>
              <w:bottom w:val="nil"/>
              <w:right w:val="nil"/>
            </w:tcBorders>
          </w:tcPr>
          <w:p>
            <w:pPr>
              <w:pStyle w:val="TableParagraph"/>
              <w:spacing w:before="68"/>
              <w:ind w:right="173"/>
              <w:jc w:val="right"/>
              <w:rPr>
                <w:sz w:val="12"/>
              </w:rPr>
            </w:pPr>
            <w:r>
              <w:rPr>
                <w:w w:val="99"/>
                <w:sz w:val="12"/>
              </w:rPr>
              <w:t>-</w:t>
            </w:r>
          </w:p>
        </w:tc>
        <w:tc>
          <w:tcPr>
            <w:tcW w:w="392" w:type="dxa"/>
            <w:tcBorders>
              <w:top w:val="nil"/>
              <w:left w:val="nil"/>
              <w:bottom w:val="nil"/>
            </w:tcBorders>
          </w:tcPr>
          <w:p>
            <w:pPr>
              <w:pStyle w:val="TableParagraph"/>
              <w:spacing w:before="68"/>
              <w:ind w:right="171"/>
              <w:jc w:val="right"/>
              <w:rPr>
                <w:sz w:val="12"/>
              </w:rPr>
            </w:pPr>
            <w:r>
              <w:rPr>
                <w:w w:val="99"/>
                <w:sz w:val="12"/>
              </w:rPr>
              <w:t>-</w:t>
            </w:r>
          </w:p>
        </w:tc>
        <w:tc>
          <w:tcPr>
            <w:tcW w:w="388" w:type="dxa"/>
            <w:tcBorders>
              <w:top w:val="nil"/>
              <w:bottom w:val="nil"/>
              <w:right w:val="nil"/>
            </w:tcBorders>
          </w:tcPr>
          <w:p>
            <w:pPr>
              <w:pStyle w:val="TableParagraph"/>
              <w:spacing w:before="68"/>
              <w:ind w:left="153"/>
              <w:rPr>
                <w:sz w:val="12"/>
              </w:rPr>
            </w:pPr>
            <w:r>
              <w:rPr>
                <w:w w:val="100"/>
                <w:sz w:val="12"/>
              </w:rPr>
              <w:t>−</w:t>
            </w:r>
          </w:p>
        </w:tc>
        <w:tc>
          <w:tcPr>
            <w:tcW w:w="390" w:type="dxa"/>
            <w:tcBorders>
              <w:top w:val="nil"/>
              <w:left w:val="nil"/>
              <w:bottom w:val="nil"/>
              <w:right w:val="nil"/>
            </w:tcBorders>
          </w:tcPr>
          <w:p>
            <w:pPr>
              <w:pStyle w:val="TableParagraph"/>
              <w:spacing w:before="68"/>
              <w:ind w:left="110"/>
              <w:rPr>
                <w:sz w:val="12"/>
              </w:rPr>
            </w:pPr>
            <w:r>
              <w:rPr>
                <w:sz w:val="12"/>
              </w:rPr>
              <w:t>0.1</w:t>
            </w:r>
          </w:p>
        </w:tc>
        <w:tc>
          <w:tcPr>
            <w:tcW w:w="390" w:type="dxa"/>
            <w:tcBorders>
              <w:top w:val="nil"/>
              <w:left w:val="nil"/>
              <w:bottom w:val="nil"/>
              <w:right w:val="nil"/>
            </w:tcBorders>
          </w:tcPr>
          <w:p>
            <w:pPr>
              <w:pStyle w:val="TableParagraph"/>
              <w:spacing w:before="68"/>
              <w:jc w:val="center"/>
              <w:rPr>
                <w:sz w:val="12"/>
              </w:rPr>
            </w:pPr>
            <w:r>
              <w:rPr>
                <w:w w:val="100"/>
                <w:sz w:val="12"/>
              </w:rPr>
              <w:t>−</w:t>
            </w:r>
          </w:p>
        </w:tc>
        <w:tc>
          <w:tcPr>
            <w:tcW w:w="410" w:type="dxa"/>
            <w:tcBorders>
              <w:top w:val="nil"/>
              <w:left w:val="nil"/>
              <w:bottom w:val="nil"/>
              <w:right w:val="nil"/>
            </w:tcBorders>
          </w:tcPr>
          <w:p>
            <w:pPr>
              <w:pStyle w:val="TableParagraph"/>
              <w:spacing w:before="68"/>
              <w:ind w:right="75"/>
              <w:jc w:val="right"/>
              <w:rPr>
                <w:sz w:val="12"/>
              </w:rPr>
            </w:pPr>
            <w:r>
              <w:rPr>
                <w:w w:val="95"/>
                <w:sz w:val="12"/>
              </w:rPr>
              <w:t>-4.7*</w:t>
            </w:r>
          </w:p>
        </w:tc>
        <w:tc>
          <w:tcPr>
            <w:tcW w:w="391" w:type="dxa"/>
            <w:tcBorders>
              <w:top w:val="nil"/>
              <w:left w:val="nil"/>
              <w:bottom w:val="nil"/>
              <w:right w:val="nil"/>
            </w:tcBorders>
          </w:tcPr>
          <w:p>
            <w:pPr>
              <w:pStyle w:val="TableParagraph"/>
              <w:spacing w:before="68"/>
              <w:ind w:right="1"/>
              <w:jc w:val="center"/>
              <w:rPr>
                <w:sz w:val="12"/>
              </w:rPr>
            </w:pPr>
            <w:r>
              <w:rPr>
                <w:w w:val="100"/>
                <w:sz w:val="12"/>
              </w:rPr>
              <w:t>−</w:t>
            </w:r>
          </w:p>
        </w:tc>
        <w:tc>
          <w:tcPr>
            <w:tcW w:w="390" w:type="dxa"/>
            <w:tcBorders>
              <w:top w:val="nil"/>
              <w:left w:val="nil"/>
              <w:bottom w:val="nil"/>
              <w:right w:val="nil"/>
            </w:tcBorders>
          </w:tcPr>
          <w:p>
            <w:pPr>
              <w:pStyle w:val="TableParagraph"/>
              <w:spacing w:before="68"/>
              <w:jc w:val="center"/>
              <w:rPr>
                <w:sz w:val="12"/>
              </w:rPr>
            </w:pPr>
            <w:r>
              <w:rPr>
                <w:w w:val="100"/>
                <w:sz w:val="12"/>
              </w:rPr>
              <w:t>−</w:t>
            </w:r>
          </w:p>
        </w:tc>
        <w:tc>
          <w:tcPr>
            <w:tcW w:w="392" w:type="dxa"/>
            <w:tcBorders>
              <w:top w:val="nil"/>
              <w:left w:val="nil"/>
              <w:bottom w:val="nil"/>
            </w:tcBorders>
          </w:tcPr>
          <w:p>
            <w:pPr>
              <w:pStyle w:val="TableParagraph"/>
              <w:spacing w:before="68"/>
              <w:ind w:left="57" w:right="55"/>
              <w:jc w:val="center"/>
              <w:rPr>
                <w:sz w:val="12"/>
              </w:rPr>
            </w:pPr>
            <w:r>
              <w:rPr>
                <w:sz w:val="12"/>
              </w:rPr>
              <w:t>4.2</w:t>
            </w:r>
          </w:p>
        </w:tc>
        <w:tc>
          <w:tcPr>
            <w:tcW w:w="318" w:type="dxa"/>
            <w:tcBorders>
              <w:top w:val="nil"/>
              <w:bottom w:val="nil"/>
              <w:right w:val="nil"/>
            </w:tcBorders>
          </w:tcPr>
          <w:p>
            <w:pPr>
              <w:pStyle w:val="TableParagraph"/>
              <w:spacing w:before="68"/>
              <w:ind w:right="2"/>
              <w:jc w:val="center"/>
              <w:rPr>
                <w:sz w:val="12"/>
              </w:rPr>
            </w:pPr>
            <w:r>
              <w:rPr>
                <w:w w:val="99"/>
                <w:sz w:val="12"/>
              </w:rPr>
              <w:t>-</w:t>
            </w:r>
          </w:p>
        </w:tc>
        <w:tc>
          <w:tcPr>
            <w:tcW w:w="319" w:type="dxa"/>
            <w:tcBorders>
              <w:top w:val="nil"/>
              <w:left w:val="nil"/>
              <w:bottom w:val="nil"/>
              <w:right w:val="nil"/>
            </w:tcBorders>
          </w:tcPr>
          <w:p>
            <w:pPr>
              <w:pStyle w:val="TableParagraph"/>
              <w:spacing w:before="68"/>
              <w:ind w:left="2"/>
              <w:jc w:val="center"/>
              <w:rPr>
                <w:sz w:val="12"/>
              </w:rPr>
            </w:pPr>
            <w:r>
              <w:rPr>
                <w:w w:val="99"/>
                <w:sz w:val="12"/>
              </w:rPr>
              <w:t>-</w:t>
            </w:r>
          </w:p>
        </w:tc>
        <w:tc>
          <w:tcPr>
            <w:tcW w:w="320" w:type="dxa"/>
            <w:tcBorders>
              <w:top w:val="nil"/>
              <w:left w:val="nil"/>
              <w:bottom w:val="nil"/>
              <w:right w:val="nil"/>
            </w:tcBorders>
          </w:tcPr>
          <w:p>
            <w:pPr>
              <w:pStyle w:val="TableParagraph"/>
              <w:spacing w:before="68"/>
              <w:ind w:left="2"/>
              <w:jc w:val="center"/>
              <w:rPr>
                <w:sz w:val="12"/>
              </w:rPr>
            </w:pPr>
            <w:r>
              <w:rPr>
                <w:w w:val="100"/>
                <w:sz w:val="12"/>
              </w:rPr>
              <w:t>−</w:t>
            </w:r>
          </w:p>
        </w:tc>
        <w:tc>
          <w:tcPr>
            <w:tcW w:w="321" w:type="dxa"/>
            <w:tcBorders>
              <w:top w:val="nil"/>
              <w:left w:val="nil"/>
              <w:bottom w:val="nil"/>
              <w:right w:val="nil"/>
            </w:tcBorders>
          </w:tcPr>
          <w:p>
            <w:pPr>
              <w:pStyle w:val="TableParagraph"/>
              <w:spacing w:before="68"/>
              <w:ind w:left="4"/>
              <w:jc w:val="center"/>
              <w:rPr>
                <w:sz w:val="12"/>
              </w:rPr>
            </w:pPr>
            <w:r>
              <w:rPr>
                <w:w w:val="100"/>
                <w:sz w:val="12"/>
              </w:rPr>
              <w:t>−</w:t>
            </w:r>
          </w:p>
        </w:tc>
        <w:tc>
          <w:tcPr>
            <w:tcW w:w="323" w:type="dxa"/>
            <w:tcBorders>
              <w:top w:val="nil"/>
              <w:left w:val="nil"/>
              <w:bottom w:val="nil"/>
              <w:right w:val="nil"/>
            </w:tcBorders>
          </w:tcPr>
          <w:p>
            <w:pPr>
              <w:pStyle w:val="TableParagraph"/>
              <w:spacing w:before="68"/>
              <w:ind w:left="57" w:right="58"/>
              <w:jc w:val="center"/>
              <w:rPr>
                <w:sz w:val="12"/>
              </w:rPr>
            </w:pPr>
            <w:r>
              <w:rPr>
                <w:sz w:val="12"/>
              </w:rPr>
              <w:t>0.4</w:t>
            </w:r>
          </w:p>
        </w:tc>
      </w:tr>
      <w:tr>
        <w:trPr>
          <w:trHeight w:val="444" w:hRule="exact"/>
        </w:trPr>
        <w:tc>
          <w:tcPr>
            <w:tcW w:w="1565" w:type="dxa"/>
            <w:tcBorders>
              <w:top w:val="nil"/>
              <w:left w:val="nil"/>
              <w:right w:val="nil"/>
            </w:tcBorders>
          </w:tcPr>
          <w:p>
            <w:pPr>
              <w:pStyle w:val="TableParagraph"/>
              <w:spacing w:before="5"/>
              <w:rPr>
                <w:b/>
                <w:sz w:val="10"/>
              </w:rPr>
            </w:pPr>
          </w:p>
          <w:p>
            <w:pPr>
              <w:pStyle w:val="TableParagraph"/>
              <w:ind w:left="69" w:right="508"/>
              <w:rPr>
                <w:sz w:val="12"/>
              </w:rPr>
            </w:pPr>
            <w:r>
              <w:rPr>
                <w:sz w:val="12"/>
              </w:rPr>
              <w:t>TOTAL ANUAL</w:t>
            </w:r>
          </w:p>
        </w:tc>
        <w:tc>
          <w:tcPr>
            <w:tcW w:w="487" w:type="dxa"/>
            <w:tcBorders>
              <w:top w:val="nil"/>
              <w:left w:val="nil"/>
              <w:right w:val="nil"/>
            </w:tcBorders>
          </w:tcPr>
          <w:p>
            <w:pPr>
              <w:pStyle w:val="TableParagraph"/>
              <w:spacing w:before="5"/>
              <w:rPr>
                <w:b/>
                <w:sz w:val="10"/>
              </w:rPr>
            </w:pPr>
          </w:p>
          <w:p>
            <w:pPr>
              <w:pStyle w:val="TableParagraph"/>
              <w:ind w:right="121"/>
              <w:jc w:val="right"/>
              <w:rPr>
                <w:sz w:val="12"/>
              </w:rPr>
            </w:pPr>
            <w:r>
              <w:rPr>
                <w:sz w:val="12"/>
              </w:rPr>
              <w:t>13.7</w:t>
            </w:r>
          </w:p>
        </w:tc>
        <w:tc>
          <w:tcPr>
            <w:tcW w:w="411" w:type="dxa"/>
            <w:tcBorders>
              <w:top w:val="nil"/>
              <w:left w:val="nil"/>
            </w:tcBorders>
          </w:tcPr>
          <w:p>
            <w:pPr>
              <w:pStyle w:val="TableParagraph"/>
              <w:spacing w:before="5"/>
              <w:rPr>
                <w:b/>
                <w:sz w:val="10"/>
              </w:rPr>
            </w:pPr>
          </w:p>
          <w:p>
            <w:pPr>
              <w:pStyle w:val="TableParagraph"/>
              <w:ind w:left="123"/>
              <w:rPr>
                <w:sz w:val="12"/>
              </w:rPr>
            </w:pPr>
            <w:r>
              <w:rPr>
                <w:sz w:val="12"/>
              </w:rPr>
              <w:t>0.2</w:t>
            </w:r>
          </w:p>
        </w:tc>
        <w:tc>
          <w:tcPr>
            <w:tcW w:w="390" w:type="dxa"/>
            <w:tcBorders>
              <w:top w:val="nil"/>
              <w:right w:val="nil"/>
            </w:tcBorders>
          </w:tcPr>
          <w:p>
            <w:pPr>
              <w:pStyle w:val="TableParagraph"/>
              <w:spacing w:before="5"/>
              <w:rPr>
                <w:b/>
                <w:sz w:val="10"/>
              </w:rPr>
            </w:pPr>
          </w:p>
          <w:p>
            <w:pPr>
              <w:pStyle w:val="TableParagraph"/>
              <w:ind w:left="71"/>
              <w:rPr>
                <w:sz w:val="12"/>
              </w:rPr>
            </w:pPr>
            <w:r>
              <w:rPr>
                <w:sz w:val="12"/>
              </w:rPr>
              <w:t>84.2</w:t>
            </w:r>
          </w:p>
        </w:tc>
        <w:tc>
          <w:tcPr>
            <w:tcW w:w="390" w:type="dxa"/>
            <w:tcBorders>
              <w:top w:val="nil"/>
              <w:left w:val="nil"/>
              <w:right w:val="nil"/>
            </w:tcBorders>
          </w:tcPr>
          <w:p>
            <w:pPr>
              <w:pStyle w:val="TableParagraph"/>
              <w:spacing w:before="5"/>
              <w:rPr>
                <w:b/>
                <w:sz w:val="10"/>
              </w:rPr>
            </w:pPr>
          </w:p>
          <w:p>
            <w:pPr>
              <w:pStyle w:val="TableParagraph"/>
              <w:ind w:left="57" w:right="56"/>
              <w:jc w:val="center"/>
              <w:rPr>
                <w:sz w:val="12"/>
              </w:rPr>
            </w:pPr>
            <w:r>
              <w:rPr>
                <w:sz w:val="12"/>
              </w:rPr>
              <w:t>40.8</w:t>
            </w:r>
          </w:p>
        </w:tc>
        <w:tc>
          <w:tcPr>
            <w:tcW w:w="390" w:type="dxa"/>
            <w:tcBorders>
              <w:top w:val="nil"/>
              <w:left w:val="nil"/>
              <w:right w:val="nil"/>
            </w:tcBorders>
          </w:tcPr>
          <w:p>
            <w:pPr>
              <w:pStyle w:val="TableParagraph"/>
              <w:spacing w:before="5"/>
              <w:rPr>
                <w:b/>
                <w:sz w:val="10"/>
              </w:rPr>
            </w:pPr>
          </w:p>
          <w:p>
            <w:pPr>
              <w:pStyle w:val="TableParagraph"/>
              <w:ind w:left="56" w:right="57"/>
              <w:jc w:val="center"/>
              <w:rPr>
                <w:sz w:val="12"/>
              </w:rPr>
            </w:pPr>
            <w:r>
              <w:rPr>
                <w:sz w:val="12"/>
              </w:rPr>
              <w:t>41.2</w:t>
            </w:r>
          </w:p>
        </w:tc>
        <w:tc>
          <w:tcPr>
            <w:tcW w:w="390" w:type="dxa"/>
            <w:tcBorders>
              <w:top w:val="nil"/>
              <w:left w:val="nil"/>
              <w:right w:val="nil"/>
            </w:tcBorders>
          </w:tcPr>
          <w:p>
            <w:pPr>
              <w:pStyle w:val="TableParagraph"/>
              <w:spacing w:before="5"/>
              <w:rPr>
                <w:b/>
                <w:sz w:val="10"/>
              </w:rPr>
            </w:pPr>
          </w:p>
          <w:p>
            <w:pPr>
              <w:pStyle w:val="TableParagraph"/>
              <w:ind w:left="57" w:right="56"/>
              <w:jc w:val="center"/>
              <w:rPr>
                <w:sz w:val="12"/>
              </w:rPr>
            </w:pPr>
            <w:r>
              <w:rPr>
                <w:sz w:val="12"/>
              </w:rPr>
              <w:t>43.3</w:t>
            </w:r>
          </w:p>
        </w:tc>
        <w:tc>
          <w:tcPr>
            <w:tcW w:w="390" w:type="dxa"/>
            <w:tcBorders>
              <w:top w:val="nil"/>
              <w:left w:val="nil"/>
              <w:right w:val="nil"/>
            </w:tcBorders>
          </w:tcPr>
          <w:p>
            <w:pPr>
              <w:pStyle w:val="TableParagraph"/>
              <w:spacing w:before="5"/>
              <w:rPr>
                <w:b/>
                <w:sz w:val="10"/>
              </w:rPr>
            </w:pPr>
          </w:p>
          <w:p>
            <w:pPr>
              <w:pStyle w:val="TableParagraph"/>
              <w:ind w:left="57" w:right="58"/>
              <w:jc w:val="center"/>
              <w:rPr>
                <w:sz w:val="12"/>
              </w:rPr>
            </w:pPr>
            <w:r>
              <w:rPr>
                <w:sz w:val="12"/>
              </w:rPr>
              <w:t>46.3</w:t>
            </w:r>
          </w:p>
        </w:tc>
        <w:tc>
          <w:tcPr>
            <w:tcW w:w="390" w:type="dxa"/>
            <w:tcBorders>
              <w:top w:val="nil"/>
              <w:left w:val="nil"/>
              <w:right w:val="nil"/>
            </w:tcBorders>
          </w:tcPr>
          <w:p>
            <w:pPr>
              <w:pStyle w:val="TableParagraph"/>
              <w:spacing w:before="5"/>
              <w:rPr>
                <w:b/>
                <w:sz w:val="10"/>
              </w:rPr>
            </w:pPr>
          </w:p>
          <w:p>
            <w:pPr>
              <w:pStyle w:val="TableParagraph"/>
              <w:ind w:right="75"/>
              <w:jc w:val="right"/>
              <w:rPr>
                <w:sz w:val="12"/>
              </w:rPr>
            </w:pPr>
            <w:r>
              <w:rPr>
                <w:sz w:val="12"/>
              </w:rPr>
              <w:t>46.7</w:t>
            </w:r>
          </w:p>
        </w:tc>
        <w:tc>
          <w:tcPr>
            <w:tcW w:w="392" w:type="dxa"/>
            <w:tcBorders>
              <w:top w:val="nil"/>
              <w:left w:val="nil"/>
            </w:tcBorders>
          </w:tcPr>
          <w:p>
            <w:pPr>
              <w:pStyle w:val="TableParagraph"/>
              <w:spacing w:before="5"/>
              <w:rPr>
                <w:b/>
                <w:sz w:val="10"/>
              </w:rPr>
            </w:pPr>
          </w:p>
          <w:p>
            <w:pPr>
              <w:pStyle w:val="TableParagraph"/>
              <w:ind w:right="73"/>
              <w:jc w:val="right"/>
              <w:rPr>
                <w:sz w:val="12"/>
              </w:rPr>
            </w:pPr>
            <w:r>
              <w:rPr>
                <w:sz w:val="12"/>
              </w:rPr>
              <w:t>48.2</w:t>
            </w:r>
          </w:p>
        </w:tc>
        <w:tc>
          <w:tcPr>
            <w:tcW w:w="388" w:type="dxa"/>
            <w:tcBorders>
              <w:top w:val="nil"/>
              <w:right w:val="nil"/>
            </w:tcBorders>
          </w:tcPr>
          <w:p>
            <w:pPr>
              <w:pStyle w:val="TableParagraph"/>
              <w:spacing w:before="5"/>
              <w:rPr>
                <w:b/>
                <w:sz w:val="10"/>
              </w:rPr>
            </w:pPr>
          </w:p>
          <w:p>
            <w:pPr>
              <w:pStyle w:val="TableParagraph"/>
              <w:ind w:left="71"/>
              <w:rPr>
                <w:sz w:val="12"/>
              </w:rPr>
            </w:pPr>
            <w:r>
              <w:rPr>
                <w:sz w:val="12"/>
              </w:rPr>
              <w:t>15.8</w:t>
            </w:r>
          </w:p>
        </w:tc>
        <w:tc>
          <w:tcPr>
            <w:tcW w:w="390" w:type="dxa"/>
            <w:tcBorders>
              <w:top w:val="nil"/>
              <w:left w:val="nil"/>
              <w:right w:val="nil"/>
            </w:tcBorders>
          </w:tcPr>
          <w:p>
            <w:pPr>
              <w:pStyle w:val="TableParagraph"/>
              <w:spacing w:before="5"/>
              <w:rPr>
                <w:b/>
                <w:sz w:val="10"/>
              </w:rPr>
            </w:pPr>
          </w:p>
          <w:p>
            <w:pPr>
              <w:pStyle w:val="TableParagraph"/>
              <w:ind w:left="77"/>
              <w:rPr>
                <w:sz w:val="12"/>
              </w:rPr>
            </w:pPr>
            <w:r>
              <w:rPr>
                <w:sz w:val="12"/>
              </w:rPr>
              <w:t>45.6</w:t>
            </w:r>
          </w:p>
        </w:tc>
        <w:tc>
          <w:tcPr>
            <w:tcW w:w="390" w:type="dxa"/>
            <w:tcBorders>
              <w:top w:val="nil"/>
              <w:left w:val="nil"/>
              <w:right w:val="nil"/>
            </w:tcBorders>
          </w:tcPr>
          <w:p>
            <w:pPr>
              <w:pStyle w:val="TableParagraph"/>
              <w:spacing w:before="5"/>
              <w:rPr>
                <w:b/>
                <w:sz w:val="10"/>
              </w:rPr>
            </w:pPr>
          </w:p>
          <w:p>
            <w:pPr>
              <w:pStyle w:val="TableParagraph"/>
              <w:ind w:left="57" w:right="56"/>
              <w:jc w:val="center"/>
              <w:rPr>
                <w:sz w:val="12"/>
              </w:rPr>
            </w:pPr>
            <w:r>
              <w:rPr>
                <w:sz w:val="12"/>
              </w:rPr>
              <w:t>53.9</w:t>
            </w:r>
          </w:p>
        </w:tc>
        <w:tc>
          <w:tcPr>
            <w:tcW w:w="410" w:type="dxa"/>
            <w:tcBorders>
              <w:top w:val="nil"/>
              <w:left w:val="nil"/>
              <w:right w:val="nil"/>
            </w:tcBorders>
          </w:tcPr>
          <w:p>
            <w:pPr>
              <w:pStyle w:val="TableParagraph"/>
              <w:spacing w:before="5"/>
              <w:rPr>
                <w:b/>
                <w:sz w:val="10"/>
              </w:rPr>
            </w:pPr>
          </w:p>
          <w:p>
            <w:pPr>
              <w:pStyle w:val="TableParagraph"/>
              <w:ind w:right="84"/>
              <w:jc w:val="right"/>
              <w:rPr>
                <w:sz w:val="12"/>
              </w:rPr>
            </w:pPr>
            <w:r>
              <w:rPr>
                <w:sz w:val="12"/>
              </w:rPr>
              <w:t>53.0</w:t>
            </w:r>
          </w:p>
        </w:tc>
        <w:tc>
          <w:tcPr>
            <w:tcW w:w="391" w:type="dxa"/>
            <w:tcBorders>
              <w:top w:val="nil"/>
              <w:left w:val="nil"/>
              <w:right w:val="nil"/>
            </w:tcBorders>
          </w:tcPr>
          <w:p>
            <w:pPr>
              <w:pStyle w:val="TableParagraph"/>
              <w:spacing w:before="5"/>
              <w:rPr>
                <w:b/>
                <w:sz w:val="10"/>
              </w:rPr>
            </w:pPr>
          </w:p>
          <w:p>
            <w:pPr>
              <w:pStyle w:val="TableParagraph"/>
              <w:ind w:left="58" w:right="58"/>
              <w:jc w:val="center"/>
              <w:rPr>
                <w:sz w:val="12"/>
              </w:rPr>
            </w:pPr>
            <w:r>
              <w:rPr>
                <w:sz w:val="12"/>
              </w:rPr>
              <w:t>46.0</w:t>
            </w:r>
          </w:p>
        </w:tc>
        <w:tc>
          <w:tcPr>
            <w:tcW w:w="390" w:type="dxa"/>
            <w:tcBorders>
              <w:top w:val="nil"/>
              <w:left w:val="nil"/>
              <w:right w:val="nil"/>
            </w:tcBorders>
          </w:tcPr>
          <w:p>
            <w:pPr>
              <w:pStyle w:val="TableParagraph"/>
              <w:spacing w:before="5"/>
              <w:rPr>
                <w:b/>
                <w:sz w:val="10"/>
              </w:rPr>
            </w:pPr>
          </w:p>
          <w:p>
            <w:pPr>
              <w:pStyle w:val="TableParagraph"/>
              <w:ind w:left="57" w:right="56"/>
              <w:jc w:val="center"/>
              <w:rPr>
                <w:sz w:val="12"/>
              </w:rPr>
            </w:pPr>
            <w:r>
              <w:rPr>
                <w:sz w:val="12"/>
              </w:rPr>
              <w:t>46.2</w:t>
            </w:r>
          </w:p>
        </w:tc>
        <w:tc>
          <w:tcPr>
            <w:tcW w:w="392" w:type="dxa"/>
            <w:tcBorders>
              <w:top w:val="nil"/>
              <w:left w:val="nil"/>
            </w:tcBorders>
          </w:tcPr>
          <w:p>
            <w:pPr>
              <w:pStyle w:val="TableParagraph"/>
              <w:spacing w:before="5"/>
              <w:rPr>
                <w:b/>
                <w:sz w:val="10"/>
              </w:rPr>
            </w:pPr>
          </w:p>
          <w:p>
            <w:pPr>
              <w:pStyle w:val="TableParagraph"/>
              <w:ind w:left="57" w:right="56"/>
              <w:jc w:val="center"/>
              <w:rPr>
                <w:sz w:val="12"/>
              </w:rPr>
            </w:pPr>
            <w:r>
              <w:rPr>
                <w:sz w:val="12"/>
              </w:rPr>
              <w:t>49.3</w:t>
            </w:r>
          </w:p>
        </w:tc>
        <w:tc>
          <w:tcPr>
            <w:tcW w:w="318" w:type="dxa"/>
            <w:tcBorders>
              <w:top w:val="nil"/>
              <w:right w:val="nil"/>
            </w:tcBorders>
          </w:tcPr>
          <w:p>
            <w:pPr>
              <w:pStyle w:val="TableParagraph"/>
              <w:spacing w:before="5"/>
              <w:rPr>
                <w:b/>
                <w:sz w:val="10"/>
              </w:rPr>
            </w:pPr>
          </w:p>
          <w:p>
            <w:pPr>
              <w:pStyle w:val="TableParagraph"/>
              <w:ind w:left="51" w:right="55"/>
              <w:jc w:val="center"/>
              <w:rPr>
                <w:sz w:val="12"/>
              </w:rPr>
            </w:pPr>
            <w:r>
              <w:rPr>
                <w:sz w:val="12"/>
              </w:rPr>
              <w:t>4.9</w:t>
            </w:r>
          </w:p>
        </w:tc>
        <w:tc>
          <w:tcPr>
            <w:tcW w:w="319" w:type="dxa"/>
            <w:tcBorders>
              <w:top w:val="nil"/>
              <w:left w:val="nil"/>
              <w:right w:val="nil"/>
            </w:tcBorders>
          </w:tcPr>
          <w:p>
            <w:pPr>
              <w:pStyle w:val="TableParagraph"/>
              <w:spacing w:before="5"/>
              <w:rPr>
                <w:b/>
                <w:sz w:val="10"/>
              </w:rPr>
            </w:pPr>
          </w:p>
          <w:p>
            <w:pPr>
              <w:pStyle w:val="TableParagraph"/>
              <w:ind w:left="56" w:right="56"/>
              <w:jc w:val="center"/>
              <w:rPr>
                <w:sz w:val="12"/>
              </w:rPr>
            </w:pPr>
            <w:r>
              <w:rPr>
                <w:sz w:val="12"/>
              </w:rPr>
              <w:t>3.7</w:t>
            </w:r>
          </w:p>
        </w:tc>
        <w:tc>
          <w:tcPr>
            <w:tcW w:w="320" w:type="dxa"/>
            <w:tcBorders>
              <w:top w:val="nil"/>
              <w:left w:val="nil"/>
              <w:right w:val="nil"/>
            </w:tcBorders>
          </w:tcPr>
          <w:p>
            <w:pPr>
              <w:pStyle w:val="TableParagraph"/>
              <w:spacing w:before="5"/>
              <w:rPr>
                <w:b/>
                <w:sz w:val="10"/>
              </w:rPr>
            </w:pPr>
          </w:p>
          <w:p>
            <w:pPr>
              <w:pStyle w:val="TableParagraph"/>
              <w:ind w:left="56" w:right="57"/>
              <w:jc w:val="center"/>
              <w:rPr>
                <w:sz w:val="12"/>
              </w:rPr>
            </w:pPr>
            <w:r>
              <w:rPr>
                <w:sz w:val="12"/>
              </w:rPr>
              <w:t>7.7</w:t>
            </w:r>
          </w:p>
        </w:tc>
        <w:tc>
          <w:tcPr>
            <w:tcW w:w="321" w:type="dxa"/>
            <w:tcBorders>
              <w:top w:val="nil"/>
              <w:left w:val="nil"/>
              <w:right w:val="nil"/>
            </w:tcBorders>
          </w:tcPr>
          <w:p>
            <w:pPr>
              <w:pStyle w:val="TableParagraph"/>
              <w:spacing w:before="5"/>
              <w:rPr>
                <w:b/>
                <w:sz w:val="10"/>
              </w:rPr>
            </w:pPr>
          </w:p>
          <w:p>
            <w:pPr>
              <w:pStyle w:val="TableParagraph"/>
              <w:ind w:left="56" w:right="56"/>
              <w:jc w:val="center"/>
              <w:rPr>
                <w:sz w:val="12"/>
              </w:rPr>
            </w:pPr>
            <w:r>
              <w:rPr>
                <w:sz w:val="12"/>
              </w:rPr>
              <w:t>7.0</w:t>
            </w:r>
          </w:p>
        </w:tc>
        <w:tc>
          <w:tcPr>
            <w:tcW w:w="323" w:type="dxa"/>
            <w:tcBorders>
              <w:top w:val="nil"/>
              <w:left w:val="nil"/>
              <w:right w:val="nil"/>
            </w:tcBorders>
          </w:tcPr>
          <w:p>
            <w:pPr>
              <w:pStyle w:val="TableParagraph"/>
              <w:spacing w:before="5"/>
              <w:rPr>
                <w:b/>
                <w:sz w:val="10"/>
              </w:rPr>
            </w:pPr>
          </w:p>
          <w:p>
            <w:pPr>
              <w:pStyle w:val="TableParagraph"/>
              <w:ind w:left="57" w:right="58"/>
              <w:jc w:val="center"/>
              <w:rPr>
                <w:sz w:val="12"/>
              </w:rPr>
            </w:pPr>
            <w:r>
              <w:rPr>
                <w:sz w:val="12"/>
              </w:rPr>
              <w:t>2.5</w:t>
            </w:r>
          </w:p>
        </w:tc>
      </w:tr>
    </w:tbl>
    <w:p>
      <w:pPr>
        <w:pStyle w:val="BodyText"/>
        <w:spacing w:before="4"/>
        <w:rPr>
          <w:b/>
          <w:sz w:val="11"/>
        </w:rPr>
      </w:pPr>
    </w:p>
    <w:p>
      <w:pPr>
        <w:spacing w:before="77"/>
        <w:ind w:left="178" w:right="336" w:firstLine="0"/>
        <w:jc w:val="left"/>
        <w:rPr>
          <w:sz w:val="18"/>
        </w:rPr>
      </w:pPr>
      <w:r>
        <w:rPr>
          <w:sz w:val="18"/>
        </w:rPr>
        <w:t>* Se refiere a Reintegro de economías de los fondos 2006 - 2008 del Edomex. No se cuenta como proyecto o gasto ejercido.</w:t>
      </w:r>
    </w:p>
    <w:p>
      <w:pPr>
        <w:spacing w:line="206" w:lineRule="exact" w:before="0"/>
        <w:ind w:left="178" w:right="0" w:firstLine="0"/>
        <w:jc w:val="both"/>
        <w:rPr>
          <w:sz w:val="18"/>
        </w:rPr>
      </w:pPr>
      <w:r>
        <w:rPr>
          <w:sz w:val="18"/>
        </w:rPr>
        <w:t>**El Estado de Hidalgo se integró a los trabajos de las comisiones metropolitanas a partir de 2008</w:t>
      </w:r>
    </w:p>
    <w:p>
      <w:pPr>
        <w:spacing w:before="160"/>
        <w:ind w:left="178" w:right="0" w:firstLine="0"/>
        <w:jc w:val="both"/>
        <w:rPr>
          <w:sz w:val="18"/>
        </w:rPr>
      </w:pPr>
      <w:r>
        <w:rPr>
          <w:sz w:val="18"/>
        </w:rPr>
        <w:t>Los años que no aparecen indican que no existieron proyectos para la entidad o de gestión conjunta</w:t>
      </w:r>
    </w:p>
    <w:p>
      <w:pPr>
        <w:spacing w:before="40"/>
        <w:ind w:left="340" w:right="337" w:firstLine="0"/>
        <w:jc w:val="center"/>
        <w:rPr>
          <w:sz w:val="18"/>
        </w:rPr>
      </w:pPr>
      <w:r>
        <w:rPr>
          <w:b/>
          <w:sz w:val="18"/>
        </w:rPr>
        <w:t>Fuente: Elaboración propia con base en los reportes 2006-2012 tomados de la página electrónica de la Secretaría de Desarrollo Metropolitano del Estado de México: </w:t>
      </w:r>
      <w:hyperlink r:id="rId15">
        <w:r>
          <w:rPr>
            <w:b/>
            <w:sz w:val="18"/>
          </w:rPr>
          <w:t>www.edomex.gob.mx/sedemet</w:t>
        </w:r>
        <w:r>
          <w:rPr>
            <w:sz w:val="18"/>
          </w:rPr>
          <w:t>.</w:t>
        </w:r>
      </w:hyperlink>
    </w:p>
    <w:p>
      <w:pPr>
        <w:pStyle w:val="BodyText"/>
        <w:rPr>
          <w:sz w:val="18"/>
        </w:rPr>
      </w:pPr>
    </w:p>
    <w:p>
      <w:pPr>
        <w:pStyle w:val="BodyText"/>
        <w:spacing w:before="3"/>
        <w:rPr>
          <w:sz w:val="26"/>
        </w:rPr>
      </w:pPr>
    </w:p>
    <w:p>
      <w:pPr>
        <w:pStyle w:val="BodyText"/>
        <w:spacing w:line="480" w:lineRule="auto"/>
        <w:ind w:left="178" w:right="174"/>
        <w:jc w:val="both"/>
      </w:pPr>
      <w:r>
        <w:rPr/>
        <w:t>En materia de “Protección civil/seguridad pública” (cuadro 2) se tiene una participación  marginal. Sin embargo el Estado de México es la entidad que más proyectos ha impulsado al respecto, sobre todo en los años 2010 y 2012. Por el contrario, en la Ciudad de México se han concentrado la mayor cantidad de acciones en materia de “Ambiente”, ya que, aunque con un bajo porcentaje de los recursos, casi en todos los años estudiados se emprendieron acciones  en tal aspecto. En Hidalgo no se tienen registrados proyectos ni en “Protección civil/seguridad pública” ni en</w:t>
      </w:r>
      <w:r>
        <w:rPr>
          <w:spacing w:val="-8"/>
        </w:rPr>
        <w:t> </w:t>
      </w:r>
      <w:r>
        <w:rPr/>
        <w:t>“Ambiente”.</w:t>
      </w:r>
    </w:p>
    <w:p>
      <w:pPr>
        <w:pStyle w:val="BodyText"/>
      </w:pPr>
    </w:p>
    <w:p>
      <w:pPr>
        <w:pStyle w:val="BodyText"/>
        <w:spacing w:before="8"/>
      </w:pPr>
    </w:p>
    <w:p>
      <w:pPr>
        <w:pStyle w:val="BodyText"/>
        <w:spacing w:line="480" w:lineRule="auto"/>
        <w:ind w:left="178" w:right="336"/>
      </w:pPr>
      <w:r>
        <w:rPr/>
        <w:t>En el tema de “Infraestructura social” (cuadro 2) la Ciudad de México durante 2006 al 2008 no ejerció recursos, cuestión que se revirtió a partir de 2009. Mientras que el Estado de México,</w:t>
      </w:r>
    </w:p>
    <w:p>
      <w:pPr>
        <w:spacing w:after="0" w:line="480" w:lineRule="auto"/>
        <w:sectPr>
          <w:pgSz w:w="12240" w:h="15840"/>
          <w:pgMar w:header="305" w:footer="595" w:top="880" w:bottom="780" w:left="1240" w:right="1240"/>
        </w:sectPr>
      </w:pPr>
    </w:p>
    <w:p>
      <w:pPr>
        <w:pStyle w:val="BodyText"/>
        <w:rPr>
          <w:sz w:val="20"/>
        </w:rPr>
      </w:pPr>
    </w:p>
    <w:p>
      <w:pPr>
        <w:pStyle w:val="BodyText"/>
        <w:spacing w:before="8"/>
        <w:rPr>
          <w:sz w:val="18"/>
        </w:rPr>
      </w:pPr>
    </w:p>
    <w:p>
      <w:pPr>
        <w:pStyle w:val="BodyText"/>
        <w:spacing w:line="480" w:lineRule="auto" w:before="73"/>
        <w:ind w:left="118" w:right="115"/>
        <w:jc w:val="both"/>
      </w:pPr>
      <w:r>
        <w:rPr/>
        <w:t>salvo el 2006, mostró una constante en el gasto durante los años estudiados, aunque el porcentaje fue mínimo.</w:t>
      </w:r>
    </w:p>
    <w:p>
      <w:pPr>
        <w:pStyle w:val="BodyText"/>
      </w:pPr>
    </w:p>
    <w:p>
      <w:pPr>
        <w:pStyle w:val="BodyText"/>
        <w:spacing w:before="5"/>
      </w:pPr>
    </w:p>
    <w:p>
      <w:pPr>
        <w:pStyle w:val="BodyText"/>
        <w:spacing w:line="480" w:lineRule="auto"/>
        <w:ind w:left="118" w:right="115"/>
        <w:jc w:val="both"/>
      </w:pPr>
      <w:r>
        <w:rPr/>
        <w:t>En cuanto a “Planeación”, la Ciudad de México ejerció en 2008 la mayor proporción de recursos (11.5 por ciento) comparado con los años precedentes; fue el año en que más proyectos se diseñaron en tal entidad; sin embargo, en los dos años subsecuentes disminuyó el porcentaje y en el 2012 no se financiaron estudios.</w:t>
      </w:r>
    </w:p>
    <w:p>
      <w:pPr>
        <w:pStyle w:val="BodyText"/>
      </w:pPr>
    </w:p>
    <w:p>
      <w:pPr>
        <w:pStyle w:val="BodyText"/>
        <w:spacing w:before="5"/>
      </w:pPr>
    </w:p>
    <w:p>
      <w:pPr>
        <w:pStyle w:val="BodyText"/>
        <w:spacing w:line="480" w:lineRule="auto"/>
        <w:ind w:left="118" w:right="114"/>
        <w:jc w:val="both"/>
      </w:pPr>
      <w:r>
        <w:rPr/>
        <w:t>En el Estado de México 2007 fue el año más importante en cuestión de planeación, ya que se ejerció el 13.3 por ciento, mismo que no fue igualado en el resto del periodo. En 2008 y 2009 disminuyó el gasto en la categoría y en 2011 y 20012 se incrementaron las proporciones, aunque no de manera equivalente al 2007. Del porcentaje correspondiente a Hidalgo se advierte que para ellos 2008 fue un año de</w:t>
      </w:r>
      <w:r>
        <w:rPr>
          <w:spacing w:val="-13"/>
        </w:rPr>
        <w:t> </w:t>
      </w:r>
      <w:r>
        <w:rPr/>
        <w:t>planeación.</w:t>
      </w:r>
    </w:p>
    <w:p>
      <w:pPr>
        <w:pStyle w:val="BodyText"/>
      </w:pPr>
    </w:p>
    <w:p>
      <w:pPr>
        <w:pStyle w:val="BodyText"/>
        <w:spacing w:before="5"/>
      </w:pPr>
    </w:p>
    <w:p>
      <w:pPr>
        <w:pStyle w:val="BodyText"/>
        <w:spacing w:line="480" w:lineRule="auto"/>
        <w:ind w:left="118" w:right="112"/>
        <w:jc w:val="both"/>
      </w:pPr>
      <w:r>
        <w:rPr/>
        <w:t>Al cruzar la información del cuadro 1 con la del cuadro 2 se observa lo siguiente: En el Estado de México se han programado 174 proyectos de un total de 315 durante el periodo de estudio, lo que representa el 55 por ciento del total; sin embargo, en materia de gasto ejercido mantiene una relación asimétrica ya que tan sólo asciende al 44 por ciento de los recursos del fondo metropolitano 2006-2012. Por su parte, la Ciudad de México ha llevado a cabo 110 proyectos, que significan el 35 por ciento, pero en materia de gasto ejercido han consumido el 50.1 por ciento del presupuesto programado. La inserción a partir de 2008 del estado de Hidalgo le permitió emprender 26 proyectos (8.3 por ciento) y agotar el 3.7 por ciento del financiamiento determinado. Complementan los proyectos y recursos consumidos los cinco proyectos gestionados de manera conjunta que representan el 2.0 por ciento del</w:t>
      </w:r>
      <w:r>
        <w:rPr>
          <w:spacing w:val="-21"/>
        </w:rPr>
        <w:t> </w:t>
      </w:r>
      <w:r>
        <w:rPr/>
        <w:t>total</w:t>
      </w:r>
    </w:p>
    <w:p>
      <w:pPr>
        <w:spacing w:after="0" w:line="480" w:lineRule="auto"/>
        <w:jc w:val="both"/>
        <w:sectPr>
          <w:pgSz w:w="12240" w:h="15840"/>
          <w:pgMar w:header="305" w:footer="595" w:top="880" w:bottom="780" w:left="1300" w:right="1300"/>
        </w:sectPr>
      </w:pPr>
    </w:p>
    <w:p>
      <w:pPr>
        <w:pStyle w:val="BodyText"/>
        <w:rPr>
          <w:sz w:val="20"/>
        </w:rPr>
      </w:pPr>
    </w:p>
    <w:p>
      <w:pPr>
        <w:pStyle w:val="BodyText"/>
        <w:spacing w:before="10"/>
        <w:rPr>
          <w:sz w:val="18"/>
        </w:rPr>
      </w:pPr>
    </w:p>
    <w:p>
      <w:pPr>
        <w:pStyle w:val="Heading2"/>
      </w:pPr>
      <w:r>
        <w:rPr/>
        <w:t>CONCLUSIONES</w:t>
      </w:r>
    </w:p>
    <w:p>
      <w:pPr>
        <w:pStyle w:val="BodyText"/>
        <w:spacing w:before="2"/>
        <w:rPr>
          <w:b/>
          <w:sz w:val="24"/>
        </w:rPr>
      </w:pPr>
    </w:p>
    <w:p>
      <w:pPr>
        <w:pStyle w:val="BodyText"/>
        <w:spacing w:line="480" w:lineRule="auto"/>
        <w:ind w:left="118" w:right="111"/>
        <w:jc w:val="both"/>
      </w:pPr>
      <w:r>
        <w:rPr/>
        <w:t>Los países, sus ciudades e instituciones no han logrado construir de manera permanente y consistente los mecanismos eficientes y oportunos para dar respuesta a las exigencias que les imponen las metrópolis. Se han experimentado diversas fórmulas construidas de “abajo-arriba”  y de “arriba-abajo” por todos los rincones del mundo, sin embargo los problemas, la implementación de políticas y la instrumentación de programas han resultado de gran complejidad y escasos resultados en términos</w:t>
      </w:r>
      <w:r>
        <w:rPr>
          <w:spacing w:val="-15"/>
        </w:rPr>
        <w:t> </w:t>
      </w:r>
      <w:r>
        <w:rPr/>
        <w:t>generales.</w:t>
      </w:r>
    </w:p>
    <w:p>
      <w:pPr>
        <w:pStyle w:val="BodyText"/>
      </w:pPr>
    </w:p>
    <w:p>
      <w:pPr>
        <w:pStyle w:val="BodyText"/>
        <w:spacing w:before="8"/>
      </w:pPr>
    </w:p>
    <w:p>
      <w:pPr>
        <w:pStyle w:val="BodyText"/>
        <w:spacing w:line="480" w:lineRule="auto"/>
        <w:ind w:left="118" w:right="114"/>
        <w:jc w:val="both"/>
      </w:pPr>
      <w:r>
        <w:rPr/>
        <w:t>El asocianismo municipal para atender problemas específicos y compartidos representa la  forma más simple de vinculación intergubernamental. La creación de organismos supramunicipales desde los propios gobiernos locales requiere de un mayor grado de desarrollo, capacidades de negociación y de gestión. La coordinación entre ámbitos de  gobierno es una forma intermedia que se mantiene dentro de los límites del federalismo de la modernidad donde la ciudad es su emblema, pero no alcanza para dar respuestas eficientes ante la complejidad de una metrópoli. La construcción de autoridades metropolitanas y/o la creación de un gobierno metropolitano implican una refundación de las naciones, romper el paradigma del régimen político imperante en el mundo occidental; por ello las pocas experiencias no han sido capaces de soportar las exigencias del entorno y consolidarse como tales.</w:t>
      </w:r>
    </w:p>
    <w:p>
      <w:pPr>
        <w:pStyle w:val="BodyText"/>
      </w:pPr>
    </w:p>
    <w:p>
      <w:pPr>
        <w:pStyle w:val="BodyText"/>
        <w:spacing w:before="5"/>
      </w:pPr>
    </w:p>
    <w:p>
      <w:pPr>
        <w:pStyle w:val="BodyText"/>
        <w:spacing w:line="480" w:lineRule="auto"/>
        <w:ind w:left="118" w:right="111"/>
        <w:jc w:val="both"/>
      </w:pPr>
      <w:r>
        <w:rPr/>
        <w:t>En la Zona Metropolitana del Valle de México se optó por el modelo de coordinación, que se ubica en un nivel intermedio de las instituciones metropolitanas. Tal modelo no pone en entredicho al federalismo y, al parecer, no lo hace avanzar. De 1994 a 2005 no existieron recursos económicos destinados exprofeso para atender la agenda metropolitana y no fue sino hasta el 2006 cuando se creó un fondo con recursos de la federación. Tal mecanismo de</w:t>
      </w:r>
    </w:p>
    <w:p>
      <w:pPr>
        <w:spacing w:after="0" w:line="480" w:lineRule="auto"/>
        <w:jc w:val="both"/>
        <w:sectPr>
          <w:pgSz w:w="12240" w:h="15840"/>
          <w:pgMar w:header="305" w:footer="595" w:top="880" w:bottom="780" w:left="1300" w:right="1300"/>
        </w:sectPr>
      </w:pPr>
    </w:p>
    <w:p>
      <w:pPr>
        <w:pStyle w:val="BodyText"/>
        <w:rPr>
          <w:sz w:val="20"/>
        </w:rPr>
      </w:pPr>
    </w:p>
    <w:p>
      <w:pPr>
        <w:pStyle w:val="BodyText"/>
        <w:spacing w:before="8"/>
        <w:rPr>
          <w:sz w:val="18"/>
        </w:rPr>
      </w:pPr>
    </w:p>
    <w:p>
      <w:pPr>
        <w:pStyle w:val="BodyText"/>
        <w:spacing w:line="480" w:lineRule="auto" w:before="73"/>
        <w:ind w:left="118" w:right="119"/>
        <w:jc w:val="both"/>
      </w:pPr>
      <w:r>
        <w:rPr/>
        <w:t>financiamiento ha sido el eje a partir del cual se construyeron los acuerdos para avanzar en la atención de diversos problemas metropolitanos.</w:t>
      </w:r>
    </w:p>
    <w:p>
      <w:pPr>
        <w:pStyle w:val="BodyText"/>
      </w:pPr>
    </w:p>
    <w:p>
      <w:pPr>
        <w:pStyle w:val="BodyText"/>
        <w:spacing w:before="5"/>
      </w:pPr>
    </w:p>
    <w:p>
      <w:pPr>
        <w:pStyle w:val="BodyText"/>
        <w:spacing w:line="480" w:lineRule="auto"/>
        <w:ind w:left="118" w:right="112"/>
        <w:jc w:val="both"/>
      </w:pPr>
      <w:r>
        <w:rPr/>
        <w:t>El Fondo Metropolitano vino a impulsar los trabajos y el emprendimiento de acciones, los gobiernos implicados han determinado una agenda que se concentra en los temas de abasto y desalojo de agua, vialidad y transporte, protección civil y/o seguridad pública, ambiente, infraestructura social y planeación. De tales temas fueron prioridad “Agua” y “Vialidad y transporte”, ambas concentraron la mayor parte de los proyectos y de los recursos. Conviene preguntar acerca del impacto que han tenido los proyectos para revertir las tendencias que manifiestan los problemas y el mejoramiento de las condiciones de vida de la población que habita en el Valle de México.</w:t>
      </w:r>
    </w:p>
    <w:p>
      <w:pPr>
        <w:pStyle w:val="BodyText"/>
      </w:pPr>
    </w:p>
    <w:p>
      <w:pPr>
        <w:pStyle w:val="BodyText"/>
        <w:spacing w:before="8"/>
      </w:pPr>
    </w:p>
    <w:p>
      <w:pPr>
        <w:pStyle w:val="BodyText"/>
        <w:spacing w:line="480" w:lineRule="auto"/>
        <w:ind w:left="118" w:right="116"/>
        <w:jc w:val="both"/>
      </w:pPr>
      <w:r>
        <w:rPr/>
        <w:t>Por último, se considera importante que se desarrolle una mayor cooperación intermunicipal, para promover una atención de los problemas metropolitanos más completa y oportuna, complementada con la de otros actores gubernamentales y no gubernamentales. También, es necesario afinar y sostener la figura de Consejo Metropolitano normado por las reglas de operación del Fondo Metropolitano. Ambos son elementos clave para una mejor gestión transversal que supere la dicotomía: arriba hacia abajo-abajo hacia arriba.</w:t>
      </w:r>
    </w:p>
    <w:p>
      <w:pPr>
        <w:spacing w:after="0" w:line="480" w:lineRule="auto"/>
        <w:jc w:val="both"/>
        <w:sectPr>
          <w:pgSz w:w="12240" w:h="15840"/>
          <w:pgMar w:header="305" w:footer="595" w:top="880" w:bottom="780" w:left="1300" w:right="1300"/>
        </w:sectPr>
      </w:pPr>
    </w:p>
    <w:p>
      <w:pPr>
        <w:pStyle w:val="BodyText"/>
        <w:rPr>
          <w:sz w:val="20"/>
        </w:rPr>
      </w:pPr>
    </w:p>
    <w:p>
      <w:pPr>
        <w:pStyle w:val="BodyText"/>
        <w:spacing w:before="10"/>
        <w:rPr>
          <w:sz w:val="18"/>
        </w:rPr>
      </w:pPr>
    </w:p>
    <w:p>
      <w:pPr>
        <w:pStyle w:val="Heading2"/>
      </w:pPr>
      <w:r>
        <w:rPr/>
        <w:t>BIBLIOGRAFÍA</w:t>
      </w:r>
    </w:p>
    <w:p>
      <w:pPr>
        <w:pStyle w:val="BodyText"/>
        <w:spacing w:before="2"/>
        <w:rPr>
          <w:b/>
          <w:sz w:val="24"/>
        </w:rPr>
      </w:pPr>
    </w:p>
    <w:p>
      <w:pPr>
        <w:pStyle w:val="BodyText"/>
        <w:ind w:left="118"/>
        <w:jc w:val="both"/>
      </w:pPr>
      <w:r>
        <w:rPr/>
        <w:t>LIBROS</w:t>
      </w:r>
    </w:p>
    <w:p>
      <w:pPr>
        <w:pStyle w:val="BodyText"/>
        <w:spacing w:before="9"/>
        <w:rPr>
          <w:sz w:val="21"/>
        </w:rPr>
      </w:pPr>
    </w:p>
    <w:p>
      <w:pPr>
        <w:spacing w:line="480" w:lineRule="auto" w:before="0"/>
        <w:ind w:left="118" w:right="115" w:firstLine="0"/>
        <w:jc w:val="both"/>
        <w:rPr>
          <w:sz w:val="22"/>
        </w:rPr>
      </w:pPr>
      <w:r>
        <w:rPr>
          <w:b/>
          <w:sz w:val="22"/>
        </w:rPr>
        <w:t>Iracheta Cenecorta, Alfonso </w:t>
      </w:r>
      <w:r>
        <w:rPr>
          <w:sz w:val="22"/>
        </w:rPr>
        <w:t>(2009) </w:t>
      </w:r>
      <w:r>
        <w:rPr>
          <w:i/>
          <w:sz w:val="22"/>
        </w:rPr>
        <w:t>Políticas Públicas para gobernar las  metrópolis </w:t>
      </w:r>
      <w:r>
        <w:rPr>
          <w:i/>
          <w:sz w:val="22"/>
        </w:rPr>
        <w:t>mexicanas. </w:t>
      </w:r>
      <w:r>
        <w:rPr>
          <w:sz w:val="22"/>
        </w:rPr>
        <w:t>El Colegio Mexiquense y Miguel Ángel Porrúa. México.</w:t>
      </w:r>
    </w:p>
    <w:p>
      <w:pPr>
        <w:spacing w:line="482" w:lineRule="auto" w:before="5"/>
        <w:ind w:left="118" w:right="116" w:firstLine="0"/>
        <w:jc w:val="both"/>
        <w:rPr>
          <w:sz w:val="22"/>
        </w:rPr>
      </w:pPr>
      <w:r>
        <w:rPr>
          <w:b/>
          <w:sz w:val="22"/>
        </w:rPr>
        <w:t>Moreno Pérez, Salvador</w:t>
      </w:r>
      <w:r>
        <w:rPr>
          <w:sz w:val="22"/>
        </w:rPr>
        <w:t>, (2006), </w:t>
      </w:r>
      <w:r>
        <w:rPr>
          <w:i/>
          <w:sz w:val="22"/>
        </w:rPr>
        <w:t>La gestión, coordinación y gobernabilidad de las metrópolis, </w:t>
      </w:r>
      <w:r>
        <w:rPr>
          <w:i/>
          <w:sz w:val="22"/>
        </w:rPr>
        <w:t>documento de trabajo número 9</w:t>
      </w:r>
      <w:r>
        <w:rPr>
          <w:sz w:val="22"/>
        </w:rPr>
        <w:t>. Centro de Estudios Sociales y de Opinión Pública. México.</w:t>
      </w:r>
    </w:p>
    <w:p>
      <w:pPr>
        <w:spacing w:line="482" w:lineRule="auto" w:before="3"/>
        <w:ind w:left="118" w:right="116" w:firstLine="0"/>
        <w:jc w:val="both"/>
        <w:rPr>
          <w:sz w:val="22"/>
        </w:rPr>
      </w:pPr>
      <w:r>
        <w:rPr>
          <w:b/>
          <w:sz w:val="22"/>
        </w:rPr>
        <w:t>Rivero Hernández, Melesio </w:t>
      </w:r>
      <w:r>
        <w:rPr>
          <w:sz w:val="22"/>
        </w:rPr>
        <w:t>(2012) </w:t>
      </w:r>
      <w:r>
        <w:rPr>
          <w:i/>
          <w:sz w:val="22"/>
        </w:rPr>
        <w:t>Cambio institucional y planeación urbana en la Zona </w:t>
      </w:r>
      <w:r>
        <w:rPr>
          <w:i/>
          <w:sz w:val="22"/>
        </w:rPr>
        <w:t>Metropolitana del Valle de México </w:t>
      </w:r>
      <w:r>
        <w:rPr>
          <w:sz w:val="22"/>
        </w:rPr>
        <w:t>(tesis doctoral). UNAM. México.</w:t>
      </w:r>
    </w:p>
    <w:p>
      <w:pPr>
        <w:spacing w:line="480" w:lineRule="auto" w:before="2"/>
        <w:ind w:left="118" w:right="114" w:firstLine="0"/>
        <w:jc w:val="both"/>
        <w:rPr>
          <w:sz w:val="22"/>
        </w:rPr>
      </w:pPr>
      <w:r>
        <w:rPr>
          <w:b/>
          <w:sz w:val="22"/>
        </w:rPr>
        <w:t>Ziccardi, Alicia y Bernardo Navarro </w:t>
      </w:r>
      <w:r>
        <w:rPr>
          <w:sz w:val="22"/>
        </w:rPr>
        <w:t>(coord.) (1995) </w:t>
      </w:r>
      <w:r>
        <w:rPr>
          <w:i/>
          <w:sz w:val="22"/>
        </w:rPr>
        <w:t>Ciudad de México: Retos y Propuestas </w:t>
      </w:r>
      <w:r>
        <w:rPr>
          <w:i/>
          <w:sz w:val="22"/>
        </w:rPr>
        <w:t>para la Coordinación Metropolitana. </w:t>
      </w:r>
      <w:r>
        <w:rPr>
          <w:sz w:val="22"/>
        </w:rPr>
        <w:t>UAM-UNAM. México.</w:t>
      </w:r>
    </w:p>
    <w:p>
      <w:pPr>
        <w:pStyle w:val="BodyText"/>
        <w:spacing w:before="7"/>
        <w:ind w:left="118"/>
        <w:jc w:val="both"/>
      </w:pPr>
      <w:r>
        <w:rPr/>
        <w:t>REVISTAS</w:t>
      </w:r>
    </w:p>
    <w:p>
      <w:pPr>
        <w:pStyle w:val="BodyText"/>
        <w:spacing w:before="9"/>
        <w:rPr>
          <w:sz w:val="21"/>
        </w:rPr>
      </w:pPr>
    </w:p>
    <w:p>
      <w:pPr>
        <w:pStyle w:val="BodyText"/>
        <w:spacing w:line="482" w:lineRule="auto" w:before="1"/>
        <w:ind w:left="118" w:right="113"/>
        <w:jc w:val="both"/>
      </w:pPr>
      <w:r>
        <w:rPr>
          <w:b/>
        </w:rPr>
        <w:t>Garza, Gustavo </w:t>
      </w:r>
      <w:r>
        <w:rPr/>
        <w:t>(2007) “La urbanización metropolitana en México: normatividad y características socioeconómicas”, en </w:t>
      </w:r>
      <w:r>
        <w:rPr>
          <w:i/>
        </w:rPr>
        <w:t>Papeles de Población</w:t>
      </w:r>
      <w:r>
        <w:rPr/>
        <w:t>, vol. 13, núm. 52, abril-junio, 2007, pp. 77-108. Universidad Autónoma del Estado de México. México.</w:t>
      </w:r>
    </w:p>
    <w:p>
      <w:pPr>
        <w:spacing w:line="482" w:lineRule="auto" w:before="0"/>
        <w:ind w:left="118" w:right="113" w:firstLine="0"/>
        <w:jc w:val="both"/>
        <w:rPr>
          <w:sz w:val="22"/>
        </w:rPr>
      </w:pPr>
      <w:r>
        <w:rPr>
          <w:b/>
          <w:sz w:val="22"/>
        </w:rPr>
        <w:t>Giménez Gilberto </w:t>
      </w:r>
      <w:r>
        <w:rPr>
          <w:sz w:val="22"/>
        </w:rPr>
        <w:t>(2005) “Cultura, identidad y metropolitanismo global”, en </w:t>
      </w:r>
      <w:r>
        <w:rPr>
          <w:i/>
          <w:sz w:val="22"/>
        </w:rPr>
        <w:t>Revista Mexicana </w:t>
      </w:r>
      <w:r>
        <w:rPr>
          <w:i/>
          <w:sz w:val="22"/>
        </w:rPr>
        <w:t>de Sociología</w:t>
      </w:r>
      <w:r>
        <w:rPr>
          <w:sz w:val="22"/>
        </w:rPr>
        <w:t>, vol. 67, núm. 3, julio-septiembre, pp. 483-512. Universidad Nacional Autónoma  de México.</w:t>
      </w:r>
      <w:r>
        <w:rPr>
          <w:spacing w:val="-9"/>
          <w:sz w:val="22"/>
        </w:rPr>
        <w:t> </w:t>
      </w:r>
      <w:r>
        <w:rPr>
          <w:sz w:val="22"/>
        </w:rPr>
        <w:t>México.</w:t>
      </w:r>
    </w:p>
    <w:p>
      <w:pPr>
        <w:pStyle w:val="BodyText"/>
        <w:spacing w:line="480" w:lineRule="auto" w:before="3"/>
        <w:ind w:left="118" w:right="111"/>
        <w:jc w:val="both"/>
      </w:pPr>
      <w:r>
        <w:rPr>
          <w:b/>
        </w:rPr>
        <w:t>Gómez Rodríguez Pedro Manuel </w:t>
      </w:r>
      <w:r>
        <w:rPr/>
        <w:t>(2003) “La gestión de marketing de ciudades y áreas metropolitanas: de la orientación al producto a la orientación al Marketing”, en </w:t>
      </w:r>
      <w:r>
        <w:rPr>
          <w:i/>
        </w:rPr>
        <w:t>Cuadernos de </w:t>
      </w:r>
      <w:r>
        <w:rPr>
          <w:i/>
        </w:rPr>
        <w:t>Gestión</w:t>
      </w:r>
      <w:r>
        <w:rPr/>
        <w:t>, vol. 3, núm. 1-2, 2003, pp. 11-25, Universidad del País Vasco/Euskal Herriko Unibertsitatea. España. Disponible en: </w:t>
      </w:r>
      <w:hyperlink r:id="rId16">
        <w:r>
          <w:rPr/>
          <w:t>http://www.redalyc.org/</w:t>
        </w:r>
      </w:hyperlink>
      <w:r>
        <w:rPr/>
        <w:t> articulo.oa?id=274323095001. [consultado el 14 de abril de 2014].</w:t>
      </w:r>
    </w:p>
    <w:p>
      <w:pPr>
        <w:spacing w:line="482" w:lineRule="auto" w:before="5"/>
        <w:ind w:left="118" w:right="112" w:firstLine="0"/>
        <w:jc w:val="both"/>
        <w:rPr>
          <w:sz w:val="22"/>
        </w:rPr>
      </w:pPr>
      <w:r>
        <w:rPr>
          <w:b/>
          <w:sz w:val="22"/>
        </w:rPr>
        <w:t>Iracheta Cenecorta, Alfonso </w:t>
      </w:r>
      <w:r>
        <w:rPr>
          <w:sz w:val="22"/>
        </w:rPr>
        <w:t>(2010) “El fenómeno metropolitano en México”, </w:t>
      </w:r>
      <w:r>
        <w:rPr>
          <w:i/>
          <w:sz w:val="22"/>
        </w:rPr>
        <w:t>en Economía y </w:t>
      </w:r>
      <w:r>
        <w:rPr>
          <w:i/>
          <w:sz w:val="22"/>
        </w:rPr>
        <w:t>Sociedad, </w:t>
      </w:r>
      <w:r>
        <w:rPr>
          <w:sz w:val="22"/>
        </w:rPr>
        <w:t>vol. XIV, núm. 25, enero-junio, pp. 153-179. Universidad Michoacana de San Nicolás de Hidalgo. México</w:t>
      </w:r>
    </w:p>
    <w:p>
      <w:pPr>
        <w:spacing w:after="0" w:line="482" w:lineRule="auto"/>
        <w:jc w:val="both"/>
        <w:rPr>
          <w:sz w:val="22"/>
        </w:rPr>
        <w:sectPr>
          <w:pgSz w:w="12240" w:h="15840"/>
          <w:pgMar w:header="305" w:footer="595" w:top="880" w:bottom="780" w:left="1300" w:right="1300"/>
        </w:sectPr>
      </w:pPr>
    </w:p>
    <w:p>
      <w:pPr>
        <w:pStyle w:val="BodyText"/>
        <w:rPr>
          <w:sz w:val="20"/>
        </w:rPr>
      </w:pPr>
    </w:p>
    <w:p>
      <w:pPr>
        <w:pStyle w:val="BodyText"/>
        <w:spacing w:before="6"/>
        <w:rPr>
          <w:sz w:val="18"/>
        </w:rPr>
      </w:pPr>
    </w:p>
    <w:p>
      <w:pPr>
        <w:spacing w:line="482" w:lineRule="auto" w:before="73"/>
        <w:ind w:left="118" w:right="110" w:firstLine="0"/>
        <w:jc w:val="both"/>
        <w:rPr>
          <w:sz w:val="22"/>
        </w:rPr>
      </w:pPr>
      <w:r>
        <w:rPr>
          <w:b/>
          <w:sz w:val="22"/>
        </w:rPr>
        <w:t>Méndez, Ricardo </w:t>
      </w:r>
      <w:r>
        <w:rPr>
          <w:sz w:val="22"/>
        </w:rPr>
        <w:t>(2012), “Globalización, neoliberalismo y dinámicas metropolitanas en Madrid”, en </w:t>
      </w:r>
      <w:r>
        <w:rPr>
          <w:i/>
          <w:sz w:val="22"/>
        </w:rPr>
        <w:t>Documentos y Aportes en Administración Pública y Gestión Estatal</w:t>
      </w:r>
      <w:r>
        <w:rPr>
          <w:sz w:val="22"/>
        </w:rPr>
        <w:t>, vol. 12, núm. 19,  pp. 29-</w:t>
      </w:r>
    </w:p>
    <w:p>
      <w:pPr>
        <w:pStyle w:val="BodyText"/>
        <w:tabs>
          <w:tab w:pos="968" w:val="left" w:leader="none"/>
          <w:tab w:pos="1126" w:val="left" w:leader="none"/>
          <w:tab w:pos="2364" w:val="left" w:leader="none"/>
          <w:tab w:pos="2669" w:val="left" w:leader="none"/>
          <w:tab w:pos="3636" w:val="left" w:leader="none"/>
          <w:tab w:pos="4066" w:val="left" w:leader="none"/>
          <w:tab w:pos="4190" w:val="left" w:leader="none"/>
          <w:tab w:pos="4902" w:val="left" w:leader="none"/>
          <w:tab w:pos="6104" w:val="left" w:leader="none"/>
          <w:tab w:pos="7649" w:val="left" w:leader="none"/>
          <w:tab w:pos="8602" w:val="left" w:leader="none"/>
          <w:tab w:pos="9216" w:val="left" w:leader="none"/>
        </w:tabs>
        <w:spacing w:line="480" w:lineRule="auto" w:before="2"/>
        <w:ind w:left="118" w:right="114"/>
      </w:pPr>
      <w:r>
        <w:rPr/>
        <w:t>49.</w:t>
        <w:tab/>
        <w:t>Universidad</w:t>
        <w:tab/>
        <w:tab/>
        <w:t>Nacional</w:t>
        <w:tab/>
        <w:tab/>
        <w:t>del</w:t>
        <w:tab/>
        <w:t>Litoral.</w:t>
        <w:tab/>
        <w:t>Argentina.</w:t>
        <w:tab/>
        <w:t>Disponible</w:t>
        <w:tab/>
        <w:t>en: </w:t>
      </w:r>
      <w:hyperlink r:id="rId17">
        <w:r>
          <w:rPr/>
          <w:t>http://www.redalyc.org/articulo.oa?id=337530223002.</w:t>
        </w:r>
      </w:hyperlink>
      <w:r>
        <w:rPr/>
        <w:t> [consultado el 18 de mayo de 2014] </w:t>
      </w:r>
      <w:r>
        <w:rPr>
          <w:b/>
        </w:rPr>
        <w:t>Nascimento Neto, Paulo; Moreira, Tomás Antonio</w:t>
      </w:r>
      <w:r>
        <w:rPr/>
        <w:t>, (2012), “Gestión de residuos sólidos en regiones metropolitanas: límites y oportunidades de los arreglos intermunicipales en el escenario brasileño”, en </w:t>
      </w:r>
      <w:r>
        <w:rPr>
          <w:i/>
        </w:rPr>
        <w:t>Territorios</w:t>
      </w:r>
      <w:r>
        <w:rPr/>
        <w:t>, núm. 27, 2012, pp. 145-179. Universidad del Rosario., Bogotá,</w:t>
        <w:tab/>
        <w:tab/>
        <w:t>Colombia.</w:t>
        <w:tab/>
        <w:t>Disponible</w:t>
        <w:tab/>
        <w:t>en:</w:t>
        <w:tab/>
        <w:tab/>
      </w:r>
      <w:hyperlink r:id="rId18">
        <w:r>
          <w:rPr/>
          <w:t>http://www.redalyc.org/articulo.oa?id=3572</w:t>
        </w:r>
      </w:hyperlink>
      <w:r>
        <w:rPr/>
        <w:tab/>
        <w:t>5869003. [consultado el 2 de abril de</w:t>
      </w:r>
      <w:r>
        <w:rPr>
          <w:spacing w:val="-8"/>
        </w:rPr>
        <w:t> </w:t>
      </w:r>
      <w:r>
        <w:rPr/>
        <w:t>2014]</w:t>
      </w:r>
    </w:p>
    <w:p>
      <w:pPr>
        <w:pStyle w:val="BodyText"/>
        <w:spacing w:line="480" w:lineRule="auto" w:before="5"/>
        <w:ind w:left="118" w:right="129"/>
      </w:pPr>
      <w:r>
        <w:rPr>
          <w:b/>
        </w:rPr>
        <w:t>Orellana, Arturo; Allard, Pablo; Néspolo, Romina y Mercado, José </w:t>
      </w:r>
      <w:r>
        <w:rPr/>
        <w:t>(2012), “Gestión urbana municipal a escala metropolitana: modelos en competencia”, en </w:t>
      </w:r>
      <w:r>
        <w:rPr>
          <w:i/>
        </w:rPr>
        <w:t>Revista de Geografía Norte </w:t>
      </w:r>
      <w:r>
        <w:rPr>
          <w:i/>
        </w:rPr>
        <w:t>Grande</w:t>
      </w:r>
      <w:r>
        <w:rPr/>
        <w:t>, núm. 51, pp. 67-80, Pontificia Universidad Católica de Chile, Chile. Disponible en: </w:t>
      </w:r>
      <w:hyperlink r:id="rId19">
        <w:r>
          <w:rPr/>
          <w:t>http://www.redalyc.org/articulo.oa?id</w:t>
        </w:r>
      </w:hyperlink>
      <w:r>
        <w:rPr/>
        <w:t> =30023283008. [consultado el 23 de marzo de 2014] </w:t>
      </w:r>
      <w:r>
        <w:rPr>
          <w:b/>
        </w:rPr>
        <w:t>Paiva, Antonio </w:t>
      </w:r>
      <w:r>
        <w:rPr/>
        <w:t>(2001) “Caracas, en busca de un gobierno Metropolitano”, en </w:t>
      </w:r>
      <w:r>
        <w:rPr>
          <w:i/>
        </w:rPr>
        <w:t>Eure</w:t>
      </w:r>
      <w:r>
        <w:rPr/>
        <w:t>, vol. XXVII, núm. 81, setiembre, 2001. Pontificia Universidad Católica de Chile. Chile. Disponible en: </w:t>
      </w:r>
      <w:hyperlink r:id="rId20">
        <w:r>
          <w:rPr/>
          <w:t>http://www.redalyc.org/articulo.oa?id=19608103.</w:t>
        </w:r>
      </w:hyperlink>
      <w:r>
        <w:rPr/>
        <w:t> [consultado el 20 de mayo de</w:t>
      </w:r>
      <w:r>
        <w:rPr>
          <w:spacing w:val="-21"/>
        </w:rPr>
        <w:t> </w:t>
      </w:r>
      <w:r>
        <w:rPr/>
        <w:t>2014]</w:t>
      </w:r>
    </w:p>
    <w:p>
      <w:pPr>
        <w:spacing w:line="482" w:lineRule="auto" w:before="5"/>
        <w:ind w:left="118" w:right="112" w:firstLine="0"/>
        <w:jc w:val="both"/>
        <w:rPr>
          <w:sz w:val="22"/>
        </w:rPr>
      </w:pPr>
      <w:r>
        <w:rPr>
          <w:b/>
          <w:sz w:val="22"/>
        </w:rPr>
        <w:t>Pírez, Pedro </w:t>
      </w:r>
      <w:r>
        <w:rPr>
          <w:sz w:val="22"/>
        </w:rPr>
        <w:t>(2005), “Buenos Aires: ciudad metropolitana y gobernabilidad”, en </w:t>
      </w:r>
      <w:r>
        <w:rPr>
          <w:i/>
          <w:sz w:val="22"/>
        </w:rPr>
        <w:t>Estudios </w:t>
      </w:r>
      <w:r>
        <w:rPr>
          <w:i/>
          <w:sz w:val="22"/>
        </w:rPr>
        <w:t>Demográficos y Urbanos, </w:t>
      </w:r>
      <w:r>
        <w:rPr>
          <w:sz w:val="22"/>
        </w:rPr>
        <w:t>vol. 20, núm. 3, septiembre-diciembre, 2005, pp. 423-447. El Colegio de México. México.</w:t>
      </w:r>
    </w:p>
    <w:p>
      <w:pPr>
        <w:pStyle w:val="BodyText"/>
        <w:spacing w:line="482" w:lineRule="auto"/>
        <w:ind w:left="118" w:right="113"/>
        <w:jc w:val="both"/>
      </w:pPr>
      <w:r>
        <w:rPr>
          <w:b/>
        </w:rPr>
        <w:t>Pírez, Pedro </w:t>
      </w:r>
      <w:r>
        <w:rPr/>
        <w:t>(2014) “El gobierno metropolitano como gobernabilidad: entre la autorregulación y la orientación política”, en </w:t>
      </w:r>
      <w:r>
        <w:rPr>
          <w:i/>
        </w:rPr>
        <w:t>Economía, Sociedad y Territorio</w:t>
      </w:r>
      <w:r>
        <w:rPr/>
        <w:t>, vol. XIV, núm. 45, mayo-agosto, 2014, pp. 523-548. El Colegio Mexiquense. México.</w:t>
      </w:r>
    </w:p>
    <w:p>
      <w:pPr>
        <w:pStyle w:val="BodyText"/>
        <w:spacing w:line="480" w:lineRule="auto" w:before="2"/>
        <w:ind w:left="118" w:right="113"/>
        <w:jc w:val="both"/>
      </w:pPr>
      <w:r>
        <w:rPr>
          <w:b/>
        </w:rPr>
        <w:t>Ramírez Sáiz, Juan Manuel </w:t>
      </w:r>
      <w:r>
        <w:rPr/>
        <w:t>(1999), “Gobernabilidad y ciudadanía política en las áreas metropolitanas”, en </w:t>
      </w:r>
      <w:r>
        <w:rPr>
          <w:i/>
        </w:rPr>
        <w:t>Espiral</w:t>
      </w:r>
      <w:r>
        <w:rPr/>
        <w:t>, vol. VI, núm. 16, septiembre-diciembre, 1999, pp. 187-225. Universidad de Guadalajara. México.</w:t>
      </w:r>
    </w:p>
    <w:p>
      <w:pPr>
        <w:spacing w:after="0" w:line="480" w:lineRule="auto"/>
        <w:jc w:val="both"/>
        <w:sectPr>
          <w:pgSz w:w="12240" w:h="15840"/>
          <w:pgMar w:header="305" w:footer="595" w:top="880" w:bottom="780" w:left="1300" w:right="1300"/>
        </w:sectPr>
      </w:pPr>
    </w:p>
    <w:p>
      <w:pPr>
        <w:pStyle w:val="BodyText"/>
        <w:rPr>
          <w:sz w:val="20"/>
        </w:rPr>
      </w:pPr>
    </w:p>
    <w:p>
      <w:pPr>
        <w:pStyle w:val="BodyText"/>
        <w:spacing w:before="6"/>
        <w:rPr>
          <w:sz w:val="18"/>
        </w:rPr>
      </w:pPr>
    </w:p>
    <w:p>
      <w:pPr>
        <w:spacing w:line="480" w:lineRule="auto" w:before="73"/>
        <w:ind w:left="118" w:right="112" w:firstLine="0"/>
        <w:jc w:val="both"/>
        <w:rPr>
          <w:sz w:val="22"/>
        </w:rPr>
      </w:pPr>
      <w:r>
        <w:rPr>
          <w:b/>
          <w:sz w:val="22"/>
        </w:rPr>
        <w:t>Rodríguez Rodríguez, Jesús </w:t>
      </w:r>
      <w:r>
        <w:rPr>
          <w:sz w:val="22"/>
        </w:rPr>
        <w:t>(2006), “Construcción de dos conceptos posnormales para la gestión metropolitana del Valle de México: incertidumbre y conflicto”, en </w:t>
      </w:r>
      <w:r>
        <w:rPr>
          <w:i/>
          <w:sz w:val="22"/>
        </w:rPr>
        <w:t>Estudios Demográficos </w:t>
      </w:r>
      <w:r>
        <w:rPr>
          <w:i/>
          <w:sz w:val="22"/>
        </w:rPr>
        <w:t>y Urbanos</w:t>
      </w:r>
      <w:r>
        <w:rPr>
          <w:sz w:val="22"/>
        </w:rPr>
        <w:t>, vol. 21, núm. 2, mayo-agosto, pp. 297-330. El Colegio de México. México.</w:t>
      </w:r>
    </w:p>
    <w:p>
      <w:pPr>
        <w:pStyle w:val="BodyText"/>
        <w:spacing w:line="482" w:lineRule="auto" w:before="5"/>
        <w:ind w:left="118" w:right="114"/>
        <w:jc w:val="both"/>
      </w:pPr>
      <w:r>
        <w:rPr>
          <w:b/>
        </w:rPr>
        <w:t>Rosique Cañas, José Antonio </w:t>
      </w:r>
      <w:r>
        <w:rPr/>
        <w:t>(2005) “Regiones metropolitanas y régimen institucional: los casos de París y de la Ciudad de México”, en </w:t>
      </w:r>
      <w:r>
        <w:rPr>
          <w:i/>
        </w:rPr>
        <w:t>Veredas </w:t>
      </w:r>
      <w:r>
        <w:rPr/>
        <w:t>No. 11, Segundo semestre. UAM- Xochimilco. México.</w:t>
      </w:r>
    </w:p>
    <w:p>
      <w:pPr>
        <w:pStyle w:val="BodyText"/>
        <w:spacing w:line="480" w:lineRule="auto" w:before="3"/>
        <w:ind w:left="118" w:right="110"/>
        <w:jc w:val="both"/>
      </w:pPr>
      <w:r>
        <w:rPr>
          <w:b/>
        </w:rPr>
        <w:t>Tarazona, Adriana y Hernández Ospina, Mónica Patricia </w:t>
      </w:r>
      <w:r>
        <w:rPr/>
        <w:t>(2013) “Transmetro Barranquilla- Soledad: retos para la gestión metropolitana en un contexto de desequilibrios territoriales”, en </w:t>
      </w:r>
      <w:r>
        <w:rPr>
          <w:i/>
        </w:rPr>
        <w:t>Pensamiento &amp; Gestión</w:t>
      </w:r>
      <w:r>
        <w:rPr/>
        <w:t>, núm. 34, enero-junio, pp. 96-121. Universidad del Norte, Barranquilla. Colombia. Disponible en: </w:t>
      </w:r>
      <w:hyperlink r:id="rId16">
        <w:r>
          <w:rPr/>
          <w:t>http://www.redalyc.org/</w:t>
        </w:r>
      </w:hyperlink>
      <w:r>
        <w:rPr/>
        <w:t> articulo.oa?id=64628626001. [consultado el 12de marzo de 2014]</w:t>
      </w:r>
    </w:p>
    <w:p>
      <w:pPr>
        <w:pStyle w:val="BodyText"/>
        <w:spacing w:line="480" w:lineRule="auto" w:before="5"/>
        <w:ind w:left="118" w:right="115"/>
        <w:jc w:val="both"/>
      </w:pPr>
      <w:r>
        <w:rPr>
          <w:b/>
        </w:rPr>
        <w:t>Toscano Gil, Francisco </w:t>
      </w:r>
      <w:r>
        <w:rPr/>
        <w:t>(2012) “Áreas metropolitanas: Diversidad jurídica y planificación territorial”, en </w:t>
      </w:r>
      <w:r>
        <w:rPr>
          <w:i/>
        </w:rPr>
        <w:t>Revista de Estudios Regionales</w:t>
      </w:r>
      <w:r>
        <w:rPr/>
        <w:t>, núm. 93, pp. 65-91. Universidades Públicas de Andalucía         y         Málaga.         España.         Disponible         en:       </w:t>
      </w:r>
      <w:hyperlink r:id="rId16">
        <w:r>
          <w:rPr/>
          <w:t>http://www.redalyc.org</w:t>
        </w:r>
      </w:hyperlink>
    </w:p>
    <w:p>
      <w:pPr>
        <w:pStyle w:val="BodyText"/>
        <w:spacing w:before="7"/>
        <w:ind w:left="118"/>
        <w:jc w:val="both"/>
      </w:pPr>
      <w:r>
        <w:rPr/>
        <w:t>/articulo.oa?id=75524557003. [consultado el 23 de abril de 2014]</w:t>
      </w:r>
    </w:p>
    <w:p>
      <w:pPr>
        <w:pStyle w:val="BodyText"/>
        <w:spacing w:before="9"/>
        <w:rPr>
          <w:sz w:val="21"/>
        </w:rPr>
      </w:pPr>
    </w:p>
    <w:p>
      <w:pPr>
        <w:spacing w:line="482" w:lineRule="auto" w:before="0"/>
        <w:ind w:left="118" w:right="112" w:firstLine="0"/>
        <w:jc w:val="both"/>
        <w:rPr>
          <w:sz w:val="22"/>
        </w:rPr>
      </w:pPr>
      <w:r>
        <w:rPr>
          <w:b/>
          <w:sz w:val="22"/>
        </w:rPr>
        <w:t>Ugalde, Vicente </w:t>
      </w:r>
      <w:r>
        <w:rPr>
          <w:sz w:val="22"/>
        </w:rPr>
        <w:t>(2007) “Sobre el gobierno en las zonas metropolitanas de México”, en  </w:t>
      </w:r>
      <w:r>
        <w:rPr>
          <w:i/>
          <w:sz w:val="22"/>
        </w:rPr>
        <w:t>Estudios Demográficos y Urbanos</w:t>
      </w:r>
      <w:r>
        <w:rPr>
          <w:sz w:val="22"/>
        </w:rPr>
        <w:t>, vol. 22, núm. 2, mayo-agosto, pp. 443-460. El Colegio de México.</w:t>
      </w:r>
      <w:r>
        <w:rPr>
          <w:spacing w:val="-7"/>
          <w:sz w:val="22"/>
        </w:rPr>
        <w:t> </w:t>
      </w:r>
      <w:r>
        <w:rPr>
          <w:sz w:val="22"/>
        </w:rPr>
        <w:t>México.</w:t>
      </w:r>
    </w:p>
    <w:p>
      <w:pPr>
        <w:spacing w:line="480" w:lineRule="auto" w:before="2"/>
        <w:ind w:left="118" w:right="112" w:firstLine="0"/>
        <w:jc w:val="both"/>
        <w:rPr>
          <w:sz w:val="22"/>
        </w:rPr>
      </w:pPr>
      <w:r>
        <w:rPr>
          <w:b/>
          <w:sz w:val="22"/>
        </w:rPr>
        <w:t>Zentella Gómez, Juan Carlos </w:t>
      </w:r>
      <w:r>
        <w:rPr>
          <w:sz w:val="22"/>
        </w:rPr>
        <w:t>(2005), “Relaciones intermunicipales y gobernabilidad urbana en las zonas metropolitanas de México: el caso de la Zona Metropolitana de Xalapa”, en </w:t>
      </w:r>
      <w:r>
        <w:rPr>
          <w:i/>
          <w:sz w:val="22"/>
        </w:rPr>
        <w:t>Estudios </w:t>
      </w:r>
      <w:r>
        <w:rPr>
          <w:i/>
          <w:sz w:val="22"/>
        </w:rPr>
        <w:t>Demográficos y Urbanos</w:t>
      </w:r>
      <w:r>
        <w:rPr>
          <w:sz w:val="22"/>
        </w:rPr>
        <w:t>, vol. 20, núm. 2, mayo-agosto, 2005, pp. 229-267. El Colegio de México. México.</w:t>
      </w:r>
    </w:p>
    <w:p>
      <w:pPr>
        <w:pStyle w:val="BodyText"/>
        <w:spacing w:before="7"/>
        <w:ind w:left="118"/>
        <w:jc w:val="both"/>
      </w:pPr>
      <w:r>
        <w:rPr/>
        <w:t>PÁGINAS ELECTRÓNICAS</w:t>
      </w:r>
    </w:p>
    <w:p>
      <w:pPr>
        <w:pStyle w:val="BodyText"/>
      </w:pPr>
    </w:p>
    <w:p>
      <w:pPr>
        <w:pStyle w:val="BodyText"/>
        <w:spacing w:before="1"/>
        <w:ind w:left="118"/>
        <w:jc w:val="both"/>
      </w:pPr>
      <w:hyperlink r:id="rId15">
        <w:r>
          <w:rPr>
            <w:color w:val="0000FF"/>
            <w:u w:val="single" w:color="0000FF"/>
          </w:rPr>
          <w:t>www.edomex.gob.mx/sedemet </w:t>
        </w:r>
      </w:hyperlink>
      <w:r>
        <w:rPr/>
        <w:t>[consultada el 12 de mayo de 2014]</w:t>
      </w:r>
    </w:p>
    <w:p>
      <w:pPr>
        <w:pStyle w:val="BodyText"/>
        <w:rPr>
          <w:sz w:val="20"/>
        </w:rPr>
      </w:pPr>
    </w:p>
    <w:p>
      <w:pPr>
        <w:pStyle w:val="BodyText"/>
        <w:rPr>
          <w:sz w:val="20"/>
        </w:rPr>
      </w:pPr>
    </w:p>
    <w:p>
      <w:pPr>
        <w:pStyle w:val="BodyText"/>
        <w:spacing w:before="6"/>
        <w:rPr>
          <w:sz w:val="19"/>
        </w:rPr>
      </w:pPr>
    </w:p>
    <w:p>
      <w:pPr>
        <w:pStyle w:val="BodyText"/>
        <w:spacing w:before="73"/>
        <w:ind w:left="118" w:right="129"/>
      </w:pPr>
      <w:r>
        <w:rPr/>
        <w:t>DOCUMENTOS OFICIALES</w:t>
      </w:r>
    </w:p>
    <w:p>
      <w:pPr>
        <w:spacing w:after="0"/>
        <w:sectPr>
          <w:pgSz w:w="12240" w:h="15840"/>
          <w:pgMar w:header="305" w:footer="595" w:top="880" w:bottom="780" w:left="1300" w:right="1300"/>
        </w:sectPr>
      </w:pPr>
    </w:p>
    <w:p>
      <w:pPr>
        <w:pStyle w:val="BodyText"/>
        <w:rPr>
          <w:sz w:val="20"/>
        </w:rPr>
      </w:pPr>
    </w:p>
    <w:p>
      <w:pPr>
        <w:pStyle w:val="BodyText"/>
        <w:spacing w:before="6"/>
        <w:rPr>
          <w:sz w:val="18"/>
        </w:rPr>
      </w:pPr>
    </w:p>
    <w:p>
      <w:pPr>
        <w:pStyle w:val="BodyText"/>
        <w:spacing w:line="482" w:lineRule="auto" w:before="73"/>
        <w:ind w:left="118" w:right="129"/>
      </w:pPr>
      <w:r>
        <w:rPr>
          <w:b/>
        </w:rPr>
        <w:t>Gobierno Federal </w:t>
      </w:r>
      <w:r>
        <w:rPr/>
        <w:t>(2008), “Reglas de Operación del Fondo Metropolitano”. Diario Oficial de la Federación, viernes 28 de marzo. México.</w:t>
      </w:r>
    </w:p>
    <w:sectPr>
      <w:pgSz w:w="12240" w:h="15840"/>
      <w:pgMar w:header="305" w:footer="595" w:top="880" w:bottom="78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309998pt;margin-top:751.249268pt;width:9.550pt;height:12pt;mso-position-horizontal-relative:page;mso-position-vertical-relative:page;z-index:-50032" type="#_x0000_t202" filled="false" stroked="false">
          <v:textbox inset="0,0,0,0">
            <w:txbxContent>
              <w:p>
                <w:pPr>
                  <w:spacing w:line="224" w:lineRule="exact" w:before="0"/>
                  <w:ind w:left="40" w:right="0" w:firstLine="0"/>
                  <w:jc w:val="left"/>
                  <w:rPr>
                    <w:sz w:val="20"/>
                  </w:rPr>
                </w:pPr>
                <w:r>
                  <w:rPr/>
                  <w:fldChar w:fldCharType="begin"/>
                </w:r>
                <w:r>
                  <w:rPr>
                    <w:w w:val="99"/>
                    <w:sz w:val="20"/>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549988pt;margin-top:751.249268pt;width:15.05pt;height:12pt;mso-position-horizontal-relative:page;mso-position-vertical-relative:page;z-index:-5000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10</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47.940002pt;margin-top:14.267168pt;width:394.25pt;height:31.65pt;mso-position-horizontal-relative:page;mso-position-vertical-relative:page;z-index:-50056" type="#_x0000_t202" filled="false" stroked="false">
          <v:textbox inset="0,0,0,0">
            <w:txbxContent>
              <w:p>
                <w:pPr>
                  <w:spacing w:line="206" w:lineRule="exact" w:before="1"/>
                  <w:ind w:left="1419" w:right="0" w:hanging="1400"/>
                  <w:jc w:val="left"/>
                  <w:rPr>
                    <w:sz w:val="18"/>
                  </w:rPr>
                </w:pPr>
                <w:r>
                  <w:rPr>
                    <w:sz w:val="18"/>
                  </w:rPr>
                  <w:t>Asociación Mexicana de Ciencias para el Desarrollo Regional A. C. – Universidad de Guadalajara. 19° Encuentro Nacional sobre Desarrollo Regional en México, AMECIDER 2014.</w:t>
                </w:r>
              </w:p>
              <w:p>
                <w:pPr>
                  <w:spacing w:line="203" w:lineRule="exact" w:before="0"/>
                  <w:ind w:left="3630" w:right="0" w:firstLine="0"/>
                  <w:jc w:val="left"/>
                  <w:rPr>
                    <w:sz w:val="18"/>
                  </w:rPr>
                </w:pPr>
                <w:r>
                  <w:rPr>
                    <w:sz w:val="18"/>
                  </w:rPr>
                  <w:t>Zapopan, Jalisco del 11 al 14 de noviembre de 2014.</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41"/>
      <w:numFmt w:val="decimal"/>
      <w:lvlText w:val="%1"/>
      <w:lvlJc w:val="left"/>
      <w:pPr>
        <w:ind w:left="118" w:hanging="262"/>
        <w:jc w:val="left"/>
      </w:pPr>
      <w:rPr>
        <w:rFonts w:hint="default" w:ascii="Arial" w:hAnsi="Arial" w:eastAsia="Arial" w:cs="Arial"/>
        <w:w w:val="99"/>
        <w:sz w:val="18"/>
        <w:szCs w:val="18"/>
      </w:rPr>
    </w:lvl>
    <w:lvl w:ilvl="1">
      <w:start w:val="1"/>
      <w:numFmt w:val="bullet"/>
      <w:lvlText w:val="•"/>
      <w:lvlJc w:val="left"/>
      <w:pPr>
        <w:ind w:left="1072" w:hanging="262"/>
      </w:pPr>
      <w:rPr>
        <w:rFonts w:hint="default"/>
      </w:rPr>
    </w:lvl>
    <w:lvl w:ilvl="2">
      <w:start w:val="1"/>
      <w:numFmt w:val="bullet"/>
      <w:lvlText w:val="•"/>
      <w:lvlJc w:val="left"/>
      <w:pPr>
        <w:ind w:left="2024" w:hanging="262"/>
      </w:pPr>
      <w:rPr>
        <w:rFonts w:hint="default"/>
      </w:rPr>
    </w:lvl>
    <w:lvl w:ilvl="3">
      <w:start w:val="1"/>
      <w:numFmt w:val="bullet"/>
      <w:lvlText w:val="•"/>
      <w:lvlJc w:val="left"/>
      <w:pPr>
        <w:ind w:left="2976" w:hanging="262"/>
      </w:pPr>
      <w:rPr>
        <w:rFonts w:hint="default"/>
      </w:rPr>
    </w:lvl>
    <w:lvl w:ilvl="4">
      <w:start w:val="1"/>
      <w:numFmt w:val="bullet"/>
      <w:lvlText w:val="•"/>
      <w:lvlJc w:val="left"/>
      <w:pPr>
        <w:ind w:left="3928" w:hanging="262"/>
      </w:pPr>
      <w:rPr>
        <w:rFonts w:hint="default"/>
      </w:rPr>
    </w:lvl>
    <w:lvl w:ilvl="5">
      <w:start w:val="1"/>
      <w:numFmt w:val="bullet"/>
      <w:lvlText w:val="•"/>
      <w:lvlJc w:val="left"/>
      <w:pPr>
        <w:ind w:left="4880" w:hanging="262"/>
      </w:pPr>
      <w:rPr>
        <w:rFonts w:hint="default"/>
      </w:rPr>
    </w:lvl>
    <w:lvl w:ilvl="6">
      <w:start w:val="1"/>
      <w:numFmt w:val="bullet"/>
      <w:lvlText w:val="•"/>
      <w:lvlJc w:val="left"/>
      <w:pPr>
        <w:ind w:left="5832" w:hanging="262"/>
      </w:pPr>
      <w:rPr>
        <w:rFonts w:hint="default"/>
      </w:rPr>
    </w:lvl>
    <w:lvl w:ilvl="7">
      <w:start w:val="1"/>
      <w:numFmt w:val="bullet"/>
      <w:lvlText w:val="•"/>
      <w:lvlJc w:val="left"/>
      <w:pPr>
        <w:ind w:left="6784" w:hanging="262"/>
      </w:pPr>
      <w:rPr>
        <w:rFonts w:hint="default"/>
      </w:rPr>
    </w:lvl>
    <w:lvl w:ilvl="8">
      <w:start w:val="1"/>
      <w:numFmt w:val="bullet"/>
      <w:lvlText w:val="•"/>
      <w:lvlJc w:val="left"/>
      <w:pPr>
        <w:ind w:left="7736" w:hanging="262"/>
      </w:pPr>
      <w:rPr>
        <w:rFonts w:hint="default"/>
      </w:rPr>
    </w:lvl>
  </w:abstractNum>
  <w:abstractNum w:abstractNumId="2">
    <w:multiLevelType w:val="hybridMultilevel"/>
    <w:lvl w:ilvl="0">
      <w:start w:val="38"/>
      <w:numFmt w:val="decimal"/>
      <w:lvlText w:val="%1"/>
      <w:lvlJc w:val="left"/>
      <w:pPr>
        <w:ind w:left="118" w:hanging="279"/>
        <w:jc w:val="left"/>
      </w:pPr>
      <w:rPr>
        <w:rFonts w:hint="default" w:ascii="Arial" w:hAnsi="Arial" w:eastAsia="Arial" w:cs="Arial"/>
        <w:w w:val="99"/>
        <w:sz w:val="18"/>
        <w:szCs w:val="18"/>
      </w:rPr>
    </w:lvl>
    <w:lvl w:ilvl="1">
      <w:start w:val="1"/>
      <w:numFmt w:val="bullet"/>
      <w:lvlText w:val="•"/>
      <w:lvlJc w:val="left"/>
      <w:pPr>
        <w:ind w:left="1072" w:hanging="279"/>
      </w:pPr>
      <w:rPr>
        <w:rFonts w:hint="default"/>
      </w:rPr>
    </w:lvl>
    <w:lvl w:ilvl="2">
      <w:start w:val="1"/>
      <w:numFmt w:val="bullet"/>
      <w:lvlText w:val="•"/>
      <w:lvlJc w:val="left"/>
      <w:pPr>
        <w:ind w:left="2024" w:hanging="279"/>
      </w:pPr>
      <w:rPr>
        <w:rFonts w:hint="default"/>
      </w:rPr>
    </w:lvl>
    <w:lvl w:ilvl="3">
      <w:start w:val="1"/>
      <w:numFmt w:val="bullet"/>
      <w:lvlText w:val="•"/>
      <w:lvlJc w:val="left"/>
      <w:pPr>
        <w:ind w:left="2976" w:hanging="279"/>
      </w:pPr>
      <w:rPr>
        <w:rFonts w:hint="default"/>
      </w:rPr>
    </w:lvl>
    <w:lvl w:ilvl="4">
      <w:start w:val="1"/>
      <w:numFmt w:val="bullet"/>
      <w:lvlText w:val="•"/>
      <w:lvlJc w:val="left"/>
      <w:pPr>
        <w:ind w:left="3928" w:hanging="279"/>
      </w:pPr>
      <w:rPr>
        <w:rFonts w:hint="default"/>
      </w:rPr>
    </w:lvl>
    <w:lvl w:ilvl="5">
      <w:start w:val="1"/>
      <w:numFmt w:val="bullet"/>
      <w:lvlText w:val="•"/>
      <w:lvlJc w:val="left"/>
      <w:pPr>
        <w:ind w:left="4880" w:hanging="279"/>
      </w:pPr>
      <w:rPr>
        <w:rFonts w:hint="default"/>
      </w:rPr>
    </w:lvl>
    <w:lvl w:ilvl="6">
      <w:start w:val="1"/>
      <w:numFmt w:val="bullet"/>
      <w:lvlText w:val="•"/>
      <w:lvlJc w:val="left"/>
      <w:pPr>
        <w:ind w:left="5832" w:hanging="279"/>
      </w:pPr>
      <w:rPr>
        <w:rFonts w:hint="default"/>
      </w:rPr>
    </w:lvl>
    <w:lvl w:ilvl="7">
      <w:start w:val="1"/>
      <w:numFmt w:val="bullet"/>
      <w:lvlText w:val="•"/>
      <w:lvlJc w:val="left"/>
      <w:pPr>
        <w:ind w:left="6784" w:hanging="279"/>
      </w:pPr>
      <w:rPr>
        <w:rFonts w:hint="default"/>
      </w:rPr>
    </w:lvl>
    <w:lvl w:ilvl="8">
      <w:start w:val="1"/>
      <w:numFmt w:val="bullet"/>
      <w:lvlText w:val="•"/>
      <w:lvlJc w:val="left"/>
      <w:pPr>
        <w:ind w:left="7736" w:hanging="279"/>
      </w:pPr>
      <w:rPr>
        <w:rFonts w:hint="default"/>
      </w:rPr>
    </w:lvl>
  </w:abstractNum>
  <w:abstractNum w:abstractNumId="1">
    <w:multiLevelType w:val="hybridMultilevel"/>
    <w:lvl w:ilvl="0">
      <w:start w:val="23"/>
      <w:numFmt w:val="decimal"/>
      <w:lvlText w:val="%1"/>
      <w:lvlJc w:val="left"/>
      <w:pPr>
        <w:ind w:left="118" w:hanging="293"/>
        <w:jc w:val="left"/>
      </w:pPr>
      <w:rPr>
        <w:rFonts w:hint="default" w:ascii="Arial" w:hAnsi="Arial" w:eastAsia="Arial" w:cs="Arial"/>
        <w:w w:val="99"/>
        <w:sz w:val="18"/>
        <w:szCs w:val="18"/>
      </w:rPr>
    </w:lvl>
    <w:lvl w:ilvl="1">
      <w:start w:val="1"/>
      <w:numFmt w:val="bullet"/>
      <w:lvlText w:val="•"/>
      <w:lvlJc w:val="left"/>
      <w:pPr>
        <w:ind w:left="1072" w:hanging="293"/>
      </w:pPr>
      <w:rPr>
        <w:rFonts w:hint="default"/>
      </w:rPr>
    </w:lvl>
    <w:lvl w:ilvl="2">
      <w:start w:val="1"/>
      <w:numFmt w:val="bullet"/>
      <w:lvlText w:val="•"/>
      <w:lvlJc w:val="left"/>
      <w:pPr>
        <w:ind w:left="2024" w:hanging="293"/>
      </w:pPr>
      <w:rPr>
        <w:rFonts w:hint="default"/>
      </w:rPr>
    </w:lvl>
    <w:lvl w:ilvl="3">
      <w:start w:val="1"/>
      <w:numFmt w:val="bullet"/>
      <w:lvlText w:val="•"/>
      <w:lvlJc w:val="left"/>
      <w:pPr>
        <w:ind w:left="2976" w:hanging="293"/>
      </w:pPr>
      <w:rPr>
        <w:rFonts w:hint="default"/>
      </w:rPr>
    </w:lvl>
    <w:lvl w:ilvl="4">
      <w:start w:val="1"/>
      <w:numFmt w:val="bullet"/>
      <w:lvlText w:val="•"/>
      <w:lvlJc w:val="left"/>
      <w:pPr>
        <w:ind w:left="3928" w:hanging="293"/>
      </w:pPr>
      <w:rPr>
        <w:rFonts w:hint="default"/>
      </w:rPr>
    </w:lvl>
    <w:lvl w:ilvl="5">
      <w:start w:val="1"/>
      <w:numFmt w:val="bullet"/>
      <w:lvlText w:val="•"/>
      <w:lvlJc w:val="left"/>
      <w:pPr>
        <w:ind w:left="4880" w:hanging="293"/>
      </w:pPr>
      <w:rPr>
        <w:rFonts w:hint="default"/>
      </w:rPr>
    </w:lvl>
    <w:lvl w:ilvl="6">
      <w:start w:val="1"/>
      <w:numFmt w:val="bullet"/>
      <w:lvlText w:val="•"/>
      <w:lvlJc w:val="left"/>
      <w:pPr>
        <w:ind w:left="5832" w:hanging="293"/>
      </w:pPr>
      <w:rPr>
        <w:rFonts w:hint="default"/>
      </w:rPr>
    </w:lvl>
    <w:lvl w:ilvl="7">
      <w:start w:val="1"/>
      <w:numFmt w:val="bullet"/>
      <w:lvlText w:val="•"/>
      <w:lvlJc w:val="left"/>
      <w:pPr>
        <w:ind w:left="6784" w:hanging="293"/>
      </w:pPr>
      <w:rPr>
        <w:rFonts w:hint="default"/>
      </w:rPr>
    </w:lvl>
    <w:lvl w:ilvl="8">
      <w:start w:val="1"/>
      <w:numFmt w:val="bullet"/>
      <w:lvlText w:val="•"/>
      <w:lvlJc w:val="left"/>
      <w:pPr>
        <w:ind w:left="7736" w:hanging="293"/>
      </w:pPr>
      <w:rPr>
        <w:rFonts w:hint="default"/>
      </w:rPr>
    </w:lvl>
  </w:abstractNum>
  <w:abstractNum w:abstractNumId="0">
    <w:multiLevelType w:val="hybridMultilevel"/>
    <w:lvl w:ilvl="0">
      <w:start w:val="6"/>
      <w:numFmt w:val="decimal"/>
      <w:lvlText w:val="%1"/>
      <w:lvlJc w:val="left"/>
      <w:pPr>
        <w:ind w:left="118" w:hanging="152"/>
        <w:jc w:val="left"/>
      </w:pPr>
      <w:rPr>
        <w:rFonts w:hint="default" w:ascii="Arial" w:hAnsi="Arial" w:eastAsia="Arial" w:cs="Arial"/>
        <w:w w:val="99"/>
        <w:sz w:val="18"/>
        <w:szCs w:val="18"/>
      </w:rPr>
    </w:lvl>
    <w:lvl w:ilvl="1">
      <w:start w:val="1"/>
      <w:numFmt w:val="bullet"/>
      <w:lvlText w:val="•"/>
      <w:lvlJc w:val="left"/>
      <w:pPr>
        <w:ind w:left="1072" w:hanging="152"/>
      </w:pPr>
      <w:rPr>
        <w:rFonts w:hint="default"/>
      </w:rPr>
    </w:lvl>
    <w:lvl w:ilvl="2">
      <w:start w:val="1"/>
      <w:numFmt w:val="bullet"/>
      <w:lvlText w:val="•"/>
      <w:lvlJc w:val="left"/>
      <w:pPr>
        <w:ind w:left="2024" w:hanging="152"/>
      </w:pPr>
      <w:rPr>
        <w:rFonts w:hint="default"/>
      </w:rPr>
    </w:lvl>
    <w:lvl w:ilvl="3">
      <w:start w:val="1"/>
      <w:numFmt w:val="bullet"/>
      <w:lvlText w:val="•"/>
      <w:lvlJc w:val="left"/>
      <w:pPr>
        <w:ind w:left="2976" w:hanging="152"/>
      </w:pPr>
      <w:rPr>
        <w:rFonts w:hint="default"/>
      </w:rPr>
    </w:lvl>
    <w:lvl w:ilvl="4">
      <w:start w:val="1"/>
      <w:numFmt w:val="bullet"/>
      <w:lvlText w:val="•"/>
      <w:lvlJc w:val="left"/>
      <w:pPr>
        <w:ind w:left="3928" w:hanging="152"/>
      </w:pPr>
      <w:rPr>
        <w:rFonts w:hint="default"/>
      </w:rPr>
    </w:lvl>
    <w:lvl w:ilvl="5">
      <w:start w:val="1"/>
      <w:numFmt w:val="bullet"/>
      <w:lvlText w:val="•"/>
      <w:lvlJc w:val="left"/>
      <w:pPr>
        <w:ind w:left="4880" w:hanging="152"/>
      </w:pPr>
      <w:rPr>
        <w:rFonts w:hint="default"/>
      </w:rPr>
    </w:lvl>
    <w:lvl w:ilvl="6">
      <w:start w:val="1"/>
      <w:numFmt w:val="bullet"/>
      <w:lvlText w:val="•"/>
      <w:lvlJc w:val="left"/>
      <w:pPr>
        <w:ind w:left="5832" w:hanging="152"/>
      </w:pPr>
      <w:rPr>
        <w:rFonts w:hint="default"/>
      </w:rPr>
    </w:lvl>
    <w:lvl w:ilvl="7">
      <w:start w:val="1"/>
      <w:numFmt w:val="bullet"/>
      <w:lvlText w:val="•"/>
      <w:lvlJc w:val="left"/>
      <w:pPr>
        <w:ind w:left="6784" w:hanging="152"/>
      </w:pPr>
      <w:rPr>
        <w:rFonts w:hint="default"/>
      </w:rPr>
    </w:lvl>
    <w:lvl w:ilvl="8">
      <w:start w:val="1"/>
      <w:numFmt w:val="bullet"/>
      <w:lvlText w:val="•"/>
      <w:lvlJc w:val="left"/>
      <w:pPr>
        <w:ind w:left="7736" w:hanging="152"/>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118" w:right="129"/>
      <w:outlineLvl w:val="1"/>
    </w:pPr>
    <w:rPr>
      <w:rFonts w:ascii="Arial" w:hAnsi="Arial" w:eastAsia="Arial" w:cs="Arial"/>
      <w:b/>
      <w:bCs/>
      <w:sz w:val="28"/>
      <w:szCs w:val="28"/>
    </w:rPr>
  </w:style>
  <w:style w:styleId="Heading2" w:type="paragraph">
    <w:name w:val="Heading 2"/>
    <w:basedOn w:val="Normal"/>
    <w:uiPriority w:val="1"/>
    <w:qFormat/>
    <w:pPr>
      <w:spacing w:before="69"/>
      <w:ind w:left="118"/>
      <w:jc w:val="both"/>
      <w:outlineLvl w:val="2"/>
    </w:pPr>
    <w:rPr>
      <w:rFonts w:ascii="Arial" w:hAnsi="Arial" w:eastAsia="Arial" w:cs="Arial"/>
      <w:b/>
      <w:bCs/>
      <w:sz w:val="24"/>
      <w:szCs w:val="24"/>
    </w:rPr>
  </w:style>
  <w:style w:styleId="ListParagraph" w:type="paragraph">
    <w:name w:val="List Paragraph"/>
    <w:basedOn w:val="Normal"/>
    <w:uiPriority w:val="1"/>
    <w:qFormat/>
    <w:pPr>
      <w:ind w:left="118"/>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header" Target="header1.xml"/><Relationship Id="rId10" Type="http://schemas.openxmlformats.org/officeDocument/2006/relationships/footer" Target="footer1.xml"/><Relationship Id="rId11" Type="http://schemas.openxmlformats.org/officeDocument/2006/relationships/hyperlink" Target="mailto:mriveroh@uaemex.mx" TargetMode="External"/><Relationship Id="rId12" Type="http://schemas.openxmlformats.org/officeDocument/2006/relationships/hyperlink" Target="mailto:enriquetex132@gmail.com" TargetMode="External"/><Relationship Id="rId13" Type="http://schemas.openxmlformats.org/officeDocument/2006/relationships/footer" Target="footer2.xml"/><Relationship Id="rId14" Type="http://schemas.openxmlformats.org/officeDocument/2006/relationships/hyperlink" Target="http://www.edomex.gob.mx/sedeme" TargetMode="External"/><Relationship Id="rId15" Type="http://schemas.openxmlformats.org/officeDocument/2006/relationships/hyperlink" Target="http://www.edomex.gob.mx/sedemet" TargetMode="External"/><Relationship Id="rId16" Type="http://schemas.openxmlformats.org/officeDocument/2006/relationships/hyperlink" Target="http://www.redalyc.org/" TargetMode="External"/><Relationship Id="rId17" Type="http://schemas.openxmlformats.org/officeDocument/2006/relationships/hyperlink" Target="http://www.redalyc.org/articulo.oa?id=337530223002" TargetMode="External"/><Relationship Id="rId18" Type="http://schemas.openxmlformats.org/officeDocument/2006/relationships/hyperlink" Target="http://www.redalyc.org/articulo.oa?id=3572" TargetMode="External"/><Relationship Id="rId19" Type="http://schemas.openxmlformats.org/officeDocument/2006/relationships/hyperlink" Target="http://www.redalyc.org/articulo.oa?id" TargetMode="External"/><Relationship Id="rId20" Type="http://schemas.openxmlformats.org/officeDocument/2006/relationships/hyperlink" Target="http://www.redalyc.org/articulo.oa?id=19608103" TargetMode="External"/><Relationship Id="rId2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ENRIQUE</dc:creator>
  <dcterms:created xsi:type="dcterms:W3CDTF">2017-05-29T20:52:25Z</dcterms:created>
  <dcterms:modified xsi:type="dcterms:W3CDTF">2017-05-29T20:52:25Z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2015-01-09T00:00:00Z</vt:filetime>
  </property>
  <property fmtid="{D5CDD505-2E9C-101B-9397-08002B2CF9AE}" pid="3" name="Creator">
    <vt:lpwstr>Microsoft® Word 2010</vt:lpwstr>
  </property>
  <property fmtid="{D5CDD505-2E9C-101B-9397-08002B2CF9AE}" pid="4" name="LastSaved">
    <vt:filetime>2017-05-29T00:00:00Z</vt:filetime>
  </property>
</Properties>
</file>