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Default Extension="png" ContentType="image/png"/>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60856"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spacing w:before="42"/>
        <w:ind w:left="112" w:right="7378" w:firstLine="0"/>
        <w:jc w:val="left"/>
        <w:rPr>
          <w:b/>
          <w:sz w:val="26"/>
        </w:rPr>
      </w:pPr>
      <w:r>
        <w:rPr>
          <w:b/>
          <w:sz w:val="40"/>
        </w:rPr>
        <w:t>ECORFAN</w:t>
      </w:r>
      <w:r>
        <w:rPr>
          <w:b/>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spacing w:before="1"/>
        <w:ind w:left="112" w:right="150" w:firstLine="0"/>
        <w:jc w:val="left"/>
        <w:rPr>
          <w:b/>
          <w:sz w:val="40"/>
        </w:rPr>
      </w:pPr>
      <w:r>
        <w:rPr>
          <w:b/>
          <w:sz w:val="40"/>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left="200"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left="200" w:right="67"/>
              <w:rPr>
                <w:b/>
                <w:sz w:val="24"/>
              </w:rPr>
            </w:pPr>
            <w:r>
              <w:rPr>
                <w:b/>
                <w:sz w:val="24"/>
              </w:rPr>
              <w:t>1 Producción y comercialización de rosa en México</w:t>
            </w:r>
          </w:p>
          <w:p>
            <w:pPr>
              <w:pStyle w:val="TableParagraph"/>
              <w:spacing w:line="274" w:lineRule="exact"/>
              <w:ind w:left="200" w:right="67"/>
              <w:rPr>
                <w:i/>
                <w:sz w:val="24"/>
              </w:rPr>
            </w:pPr>
            <w:r>
              <w:rPr>
                <w:i/>
                <w:sz w:val="24"/>
              </w:rPr>
              <w:t>GÓMEZ-GÓMEZ, Alma</w:t>
            </w:r>
          </w:p>
        </w:tc>
        <w:tc>
          <w:tcPr>
            <w:tcW w:w="1219" w:type="dxa"/>
          </w:tcPr>
          <w:p>
            <w:pPr>
              <w:pStyle w:val="TableParagraph"/>
              <w:spacing w:line="240" w:lineRule="auto" w:before="144"/>
              <w:ind w:left="396"/>
              <w:rPr>
                <w:sz w:val="24"/>
              </w:rPr>
            </w:pPr>
            <w:r>
              <w:rPr>
                <w:sz w:val="24"/>
              </w:rPr>
              <w:t>1-11</w:t>
            </w:r>
          </w:p>
        </w:tc>
      </w:tr>
      <w:tr>
        <w:trPr>
          <w:trHeight w:val="1104" w:hRule="exact"/>
        </w:trPr>
        <w:tc>
          <w:tcPr>
            <w:tcW w:w="9019" w:type="dxa"/>
          </w:tcPr>
          <w:p>
            <w:pPr>
              <w:pStyle w:val="TableParagraph"/>
              <w:spacing w:line="240" w:lineRule="auto" w:before="126"/>
              <w:ind w:left="200" w:right="67"/>
              <w:rPr>
                <w:b/>
                <w:sz w:val="24"/>
              </w:rPr>
            </w:pPr>
            <w:r>
              <w:rPr>
                <w:b/>
                <w:sz w:val="24"/>
              </w:rPr>
              <w:t>2 Ingreso mínimo de las familias que identifica la línea de pobreza alimentaria en el área rural del sur de México, 2012</w:t>
            </w:r>
          </w:p>
          <w:p>
            <w:pPr>
              <w:pStyle w:val="TableParagraph"/>
              <w:spacing w:line="271" w:lineRule="exact"/>
              <w:ind w:left="200" w:right="67"/>
              <w:rPr>
                <w:i/>
                <w:sz w:val="24"/>
              </w:rPr>
            </w:pPr>
            <w:r>
              <w:rPr>
                <w:i/>
                <w:sz w:val="24"/>
              </w:rPr>
              <w:t>ARPI-MAYTA, Roberto y PORTILLO-VÁZQUEZ, Marcos</w:t>
            </w:r>
          </w:p>
        </w:tc>
        <w:tc>
          <w:tcPr>
            <w:tcW w:w="1219" w:type="dxa"/>
          </w:tcPr>
          <w:p>
            <w:pPr>
              <w:pStyle w:val="TableParagraph"/>
              <w:spacing w:line="240" w:lineRule="auto" w:before="121"/>
              <w:ind w:left="336"/>
              <w:rPr>
                <w:sz w:val="24"/>
              </w:rPr>
            </w:pPr>
            <w:r>
              <w:rPr>
                <w:sz w:val="24"/>
              </w:rPr>
              <w:t>12-24</w:t>
            </w:r>
          </w:p>
        </w:tc>
      </w:tr>
      <w:tr>
        <w:trPr>
          <w:trHeight w:val="1104" w:hRule="exact"/>
        </w:trPr>
        <w:tc>
          <w:tcPr>
            <w:tcW w:w="9019" w:type="dxa"/>
          </w:tcPr>
          <w:p>
            <w:pPr>
              <w:pStyle w:val="TableParagraph"/>
              <w:spacing w:line="240" w:lineRule="auto" w:before="126"/>
              <w:ind w:left="200"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left="200" w:right="67"/>
              <w:rPr>
                <w:i/>
                <w:sz w:val="24"/>
              </w:rPr>
            </w:pPr>
            <w:r>
              <w:rPr>
                <w:i/>
                <w:sz w:val="24"/>
              </w:rPr>
              <w:t>BRAVO-BENITEZ, Ernesto</w:t>
            </w:r>
          </w:p>
        </w:tc>
        <w:tc>
          <w:tcPr>
            <w:tcW w:w="1219" w:type="dxa"/>
          </w:tcPr>
          <w:p>
            <w:pPr>
              <w:pStyle w:val="TableParagraph"/>
              <w:spacing w:line="240" w:lineRule="auto" w:before="121"/>
              <w:ind w:left="336"/>
              <w:rPr>
                <w:sz w:val="24"/>
              </w:rPr>
            </w:pPr>
            <w:r>
              <w:rPr>
                <w:sz w:val="24"/>
              </w:rPr>
              <w:t>25-38</w:t>
            </w:r>
          </w:p>
        </w:tc>
      </w:tr>
      <w:tr>
        <w:trPr>
          <w:trHeight w:val="1380" w:hRule="exact"/>
        </w:trPr>
        <w:tc>
          <w:tcPr>
            <w:tcW w:w="9019" w:type="dxa"/>
          </w:tcPr>
          <w:p>
            <w:pPr>
              <w:pStyle w:val="TableParagraph"/>
              <w:spacing w:line="240" w:lineRule="auto" w:before="127"/>
              <w:ind w:left="200"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left="200" w:right="67"/>
              <w:rPr>
                <w:i/>
                <w:sz w:val="24"/>
              </w:rPr>
            </w:pPr>
            <w:r>
              <w:rPr>
                <w:i/>
                <w:sz w:val="24"/>
              </w:rPr>
              <w:t>CAAMAL-CAUICH,</w:t>
              <w:tab/>
              <w:t>Ignacio,</w:t>
              <w:tab/>
              <w:t>PAT-FERNÁNDEZ,</w:t>
              <w:tab/>
              <w:t>Verna,</w:t>
              <w:tab/>
              <w:t>JERÓNIMO-ASCENCIO,</w:t>
            </w:r>
          </w:p>
          <w:p>
            <w:pPr>
              <w:pStyle w:val="TableParagraph"/>
              <w:spacing w:line="240" w:lineRule="auto"/>
              <w:ind w:left="200" w:right="67"/>
              <w:rPr>
                <w:i/>
                <w:sz w:val="24"/>
              </w:rPr>
            </w:pPr>
            <w:r>
              <w:rPr>
                <w:i/>
                <w:sz w:val="24"/>
              </w:rPr>
              <w:t>Felipe, ROMERO-BALAM, Raúl</w:t>
            </w:r>
          </w:p>
        </w:tc>
        <w:tc>
          <w:tcPr>
            <w:tcW w:w="1219" w:type="dxa"/>
          </w:tcPr>
          <w:p>
            <w:pPr>
              <w:pStyle w:val="TableParagraph"/>
              <w:spacing w:line="240" w:lineRule="auto" w:before="122"/>
              <w:ind w:left="336"/>
              <w:rPr>
                <w:sz w:val="24"/>
              </w:rPr>
            </w:pPr>
            <w:r>
              <w:rPr>
                <w:sz w:val="24"/>
              </w:rPr>
              <w:t>39-51</w:t>
            </w:r>
          </w:p>
        </w:tc>
      </w:tr>
      <w:tr>
        <w:trPr>
          <w:trHeight w:val="1104" w:hRule="exact"/>
        </w:trPr>
        <w:tc>
          <w:tcPr>
            <w:tcW w:w="9019" w:type="dxa"/>
          </w:tcPr>
          <w:p>
            <w:pPr>
              <w:pStyle w:val="TableParagraph"/>
              <w:spacing w:line="240" w:lineRule="auto" w:before="126"/>
              <w:ind w:left="200" w:right="67"/>
              <w:rPr>
                <w:b/>
                <w:sz w:val="24"/>
              </w:rPr>
            </w:pPr>
            <w:r>
              <w:rPr>
                <w:b/>
                <w:sz w:val="24"/>
              </w:rPr>
              <w:t>5 Comercio estratégico en el TLCAN: El Estado en la política agrícola de biocombustibles</w:t>
            </w:r>
          </w:p>
          <w:p>
            <w:pPr>
              <w:pStyle w:val="TableParagraph"/>
              <w:spacing w:line="271" w:lineRule="exact"/>
              <w:ind w:left="200" w:right="67"/>
              <w:rPr>
                <w:i/>
                <w:sz w:val="24"/>
              </w:rPr>
            </w:pPr>
            <w:r>
              <w:rPr>
                <w:i/>
                <w:sz w:val="24"/>
              </w:rPr>
              <w:t>MACIAS-URIBE, Carlos y PERALES-SALVADOR, Arturo</w:t>
            </w:r>
          </w:p>
        </w:tc>
        <w:tc>
          <w:tcPr>
            <w:tcW w:w="1219" w:type="dxa"/>
          </w:tcPr>
          <w:p>
            <w:pPr>
              <w:pStyle w:val="TableParagraph"/>
              <w:spacing w:line="240" w:lineRule="auto" w:before="121"/>
              <w:ind w:left="336"/>
              <w:rPr>
                <w:sz w:val="24"/>
              </w:rPr>
            </w:pPr>
            <w:r>
              <w:rPr>
                <w:sz w:val="24"/>
              </w:rPr>
              <w:t>52-63</w:t>
            </w:r>
          </w:p>
        </w:tc>
      </w:tr>
      <w:tr>
        <w:trPr>
          <w:trHeight w:val="1104" w:hRule="exact"/>
        </w:trPr>
        <w:tc>
          <w:tcPr>
            <w:tcW w:w="9019" w:type="dxa"/>
          </w:tcPr>
          <w:p>
            <w:pPr>
              <w:pStyle w:val="TableParagraph"/>
              <w:spacing w:line="274" w:lineRule="exact" w:before="126"/>
              <w:ind w:left="200" w:right="67"/>
              <w:rPr>
                <w:b/>
                <w:sz w:val="24"/>
              </w:rPr>
            </w:pPr>
            <w:r>
              <w:rPr>
                <w:b/>
                <w:sz w:val="24"/>
              </w:rPr>
              <w:t>6 Importancia de la comercialización del café en México</w:t>
            </w:r>
          </w:p>
          <w:p>
            <w:pPr>
              <w:pStyle w:val="TableParagraph"/>
              <w:spacing w:line="274" w:lineRule="exact"/>
              <w:ind w:left="200" w:right="67"/>
              <w:rPr>
                <w:i/>
                <w:sz w:val="24"/>
              </w:rPr>
            </w:pPr>
            <w:r>
              <w:rPr>
                <w:i/>
                <w:sz w:val="24"/>
              </w:rPr>
              <w:t>FIGUEROA-HERNÁNDEZ, Esther, PÉREZ-SOTO, Francisco y   GODÍNEZ-MONTOYA,</w:t>
            </w:r>
          </w:p>
          <w:p>
            <w:pPr>
              <w:pStyle w:val="TableParagraph"/>
              <w:spacing w:line="240" w:lineRule="auto"/>
              <w:ind w:left="200" w:right="67"/>
              <w:rPr>
                <w:i/>
                <w:sz w:val="24"/>
              </w:rPr>
            </w:pPr>
            <w:r>
              <w:rPr>
                <w:i/>
                <w:sz w:val="24"/>
              </w:rPr>
              <w:t>Lucila</w:t>
            </w:r>
          </w:p>
        </w:tc>
        <w:tc>
          <w:tcPr>
            <w:tcW w:w="1219" w:type="dxa"/>
          </w:tcPr>
          <w:p>
            <w:pPr>
              <w:pStyle w:val="TableParagraph"/>
              <w:spacing w:line="240" w:lineRule="auto" w:before="121"/>
              <w:ind w:left="336"/>
              <w:rPr>
                <w:sz w:val="24"/>
              </w:rPr>
            </w:pPr>
            <w:r>
              <w:rPr>
                <w:sz w:val="24"/>
              </w:rPr>
              <w:t>64-82</w:t>
            </w:r>
          </w:p>
        </w:tc>
      </w:tr>
      <w:tr>
        <w:trPr>
          <w:trHeight w:val="1104" w:hRule="exact"/>
        </w:trPr>
        <w:tc>
          <w:tcPr>
            <w:tcW w:w="9019" w:type="dxa"/>
          </w:tcPr>
          <w:p>
            <w:pPr>
              <w:pStyle w:val="TableParagraph"/>
              <w:spacing w:line="274" w:lineRule="exact" w:before="126"/>
              <w:ind w:left="200" w:right="67"/>
              <w:rPr>
                <w:b/>
                <w:sz w:val="24"/>
              </w:rPr>
            </w:pPr>
            <w:r>
              <w:rPr>
                <w:b/>
                <w:sz w:val="24"/>
              </w:rPr>
              <w:t>7 Diagnóstico, retos del comercio electrónico en el Sector Agroindustrial Mexicano</w:t>
            </w:r>
          </w:p>
          <w:p>
            <w:pPr>
              <w:pStyle w:val="TableParagraph"/>
              <w:spacing w:line="274" w:lineRule="exact"/>
              <w:ind w:left="200" w:right="67"/>
              <w:rPr>
                <w:i/>
                <w:sz w:val="24"/>
              </w:rPr>
            </w:pPr>
            <w:r>
              <w:rPr>
                <w:i/>
                <w:sz w:val="24"/>
              </w:rPr>
              <w:t>SEPULVEDA-ROBLES,   Daniel,   SEPÚLVEDA-JIMENEZ,   Daniel   y  </w:t>
            </w:r>
            <w:r>
              <w:rPr>
                <w:i/>
                <w:spacing w:val="51"/>
                <w:sz w:val="24"/>
              </w:rPr>
              <w:t> </w:t>
            </w:r>
            <w:r>
              <w:rPr>
                <w:i/>
                <w:sz w:val="24"/>
              </w:rPr>
              <w:t>PÉREZ-SOTO,</w:t>
            </w:r>
          </w:p>
          <w:p>
            <w:pPr>
              <w:pStyle w:val="TableParagraph"/>
              <w:spacing w:line="240" w:lineRule="auto"/>
              <w:ind w:left="200" w:right="67"/>
              <w:rPr>
                <w:i/>
                <w:sz w:val="24"/>
              </w:rPr>
            </w:pPr>
            <w:r>
              <w:rPr>
                <w:i/>
                <w:sz w:val="24"/>
              </w:rPr>
              <w:t>Francisco</w:t>
            </w:r>
          </w:p>
        </w:tc>
        <w:tc>
          <w:tcPr>
            <w:tcW w:w="1219" w:type="dxa"/>
          </w:tcPr>
          <w:p>
            <w:pPr>
              <w:pStyle w:val="TableParagraph"/>
              <w:spacing w:line="240" w:lineRule="auto" w:before="122"/>
              <w:ind w:left="336"/>
              <w:rPr>
                <w:sz w:val="24"/>
              </w:rPr>
            </w:pPr>
            <w:r>
              <w:rPr>
                <w:sz w:val="24"/>
              </w:rPr>
              <w:t>83-93</w:t>
            </w:r>
          </w:p>
        </w:tc>
      </w:tr>
      <w:tr>
        <w:trPr>
          <w:trHeight w:val="1104" w:hRule="exact"/>
        </w:trPr>
        <w:tc>
          <w:tcPr>
            <w:tcW w:w="9019" w:type="dxa"/>
          </w:tcPr>
          <w:p>
            <w:pPr>
              <w:pStyle w:val="TableParagraph"/>
              <w:spacing w:line="240" w:lineRule="auto" w:before="126"/>
              <w:ind w:left="200" w:right="67"/>
              <w:rPr>
                <w:b/>
                <w:sz w:val="24"/>
              </w:rPr>
            </w:pPr>
            <w:r>
              <w:rPr>
                <w:b/>
                <w:sz w:val="24"/>
              </w:rPr>
              <w:t>8 Inversión extranjera directa y su impacto en crecimiento de México, un análisis en prospectiva: 1999-2010</w:t>
            </w:r>
          </w:p>
          <w:p>
            <w:pPr>
              <w:pStyle w:val="TableParagraph"/>
              <w:spacing w:line="271" w:lineRule="exact"/>
              <w:ind w:left="200" w:right="67"/>
              <w:rPr>
                <w:i/>
                <w:sz w:val="24"/>
              </w:rPr>
            </w:pPr>
            <w:r>
              <w:rPr>
                <w:i/>
                <w:sz w:val="24"/>
              </w:rPr>
              <w:t>DUANA-AVILA, Danae</w:t>
            </w:r>
          </w:p>
        </w:tc>
        <w:tc>
          <w:tcPr>
            <w:tcW w:w="1219" w:type="dxa"/>
          </w:tcPr>
          <w:p>
            <w:pPr>
              <w:pStyle w:val="TableParagraph"/>
              <w:spacing w:line="240" w:lineRule="auto" w:before="121"/>
              <w:ind w:left="276"/>
              <w:rPr>
                <w:sz w:val="24"/>
              </w:rPr>
            </w:pPr>
            <w:r>
              <w:rPr>
                <w:sz w:val="24"/>
              </w:rPr>
              <w:t>94-108</w:t>
            </w:r>
          </w:p>
        </w:tc>
      </w:tr>
      <w:tr>
        <w:trPr>
          <w:trHeight w:val="1104" w:hRule="exact"/>
        </w:trPr>
        <w:tc>
          <w:tcPr>
            <w:tcW w:w="9019" w:type="dxa"/>
          </w:tcPr>
          <w:p>
            <w:pPr>
              <w:pStyle w:val="TableParagraph"/>
              <w:spacing w:line="274" w:lineRule="exact" w:before="126"/>
              <w:ind w:left="200" w:right="67"/>
              <w:rPr>
                <w:b/>
                <w:sz w:val="24"/>
              </w:rPr>
            </w:pPr>
            <w:r>
              <w:rPr>
                <w:b/>
                <w:sz w:val="24"/>
              </w:rPr>
              <w:t>9 Importancia de la Banca en México</w:t>
            </w:r>
          </w:p>
          <w:p>
            <w:pPr>
              <w:pStyle w:val="TableParagraph"/>
              <w:spacing w:line="274" w:lineRule="exact"/>
              <w:ind w:left="200" w:right="67"/>
              <w:rPr>
                <w:i/>
                <w:sz w:val="24"/>
              </w:rPr>
            </w:pPr>
            <w:r>
              <w:rPr>
                <w:i/>
                <w:sz w:val="24"/>
              </w:rPr>
              <w:t>FIGUEROA-HERNÁNDEZ,  Esther,  PÉREZ-SOTO,  Francisco  y   RAMÍREZ-ABARCA,</w:t>
            </w:r>
          </w:p>
          <w:p>
            <w:pPr>
              <w:pStyle w:val="TableParagraph"/>
              <w:spacing w:line="240" w:lineRule="auto"/>
              <w:ind w:left="200" w:right="67"/>
              <w:rPr>
                <w:i/>
                <w:sz w:val="24"/>
              </w:rPr>
            </w:pPr>
            <w:r>
              <w:rPr>
                <w:i/>
                <w:sz w:val="24"/>
              </w:rPr>
              <w:t>Orsohe</w:t>
            </w:r>
          </w:p>
        </w:tc>
        <w:tc>
          <w:tcPr>
            <w:tcW w:w="1219" w:type="dxa"/>
          </w:tcPr>
          <w:p>
            <w:pPr>
              <w:pStyle w:val="TableParagraph"/>
              <w:spacing w:line="240" w:lineRule="auto"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left="200" w:right="67"/>
              <w:rPr>
                <w:b/>
                <w:sz w:val="24"/>
              </w:rPr>
            </w:pPr>
            <w:r>
              <w:rPr>
                <w:b/>
                <w:sz w:val="24"/>
              </w:rPr>
              <w:t>10 La competitividad de la producción agrícola en México, un análisis regional</w:t>
            </w:r>
          </w:p>
          <w:p>
            <w:pPr>
              <w:pStyle w:val="TableParagraph"/>
              <w:spacing w:line="274" w:lineRule="exact"/>
              <w:ind w:left="200" w:right="67"/>
              <w:rPr>
                <w:i/>
                <w:sz w:val="24"/>
              </w:rPr>
            </w:pPr>
            <w:r>
              <w:rPr>
                <w:i/>
                <w:sz w:val="24"/>
              </w:rPr>
              <w:t>PÉREZ-SOTO,  Francisco,  FIGUEROA-HERNÁNDEZ,  Esther,</w:t>
            </w:r>
            <w:r>
              <w:rPr>
                <w:i/>
                <w:spacing w:val="56"/>
                <w:sz w:val="24"/>
              </w:rPr>
              <w:t> </w:t>
            </w:r>
            <w:r>
              <w:rPr>
                <w:i/>
                <w:sz w:val="24"/>
              </w:rPr>
              <w:t>GODÍNEZ-MONTOYA,</w:t>
            </w:r>
          </w:p>
          <w:p>
            <w:pPr>
              <w:pStyle w:val="TableParagraph"/>
              <w:spacing w:line="240" w:lineRule="auto"/>
              <w:ind w:left="200" w:right="67"/>
              <w:rPr>
                <w:i/>
                <w:sz w:val="24"/>
              </w:rPr>
            </w:pPr>
            <w:r>
              <w:rPr>
                <w:i/>
                <w:sz w:val="24"/>
              </w:rPr>
              <w:t>Lucila y PEREZ-FIGUEROA, Rebeca</w:t>
            </w:r>
          </w:p>
        </w:tc>
        <w:tc>
          <w:tcPr>
            <w:tcW w:w="1219" w:type="dxa"/>
          </w:tcPr>
          <w:p>
            <w:pPr>
              <w:pStyle w:val="TableParagraph"/>
              <w:spacing w:line="240" w:lineRule="auto"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left="200"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left="200" w:right="67"/>
              <w:rPr>
                <w:i/>
                <w:sz w:val="24"/>
              </w:rPr>
            </w:pPr>
            <w:r>
              <w:rPr>
                <w:i/>
                <w:sz w:val="24"/>
              </w:rPr>
              <w:t>RODRÍGUEZ-AGUILAR,</w:t>
              <w:tab/>
              <w:t>Gabriela,</w:t>
              <w:tab/>
              <w:t>ESPINOSA-AYALA,</w:t>
              <w:tab/>
              <w:t>Enrique</w:t>
              <w:tab/>
              <w:t>y</w:t>
              <w:tab/>
              <w:t>MÁRQUEZ-</w:t>
            </w:r>
          </w:p>
          <w:p>
            <w:pPr>
              <w:pStyle w:val="TableParagraph"/>
              <w:spacing w:line="240" w:lineRule="auto"/>
              <w:ind w:left="200" w:right="67"/>
              <w:rPr>
                <w:i/>
                <w:sz w:val="24"/>
              </w:rPr>
            </w:pPr>
            <w:r>
              <w:rPr>
                <w:i/>
                <w:sz w:val="24"/>
              </w:rPr>
              <w:t>MOLINA, Ofelia</w:t>
            </w:r>
          </w:p>
        </w:tc>
        <w:tc>
          <w:tcPr>
            <w:tcW w:w="1219" w:type="dxa"/>
          </w:tcPr>
          <w:p>
            <w:pPr>
              <w:pStyle w:val="TableParagraph"/>
              <w:spacing w:line="240" w:lineRule="auto" w:before="4"/>
              <w:ind w:left="0"/>
              <w:rPr>
                <w:sz w:val="34"/>
              </w:rPr>
            </w:pPr>
          </w:p>
          <w:p>
            <w:pPr>
              <w:pStyle w:val="TableParagraph"/>
              <w:spacing w:line="240" w:lineRule="auto"/>
              <w:ind w:left="137"/>
              <w:rPr>
                <w:sz w:val="24"/>
              </w:rPr>
            </w:pPr>
            <w:r>
              <w:rPr>
                <w:sz w:val="24"/>
              </w:rPr>
              <w:t>139-151</w:t>
            </w:r>
          </w:p>
        </w:tc>
      </w:tr>
    </w:tbl>
    <w:p>
      <w:pPr>
        <w:spacing w:after="0" w:line="240" w:lineRule="auto"/>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ind w:left="200"/>
              <w:rPr>
                <w:b/>
                <w:sz w:val="24"/>
              </w:rPr>
            </w:pPr>
            <w:r>
              <w:rPr>
                <w:b/>
                <w:sz w:val="24"/>
              </w:rPr>
              <w:t>12  La  intermediación  financiera  al  servicio  de  la  comunidad  indígena:  el fondo</w:t>
            </w:r>
          </w:p>
          <w:p>
            <w:pPr>
              <w:pStyle w:val="TableParagraph"/>
              <w:spacing w:line="274" w:lineRule="exact"/>
              <w:ind w:left="200"/>
              <w:rPr>
                <w:b/>
                <w:sz w:val="24"/>
              </w:rPr>
            </w:pPr>
            <w:r>
              <w:rPr>
                <w:b/>
                <w:sz w:val="24"/>
              </w:rPr>
              <w:t>regional indígena Tarhiata Keri</w:t>
            </w:r>
          </w:p>
          <w:p>
            <w:pPr>
              <w:pStyle w:val="TableParagraph"/>
              <w:spacing w:line="274" w:lineRule="exact"/>
              <w:ind w:left="200"/>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ind w:left="200"/>
              <w:rPr>
                <w:i/>
                <w:sz w:val="24"/>
              </w:rPr>
            </w:pPr>
            <w:r>
              <w:rPr>
                <w:i/>
                <w:sz w:val="24"/>
              </w:rPr>
              <w:t>ARROYO-POZOS,  María,   AGUILAR-AVILA,   Jorge,   SANTOYO-CORTES,  Vinicio  y</w:t>
            </w:r>
          </w:p>
          <w:p>
            <w:pPr>
              <w:pStyle w:val="TableParagraph"/>
              <w:spacing w:line="240" w:lineRule="auto"/>
              <w:ind w:left="200"/>
              <w:rPr>
                <w:i/>
                <w:sz w:val="24"/>
              </w:rPr>
            </w:pPr>
            <w:r>
              <w:rPr>
                <w:i/>
                <w:sz w:val="24"/>
              </w:rPr>
              <w:t>MUÑOZ-RODRÍGUEZ, Manrrubio</w:t>
            </w:r>
          </w:p>
          <w:p>
            <w:pPr>
              <w:pStyle w:val="TableParagraph"/>
              <w:spacing w:line="240" w:lineRule="auto" w:before="4"/>
              <w:ind w:left="0"/>
              <w:rPr>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ind w:left="200"/>
              <w:rPr>
                <w:i/>
                <w:sz w:val="24"/>
              </w:rPr>
            </w:pPr>
            <w:r>
              <w:rPr>
                <w:i/>
                <w:sz w:val="24"/>
              </w:rPr>
              <w:t>LOERA-MARTÍNEZ, Jesús y SEPÚLVEDA-JIMENEZ, Daniel</w:t>
            </w:r>
          </w:p>
        </w:tc>
        <w:tc>
          <w:tcPr>
            <w:tcW w:w="1177" w:type="dxa"/>
          </w:tcPr>
          <w:p>
            <w:pPr>
              <w:pStyle w:val="TableParagraph"/>
              <w:spacing w:line="240" w:lineRule="auto" w:before="120"/>
              <w:ind w:left="177"/>
              <w:rPr>
                <w:sz w:val="24"/>
              </w:rPr>
            </w:pPr>
            <w:r>
              <w:rPr>
                <w:sz w:val="24"/>
              </w:rPr>
              <w:t>167-176</w:t>
            </w: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177"/>
              <w:rPr>
                <w:sz w:val="24"/>
              </w:rPr>
            </w:pPr>
            <w:r>
              <w:rPr>
                <w:sz w:val="24"/>
              </w:rPr>
              <w:t>177-186</w:t>
            </w:r>
          </w:p>
        </w:tc>
      </w:tr>
      <w:tr>
        <w:trPr>
          <w:trHeight w:val="1105" w:hRule="exact"/>
        </w:trPr>
        <w:tc>
          <w:tcPr>
            <w:tcW w:w="9058" w:type="dxa"/>
          </w:tcPr>
          <w:p>
            <w:pPr>
              <w:pStyle w:val="TableParagraph"/>
              <w:spacing w:line="240" w:lineRule="auto" w:before="125"/>
              <w:ind w:left="200"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ind w:left="200"/>
              <w:rPr>
                <w:i/>
                <w:sz w:val="24"/>
              </w:rPr>
            </w:pPr>
            <w:r>
              <w:rPr>
                <w:i/>
                <w:sz w:val="24"/>
              </w:rPr>
              <w:t>PÉREZ-ROBLES, Karina, MORETT-SÁNCHEZ, Jorge y TECPAN-SEDANO, Sara</w:t>
            </w:r>
          </w:p>
        </w:tc>
        <w:tc>
          <w:tcPr>
            <w:tcW w:w="1177" w:type="dxa"/>
          </w:tcPr>
          <w:p>
            <w:pPr>
              <w:pStyle w:val="TableParagraph"/>
              <w:spacing w:line="240" w:lineRule="auto" w:before="120"/>
              <w:ind w:left="177"/>
              <w:rPr>
                <w:sz w:val="24"/>
              </w:rPr>
            </w:pPr>
            <w:r>
              <w:rPr>
                <w:sz w:val="24"/>
              </w:rPr>
              <w:t>187-202</w:t>
            </w:r>
          </w:p>
        </w:tc>
      </w:tr>
      <w:tr>
        <w:trPr>
          <w:trHeight w:val="1380" w:hRule="exact"/>
        </w:trPr>
        <w:tc>
          <w:tcPr>
            <w:tcW w:w="9058" w:type="dxa"/>
          </w:tcPr>
          <w:p>
            <w:pPr>
              <w:pStyle w:val="TableParagraph"/>
              <w:spacing w:line="240" w:lineRule="auto" w:before="125"/>
              <w:ind w:left="200"/>
              <w:rPr>
                <w:b/>
                <w:sz w:val="24"/>
              </w:rPr>
            </w:pPr>
            <w:r>
              <w:rPr>
                <w:b/>
                <w:sz w:val="24"/>
              </w:rPr>
              <w:t>16 La crisis económica mundial y su efecto sobre los flujos migratorios de América Latina</w:t>
            </w:r>
          </w:p>
          <w:p>
            <w:pPr>
              <w:pStyle w:val="TableParagraph"/>
              <w:spacing w:line="271" w:lineRule="exact"/>
              <w:ind w:left="200"/>
              <w:rPr>
                <w:i/>
                <w:sz w:val="24"/>
              </w:rPr>
            </w:pPr>
            <w:r>
              <w:rPr>
                <w:i/>
                <w:sz w:val="24"/>
              </w:rPr>
              <w:t>GODINEZ-MONTOYA,   Lucila,   FIGUEROA-HERNÁNDEZ,   Esther   y PÉREZ-SOTO,</w:t>
            </w:r>
          </w:p>
          <w:p>
            <w:pPr>
              <w:pStyle w:val="TableParagraph"/>
              <w:spacing w:line="240" w:lineRule="auto"/>
              <w:ind w:left="200"/>
              <w:rPr>
                <w:i/>
                <w:sz w:val="24"/>
              </w:rPr>
            </w:pPr>
            <w:r>
              <w:rPr>
                <w:i/>
                <w:sz w:val="24"/>
              </w:rPr>
              <w:t>Francisco</w:t>
            </w:r>
          </w:p>
        </w:tc>
        <w:tc>
          <w:tcPr>
            <w:tcW w:w="1177" w:type="dxa"/>
          </w:tcPr>
          <w:p>
            <w:pPr>
              <w:pStyle w:val="TableParagraph"/>
              <w:spacing w:line="240" w:lineRule="auto" w:before="120"/>
              <w:ind w:left="177"/>
              <w:rPr>
                <w:sz w:val="24"/>
              </w:rPr>
            </w:pPr>
            <w:r>
              <w:rPr>
                <w:sz w:val="24"/>
              </w:rPr>
              <w:t>203-217</w:t>
            </w:r>
          </w:p>
        </w:tc>
      </w:tr>
      <w:tr>
        <w:trPr>
          <w:trHeight w:val="1380" w:hRule="exact"/>
        </w:trPr>
        <w:tc>
          <w:tcPr>
            <w:tcW w:w="9058" w:type="dxa"/>
          </w:tcPr>
          <w:p>
            <w:pPr>
              <w:pStyle w:val="TableParagraph"/>
              <w:spacing w:line="240" w:lineRule="auto" w:before="125"/>
              <w:ind w:left="200"/>
              <w:rPr>
                <w:b/>
                <w:sz w:val="24"/>
              </w:rPr>
            </w:pPr>
            <w:r>
              <w:rPr>
                <w:b/>
                <w:sz w:val="24"/>
              </w:rPr>
              <w:t>17 Tipología de los sujetos sociales que intervienen en el mercado campesino de Ocotlán Oaxaca</w:t>
            </w:r>
          </w:p>
          <w:p>
            <w:pPr>
              <w:pStyle w:val="TableParagraph"/>
              <w:spacing w:line="271" w:lineRule="exact"/>
              <w:ind w:left="200"/>
              <w:rPr>
                <w:i/>
                <w:sz w:val="24"/>
              </w:rPr>
            </w:pPr>
            <w:r>
              <w:rPr>
                <w:i/>
                <w:sz w:val="24"/>
              </w:rPr>
              <w:t>MAGADAN-REVELO, Luis, HERNÁNDEZ-GARCÍA, Miguel y   ESCALONA-MAURICE,</w:t>
            </w:r>
          </w:p>
          <w:p>
            <w:pPr>
              <w:pStyle w:val="TableParagraph"/>
              <w:spacing w:line="240" w:lineRule="auto"/>
              <w:ind w:left="200"/>
              <w:rPr>
                <w:i/>
                <w:sz w:val="24"/>
              </w:rPr>
            </w:pPr>
            <w:r>
              <w:rPr>
                <w:i/>
                <w:sz w:val="24"/>
              </w:rPr>
              <w:t>Miguel</w:t>
            </w:r>
          </w:p>
        </w:tc>
        <w:tc>
          <w:tcPr>
            <w:tcW w:w="1177" w:type="dxa"/>
          </w:tcPr>
          <w:p>
            <w:pPr>
              <w:pStyle w:val="TableParagraph"/>
              <w:spacing w:line="240" w:lineRule="auto" w:before="120"/>
              <w:ind w:left="177"/>
              <w:rPr>
                <w:sz w:val="24"/>
              </w:rPr>
            </w:pPr>
            <w:r>
              <w:rPr>
                <w:sz w:val="24"/>
              </w:rPr>
              <w:t>218-233</w:t>
            </w:r>
          </w:p>
        </w:tc>
      </w:tr>
      <w:tr>
        <w:trPr>
          <w:trHeight w:val="1104" w:hRule="exact"/>
        </w:trPr>
        <w:tc>
          <w:tcPr>
            <w:tcW w:w="9058" w:type="dxa"/>
          </w:tcPr>
          <w:p>
            <w:pPr>
              <w:pStyle w:val="TableParagraph"/>
              <w:spacing w:line="240" w:lineRule="auto" w:before="125"/>
              <w:ind w:left="200" w:right="199"/>
              <w:rPr>
                <w:b/>
                <w:sz w:val="24"/>
              </w:rPr>
            </w:pPr>
            <w:r>
              <w:rPr>
                <w:b/>
                <w:sz w:val="24"/>
              </w:rPr>
              <w:t>18 Normalización del proceso de compostaje: una opción para desarrollar el mercado de la composta</w:t>
            </w:r>
          </w:p>
          <w:p>
            <w:pPr>
              <w:pStyle w:val="TableParagraph"/>
              <w:spacing w:line="271" w:lineRule="exact"/>
              <w:ind w:left="200"/>
              <w:rPr>
                <w:i/>
                <w:sz w:val="24"/>
              </w:rPr>
            </w:pPr>
            <w:r>
              <w:rPr>
                <w:i/>
                <w:sz w:val="24"/>
              </w:rPr>
              <w:t>TAVERA, María Elena y COBOS, Victoria</w:t>
            </w:r>
          </w:p>
        </w:tc>
        <w:tc>
          <w:tcPr>
            <w:tcW w:w="1177" w:type="dxa"/>
          </w:tcPr>
          <w:p>
            <w:pPr>
              <w:pStyle w:val="TableParagraph"/>
              <w:spacing w:line="240" w:lineRule="auto" w:before="121"/>
              <w:ind w:left="177"/>
              <w:rPr>
                <w:sz w:val="24"/>
              </w:rPr>
            </w:pPr>
            <w:r>
              <w:rPr>
                <w:sz w:val="24"/>
              </w:rPr>
              <w:t>234-249</w:t>
            </w:r>
          </w:p>
        </w:tc>
      </w:tr>
      <w:tr>
        <w:trPr>
          <w:trHeight w:val="828" w:hRule="exact"/>
        </w:trPr>
        <w:tc>
          <w:tcPr>
            <w:tcW w:w="9058" w:type="dxa"/>
          </w:tcPr>
          <w:p>
            <w:pPr>
              <w:pStyle w:val="TableParagraph"/>
              <w:spacing w:line="274" w:lineRule="exact" w:before="125"/>
              <w:ind w:left="200"/>
              <w:rPr>
                <w:b/>
                <w:sz w:val="24"/>
              </w:rPr>
            </w:pPr>
            <w:r>
              <w:rPr>
                <w:b/>
                <w:sz w:val="24"/>
              </w:rPr>
              <w:t>19 Reestructuración del capitalismo y crisis política en México</w:t>
            </w:r>
          </w:p>
          <w:p>
            <w:pPr>
              <w:pStyle w:val="TableParagraph"/>
              <w:spacing w:line="274" w:lineRule="exact"/>
              <w:ind w:left="200"/>
              <w:rPr>
                <w:i/>
                <w:sz w:val="24"/>
              </w:rPr>
            </w:pPr>
            <w:r>
              <w:rPr>
                <w:i/>
                <w:sz w:val="24"/>
              </w:rPr>
              <w:t>PIÑA-CANO, Mario y PÉREZ-SÁNCHEZ, Sandra</w:t>
            </w:r>
          </w:p>
        </w:tc>
        <w:tc>
          <w:tcPr>
            <w:tcW w:w="1177" w:type="dxa"/>
          </w:tcPr>
          <w:p>
            <w:pPr>
              <w:pStyle w:val="TableParagraph"/>
              <w:spacing w:line="240" w:lineRule="auto" w:before="120"/>
              <w:ind w:left="177"/>
              <w:rPr>
                <w:sz w:val="24"/>
              </w:rPr>
            </w:pPr>
            <w:r>
              <w:rPr>
                <w:sz w:val="24"/>
              </w:rPr>
              <w:t>250-260</w:t>
            </w:r>
          </w:p>
        </w:tc>
      </w:tr>
      <w:tr>
        <w:trPr>
          <w:trHeight w:val="1380" w:hRule="exact"/>
        </w:trPr>
        <w:tc>
          <w:tcPr>
            <w:tcW w:w="9058" w:type="dxa"/>
          </w:tcPr>
          <w:p>
            <w:pPr>
              <w:pStyle w:val="TableParagraph"/>
              <w:spacing w:line="240" w:lineRule="auto" w:before="125"/>
              <w:ind w:left="200"/>
              <w:rPr>
                <w:b/>
                <w:sz w:val="24"/>
              </w:rPr>
            </w:pPr>
            <w:r>
              <w:rPr>
                <w:b/>
                <w:sz w:val="24"/>
              </w:rPr>
              <w:t>20 Estudio de la rentabilidad de la producción de miel en el municipio de León, Guanajuato</w:t>
            </w:r>
          </w:p>
          <w:p>
            <w:pPr>
              <w:pStyle w:val="TableParagraph"/>
              <w:spacing w:line="271" w:lineRule="exact"/>
              <w:ind w:left="200"/>
              <w:rPr>
                <w:i/>
                <w:sz w:val="24"/>
              </w:rPr>
            </w:pPr>
            <w:r>
              <w:rPr>
                <w:i/>
                <w:sz w:val="24"/>
              </w:rPr>
              <w:t>GONZÁLES-ELIAS,  J.  Martín,  RUCOBA-GARCÁA,  Armando  y </w:t>
            </w:r>
            <w:r>
              <w:rPr>
                <w:i/>
                <w:spacing w:val="54"/>
                <w:sz w:val="24"/>
              </w:rPr>
              <w:t> </w:t>
            </w:r>
            <w:r>
              <w:rPr>
                <w:i/>
                <w:sz w:val="24"/>
              </w:rPr>
              <w:t>RAMÍREZ-ABARCA,</w:t>
            </w:r>
          </w:p>
          <w:p>
            <w:pPr>
              <w:pStyle w:val="TableParagraph"/>
              <w:spacing w:line="240" w:lineRule="auto"/>
              <w:ind w:left="200"/>
              <w:rPr>
                <w:i/>
                <w:sz w:val="24"/>
              </w:rPr>
            </w:pPr>
            <w:r>
              <w:rPr>
                <w:i/>
                <w:sz w:val="24"/>
              </w:rPr>
              <w:t>Orsohe</w:t>
            </w:r>
          </w:p>
        </w:tc>
        <w:tc>
          <w:tcPr>
            <w:tcW w:w="1177" w:type="dxa"/>
          </w:tcPr>
          <w:p>
            <w:pPr>
              <w:pStyle w:val="TableParagraph"/>
              <w:spacing w:line="240" w:lineRule="auto" w:before="120"/>
              <w:ind w:left="177"/>
              <w:rPr>
                <w:sz w:val="24"/>
              </w:rPr>
            </w:pPr>
            <w:r>
              <w:rPr>
                <w:sz w:val="24"/>
              </w:rPr>
              <w:t>261-273</w:t>
            </w:r>
          </w:p>
        </w:tc>
      </w:tr>
      <w:tr>
        <w:trPr>
          <w:trHeight w:val="1104" w:hRule="exact"/>
        </w:trPr>
        <w:tc>
          <w:tcPr>
            <w:tcW w:w="9058" w:type="dxa"/>
          </w:tcPr>
          <w:p>
            <w:pPr>
              <w:pStyle w:val="TableParagraph"/>
              <w:spacing w:line="274" w:lineRule="exact" w:before="126"/>
              <w:ind w:left="200"/>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ind w:left="200"/>
              <w:rPr>
                <w:i/>
                <w:sz w:val="24"/>
              </w:rPr>
            </w:pPr>
            <w:r>
              <w:rPr>
                <w:i/>
                <w:sz w:val="24"/>
              </w:rPr>
              <w:t>RAMÍREZ-ABARCA,</w:t>
              <w:tab/>
              <w:t>Orsohe,</w:t>
              <w:tab/>
              <w:t>GUTÍERREZ-ESTRADA,</w:t>
              <w:tab/>
              <w:t>Arcenio</w:t>
              <w:tab/>
              <w:t>y</w:t>
              <w:tab/>
              <w:t>FIGUEROA-</w:t>
            </w:r>
          </w:p>
          <w:p>
            <w:pPr>
              <w:pStyle w:val="TableParagraph"/>
              <w:spacing w:line="240" w:lineRule="auto"/>
              <w:ind w:left="200"/>
              <w:rPr>
                <w:i/>
                <w:sz w:val="24"/>
              </w:rPr>
            </w:pPr>
            <w:r>
              <w:rPr>
                <w:i/>
                <w:sz w:val="24"/>
              </w:rPr>
              <w:t>HERNÁNDEZ, Esther</w:t>
            </w:r>
          </w:p>
        </w:tc>
        <w:tc>
          <w:tcPr>
            <w:tcW w:w="1177" w:type="dxa"/>
          </w:tcPr>
          <w:p>
            <w:pPr>
              <w:pStyle w:val="TableParagraph"/>
              <w:spacing w:line="240" w:lineRule="auto" w:before="121"/>
              <w:ind w:left="177"/>
              <w:rPr>
                <w:sz w:val="24"/>
              </w:rPr>
            </w:pPr>
            <w:r>
              <w:rPr>
                <w:sz w:val="24"/>
              </w:rPr>
              <w:t>274-285</w:t>
            </w:r>
          </w:p>
        </w:tc>
      </w:tr>
      <w:tr>
        <w:trPr>
          <w:trHeight w:val="948" w:hRule="exact"/>
        </w:trPr>
        <w:tc>
          <w:tcPr>
            <w:tcW w:w="9058" w:type="dxa"/>
          </w:tcPr>
          <w:p>
            <w:pPr>
              <w:pStyle w:val="TableParagraph"/>
              <w:spacing w:line="240" w:lineRule="auto" w:before="125"/>
              <w:ind w:left="200"/>
              <w:rPr>
                <w:b/>
                <w:sz w:val="24"/>
              </w:rPr>
            </w:pPr>
            <w:r>
              <w:rPr>
                <w:b/>
                <w:sz w:val="24"/>
              </w:rPr>
              <w:t>22 Centros de educación y cultura ambiental, necesidad de profesionalización pedagógica de facilitadores ambientales</w:t>
            </w:r>
          </w:p>
          <w:p>
            <w:pPr>
              <w:pStyle w:val="TableParagraph"/>
              <w:spacing w:line="271" w:lineRule="exact"/>
              <w:ind w:left="200"/>
              <w:rPr>
                <w:i/>
                <w:sz w:val="24"/>
              </w:rPr>
            </w:pPr>
            <w:r>
              <w:rPr>
                <w:i/>
                <w:sz w:val="24"/>
              </w:rPr>
              <w:t>BUENO-RUÍZ, Paola, MÉNDEZ-CADENA, Esther y CRUZ-VARGAS, Alejandro</w:t>
            </w:r>
          </w:p>
        </w:tc>
        <w:tc>
          <w:tcPr>
            <w:tcW w:w="1177" w:type="dxa"/>
          </w:tcPr>
          <w:p>
            <w:pPr>
              <w:pStyle w:val="TableParagraph"/>
              <w:spacing w:line="240" w:lineRule="auto" w:before="120"/>
              <w:ind w:left="177"/>
              <w:rPr>
                <w:sz w:val="24"/>
              </w:rPr>
            </w:pPr>
            <w:r>
              <w:rPr>
                <w:sz w:val="24"/>
              </w:rPr>
              <w:t>286-294</w:t>
            </w:r>
          </w:p>
        </w:tc>
      </w:tr>
    </w:tbl>
    <w:p>
      <w:pPr>
        <w:spacing w:after="0" w:line="240" w:lineRule="auto"/>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ind w:left="200"/>
              <w:rPr>
                <w:b/>
                <w:sz w:val="24"/>
              </w:rPr>
            </w:pPr>
            <w:r>
              <w:rPr>
                <w:b/>
                <w:sz w:val="24"/>
              </w:rPr>
              <w:t>23 Costos y competitividad de la producción del limón persa en el municipio de</w:t>
            </w:r>
          </w:p>
          <w:p>
            <w:pPr>
              <w:pStyle w:val="TableParagraph"/>
              <w:spacing w:line="274" w:lineRule="exact"/>
              <w:ind w:left="200"/>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ind w:left="200"/>
              <w:rPr>
                <w:i/>
                <w:sz w:val="24"/>
              </w:rPr>
            </w:pPr>
            <w:r>
              <w:rPr>
                <w:i/>
                <w:sz w:val="24"/>
              </w:rPr>
              <w:t>PAT-FERNÁNDEZ,</w:t>
              <w:tab/>
              <w:t>Verna,</w:t>
              <w:tab/>
              <w:t>CAAMAL-CAUICH,</w:t>
              <w:tab/>
              <w:t>Ignacio,</w:t>
              <w:tab/>
              <w:t>JERÓNIMO-ASCENCIO,</w:t>
            </w:r>
          </w:p>
          <w:p>
            <w:pPr>
              <w:pStyle w:val="TableParagraph"/>
              <w:spacing w:line="240" w:lineRule="auto"/>
              <w:ind w:left="200"/>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ind w:left="200"/>
              <w:rPr>
                <w:b/>
                <w:sz w:val="24"/>
              </w:rPr>
            </w:pPr>
            <w:r>
              <w:rPr>
                <w:b/>
                <w:sz w:val="24"/>
              </w:rPr>
              <w:t>24 La construcción polisémica e histórica del concepto de la pobreza</w:t>
            </w:r>
          </w:p>
          <w:p>
            <w:pPr>
              <w:pStyle w:val="TableParagraph"/>
              <w:spacing w:line="274" w:lineRule="exact"/>
              <w:ind w:left="200"/>
              <w:rPr>
                <w:i/>
                <w:sz w:val="24"/>
              </w:rPr>
            </w:pPr>
            <w:r>
              <w:rPr>
                <w:i/>
                <w:sz w:val="24"/>
              </w:rPr>
              <w:t>VIZUET-LÓPEZ, José</w:t>
            </w:r>
          </w:p>
        </w:tc>
        <w:tc>
          <w:tcPr>
            <w:tcW w:w="1220" w:type="dxa"/>
          </w:tcPr>
          <w:p>
            <w:pPr>
              <w:pStyle w:val="TableParagraph"/>
              <w:spacing w:line="240" w:lineRule="auto" w:before="120"/>
              <w:ind w:left="192"/>
              <w:rPr>
                <w:sz w:val="24"/>
              </w:rPr>
            </w:pPr>
            <w:r>
              <w:rPr>
                <w:sz w:val="24"/>
              </w:rPr>
              <w:t>309-322</w:t>
            </w:r>
          </w:p>
        </w:tc>
      </w:tr>
      <w:tr>
        <w:trPr>
          <w:trHeight w:val="1380" w:hRule="exact"/>
        </w:trPr>
        <w:tc>
          <w:tcPr>
            <w:tcW w:w="9043" w:type="dxa"/>
          </w:tcPr>
          <w:p>
            <w:pPr>
              <w:pStyle w:val="TableParagraph"/>
              <w:spacing w:line="240" w:lineRule="auto" w:before="125"/>
              <w:ind w:left="200"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ind w:left="200"/>
              <w:rPr>
                <w:i/>
                <w:sz w:val="24"/>
              </w:rPr>
            </w:pPr>
            <w:r>
              <w:rPr>
                <w:i/>
                <w:sz w:val="24"/>
              </w:rPr>
              <w:t>NAVARRETE-MOLINA,   Cayetano,   RÍOS-FLORES,  José   y AREVALO-RODRÍGUEZ,</w:t>
            </w:r>
          </w:p>
          <w:p>
            <w:pPr>
              <w:pStyle w:val="TableParagraph"/>
              <w:spacing w:line="240" w:lineRule="auto"/>
              <w:ind w:left="200"/>
              <w:rPr>
                <w:i/>
                <w:sz w:val="24"/>
              </w:rPr>
            </w:pPr>
            <w:r>
              <w:rPr>
                <w:i/>
                <w:sz w:val="24"/>
              </w:rPr>
              <w:t>Mayra</w:t>
            </w:r>
          </w:p>
        </w:tc>
        <w:tc>
          <w:tcPr>
            <w:tcW w:w="1220" w:type="dxa"/>
          </w:tcPr>
          <w:p>
            <w:pPr>
              <w:pStyle w:val="TableParagraph"/>
              <w:spacing w:line="240" w:lineRule="auto" w:before="120"/>
              <w:ind w:left="192"/>
              <w:rPr>
                <w:sz w:val="24"/>
              </w:rPr>
            </w:pPr>
            <w:r>
              <w:rPr>
                <w:sz w:val="24"/>
              </w:rPr>
              <w:t>323-331</w:t>
            </w:r>
          </w:p>
        </w:tc>
      </w:tr>
      <w:tr>
        <w:trPr>
          <w:trHeight w:val="829" w:hRule="exact"/>
        </w:trPr>
        <w:tc>
          <w:tcPr>
            <w:tcW w:w="9043" w:type="dxa"/>
          </w:tcPr>
          <w:p>
            <w:pPr>
              <w:pStyle w:val="TableParagraph"/>
              <w:spacing w:line="274" w:lineRule="exact" w:before="125"/>
              <w:ind w:left="200"/>
              <w:rPr>
                <w:b/>
                <w:sz w:val="24"/>
              </w:rPr>
            </w:pPr>
            <w:r>
              <w:rPr>
                <w:b/>
                <w:sz w:val="24"/>
              </w:rPr>
              <w:t>26 Productividad e inversión extranjera: La Industria de Alimentos</w:t>
            </w:r>
          </w:p>
          <w:p>
            <w:pPr>
              <w:pStyle w:val="TableParagraph"/>
              <w:spacing w:line="274" w:lineRule="exact"/>
              <w:ind w:left="200"/>
              <w:rPr>
                <w:i/>
                <w:sz w:val="24"/>
              </w:rPr>
            </w:pPr>
            <w:r>
              <w:rPr>
                <w:i/>
                <w:sz w:val="24"/>
              </w:rPr>
              <w:t>PÉREZ-SÁNCHEZ, Sandra y PIÑA-CANO, Mario</w:t>
            </w:r>
          </w:p>
        </w:tc>
        <w:tc>
          <w:tcPr>
            <w:tcW w:w="1220" w:type="dxa"/>
          </w:tcPr>
          <w:p>
            <w:pPr>
              <w:pStyle w:val="TableParagraph"/>
              <w:spacing w:line="240" w:lineRule="auto" w:before="120"/>
              <w:ind w:left="161"/>
              <w:rPr>
                <w:sz w:val="24"/>
              </w:rPr>
            </w:pPr>
            <w:r>
              <w:rPr>
                <w:sz w:val="24"/>
              </w:rPr>
              <w:t>332- 347</w:t>
            </w:r>
          </w:p>
        </w:tc>
      </w:tr>
      <w:tr>
        <w:trPr>
          <w:trHeight w:val="1106" w:hRule="exact"/>
        </w:trPr>
        <w:tc>
          <w:tcPr>
            <w:tcW w:w="9043" w:type="dxa"/>
          </w:tcPr>
          <w:p>
            <w:pPr>
              <w:pStyle w:val="TableParagraph"/>
              <w:spacing w:line="274" w:lineRule="exact" w:before="125"/>
              <w:ind w:left="200"/>
              <w:rPr>
                <w:b/>
                <w:sz w:val="24"/>
              </w:rPr>
            </w:pPr>
            <w:r>
              <w:rPr>
                <w:b/>
                <w:sz w:val="24"/>
              </w:rPr>
              <w:t>27 El sector primario en México</w:t>
            </w:r>
          </w:p>
          <w:p>
            <w:pPr>
              <w:pStyle w:val="TableParagraph"/>
              <w:spacing w:line="274" w:lineRule="exact"/>
              <w:ind w:left="200"/>
              <w:rPr>
                <w:i/>
                <w:sz w:val="24"/>
              </w:rPr>
            </w:pPr>
            <w:r>
              <w:rPr>
                <w:i/>
                <w:sz w:val="24"/>
              </w:rPr>
              <w:t>PÉREZ-SOTO,  Francisco,  FIGUEROA-HERNÁNDEZ,  Esther,</w:t>
            </w:r>
            <w:r>
              <w:rPr>
                <w:i/>
                <w:spacing w:val="55"/>
                <w:sz w:val="24"/>
              </w:rPr>
              <w:t> </w:t>
            </w:r>
            <w:r>
              <w:rPr>
                <w:i/>
                <w:sz w:val="24"/>
              </w:rPr>
              <w:t>GODÍNEZ-MONTOYA,</w:t>
            </w:r>
          </w:p>
          <w:p>
            <w:pPr>
              <w:pStyle w:val="TableParagraph"/>
              <w:spacing w:line="240" w:lineRule="auto"/>
              <w:ind w:left="200"/>
              <w:rPr>
                <w:i/>
                <w:sz w:val="24"/>
              </w:rPr>
            </w:pPr>
            <w:r>
              <w:rPr>
                <w:i/>
                <w:sz w:val="24"/>
              </w:rPr>
              <w:t>Lucila y GÓMEZ-GÓMEZ, Alma</w:t>
            </w:r>
          </w:p>
        </w:tc>
        <w:tc>
          <w:tcPr>
            <w:tcW w:w="1220" w:type="dxa"/>
          </w:tcPr>
          <w:p>
            <w:pPr>
              <w:pStyle w:val="TableParagraph"/>
              <w:spacing w:line="240" w:lineRule="auto" w:before="120"/>
              <w:ind w:left="173"/>
              <w:rPr>
                <w:sz w:val="24"/>
              </w:rPr>
            </w:pPr>
            <w:r>
              <w:rPr>
                <w:sz w:val="24"/>
              </w:rPr>
              <w:t>348-367</w:t>
            </w:r>
          </w:p>
        </w:tc>
      </w:tr>
      <w:tr>
        <w:trPr>
          <w:trHeight w:val="1102" w:hRule="exact"/>
        </w:trPr>
        <w:tc>
          <w:tcPr>
            <w:tcW w:w="9043" w:type="dxa"/>
          </w:tcPr>
          <w:p>
            <w:pPr>
              <w:pStyle w:val="TableParagraph"/>
              <w:spacing w:line="274" w:lineRule="exact" w:before="123"/>
              <w:ind w:left="200"/>
              <w:rPr>
                <w:b/>
                <w:sz w:val="24"/>
              </w:rPr>
            </w:pPr>
            <w:r>
              <w:rPr>
                <w:b/>
                <w:sz w:val="24"/>
              </w:rPr>
              <w:t>28 Subsidios al campo como instrumento de política económica en México</w:t>
            </w:r>
          </w:p>
          <w:p>
            <w:pPr>
              <w:pStyle w:val="TableParagraph"/>
              <w:spacing w:line="274" w:lineRule="exact"/>
              <w:ind w:left="200"/>
              <w:rPr>
                <w:i/>
                <w:sz w:val="24"/>
              </w:rPr>
            </w:pPr>
            <w:r>
              <w:rPr>
                <w:i/>
                <w:sz w:val="24"/>
              </w:rPr>
              <w:t>PÉREZ-SOTO,  Francisco,  FIGUEROA-HERNÁNDEZ,  Esther,</w:t>
            </w:r>
            <w:r>
              <w:rPr>
                <w:i/>
                <w:spacing w:val="56"/>
                <w:sz w:val="24"/>
              </w:rPr>
              <w:t> </w:t>
            </w:r>
            <w:r>
              <w:rPr>
                <w:i/>
                <w:sz w:val="24"/>
              </w:rPr>
              <w:t>GODÍNEZ-MONTOYA,</w:t>
            </w:r>
          </w:p>
          <w:p>
            <w:pPr>
              <w:pStyle w:val="TableParagraph"/>
              <w:spacing w:line="240" w:lineRule="auto"/>
              <w:ind w:left="200"/>
              <w:rPr>
                <w:i/>
                <w:sz w:val="24"/>
              </w:rPr>
            </w:pPr>
            <w:r>
              <w:rPr>
                <w:i/>
                <w:sz w:val="24"/>
              </w:rPr>
              <w:t>Lucila y GÓMEZ-GÓMEZ, Alma</w:t>
            </w:r>
          </w:p>
        </w:tc>
        <w:tc>
          <w:tcPr>
            <w:tcW w:w="1220" w:type="dxa"/>
          </w:tcPr>
          <w:p>
            <w:pPr>
              <w:pStyle w:val="TableParagraph"/>
              <w:spacing w:line="240" w:lineRule="auto" w:before="3"/>
              <w:ind w:left="0"/>
              <w:rPr>
                <w:sz w:val="34"/>
              </w:rPr>
            </w:pPr>
          </w:p>
          <w:p>
            <w:pPr>
              <w:pStyle w:val="TableParagraph"/>
              <w:spacing w:line="240" w:lineRule="auto"/>
              <w:ind w:left="192"/>
              <w:rPr>
                <w:sz w:val="24"/>
              </w:rPr>
            </w:pPr>
            <w:r>
              <w:rPr>
                <w:sz w:val="24"/>
              </w:rPr>
              <w:t>368-385</w:t>
            </w:r>
          </w:p>
        </w:tc>
      </w:tr>
      <w:tr>
        <w:trPr>
          <w:trHeight w:val="1380" w:hRule="exact"/>
        </w:trPr>
        <w:tc>
          <w:tcPr>
            <w:tcW w:w="9043" w:type="dxa"/>
          </w:tcPr>
          <w:p>
            <w:pPr>
              <w:pStyle w:val="TableParagraph"/>
              <w:spacing w:line="240" w:lineRule="auto" w:before="125"/>
              <w:ind w:left="200"/>
              <w:rPr>
                <w:b/>
                <w:sz w:val="24"/>
              </w:rPr>
            </w:pPr>
            <w:r>
              <w:rPr>
                <w:b/>
                <w:sz w:val="24"/>
              </w:rPr>
              <w:t>29 Rentabilidad de biodigestores y motogeneradores para diferentes tamaños de granjas porcinas en Michoacán</w:t>
            </w:r>
          </w:p>
          <w:p>
            <w:pPr>
              <w:pStyle w:val="TableParagraph"/>
              <w:spacing w:line="272" w:lineRule="exact"/>
              <w:ind w:left="200"/>
              <w:rPr>
                <w:i/>
                <w:sz w:val="24"/>
              </w:rPr>
            </w:pPr>
            <w:r>
              <w:rPr>
                <w:i/>
                <w:sz w:val="24"/>
              </w:rPr>
              <w:t>VENEGAS-VENEGAS, José, PERALES-SALVADOR, Arturo y DEL    VALLE-SÁNCHEZ,</w:t>
            </w:r>
          </w:p>
          <w:p>
            <w:pPr>
              <w:pStyle w:val="TableParagraph"/>
              <w:spacing w:line="240" w:lineRule="auto"/>
              <w:ind w:left="200"/>
              <w:rPr>
                <w:i/>
                <w:sz w:val="24"/>
              </w:rPr>
            </w:pPr>
            <w:r>
              <w:rPr>
                <w:i/>
                <w:sz w:val="24"/>
              </w:rPr>
              <w:t>Manuel</w:t>
            </w:r>
          </w:p>
        </w:tc>
        <w:tc>
          <w:tcPr>
            <w:tcW w:w="1220" w:type="dxa"/>
          </w:tcPr>
          <w:p>
            <w:pPr>
              <w:pStyle w:val="TableParagraph"/>
              <w:spacing w:line="240" w:lineRule="auto" w:before="120"/>
              <w:ind w:left="192"/>
              <w:rPr>
                <w:sz w:val="24"/>
              </w:rPr>
            </w:pPr>
            <w:r>
              <w:rPr>
                <w:sz w:val="24"/>
              </w:rPr>
              <w:t>386-394</w:t>
            </w:r>
          </w:p>
        </w:tc>
      </w:tr>
      <w:tr>
        <w:trPr>
          <w:trHeight w:val="552" w:hRule="exact"/>
        </w:trPr>
        <w:tc>
          <w:tcPr>
            <w:tcW w:w="9043" w:type="dxa"/>
          </w:tcPr>
          <w:p>
            <w:pPr>
              <w:pStyle w:val="TableParagraph"/>
              <w:spacing w:line="240" w:lineRule="auto" w:before="120"/>
              <w:ind w:left="200"/>
              <w:rPr>
                <w:i/>
                <w:sz w:val="24"/>
              </w:rPr>
            </w:pPr>
            <w:r>
              <w:rPr>
                <w:i/>
                <w:sz w:val="24"/>
              </w:rPr>
              <w:t>Apéndice A . Consejo Editor Universidad Autónoma Chapingo</w:t>
            </w:r>
          </w:p>
        </w:tc>
        <w:tc>
          <w:tcPr>
            <w:tcW w:w="1220" w:type="dxa"/>
          </w:tcPr>
          <w:p>
            <w:pPr>
              <w:pStyle w:val="TableParagraph"/>
              <w:spacing w:line="240" w:lineRule="auto" w:before="120"/>
              <w:ind w:left="173"/>
              <w:rPr>
                <w:sz w:val="24"/>
              </w:rPr>
            </w:pPr>
            <w:r>
              <w:rPr>
                <w:sz w:val="24"/>
              </w:rPr>
              <w:t>395</w:t>
            </w:r>
          </w:p>
        </w:tc>
      </w:tr>
      <w:tr>
        <w:trPr>
          <w:trHeight w:val="552" w:hRule="exact"/>
        </w:trPr>
        <w:tc>
          <w:tcPr>
            <w:tcW w:w="9043" w:type="dxa"/>
          </w:tcPr>
          <w:p>
            <w:pPr>
              <w:pStyle w:val="TableParagraph"/>
              <w:spacing w:line="240" w:lineRule="auto" w:before="120"/>
              <w:ind w:left="200"/>
              <w:rPr>
                <w:i/>
                <w:sz w:val="24"/>
              </w:rPr>
            </w:pPr>
            <w:r>
              <w:rPr>
                <w:i/>
                <w:sz w:val="24"/>
              </w:rPr>
              <w:t>Apéndice B . Consejo Editor ECORFAN</w:t>
            </w:r>
          </w:p>
        </w:tc>
        <w:tc>
          <w:tcPr>
            <w:tcW w:w="1220" w:type="dxa"/>
          </w:tcPr>
          <w:p>
            <w:pPr>
              <w:pStyle w:val="TableParagraph"/>
              <w:spacing w:line="240" w:lineRule="auto" w:before="120"/>
              <w:ind w:left="221"/>
              <w:rPr>
                <w:sz w:val="24"/>
              </w:rPr>
            </w:pPr>
            <w:r>
              <w:rPr>
                <w:sz w:val="24"/>
              </w:rPr>
              <w:t>396-397</w:t>
            </w:r>
          </w:p>
        </w:tc>
      </w:tr>
      <w:tr>
        <w:trPr>
          <w:trHeight w:val="396" w:hRule="exact"/>
        </w:trPr>
        <w:tc>
          <w:tcPr>
            <w:tcW w:w="9043" w:type="dxa"/>
          </w:tcPr>
          <w:p>
            <w:pPr>
              <w:pStyle w:val="TableParagraph"/>
              <w:spacing w:line="240" w:lineRule="auto" w:before="120"/>
              <w:ind w:left="200"/>
              <w:rPr>
                <w:i/>
                <w:sz w:val="24"/>
              </w:rPr>
            </w:pPr>
            <w:r>
              <w:rPr>
                <w:i/>
                <w:sz w:val="24"/>
              </w:rPr>
              <w:t>Apéndice C. Comité Arbitral ECORFAN</w:t>
            </w:r>
          </w:p>
        </w:tc>
        <w:tc>
          <w:tcPr>
            <w:tcW w:w="1220" w:type="dxa"/>
          </w:tcPr>
          <w:p>
            <w:pPr>
              <w:pStyle w:val="TableParagraph"/>
              <w:spacing w:line="240" w:lineRule="auto" w:before="120"/>
              <w:ind w:left="173"/>
              <w:rPr>
                <w:sz w:val="24"/>
              </w:rPr>
            </w:pPr>
            <w:r>
              <w:rPr>
                <w:sz w:val="24"/>
              </w:rPr>
              <w:t>398-400</w:t>
            </w:r>
          </w:p>
        </w:tc>
      </w:tr>
    </w:tbl>
    <w:p>
      <w:pPr>
        <w:spacing w:after="0" w:line="240" w:lineRule="auto"/>
        <w:rPr>
          <w:sz w:val="24"/>
        </w:rPr>
        <w:sectPr>
          <w:pgSz w:w="12240" w:h="15840"/>
          <w:pgMar w:top="1160" w:bottom="280" w:left="820" w:right="940"/>
        </w:sectPr>
      </w:pPr>
    </w:p>
    <w:p>
      <w:pPr>
        <w:spacing w:line="242" w:lineRule="auto" w:before="159"/>
        <w:ind w:left="112" w:right="150" w:firstLine="0"/>
        <w:jc w:val="left"/>
        <w:rPr>
          <w:b/>
          <w:sz w:val="28"/>
        </w:rPr>
      </w:pPr>
      <w:r>
        <w:rPr>
          <w:b/>
          <w:sz w:val="28"/>
        </w:rPr>
        <w:t>La crisis económica mundial y su efecto sobre los flujos migratorios de América Latina</w:t>
      </w:r>
    </w:p>
    <w:p>
      <w:pPr>
        <w:pStyle w:val="BodyText"/>
        <w:rPr>
          <w:b/>
          <w:sz w:val="28"/>
        </w:rPr>
      </w:pPr>
    </w:p>
    <w:p>
      <w:pPr>
        <w:pStyle w:val="BodyText"/>
        <w:spacing w:before="3"/>
        <w:rPr>
          <w:b/>
          <w:sz w:val="27"/>
        </w:rPr>
      </w:pPr>
    </w:p>
    <w:p>
      <w:pPr>
        <w:pStyle w:val="BodyText"/>
        <w:spacing w:before="1"/>
        <w:ind w:left="112" w:right="150"/>
      </w:pPr>
      <w:r>
        <w:rPr/>
        <w:t>GODÍNEZ-MONTOYA, Lucila, FIGUEROA-HERNÁNDEZ, Esther y PÉREZ-SOTO,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before="0"/>
        <w:ind w:left="112" w:right="6551" w:firstLine="0"/>
        <w:jc w:val="left"/>
        <w:rPr>
          <w:sz w:val="20"/>
        </w:rPr>
      </w:pPr>
      <w:r>
        <w:rPr>
          <w:sz w:val="20"/>
        </w:rPr>
        <w:t>L. Godínez, E. Figueroa y F. Pérez</w:t>
      </w:r>
    </w:p>
    <w:p>
      <w:pPr>
        <w:pStyle w:val="BodyText"/>
        <w:rPr>
          <w:sz w:val="20"/>
        </w:rPr>
      </w:pPr>
    </w:p>
    <w:p>
      <w:pPr>
        <w:spacing w:before="1"/>
        <w:ind w:left="112" w:right="150" w:firstLine="0"/>
        <w:jc w:val="left"/>
        <w:rPr>
          <w:sz w:val="20"/>
        </w:rPr>
      </w:pPr>
      <w:r>
        <w:rPr>
          <w:sz w:val="20"/>
        </w:rPr>
        <w:t>Centro Universitario UAEM Texcoco, Universidad Autónoma del Estado de México. Av. Jardín Zumpango S/N Fracc. El Tejocote, Texcoco, Estado de México. C.P. 56259.</w:t>
      </w:r>
    </w:p>
    <w:p>
      <w:pPr>
        <w:spacing w:line="229" w:lineRule="exact" w:before="0"/>
        <w:ind w:left="112" w:right="7378" w:firstLine="0"/>
        <w:jc w:val="left"/>
        <w:rPr>
          <w:sz w:val="20"/>
        </w:rPr>
      </w:pPr>
      <w:hyperlink r:id="rId6">
        <w:r>
          <w:rPr>
            <w:sz w:val="20"/>
          </w:rPr>
          <w:t>lgodinezm76@gmail.com</w:t>
        </w:r>
      </w:hyperlink>
    </w:p>
    <w:p>
      <w:pPr>
        <w:spacing w:line="229" w:lineRule="exact" w:before="0"/>
        <w:ind w:left="112" w:right="150" w:firstLine="0"/>
        <w:jc w:val="left"/>
        <w:rPr>
          <w:sz w:val="20"/>
        </w:rPr>
      </w:pPr>
      <w:r>
        <w:rPr>
          <w:sz w:val="20"/>
        </w:rPr>
        <w:t>Universidad Autónoma Chapingo, km 38.5 Carretera México-Texcoco. Chapingo, México. C.P. 56230.</w:t>
      </w:r>
    </w:p>
    <w:p>
      <w:pPr>
        <w:pStyle w:val="BodyText"/>
        <w:rPr>
          <w:sz w:val="20"/>
        </w:rPr>
      </w:pPr>
    </w:p>
    <w:p>
      <w:pPr>
        <w:spacing w:line="261" w:lineRule="auto" w:before="0"/>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headerReference w:type="default" r:id="rId5"/>
          <w:pgSz w:w="12240" w:h="15840"/>
          <w:pgMar w:header="731" w:footer="0" w:top="960" w:bottom="280" w:left="1020" w:right="1020"/>
          <w:pgNumType w:start="203"/>
        </w:sectPr>
      </w:pPr>
    </w:p>
    <w:p>
      <w:pPr>
        <w:pStyle w:val="Heading1"/>
        <w:ind w:firstLine="0"/>
      </w:pPr>
      <w:r>
        <w:rPr/>
        <w:t>Abstract</w:t>
      </w:r>
    </w:p>
    <w:p>
      <w:pPr>
        <w:pStyle w:val="BodyText"/>
        <w:spacing w:line="259" w:lineRule="auto" w:before="180"/>
        <w:ind w:left="112" w:right="109"/>
        <w:jc w:val="both"/>
      </w:pPr>
      <w:r>
        <w:rPr/>
        <w:t>Migration flows from Latin America are not recent. The United States has long been the preferred destination for migrants from the region presenting significant high and low according to the behavior of recent years. Moreover, for years the European population was who migrated to the Americas, however, the mid-twentieth century a change in migration trends so that Latin America went from being a recipient to a region of emigrants ejection region was presented. Under this scenario in the nineties and in the 2000s began to increase significantly the migration flows to Europe (Spain, Italy, France and Portugal, among the most important), Japan and Canada; however, in the first decade of the century high levels of emigration were recorded particularly to the United States and Spain framed in the new era of international migration. Despite the upward trend, from 2008 flows directed mainly to European countries began to decline dramatically. Due to the above, the present study was to analyze the effect caused by the global economic crisis in the first decade of the century on migration flows in Latin America, which has further adverse effects on developed countries mainly those countries of destination of these migrants. Relevant information indicates that these flows have changed now becoming increasingly</w:t>
      </w:r>
      <w:r>
        <w:rPr>
          <w:spacing w:val="-3"/>
        </w:rPr>
        <w:t> </w:t>
      </w:r>
      <w:r>
        <w:rPr/>
        <w:t>complex.</w:t>
      </w:r>
    </w:p>
    <w:p>
      <w:pPr>
        <w:pStyle w:val="Heading1"/>
        <w:spacing w:before="166"/>
        <w:ind w:firstLine="0"/>
      </w:pPr>
      <w:r>
        <w:rPr/>
        <w:t>16 Introducción</w:t>
      </w:r>
    </w:p>
    <w:p>
      <w:pPr>
        <w:pStyle w:val="BodyText"/>
        <w:spacing w:line="259" w:lineRule="auto" w:before="180"/>
        <w:ind w:left="112" w:right="113"/>
        <w:jc w:val="both"/>
      </w:pPr>
      <w:r>
        <w:rPr/>
        <w:t>La migración internacional ha sido una constante en la historia de América Latina y el Caribe (ALC), que desde la colonia hasta mediados del siglo XX recibió un elevado contingente de población europea. Estos inmigrantes dominaron la escena migratoria entre mediados del siglo XIX y comienzos del  siglo</w:t>
      </w:r>
    </w:p>
    <w:p>
      <w:pPr>
        <w:pStyle w:val="BodyText"/>
        <w:spacing w:line="259" w:lineRule="auto"/>
        <w:ind w:left="112" w:right="110"/>
        <w:jc w:val="both"/>
      </w:pPr>
      <w:r>
        <w:rPr/>
        <w:t>XX. También llegaron grupos procedentes de otras regiones, como por ejemplo de África debido al traslado forzoso vinculado al sistema esclavista vigente hasta el siglo XIX, Asia (Chinos y japoneses)  </w:t>
      </w:r>
      <w:r>
        <w:rPr>
          <w:spacing w:val="-3"/>
        </w:rPr>
        <w:t>y, </w:t>
      </w:r>
      <w:r>
        <w:rPr/>
        <w:t>en menor medida, el Medio Oriente (CEPAL, 2008). Sin embargo, a mediados del siglo XX, la región empezó a perder su tradicional atractivo para los inmigrantes (A la vez que se erigían nuevas barreras para limitar los flujos inmigratorios) y empezaron a adquirir mucho más dinamismo las migraciones dentro de la propia región y los desplazamientos hacia el exterior </w:t>
      </w:r>
      <w:hyperlink r:id="rId7">
        <w:r>
          <w:rPr/>
          <w:t>http://www.corporacionescenarios.org/zav_admin/spaw/uploads/files/Biarritz06.migraciones.pdf</w:t>
        </w:r>
      </w:hyperlink>
      <w:r>
        <w:rPr/>
        <w:t> (30 de noviembre de 2013); es decir, a mediados del siglo XX se produce un punto de inflexión en la dinámica migratoria latinoamericana. América Latina pasó desde entonces de haber sido receptora de millones de migrantes internacionales durante siglos a ser una región expulsora de población. Resulta interesante observar como la expulsión de población se incrementó coincidiendo con momentos de fuertes crisis económicas. Tras la crisis de la deuda de 1982, que dio pasado a la conocida como década pérdida </w:t>
      </w:r>
      <w:r>
        <w:rPr>
          <w:spacing w:val="2"/>
        </w:rPr>
        <w:t>para </w:t>
      </w:r>
      <w:r>
        <w:rPr/>
        <w:t>el desarrollo de América Latina, se observa un fuerte crecimiento de la emigración en la región durante el quinquenio 1980-1985. Posteriormente, se da un fenómeno similar entre el 2000 y el 2005, en cuyas causas esta la masiva emigración de los ecuatorianos a raíz de la profunda crisis política y económica que sufrió el país andino en 1999, los efectos de la crisis argentina de 2001 que desequilibró la balanza a favor de la migración para muchos argentinos, o las consecuencias de las severas recesiones económicas de Colombia y República Dominicana a finales de los años noventa. Junto a estos determinantes económicos la emigración también se vio impulsada desde el inicio del siglo XXI por la propia globalización de las migraciones (Grande, 2010), registrándose, incluso, altísimos niveles de emigración extra regional, en particular hacia Estados Unidos y España, este último país se consolidó como el segundo país de destino de los emigrantes de la región (OIM,</w:t>
      </w:r>
      <w:r>
        <w:rPr>
          <w:spacing w:val="-13"/>
        </w:rPr>
        <w:t> </w:t>
      </w:r>
      <w:r>
        <w:rPr/>
        <w:t>2012).</w:t>
      </w:r>
    </w:p>
    <w:p>
      <w:pPr>
        <w:spacing w:after="0" w:line="259" w:lineRule="auto"/>
        <w:jc w:val="both"/>
        <w:sectPr>
          <w:pgSz w:w="12240" w:h="15840"/>
          <w:pgMar w:header="731" w:footer="0" w:top="960" w:bottom="280" w:left="1020" w:right="1020"/>
        </w:sectPr>
      </w:pPr>
    </w:p>
    <w:p>
      <w:pPr>
        <w:pStyle w:val="BodyText"/>
        <w:spacing w:line="259" w:lineRule="auto" w:before="156"/>
        <w:ind w:left="112" w:right="113" w:firstLine="708"/>
        <w:jc w:val="both"/>
      </w:pPr>
      <w:r>
        <w:rPr/>
        <w:t>Los datos confirman que más del 80.0% de los emigrantes latinoamericanos se dirigen hacia países desarrollados (América del Norte o Europa), lo que viene a reafirmar la tendencia creciente de las migraciones Norte-Sur. Estados Unidos es el principal destino con un 69.0% del total de latinoamericanos que viven en el extranjero. Desde la década del 2000 ha ido en aumento el número de países de la región que mantienen flujos significativos y constantes de emigración; y se han diversificado los destinos internacionales, sobresaliendo la irrupción de España como uno de los destinos más importantes de los latinoamericanos (Y no por casualidad los principales colectivos latinos en España son los ecuatorianos, colombianos y argentinos). En 2009 en España había 1’871,239 latinoamericanos, un 34.0% del total de nacidos en el extranjero que residían en España en ese año. Pese a ello es cierto que se mantienen las migraciones intrarregionales y que tienen un peso significativo aunque no suelen ser tan ampliamente estudiadas. Más del 13.0% de los emigrantes se asientan en otro país latinoamericano. Las migraciones intrarregionales en América Latina se vieron también bastante afectadas por los efectos de las crisis de Argentina y de Venezuela que han sido históricamente los países que han ejercido una mayor atracción migratoria (Grande,</w:t>
      </w:r>
      <w:r>
        <w:rPr>
          <w:spacing w:val="-15"/>
        </w:rPr>
        <w:t> </w:t>
      </w:r>
      <w:r>
        <w:rPr/>
        <w:t>2010).</w:t>
      </w:r>
    </w:p>
    <w:p>
      <w:pPr>
        <w:pStyle w:val="BodyText"/>
        <w:spacing w:line="259" w:lineRule="auto" w:before="161"/>
        <w:ind w:left="112" w:right="112" w:firstLine="708"/>
        <w:jc w:val="both"/>
      </w:pPr>
      <w:r>
        <w:rPr/>
        <w:t>En resumen, un conjunto de factores permite configurar el escenario del actual panorama migratorio de América Latina. Entre ellos se pueden mencionar las recurrentes crisis económicas y políticas que en distintos momentos han afectado a diversos países de la región y que en varios casos se han prolongado en el tiempo. También hay que tener en cuenta que el desarrollo de las comunicaciones y la disminución de los costes de transporte han permitido que la opción de migrar esté disponible para amplios sectores de las sociedades de la región, transformando el fenómeno migratorio en un fenómeno transcontinental de mayores dimensiones que antes. Según datos del Centro Latinoamericano y Caribeño de Demografía (CELADE), el número de emigrantes caribeños y latinoamericanos se ha incrementado notablemente en los últimos años y ha pasado de los 21 millones en 2000 a 25 millones en 2005 (Lo que representa el 12.0% del total la inmigración internacional). De esta última cifra, alrededor de 22 millones se dirigieron hacia América del Norte, Europa y Japón, mientras que cerca de 3 millones corresponden a migraciones interregionales.</w:t>
      </w:r>
    </w:p>
    <w:p>
      <w:pPr>
        <w:pStyle w:val="BodyText"/>
        <w:spacing w:line="398" w:lineRule="auto" w:before="158"/>
        <w:ind w:left="112" w:right="568"/>
      </w:pPr>
      <w:hyperlink r:id="rId7">
        <w:r>
          <w:rPr/>
          <w:t>http://www.corporacionescenarios.org/zav_admin/spaw/uploads/files/Biarritz06.migraciones.pdf</w:t>
        </w:r>
      </w:hyperlink>
      <w:r>
        <w:rPr/>
        <w:t> (30 de noviembre de 2013).</w:t>
      </w:r>
    </w:p>
    <w:p>
      <w:pPr>
        <w:pStyle w:val="BodyText"/>
        <w:spacing w:line="256" w:lineRule="auto" w:before="9"/>
        <w:ind w:left="112" w:right="116" w:firstLine="708"/>
        <w:jc w:val="both"/>
      </w:pPr>
      <w:r>
        <w:rPr/>
        <w:t>Derivado de lo anterior, el objetivo de la presente investigación consistió en analizar el efecto provocado por la crisis económica mundial de la primera década del siglo XXI sobre los flujos migratorios de América Latina.</w:t>
      </w:r>
    </w:p>
    <w:p>
      <w:pPr>
        <w:pStyle w:val="Heading1"/>
        <w:numPr>
          <w:ilvl w:val="1"/>
          <w:numId w:val="2"/>
        </w:numPr>
        <w:tabs>
          <w:tab w:pos="594" w:val="left" w:leader="none"/>
        </w:tabs>
        <w:spacing w:line="240" w:lineRule="auto" w:before="168" w:after="0"/>
        <w:ind w:left="593" w:right="0" w:hanging="481"/>
        <w:jc w:val="both"/>
      </w:pPr>
      <w:r>
        <w:rPr/>
        <w:t>Materiales y</w:t>
      </w:r>
      <w:r>
        <w:rPr>
          <w:spacing w:val="-4"/>
        </w:rPr>
        <w:t> </w:t>
      </w:r>
      <w:r>
        <w:rPr/>
        <w:t>métodos</w:t>
      </w:r>
    </w:p>
    <w:p>
      <w:pPr>
        <w:pStyle w:val="BodyText"/>
        <w:spacing w:line="259" w:lineRule="auto" w:before="180"/>
        <w:ind w:left="112" w:right="114"/>
        <w:jc w:val="both"/>
      </w:pPr>
      <w:r>
        <w:rPr/>
        <w:t>Para llevar a cabo el presente trabajo, se realizó una revisión bibliográfica en diversas fuentes relacionadas con el tema. Para ello se revisaron investigaciones tanto nacionales como internaciones de autores e instituciones encargadas de proveer información acerca de la temática, tales como: la Organización Internacional para las Migraciones (OIM), el Instituto Nacional de Estadísticas (INE) de España, Comisión Económica para América Latina y el Caribe (CEPAL), entre otras.</w:t>
      </w:r>
    </w:p>
    <w:p>
      <w:pPr>
        <w:spacing w:after="0" w:line="259" w:lineRule="auto"/>
        <w:jc w:val="both"/>
        <w:sectPr>
          <w:pgSz w:w="12240" w:h="15840"/>
          <w:pgMar w:header="731" w:footer="0" w:top="960" w:bottom="280" w:left="1020" w:right="1020"/>
        </w:sectPr>
      </w:pPr>
    </w:p>
    <w:p>
      <w:pPr>
        <w:pStyle w:val="Heading1"/>
        <w:numPr>
          <w:ilvl w:val="1"/>
          <w:numId w:val="2"/>
        </w:numPr>
        <w:tabs>
          <w:tab w:pos="593" w:val="left" w:leader="none"/>
        </w:tabs>
        <w:spacing w:line="240" w:lineRule="auto" w:before="158" w:after="0"/>
        <w:ind w:left="592" w:right="0" w:hanging="480"/>
        <w:jc w:val="left"/>
      </w:pPr>
      <w:r>
        <w:rPr/>
        <w:t>Resultados</w:t>
      </w:r>
    </w:p>
    <w:p>
      <w:pPr>
        <w:pStyle w:val="BodyText"/>
        <w:spacing w:line="256" w:lineRule="auto" w:before="180"/>
        <w:ind w:left="112" w:right="150"/>
      </w:pPr>
      <w:r>
        <w:rPr/>
        <w:t>Efecto de la crisis financiera y económica mundial sobre los países de origen y destino de la migración internacional</w:t>
      </w:r>
    </w:p>
    <w:p>
      <w:pPr>
        <w:pStyle w:val="BodyText"/>
        <w:spacing w:line="259" w:lineRule="auto" w:before="166"/>
        <w:ind w:left="112" w:right="108" w:firstLine="708"/>
        <w:jc w:val="both"/>
      </w:pPr>
      <w:r>
        <w:rPr/>
        <w:t>Con la crisis económica mundial que empezó a visibilizarse a finales del año 2008 y se difundió de las economías desarrolladas a las economías en desarrollo a lo largo del año 2009, la situación económica de muchos países, empezando por Estados Unidos, primer país de inmigración del mundo, ha colapsado de manera dramática. La recesión económica mundial actual es el resultado de una crisis financiera que sancionó una década de optimismo inquebrantable y de exuberancia sobre los mercados financieros y especialmente sobre el mercado estadounidense. Alentado por el optimismo macroeconómico y financiero reinante, las tasas de interés bajaron y los créditos para vivienda se otorgaron a los hogares en condiciones muy favorables, pero irrealistas e insostenibles, lo que introdujo un fragilidad estructural al sistema y alimentó una economía de burbujas. A finales del 2006, la burbuja de la vivienda en Estados Unidos empezó a debilitarse. Según el </w:t>
      </w:r>
      <w:r>
        <w:rPr>
          <w:i/>
        </w:rPr>
        <w:t>National Bureau of Economic </w:t>
      </w:r>
      <w:r>
        <w:rPr>
          <w:i/>
        </w:rPr>
        <w:t>Research </w:t>
      </w:r>
      <w:r>
        <w:rPr/>
        <w:t>(NBER) la recesión inició oficialmente durante el último trimestre del año 2007. Sin embargo, llegó a su máxima expresión a finales del año 2008 y durante el año 2009, cuando se contagió de las economías industrializadas al resto del mundo, como lo indicó la tendencia hacia la baja de la mayoría de los indicadores económicos pertinentes, es decir, la tasa de empleo, el Producto Interno Bruto (PIB), la producción industrial, el gasto de consumo, entre otros. Esta crisis se caracteriza, entre otras cosas, por la tremenda destrucción de empleos que generó. Las primeras víctimas del desempleo y las más vulnerables en las economías occidentales son los trabajadores inmigrantes. En este escenario todos son perdedores: los países de origen de los migrantes pierden un importante flujo de remesas, que muchas veces ocupa un lugar esencial en su balanza de pagos; los países de recepción pierden trabajadores que contribuían al dinamismo económico del país y añaden a las problemáticas socio- económicas (d'Anglejan,</w:t>
      </w:r>
      <w:r>
        <w:rPr>
          <w:spacing w:val="-6"/>
        </w:rPr>
        <w:t> </w:t>
      </w:r>
      <w:r>
        <w:rPr/>
        <w:t>2009).</w:t>
      </w:r>
    </w:p>
    <w:p>
      <w:pPr>
        <w:pStyle w:val="BodyText"/>
        <w:spacing w:line="259" w:lineRule="auto" w:before="163"/>
        <w:ind w:left="112" w:right="110" w:firstLine="708"/>
        <w:jc w:val="both"/>
      </w:pPr>
      <w:r>
        <w:rPr/>
        <w:t>De manera que, los países desarrollados sufrieron una fuerte recesión de la actividad económica que afecto especialmente al empleo (Grande, 2010). La mayoría los países de alto ingreso de la Organización para la Cooperación y el Desarrollo Económico (OCDE) han conocido con esta crisis niveles récord de desempleo. Según la </w:t>
      </w:r>
      <w:r>
        <w:rPr>
          <w:i/>
        </w:rPr>
        <w:t>OECD Employment Outlook </w:t>
      </w:r>
      <w:r>
        <w:rPr/>
        <w:t>del año 2009, en adición a los 10 millones de empleos que fueron destruidos entre finales del 2007 y el 2009 en los países de la misma organización, la recesión económica destruiría 25 millones de empleos adicionales antes de alcanzar su punto máximo durante el año 2010. </w:t>
      </w:r>
      <w:r>
        <w:rPr>
          <w:spacing w:val="-3"/>
        </w:rPr>
        <w:t>La </w:t>
      </w:r>
      <w:r>
        <w:rPr/>
        <w:t>tasa de desempleo promedio en las economías de la OCDE  pudo alcanzar el 10.0% en la segunda parte del año 2010. Estas proyecciones fueron aún más significativas si se tiene en cuenta que a finales del 2007 estos países alcanzaron un récord opuesto: una tasa de desempleo de 5.7%, nivel más bajo del desempleo durante los últimos 25 años. En Estados Unidos, en septiembre de 2009, la tasa de desempleo alcanzó los 9.8% según el </w:t>
      </w:r>
      <w:r>
        <w:rPr>
          <w:i/>
        </w:rPr>
        <w:t>US Department of </w:t>
      </w:r>
      <w:r>
        <w:rPr>
          <w:i/>
        </w:rPr>
        <w:t>Labor</w:t>
      </w:r>
      <w:r>
        <w:rPr/>
        <w:t>. En Europa, España ha sido uno de los países más impactado por la crisis: en el segundo  trimestre del año 2009, la tasa de desempleo alcanzó 17.9% (d'Anglejan, 2009). Para octubre de 2011  se estima que las personas desempleadas en España eran más de 4.2 millones, de los cuales 591,000 eran extranjeras, registrando la cifra más alta de los últimos quince años (OIM,</w:t>
      </w:r>
      <w:r>
        <w:rPr>
          <w:spacing w:val="-16"/>
        </w:rPr>
        <w:t> </w:t>
      </w:r>
      <w:r>
        <w:rPr/>
        <w:t>2012).</w:t>
      </w:r>
    </w:p>
    <w:p>
      <w:pPr>
        <w:spacing w:after="0" w:line="259" w:lineRule="auto"/>
        <w:jc w:val="both"/>
        <w:sectPr>
          <w:pgSz w:w="12240" w:h="15840"/>
          <w:pgMar w:header="731" w:footer="0" w:top="960" w:bottom="280" w:left="1020" w:right="1020"/>
        </w:sectPr>
      </w:pPr>
    </w:p>
    <w:p>
      <w:pPr>
        <w:pStyle w:val="BodyText"/>
        <w:spacing w:line="259" w:lineRule="auto" w:before="156"/>
        <w:ind w:left="112" w:right="113" w:firstLine="708"/>
        <w:jc w:val="both"/>
      </w:pPr>
      <w:r>
        <w:rPr/>
        <w:t>De manera que, la Gran Recesión de 2008-2009 tuvo un efecto devastador en la economía de España; también la economía de Estados Unidos se vio fuertemente afectada, en donde vivía incluso un mayor porcentaje de migrantes de las Américas. En particular se vio afectado el sector de la construcción en donde trabajaban muchos inmigrantes. Las oportunidades de trabajo son ahora mucho más escasas y la competencia entre los trabajadores nacidos en el país de destino y los inmigrantes es más intensa. Esto se refleja en los resultados del mercado laboral de los migrantes de las Américas (OEA, 2012).</w:t>
      </w:r>
    </w:p>
    <w:p>
      <w:pPr>
        <w:pStyle w:val="BodyText"/>
        <w:spacing w:line="259" w:lineRule="auto" w:before="163"/>
        <w:ind w:left="112" w:right="112" w:firstLine="708"/>
        <w:jc w:val="both"/>
      </w:pPr>
      <w:r>
        <w:rPr/>
        <w:t>Ya que en general, los migrantes se emplean en sectores de la economía de alta flexibilidad; es decir, consiguen empleo en sectores que se ven fuertemente afectados en situaciones de crisis. La tasa de desempleo es mayor entre la población migrante que entre los nativos en los principales países de la Unión Europea (UE) en los que residen migrantes originarios de ALC. Por ejemplo, en España en 2008 la tasa de desempleo entre hombres nacidos en otros países era del 15.2% frente al 10.2% de la de los españoles. En Portugal las tasas fueron mayores tanto para hombres como mujeres extranjeras,  mientras que en Italia esta tasa fue mayor entre las mujeres migrantes (18.4%) que entre las italianas (14.6%). Generalmente, estas desigualdades se potencian en los períodos de crisis. Por otro lado, una proporción importante de los inmigrantes se emplean en actividades para las cuales se encuentran sobre cualificados. Esta tendencia es más pronunciada en los países del sur de Europa como España, Italia y Grecia, y del norte del continente, como Suecia y Dinamarca. En estos países el porcentaje de migrantes con un empleo para el cual se encuentran sobre calificados es de, al menos el doble que el registrado para las personas nacidas en esos países europeos (OIM, 2012). El importante aumento del desempleo, principalmente en España y en Estados Unidos, ha afectado en mayor medida a los inmigrantes latinos situados por lo general en mercados de trabajo secundario (Grande,</w:t>
      </w:r>
      <w:r>
        <w:rPr>
          <w:spacing w:val="-12"/>
        </w:rPr>
        <w:t> </w:t>
      </w:r>
      <w:r>
        <w:rPr/>
        <w:t>2010).</w:t>
      </w:r>
    </w:p>
    <w:p>
      <w:pPr>
        <w:spacing w:before="161"/>
        <w:ind w:left="821" w:right="150" w:firstLine="0"/>
        <w:jc w:val="left"/>
        <w:rPr>
          <w:i/>
          <w:sz w:val="24"/>
        </w:rPr>
      </w:pPr>
      <w:r>
        <w:rPr>
          <w:i/>
          <w:sz w:val="24"/>
        </w:rPr>
        <w:t>Efecto de la crisis económica mundial sobre los flujos migratorios</w:t>
      </w:r>
    </w:p>
    <w:p>
      <w:pPr>
        <w:pStyle w:val="BodyText"/>
        <w:spacing w:line="259" w:lineRule="auto" w:before="185"/>
        <w:ind w:left="112" w:right="112" w:firstLine="708"/>
        <w:jc w:val="both"/>
      </w:pPr>
      <w:r>
        <w:rPr/>
        <w:t>Desde que comenzó la crisis se conjeturó sobre una marcada reducción del flujo de inmigrantes admitidos en diversos países, especialmente los que constituyen destinos tradicionales. El ingreso efectivamente parece haber disminuido, pero estos flujos no han desaparecido. Según los resultados definitivos del empadronamiento municipal del Instituto Nacional de Estadística (INE) de España,  entre 2008 y 2009 el stock de inmigrantes en ese país (Todos los nacidos en el extranjero, incluidos aquellos de nacionalidad española adquirida) se incrementó en un 7.0%, el menor aumento de la década. La tendencia se repite en los inmigrantes nacidos en América Latina, y las disminuciones parecen ser mucho más agudas, llegando a valores negativos en el caso del Estado Plurinacional de Bolivia durante el período 2008-2009. Con todo, las imágenes indican que esta desaceleración venía produciéndose incluso antes de que estallara la crisis (CEPAL-CELADE,</w:t>
      </w:r>
      <w:r>
        <w:rPr>
          <w:spacing w:val="-13"/>
        </w:rPr>
        <w:t> </w:t>
      </w:r>
      <w:r>
        <w:rPr/>
        <w:t>2010).</w:t>
      </w:r>
    </w:p>
    <w:p>
      <w:pPr>
        <w:spacing w:after="0" w:line="259" w:lineRule="auto"/>
        <w:jc w:val="both"/>
        <w:sectPr>
          <w:pgSz w:w="12240" w:h="15840"/>
          <w:pgMar w:header="731" w:footer="0" w:top="960" w:bottom="280" w:left="1020" w:right="1020"/>
        </w:sectPr>
      </w:pPr>
    </w:p>
    <w:p>
      <w:pPr>
        <w:pStyle w:val="BodyText"/>
        <w:rPr>
          <w:sz w:val="17"/>
        </w:rPr>
      </w:pPr>
    </w:p>
    <w:tbl>
      <w:tblPr>
        <w:tblW w:w="0" w:type="auto"/>
        <w:jc w:val="left"/>
        <w:tblInd w:w="10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90"/>
        <w:gridCol w:w="1198"/>
        <w:gridCol w:w="1786"/>
        <w:gridCol w:w="636"/>
        <w:gridCol w:w="1601"/>
        <w:gridCol w:w="636"/>
        <w:gridCol w:w="1443"/>
        <w:gridCol w:w="636"/>
        <w:gridCol w:w="718"/>
      </w:tblGrid>
      <w:tr>
        <w:trPr>
          <w:trHeight w:val="1234" w:hRule="exact"/>
        </w:trPr>
        <w:tc>
          <w:tcPr>
            <w:tcW w:w="1390" w:type="dxa"/>
          </w:tcPr>
          <w:p>
            <w:pPr/>
          </w:p>
        </w:tc>
        <w:tc>
          <w:tcPr>
            <w:tcW w:w="1198" w:type="dxa"/>
          </w:tcPr>
          <w:p>
            <w:pPr>
              <w:pStyle w:val="TableParagraph"/>
              <w:spacing w:line="238" w:lineRule="exact"/>
              <w:ind w:left="96"/>
              <w:rPr>
                <w:sz w:val="21"/>
              </w:rPr>
            </w:pPr>
            <w:r>
              <w:rPr>
                <w:sz w:val="21"/>
              </w:rPr>
              <w:t>Total</w:t>
            </w:r>
          </w:p>
        </w:tc>
        <w:tc>
          <w:tcPr>
            <w:tcW w:w="1786" w:type="dxa"/>
          </w:tcPr>
          <w:p>
            <w:pPr>
              <w:pStyle w:val="TableParagraph"/>
              <w:tabs>
                <w:tab w:pos="1408" w:val="left" w:leader="none"/>
                <w:tab w:pos="1466" w:val="left" w:leader="none"/>
              </w:tabs>
              <w:spacing w:line="259" w:lineRule="auto"/>
              <w:ind w:right="88"/>
              <w:rPr>
                <w:sz w:val="21"/>
              </w:rPr>
            </w:pPr>
            <w:r>
              <w:rPr>
                <w:sz w:val="21"/>
              </w:rPr>
              <w:t>Misma nacionalidad</w:t>
              <w:tab/>
              <w:t>del país</w:t>
              <w:tab/>
              <w:tab/>
              <w:t>de</w:t>
            </w:r>
          </w:p>
          <w:p>
            <w:pPr>
              <w:pStyle w:val="TableParagraph"/>
              <w:spacing w:line="240" w:lineRule="auto" w:before="1"/>
              <w:rPr>
                <w:sz w:val="21"/>
              </w:rPr>
            </w:pPr>
            <w:r>
              <w:rPr>
                <w:sz w:val="21"/>
              </w:rPr>
              <w:t>nacimiento</w:t>
            </w:r>
          </w:p>
        </w:tc>
        <w:tc>
          <w:tcPr>
            <w:tcW w:w="636" w:type="dxa"/>
          </w:tcPr>
          <w:p>
            <w:pPr>
              <w:pStyle w:val="TableParagraph"/>
              <w:spacing w:line="238" w:lineRule="exact"/>
              <w:ind w:left="96"/>
              <w:rPr>
                <w:sz w:val="21"/>
              </w:rPr>
            </w:pPr>
            <w:r>
              <w:rPr>
                <w:w w:val="100"/>
                <w:sz w:val="21"/>
              </w:rPr>
              <w:t>%</w:t>
            </w:r>
          </w:p>
        </w:tc>
        <w:tc>
          <w:tcPr>
            <w:tcW w:w="1601" w:type="dxa"/>
          </w:tcPr>
          <w:p>
            <w:pPr>
              <w:pStyle w:val="TableParagraph"/>
              <w:spacing w:line="256" w:lineRule="auto"/>
              <w:ind w:left="95" w:right="337"/>
              <w:rPr>
                <w:sz w:val="21"/>
              </w:rPr>
            </w:pPr>
            <w:r>
              <w:rPr>
                <w:sz w:val="21"/>
              </w:rPr>
              <w:t>Nacionalidad española</w:t>
            </w:r>
          </w:p>
        </w:tc>
        <w:tc>
          <w:tcPr>
            <w:tcW w:w="636" w:type="dxa"/>
          </w:tcPr>
          <w:p>
            <w:pPr>
              <w:pStyle w:val="TableParagraph"/>
              <w:spacing w:line="238" w:lineRule="exact"/>
              <w:ind w:left="96"/>
              <w:rPr>
                <w:sz w:val="21"/>
              </w:rPr>
            </w:pPr>
            <w:r>
              <w:rPr>
                <w:w w:val="100"/>
                <w:sz w:val="21"/>
              </w:rPr>
              <w:t>%</w:t>
            </w:r>
          </w:p>
        </w:tc>
        <w:tc>
          <w:tcPr>
            <w:tcW w:w="1443" w:type="dxa"/>
          </w:tcPr>
          <w:p>
            <w:pPr>
              <w:pStyle w:val="TableParagraph"/>
              <w:spacing w:line="417" w:lineRule="auto"/>
              <w:ind w:left="95" w:right="226"/>
              <w:rPr>
                <w:sz w:val="21"/>
              </w:rPr>
            </w:pPr>
            <w:r>
              <w:rPr>
                <w:sz w:val="21"/>
              </w:rPr>
              <w:t>Otra nacionalidad</w:t>
            </w:r>
          </w:p>
        </w:tc>
        <w:tc>
          <w:tcPr>
            <w:tcW w:w="636" w:type="dxa"/>
          </w:tcPr>
          <w:p>
            <w:pPr>
              <w:pStyle w:val="TableParagraph"/>
              <w:spacing w:line="238" w:lineRule="exact"/>
              <w:ind w:left="95"/>
              <w:rPr>
                <w:sz w:val="21"/>
              </w:rPr>
            </w:pPr>
            <w:r>
              <w:rPr>
                <w:w w:val="100"/>
                <w:sz w:val="21"/>
              </w:rPr>
              <w:t>%</w:t>
            </w:r>
          </w:p>
        </w:tc>
        <w:tc>
          <w:tcPr>
            <w:tcW w:w="718" w:type="dxa"/>
          </w:tcPr>
          <w:p>
            <w:pPr>
              <w:pStyle w:val="TableParagraph"/>
              <w:spacing w:line="238" w:lineRule="exact"/>
              <w:ind w:left="37" w:right="97"/>
              <w:jc w:val="center"/>
              <w:rPr>
                <w:sz w:val="21"/>
              </w:rPr>
            </w:pPr>
            <w:r>
              <w:rPr>
                <w:sz w:val="21"/>
              </w:rPr>
              <w:t>RM*</w:t>
            </w:r>
          </w:p>
        </w:tc>
      </w:tr>
      <w:tr>
        <w:trPr>
          <w:trHeight w:val="451" w:hRule="exact"/>
        </w:trPr>
        <w:tc>
          <w:tcPr>
            <w:tcW w:w="1390" w:type="dxa"/>
          </w:tcPr>
          <w:p>
            <w:pPr>
              <w:pStyle w:val="TableParagraph"/>
              <w:spacing w:line="235" w:lineRule="exact"/>
              <w:ind w:left="96" w:right="218"/>
              <w:rPr>
                <w:sz w:val="21"/>
              </w:rPr>
            </w:pPr>
            <w:r>
              <w:rPr>
                <w:sz w:val="21"/>
              </w:rPr>
              <w:t>Argentina</w:t>
            </w:r>
          </w:p>
        </w:tc>
        <w:tc>
          <w:tcPr>
            <w:tcW w:w="1198" w:type="dxa"/>
          </w:tcPr>
          <w:p>
            <w:pPr>
              <w:pStyle w:val="TableParagraph"/>
              <w:spacing w:line="235" w:lineRule="exact"/>
              <w:ind w:left="96"/>
              <w:rPr>
                <w:sz w:val="21"/>
              </w:rPr>
            </w:pPr>
            <w:r>
              <w:rPr>
                <w:sz w:val="21"/>
              </w:rPr>
              <w:t>295,401</w:t>
            </w:r>
          </w:p>
        </w:tc>
        <w:tc>
          <w:tcPr>
            <w:tcW w:w="1786" w:type="dxa"/>
          </w:tcPr>
          <w:p>
            <w:pPr>
              <w:pStyle w:val="TableParagraph"/>
              <w:spacing w:line="235" w:lineRule="exact"/>
              <w:rPr>
                <w:sz w:val="21"/>
              </w:rPr>
            </w:pPr>
            <w:r>
              <w:rPr>
                <w:sz w:val="21"/>
              </w:rPr>
              <w:t>138,190</w:t>
            </w:r>
          </w:p>
        </w:tc>
        <w:tc>
          <w:tcPr>
            <w:tcW w:w="636" w:type="dxa"/>
          </w:tcPr>
          <w:p>
            <w:pPr>
              <w:pStyle w:val="TableParagraph"/>
              <w:spacing w:line="235" w:lineRule="exact"/>
              <w:ind w:left="96"/>
              <w:rPr>
                <w:sz w:val="21"/>
              </w:rPr>
            </w:pPr>
            <w:r>
              <w:rPr>
                <w:sz w:val="21"/>
              </w:rPr>
              <w:t>46.8</w:t>
            </w:r>
          </w:p>
        </w:tc>
        <w:tc>
          <w:tcPr>
            <w:tcW w:w="1601" w:type="dxa"/>
          </w:tcPr>
          <w:p>
            <w:pPr>
              <w:pStyle w:val="TableParagraph"/>
              <w:spacing w:line="235" w:lineRule="exact"/>
              <w:ind w:left="95" w:right="337"/>
              <w:rPr>
                <w:sz w:val="21"/>
              </w:rPr>
            </w:pPr>
            <w:r>
              <w:rPr>
                <w:sz w:val="21"/>
              </w:rPr>
              <w:t>99,829</w:t>
            </w:r>
          </w:p>
        </w:tc>
        <w:tc>
          <w:tcPr>
            <w:tcW w:w="636" w:type="dxa"/>
          </w:tcPr>
          <w:p>
            <w:pPr>
              <w:pStyle w:val="TableParagraph"/>
              <w:spacing w:line="235" w:lineRule="exact"/>
              <w:ind w:left="96"/>
              <w:rPr>
                <w:sz w:val="21"/>
              </w:rPr>
            </w:pPr>
            <w:r>
              <w:rPr>
                <w:sz w:val="21"/>
              </w:rPr>
              <w:t>33.8</w:t>
            </w:r>
          </w:p>
        </w:tc>
        <w:tc>
          <w:tcPr>
            <w:tcW w:w="1443" w:type="dxa"/>
          </w:tcPr>
          <w:p>
            <w:pPr>
              <w:pStyle w:val="TableParagraph"/>
              <w:spacing w:line="235" w:lineRule="exact"/>
              <w:ind w:left="95" w:right="226"/>
              <w:rPr>
                <w:sz w:val="21"/>
              </w:rPr>
            </w:pPr>
            <w:r>
              <w:rPr>
                <w:sz w:val="21"/>
              </w:rPr>
              <w:t>57,382</w:t>
            </w:r>
          </w:p>
        </w:tc>
        <w:tc>
          <w:tcPr>
            <w:tcW w:w="636" w:type="dxa"/>
          </w:tcPr>
          <w:p>
            <w:pPr>
              <w:pStyle w:val="TableParagraph"/>
              <w:spacing w:line="235" w:lineRule="exact"/>
              <w:ind w:left="95"/>
              <w:rPr>
                <w:sz w:val="21"/>
              </w:rPr>
            </w:pPr>
            <w:r>
              <w:rPr>
                <w:sz w:val="21"/>
              </w:rPr>
              <w:t>19.4</w:t>
            </w:r>
          </w:p>
        </w:tc>
        <w:tc>
          <w:tcPr>
            <w:tcW w:w="718" w:type="dxa"/>
          </w:tcPr>
          <w:p>
            <w:pPr>
              <w:pStyle w:val="TableParagraph"/>
              <w:spacing w:line="235" w:lineRule="exact"/>
              <w:ind w:left="78" w:right="97"/>
              <w:jc w:val="center"/>
              <w:rPr>
                <w:sz w:val="21"/>
              </w:rPr>
            </w:pPr>
            <w:r>
              <w:rPr>
                <w:sz w:val="21"/>
              </w:rPr>
              <w:t>106.9</w:t>
            </w:r>
          </w:p>
        </w:tc>
      </w:tr>
      <w:tr>
        <w:trPr>
          <w:trHeight w:val="449" w:hRule="exact"/>
        </w:trPr>
        <w:tc>
          <w:tcPr>
            <w:tcW w:w="1390" w:type="dxa"/>
          </w:tcPr>
          <w:p>
            <w:pPr>
              <w:pStyle w:val="TableParagraph"/>
              <w:spacing w:line="235" w:lineRule="exact"/>
              <w:ind w:left="96" w:right="218"/>
              <w:rPr>
                <w:sz w:val="21"/>
              </w:rPr>
            </w:pPr>
            <w:r>
              <w:rPr>
                <w:sz w:val="21"/>
              </w:rPr>
              <w:t>Bolivia</w:t>
            </w:r>
          </w:p>
        </w:tc>
        <w:tc>
          <w:tcPr>
            <w:tcW w:w="1198" w:type="dxa"/>
          </w:tcPr>
          <w:p>
            <w:pPr>
              <w:pStyle w:val="TableParagraph"/>
              <w:spacing w:line="235" w:lineRule="exact"/>
              <w:ind w:left="96"/>
              <w:rPr>
                <w:sz w:val="21"/>
              </w:rPr>
            </w:pPr>
            <w:r>
              <w:rPr>
                <w:sz w:val="21"/>
              </w:rPr>
              <w:t>229,375</w:t>
            </w:r>
          </w:p>
        </w:tc>
        <w:tc>
          <w:tcPr>
            <w:tcW w:w="1786" w:type="dxa"/>
          </w:tcPr>
          <w:p>
            <w:pPr>
              <w:pStyle w:val="TableParagraph"/>
              <w:spacing w:line="235" w:lineRule="exact"/>
              <w:rPr>
                <w:sz w:val="21"/>
              </w:rPr>
            </w:pPr>
            <w:r>
              <w:rPr>
                <w:sz w:val="21"/>
              </w:rPr>
              <w:t>222,497</w:t>
            </w:r>
          </w:p>
        </w:tc>
        <w:tc>
          <w:tcPr>
            <w:tcW w:w="636" w:type="dxa"/>
          </w:tcPr>
          <w:p>
            <w:pPr>
              <w:pStyle w:val="TableParagraph"/>
              <w:spacing w:line="235" w:lineRule="exact"/>
              <w:ind w:left="96"/>
              <w:rPr>
                <w:sz w:val="21"/>
              </w:rPr>
            </w:pPr>
            <w:r>
              <w:rPr>
                <w:sz w:val="21"/>
              </w:rPr>
              <w:t>97.0</w:t>
            </w:r>
          </w:p>
        </w:tc>
        <w:tc>
          <w:tcPr>
            <w:tcW w:w="1601" w:type="dxa"/>
          </w:tcPr>
          <w:p>
            <w:pPr>
              <w:pStyle w:val="TableParagraph"/>
              <w:spacing w:line="235" w:lineRule="exact"/>
              <w:ind w:left="95" w:right="337"/>
              <w:rPr>
                <w:sz w:val="21"/>
              </w:rPr>
            </w:pPr>
            <w:r>
              <w:rPr>
                <w:sz w:val="21"/>
              </w:rPr>
              <w:t>5,920</w:t>
            </w:r>
          </w:p>
        </w:tc>
        <w:tc>
          <w:tcPr>
            <w:tcW w:w="636" w:type="dxa"/>
          </w:tcPr>
          <w:p>
            <w:pPr>
              <w:pStyle w:val="TableParagraph"/>
              <w:spacing w:line="235" w:lineRule="exact"/>
              <w:ind w:left="96"/>
              <w:rPr>
                <w:sz w:val="21"/>
              </w:rPr>
            </w:pPr>
            <w:r>
              <w:rPr>
                <w:sz w:val="21"/>
              </w:rPr>
              <w:t>2.6</w:t>
            </w:r>
          </w:p>
        </w:tc>
        <w:tc>
          <w:tcPr>
            <w:tcW w:w="1443" w:type="dxa"/>
          </w:tcPr>
          <w:p>
            <w:pPr>
              <w:pStyle w:val="TableParagraph"/>
              <w:spacing w:line="235" w:lineRule="exact"/>
              <w:ind w:left="95" w:right="226"/>
              <w:rPr>
                <w:sz w:val="21"/>
              </w:rPr>
            </w:pPr>
            <w:r>
              <w:rPr>
                <w:sz w:val="21"/>
              </w:rPr>
              <w:t>958</w:t>
            </w:r>
          </w:p>
        </w:tc>
        <w:tc>
          <w:tcPr>
            <w:tcW w:w="636" w:type="dxa"/>
          </w:tcPr>
          <w:p>
            <w:pPr>
              <w:pStyle w:val="TableParagraph"/>
              <w:spacing w:line="235" w:lineRule="exact"/>
              <w:ind w:left="95"/>
              <w:rPr>
                <w:sz w:val="21"/>
              </w:rPr>
            </w:pPr>
            <w:r>
              <w:rPr>
                <w:sz w:val="21"/>
              </w:rPr>
              <w:t>0.4</w:t>
            </w:r>
          </w:p>
        </w:tc>
        <w:tc>
          <w:tcPr>
            <w:tcW w:w="718" w:type="dxa"/>
          </w:tcPr>
          <w:p>
            <w:pPr>
              <w:pStyle w:val="TableParagraph"/>
              <w:spacing w:line="235" w:lineRule="exact"/>
              <w:ind w:left="78" w:right="203"/>
              <w:jc w:val="center"/>
              <w:rPr>
                <w:sz w:val="21"/>
              </w:rPr>
            </w:pPr>
            <w:r>
              <w:rPr>
                <w:sz w:val="21"/>
              </w:rPr>
              <w:t>76.7</w:t>
            </w:r>
          </w:p>
        </w:tc>
      </w:tr>
      <w:tr>
        <w:trPr>
          <w:trHeight w:val="451" w:hRule="exact"/>
        </w:trPr>
        <w:tc>
          <w:tcPr>
            <w:tcW w:w="1390" w:type="dxa"/>
          </w:tcPr>
          <w:p>
            <w:pPr>
              <w:pStyle w:val="TableParagraph"/>
              <w:spacing w:line="237" w:lineRule="exact"/>
              <w:ind w:left="96" w:right="218"/>
              <w:rPr>
                <w:sz w:val="21"/>
              </w:rPr>
            </w:pPr>
            <w:r>
              <w:rPr>
                <w:sz w:val="21"/>
              </w:rPr>
              <w:t>Brasil</w:t>
            </w:r>
          </w:p>
        </w:tc>
        <w:tc>
          <w:tcPr>
            <w:tcW w:w="1198" w:type="dxa"/>
          </w:tcPr>
          <w:p>
            <w:pPr>
              <w:pStyle w:val="TableParagraph"/>
              <w:spacing w:line="237" w:lineRule="exact"/>
              <w:ind w:left="96"/>
              <w:rPr>
                <w:sz w:val="21"/>
              </w:rPr>
            </w:pPr>
            <w:r>
              <w:rPr>
                <w:sz w:val="21"/>
              </w:rPr>
              <w:t>153,685</w:t>
            </w:r>
          </w:p>
        </w:tc>
        <w:tc>
          <w:tcPr>
            <w:tcW w:w="1786" w:type="dxa"/>
          </w:tcPr>
          <w:p>
            <w:pPr>
              <w:pStyle w:val="TableParagraph"/>
              <w:spacing w:line="237" w:lineRule="exact"/>
              <w:rPr>
                <w:sz w:val="21"/>
              </w:rPr>
            </w:pPr>
            <w:r>
              <w:rPr>
                <w:sz w:val="21"/>
              </w:rPr>
              <w:t>122,972</w:t>
            </w:r>
          </w:p>
        </w:tc>
        <w:tc>
          <w:tcPr>
            <w:tcW w:w="636" w:type="dxa"/>
          </w:tcPr>
          <w:p>
            <w:pPr>
              <w:pStyle w:val="TableParagraph"/>
              <w:spacing w:line="237" w:lineRule="exact"/>
              <w:ind w:left="96"/>
              <w:rPr>
                <w:sz w:val="21"/>
              </w:rPr>
            </w:pPr>
            <w:r>
              <w:rPr>
                <w:sz w:val="21"/>
              </w:rPr>
              <w:t>80.0</w:t>
            </w:r>
          </w:p>
        </w:tc>
        <w:tc>
          <w:tcPr>
            <w:tcW w:w="1601" w:type="dxa"/>
          </w:tcPr>
          <w:p>
            <w:pPr>
              <w:pStyle w:val="TableParagraph"/>
              <w:spacing w:line="237" w:lineRule="exact"/>
              <w:ind w:left="95" w:right="337"/>
              <w:rPr>
                <w:sz w:val="21"/>
              </w:rPr>
            </w:pPr>
            <w:r>
              <w:rPr>
                <w:sz w:val="21"/>
              </w:rPr>
              <w:t>24,496</w:t>
            </w:r>
          </w:p>
        </w:tc>
        <w:tc>
          <w:tcPr>
            <w:tcW w:w="636" w:type="dxa"/>
          </w:tcPr>
          <w:p>
            <w:pPr>
              <w:pStyle w:val="TableParagraph"/>
              <w:spacing w:line="237" w:lineRule="exact"/>
              <w:ind w:left="96"/>
              <w:rPr>
                <w:sz w:val="21"/>
              </w:rPr>
            </w:pPr>
            <w:r>
              <w:rPr>
                <w:sz w:val="21"/>
              </w:rPr>
              <w:t>15.9</w:t>
            </w:r>
          </w:p>
        </w:tc>
        <w:tc>
          <w:tcPr>
            <w:tcW w:w="1443" w:type="dxa"/>
          </w:tcPr>
          <w:p>
            <w:pPr>
              <w:pStyle w:val="TableParagraph"/>
              <w:spacing w:line="237" w:lineRule="exact"/>
              <w:ind w:left="95" w:right="226"/>
              <w:rPr>
                <w:sz w:val="21"/>
              </w:rPr>
            </w:pPr>
            <w:r>
              <w:rPr>
                <w:sz w:val="21"/>
              </w:rPr>
              <w:t>6,217</w:t>
            </w:r>
          </w:p>
        </w:tc>
        <w:tc>
          <w:tcPr>
            <w:tcW w:w="636" w:type="dxa"/>
          </w:tcPr>
          <w:p>
            <w:pPr>
              <w:pStyle w:val="TableParagraph"/>
              <w:spacing w:line="237" w:lineRule="exact"/>
              <w:ind w:left="95"/>
              <w:rPr>
                <w:sz w:val="21"/>
              </w:rPr>
            </w:pPr>
            <w:r>
              <w:rPr>
                <w:sz w:val="21"/>
              </w:rPr>
              <w:t>4.0</w:t>
            </w:r>
          </w:p>
        </w:tc>
        <w:tc>
          <w:tcPr>
            <w:tcW w:w="718" w:type="dxa"/>
          </w:tcPr>
          <w:p>
            <w:pPr>
              <w:pStyle w:val="TableParagraph"/>
              <w:spacing w:line="237" w:lineRule="exact"/>
              <w:ind w:left="78" w:right="203"/>
              <w:jc w:val="center"/>
              <w:rPr>
                <w:sz w:val="21"/>
              </w:rPr>
            </w:pPr>
            <w:r>
              <w:rPr>
                <w:sz w:val="21"/>
              </w:rPr>
              <w:t>68.6</w:t>
            </w:r>
          </w:p>
        </w:tc>
      </w:tr>
      <w:tr>
        <w:trPr>
          <w:trHeight w:val="451" w:hRule="exact"/>
        </w:trPr>
        <w:tc>
          <w:tcPr>
            <w:tcW w:w="1390" w:type="dxa"/>
          </w:tcPr>
          <w:p>
            <w:pPr>
              <w:pStyle w:val="TableParagraph"/>
              <w:spacing w:line="235" w:lineRule="exact"/>
              <w:ind w:left="96" w:right="218"/>
              <w:rPr>
                <w:sz w:val="21"/>
              </w:rPr>
            </w:pPr>
            <w:r>
              <w:rPr>
                <w:sz w:val="21"/>
              </w:rPr>
              <w:t>Chile</w:t>
            </w:r>
          </w:p>
        </w:tc>
        <w:tc>
          <w:tcPr>
            <w:tcW w:w="1198" w:type="dxa"/>
          </w:tcPr>
          <w:p>
            <w:pPr>
              <w:pStyle w:val="TableParagraph"/>
              <w:spacing w:line="235" w:lineRule="exact"/>
              <w:ind w:left="96"/>
              <w:rPr>
                <w:sz w:val="21"/>
              </w:rPr>
            </w:pPr>
            <w:r>
              <w:rPr>
                <w:sz w:val="21"/>
              </w:rPr>
              <w:t>68,376</w:t>
            </w:r>
          </w:p>
        </w:tc>
        <w:tc>
          <w:tcPr>
            <w:tcW w:w="1786" w:type="dxa"/>
          </w:tcPr>
          <w:p>
            <w:pPr>
              <w:pStyle w:val="TableParagraph"/>
              <w:spacing w:line="235" w:lineRule="exact"/>
              <w:rPr>
                <w:sz w:val="21"/>
              </w:rPr>
            </w:pPr>
            <w:r>
              <w:rPr>
                <w:sz w:val="21"/>
              </w:rPr>
              <w:t>44,851</w:t>
            </w:r>
          </w:p>
        </w:tc>
        <w:tc>
          <w:tcPr>
            <w:tcW w:w="636" w:type="dxa"/>
          </w:tcPr>
          <w:p>
            <w:pPr>
              <w:pStyle w:val="TableParagraph"/>
              <w:spacing w:line="235" w:lineRule="exact"/>
              <w:ind w:left="96"/>
              <w:rPr>
                <w:sz w:val="21"/>
              </w:rPr>
            </w:pPr>
            <w:r>
              <w:rPr>
                <w:sz w:val="21"/>
              </w:rPr>
              <w:t>65.6</w:t>
            </w:r>
          </w:p>
        </w:tc>
        <w:tc>
          <w:tcPr>
            <w:tcW w:w="1601" w:type="dxa"/>
          </w:tcPr>
          <w:p>
            <w:pPr>
              <w:pStyle w:val="TableParagraph"/>
              <w:spacing w:line="235" w:lineRule="exact"/>
              <w:ind w:left="95" w:right="337"/>
              <w:rPr>
                <w:sz w:val="21"/>
              </w:rPr>
            </w:pPr>
            <w:r>
              <w:rPr>
                <w:sz w:val="21"/>
              </w:rPr>
              <w:t>18,996</w:t>
            </w:r>
          </w:p>
        </w:tc>
        <w:tc>
          <w:tcPr>
            <w:tcW w:w="636" w:type="dxa"/>
          </w:tcPr>
          <w:p>
            <w:pPr>
              <w:pStyle w:val="TableParagraph"/>
              <w:spacing w:line="235" w:lineRule="exact"/>
              <w:ind w:left="96"/>
              <w:rPr>
                <w:sz w:val="21"/>
              </w:rPr>
            </w:pPr>
            <w:r>
              <w:rPr>
                <w:sz w:val="21"/>
              </w:rPr>
              <w:t>27.8</w:t>
            </w:r>
          </w:p>
        </w:tc>
        <w:tc>
          <w:tcPr>
            <w:tcW w:w="1443" w:type="dxa"/>
          </w:tcPr>
          <w:p>
            <w:pPr>
              <w:pStyle w:val="TableParagraph"/>
              <w:spacing w:line="235" w:lineRule="exact"/>
              <w:ind w:left="95" w:right="226"/>
              <w:rPr>
                <w:sz w:val="21"/>
              </w:rPr>
            </w:pPr>
            <w:r>
              <w:rPr>
                <w:sz w:val="21"/>
              </w:rPr>
              <w:t>4,529</w:t>
            </w:r>
          </w:p>
        </w:tc>
        <w:tc>
          <w:tcPr>
            <w:tcW w:w="636" w:type="dxa"/>
          </w:tcPr>
          <w:p>
            <w:pPr>
              <w:pStyle w:val="TableParagraph"/>
              <w:spacing w:line="235" w:lineRule="exact"/>
              <w:ind w:left="95"/>
              <w:rPr>
                <w:sz w:val="21"/>
              </w:rPr>
            </w:pPr>
            <w:r>
              <w:rPr>
                <w:sz w:val="21"/>
              </w:rPr>
              <w:t>6.6</w:t>
            </w:r>
          </w:p>
        </w:tc>
        <w:tc>
          <w:tcPr>
            <w:tcW w:w="718" w:type="dxa"/>
          </w:tcPr>
          <w:p>
            <w:pPr>
              <w:pStyle w:val="TableParagraph"/>
              <w:spacing w:line="235" w:lineRule="exact"/>
              <w:ind w:left="78" w:right="203"/>
              <w:jc w:val="center"/>
              <w:rPr>
                <w:sz w:val="21"/>
              </w:rPr>
            </w:pPr>
            <w:r>
              <w:rPr>
                <w:sz w:val="21"/>
              </w:rPr>
              <w:t>97.9</w:t>
            </w:r>
          </w:p>
        </w:tc>
      </w:tr>
      <w:tr>
        <w:trPr>
          <w:trHeight w:val="449" w:hRule="exact"/>
        </w:trPr>
        <w:tc>
          <w:tcPr>
            <w:tcW w:w="1390" w:type="dxa"/>
          </w:tcPr>
          <w:p>
            <w:pPr>
              <w:pStyle w:val="TableParagraph"/>
              <w:spacing w:line="235" w:lineRule="exact"/>
              <w:ind w:left="96" w:right="218"/>
              <w:rPr>
                <w:sz w:val="21"/>
              </w:rPr>
            </w:pPr>
            <w:r>
              <w:rPr>
                <w:sz w:val="21"/>
              </w:rPr>
              <w:t>Colombia</w:t>
            </w:r>
          </w:p>
        </w:tc>
        <w:tc>
          <w:tcPr>
            <w:tcW w:w="1198" w:type="dxa"/>
          </w:tcPr>
          <w:p>
            <w:pPr>
              <w:pStyle w:val="TableParagraph"/>
              <w:spacing w:line="235" w:lineRule="exact"/>
              <w:ind w:left="96"/>
              <w:rPr>
                <w:sz w:val="21"/>
              </w:rPr>
            </w:pPr>
            <w:r>
              <w:rPr>
                <w:sz w:val="21"/>
              </w:rPr>
              <w:t>358,762</w:t>
            </w:r>
          </w:p>
        </w:tc>
        <w:tc>
          <w:tcPr>
            <w:tcW w:w="1786" w:type="dxa"/>
          </w:tcPr>
          <w:p>
            <w:pPr>
              <w:pStyle w:val="TableParagraph"/>
              <w:spacing w:line="235" w:lineRule="exact"/>
              <w:rPr>
                <w:sz w:val="21"/>
              </w:rPr>
            </w:pPr>
            <w:r>
              <w:rPr>
                <w:sz w:val="21"/>
              </w:rPr>
              <w:t>290,133</w:t>
            </w:r>
          </w:p>
        </w:tc>
        <w:tc>
          <w:tcPr>
            <w:tcW w:w="636" w:type="dxa"/>
          </w:tcPr>
          <w:p>
            <w:pPr>
              <w:pStyle w:val="TableParagraph"/>
              <w:spacing w:line="235" w:lineRule="exact"/>
              <w:ind w:left="96"/>
              <w:rPr>
                <w:sz w:val="21"/>
              </w:rPr>
            </w:pPr>
            <w:r>
              <w:rPr>
                <w:sz w:val="21"/>
              </w:rPr>
              <w:t>80.9</w:t>
            </w:r>
          </w:p>
        </w:tc>
        <w:tc>
          <w:tcPr>
            <w:tcW w:w="1601" w:type="dxa"/>
          </w:tcPr>
          <w:p>
            <w:pPr>
              <w:pStyle w:val="TableParagraph"/>
              <w:spacing w:line="235" w:lineRule="exact"/>
              <w:ind w:left="95" w:right="337"/>
              <w:rPr>
                <w:sz w:val="21"/>
              </w:rPr>
            </w:pPr>
            <w:r>
              <w:rPr>
                <w:sz w:val="21"/>
              </w:rPr>
              <w:t>62,458</w:t>
            </w:r>
          </w:p>
        </w:tc>
        <w:tc>
          <w:tcPr>
            <w:tcW w:w="636" w:type="dxa"/>
          </w:tcPr>
          <w:p>
            <w:pPr>
              <w:pStyle w:val="TableParagraph"/>
              <w:spacing w:line="235" w:lineRule="exact"/>
              <w:ind w:left="96"/>
              <w:rPr>
                <w:sz w:val="21"/>
              </w:rPr>
            </w:pPr>
            <w:r>
              <w:rPr>
                <w:sz w:val="21"/>
              </w:rPr>
              <w:t>17.4</w:t>
            </w:r>
          </w:p>
        </w:tc>
        <w:tc>
          <w:tcPr>
            <w:tcW w:w="1443" w:type="dxa"/>
          </w:tcPr>
          <w:p>
            <w:pPr>
              <w:pStyle w:val="TableParagraph"/>
              <w:spacing w:line="235" w:lineRule="exact"/>
              <w:ind w:left="95" w:right="226"/>
              <w:rPr>
                <w:sz w:val="21"/>
              </w:rPr>
            </w:pPr>
            <w:r>
              <w:rPr>
                <w:sz w:val="21"/>
              </w:rPr>
              <w:t>6,171</w:t>
            </w:r>
          </w:p>
        </w:tc>
        <w:tc>
          <w:tcPr>
            <w:tcW w:w="636" w:type="dxa"/>
          </w:tcPr>
          <w:p>
            <w:pPr>
              <w:pStyle w:val="TableParagraph"/>
              <w:spacing w:line="235" w:lineRule="exact"/>
              <w:ind w:left="95"/>
              <w:rPr>
                <w:sz w:val="21"/>
              </w:rPr>
            </w:pPr>
            <w:r>
              <w:rPr>
                <w:sz w:val="21"/>
              </w:rPr>
              <w:t>1.7</w:t>
            </w:r>
          </w:p>
        </w:tc>
        <w:tc>
          <w:tcPr>
            <w:tcW w:w="718" w:type="dxa"/>
          </w:tcPr>
          <w:p>
            <w:pPr>
              <w:pStyle w:val="TableParagraph"/>
              <w:spacing w:line="235" w:lineRule="exact"/>
              <w:ind w:left="78" w:right="203"/>
              <w:jc w:val="center"/>
              <w:rPr>
                <w:sz w:val="21"/>
              </w:rPr>
            </w:pPr>
            <w:r>
              <w:rPr>
                <w:sz w:val="21"/>
              </w:rPr>
              <w:t>77.1</w:t>
            </w:r>
          </w:p>
        </w:tc>
      </w:tr>
      <w:tr>
        <w:trPr>
          <w:trHeight w:val="451" w:hRule="exact"/>
        </w:trPr>
        <w:tc>
          <w:tcPr>
            <w:tcW w:w="1390" w:type="dxa"/>
          </w:tcPr>
          <w:p>
            <w:pPr>
              <w:pStyle w:val="TableParagraph"/>
              <w:spacing w:line="237" w:lineRule="exact"/>
              <w:ind w:left="96" w:right="218"/>
              <w:rPr>
                <w:sz w:val="21"/>
              </w:rPr>
            </w:pPr>
            <w:r>
              <w:rPr>
                <w:sz w:val="21"/>
              </w:rPr>
              <w:t>Cuba</w:t>
            </w:r>
          </w:p>
        </w:tc>
        <w:tc>
          <w:tcPr>
            <w:tcW w:w="1198" w:type="dxa"/>
          </w:tcPr>
          <w:p>
            <w:pPr>
              <w:pStyle w:val="TableParagraph"/>
              <w:spacing w:line="237" w:lineRule="exact"/>
              <w:ind w:left="96"/>
              <w:rPr>
                <w:sz w:val="21"/>
              </w:rPr>
            </w:pPr>
            <w:r>
              <w:rPr>
                <w:sz w:val="21"/>
              </w:rPr>
              <w:t>100,451</w:t>
            </w:r>
          </w:p>
        </w:tc>
        <w:tc>
          <w:tcPr>
            <w:tcW w:w="1786" w:type="dxa"/>
          </w:tcPr>
          <w:p>
            <w:pPr>
              <w:pStyle w:val="TableParagraph"/>
              <w:spacing w:line="237" w:lineRule="exact"/>
              <w:rPr>
                <w:sz w:val="21"/>
              </w:rPr>
            </w:pPr>
            <w:r>
              <w:rPr>
                <w:sz w:val="21"/>
              </w:rPr>
              <w:t>53,910</w:t>
            </w:r>
          </w:p>
        </w:tc>
        <w:tc>
          <w:tcPr>
            <w:tcW w:w="636" w:type="dxa"/>
          </w:tcPr>
          <w:p>
            <w:pPr>
              <w:pStyle w:val="TableParagraph"/>
              <w:spacing w:line="237" w:lineRule="exact"/>
              <w:ind w:left="96"/>
              <w:rPr>
                <w:sz w:val="21"/>
              </w:rPr>
            </w:pPr>
            <w:r>
              <w:rPr>
                <w:sz w:val="21"/>
              </w:rPr>
              <w:t>53.7</w:t>
            </w:r>
          </w:p>
        </w:tc>
        <w:tc>
          <w:tcPr>
            <w:tcW w:w="1601" w:type="dxa"/>
          </w:tcPr>
          <w:p>
            <w:pPr>
              <w:pStyle w:val="TableParagraph"/>
              <w:spacing w:line="237" w:lineRule="exact"/>
              <w:ind w:left="95" w:right="337"/>
              <w:rPr>
                <w:sz w:val="21"/>
              </w:rPr>
            </w:pPr>
            <w:r>
              <w:rPr>
                <w:sz w:val="21"/>
              </w:rPr>
              <w:t>43,717</w:t>
            </w:r>
          </w:p>
        </w:tc>
        <w:tc>
          <w:tcPr>
            <w:tcW w:w="636" w:type="dxa"/>
          </w:tcPr>
          <w:p>
            <w:pPr>
              <w:pStyle w:val="TableParagraph"/>
              <w:spacing w:line="237" w:lineRule="exact"/>
              <w:ind w:left="96"/>
              <w:rPr>
                <w:sz w:val="21"/>
              </w:rPr>
            </w:pPr>
            <w:r>
              <w:rPr>
                <w:sz w:val="21"/>
              </w:rPr>
              <w:t>43.5</w:t>
            </w:r>
          </w:p>
        </w:tc>
        <w:tc>
          <w:tcPr>
            <w:tcW w:w="1443" w:type="dxa"/>
          </w:tcPr>
          <w:p>
            <w:pPr>
              <w:pStyle w:val="TableParagraph"/>
              <w:spacing w:line="237" w:lineRule="exact"/>
              <w:ind w:left="95" w:right="226"/>
              <w:rPr>
                <w:sz w:val="21"/>
              </w:rPr>
            </w:pPr>
            <w:r>
              <w:rPr>
                <w:sz w:val="21"/>
              </w:rPr>
              <w:t>2,824</w:t>
            </w:r>
          </w:p>
        </w:tc>
        <w:tc>
          <w:tcPr>
            <w:tcW w:w="636" w:type="dxa"/>
          </w:tcPr>
          <w:p>
            <w:pPr>
              <w:pStyle w:val="TableParagraph"/>
              <w:spacing w:line="237" w:lineRule="exact"/>
              <w:ind w:left="95"/>
              <w:rPr>
                <w:sz w:val="21"/>
              </w:rPr>
            </w:pPr>
            <w:r>
              <w:rPr>
                <w:sz w:val="21"/>
              </w:rPr>
              <w:t>2.8</w:t>
            </w:r>
          </w:p>
        </w:tc>
        <w:tc>
          <w:tcPr>
            <w:tcW w:w="718" w:type="dxa"/>
          </w:tcPr>
          <w:p>
            <w:pPr>
              <w:pStyle w:val="TableParagraph"/>
              <w:spacing w:line="237" w:lineRule="exact"/>
              <w:ind w:left="78" w:right="203"/>
              <w:jc w:val="center"/>
              <w:rPr>
                <w:sz w:val="21"/>
              </w:rPr>
            </w:pPr>
            <w:r>
              <w:rPr>
                <w:sz w:val="21"/>
              </w:rPr>
              <w:t>82.1</w:t>
            </w:r>
          </w:p>
        </w:tc>
      </w:tr>
      <w:tr>
        <w:trPr>
          <w:trHeight w:val="451" w:hRule="exact"/>
        </w:trPr>
        <w:tc>
          <w:tcPr>
            <w:tcW w:w="1390" w:type="dxa"/>
          </w:tcPr>
          <w:p>
            <w:pPr>
              <w:pStyle w:val="TableParagraph"/>
              <w:spacing w:line="237" w:lineRule="exact"/>
              <w:ind w:left="96" w:right="218"/>
              <w:rPr>
                <w:sz w:val="21"/>
              </w:rPr>
            </w:pPr>
            <w:r>
              <w:rPr>
                <w:sz w:val="21"/>
              </w:rPr>
              <w:t>Ecuador</w:t>
            </w:r>
          </w:p>
        </w:tc>
        <w:tc>
          <w:tcPr>
            <w:tcW w:w="1198" w:type="dxa"/>
          </w:tcPr>
          <w:p>
            <w:pPr>
              <w:pStyle w:val="TableParagraph"/>
              <w:spacing w:line="237" w:lineRule="exact"/>
              <w:ind w:left="96"/>
              <w:rPr>
                <w:sz w:val="21"/>
              </w:rPr>
            </w:pPr>
            <w:r>
              <w:rPr>
                <w:sz w:val="21"/>
              </w:rPr>
              <w:t>479,117</w:t>
            </w:r>
          </w:p>
        </w:tc>
        <w:tc>
          <w:tcPr>
            <w:tcW w:w="1786" w:type="dxa"/>
          </w:tcPr>
          <w:p>
            <w:pPr>
              <w:pStyle w:val="TableParagraph"/>
              <w:spacing w:line="237" w:lineRule="exact"/>
              <w:rPr>
                <w:sz w:val="21"/>
              </w:rPr>
            </w:pPr>
            <w:r>
              <w:rPr>
                <w:sz w:val="21"/>
              </w:rPr>
              <w:t>407,139</w:t>
            </w:r>
          </w:p>
        </w:tc>
        <w:tc>
          <w:tcPr>
            <w:tcW w:w="636" w:type="dxa"/>
          </w:tcPr>
          <w:p>
            <w:pPr>
              <w:pStyle w:val="TableParagraph"/>
              <w:spacing w:line="237" w:lineRule="exact"/>
              <w:ind w:left="96"/>
              <w:rPr>
                <w:sz w:val="21"/>
              </w:rPr>
            </w:pPr>
            <w:r>
              <w:rPr>
                <w:sz w:val="21"/>
              </w:rPr>
              <w:t>85.0</w:t>
            </w:r>
          </w:p>
        </w:tc>
        <w:tc>
          <w:tcPr>
            <w:tcW w:w="1601" w:type="dxa"/>
          </w:tcPr>
          <w:p>
            <w:pPr>
              <w:pStyle w:val="TableParagraph"/>
              <w:spacing w:line="237" w:lineRule="exact"/>
              <w:ind w:left="95" w:right="337"/>
              <w:rPr>
                <w:sz w:val="21"/>
              </w:rPr>
            </w:pPr>
            <w:r>
              <w:rPr>
                <w:sz w:val="21"/>
              </w:rPr>
              <w:t>69,789</w:t>
            </w:r>
          </w:p>
        </w:tc>
        <w:tc>
          <w:tcPr>
            <w:tcW w:w="636" w:type="dxa"/>
          </w:tcPr>
          <w:p>
            <w:pPr>
              <w:pStyle w:val="TableParagraph"/>
              <w:spacing w:line="237" w:lineRule="exact"/>
              <w:ind w:left="96"/>
              <w:rPr>
                <w:sz w:val="21"/>
              </w:rPr>
            </w:pPr>
            <w:r>
              <w:rPr>
                <w:sz w:val="21"/>
              </w:rPr>
              <w:t>14.6</w:t>
            </w:r>
          </w:p>
        </w:tc>
        <w:tc>
          <w:tcPr>
            <w:tcW w:w="1443" w:type="dxa"/>
          </w:tcPr>
          <w:p>
            <w:pPr>
              <w:pStyle w:val="TableParagraph"/>
              <w:spacing w:line="237" w:lineRule="exact"/>
              <w:ind w:left="95" w:right="226"/>
              <w:rPr>
                <w:sz w:val="21"/>
              </w:rPr>
            </w:pPr>
            <w:r>
              <w:rPr>
                <w:sz w:val="21"/>
              </w:rPr>
              <w:t>2,189</w:t>
            </w:r>
          </w:p>
        </w:tc>
        <w:tc>
          <w:tcPr>
            <w:tcW w:w="636" w:type="dxa"/>
          </w:tcPr>
          <w:p>
            <w:pPr>
              <w:pStyle w:val="TableParagraph"/>
              <w:spacing w:line="237" w:lineRule="exact"/>
              <w:ind w:left="95"/>
              <w:rPr>
                <w:sz w:val="21"/>
              </w:rPr>
            </w:pPr>
            <w:r>
              <w:rPr>
                <w:sz w:val="21"/>
              </w:rPr>
              <w:t>0.5</w:t>
            </w:r>
          </w:p>
        </w:tc>
        <w:tc>
          <w:tcPr>
            <w:tcW w:w="718" w:type="dxa"/>
          </w:tcPr>
          <w:p>
            <w:pPr>
              <w:pStyle w:val="TableParagraph"/>
              <w:spacing w:line="237" w:lineRule="exact"/>
              <w:ind w:left="78" w:right="203"/>
              <w:jc w:val="center"/>
              <w:rPr>
                <w:sz w:val="21"/>
              </w:rPr>
            </w:pPr>
            <w:r>
              <w:rPr>
                <w:sz w:val="21"/>
              </w:rPr>
              <w:t>94.5</w:t>
            </w:r>
          </w:p>
        </w:tc>
      </w:tr>
      <w:tr>
        <w:trPr>
          <w:trHeight w:val="710" w:hRule="exact"/>
        </w:trPr>
        <w:tc>
          <w:tcPr>
            <w:tcW w:w="1390" w:type="dxa"/>
          </w:tcPr>
          <w:p>
            <w:pPr>
              <w:pStyle w:val="TableParagraph"/>
              <w:spacing w:line="259" w:lineRule="auto"/>
              <w:ind w:left="96" w:right="591"/>
              <w:rPr>
                <w:sz w:val="21"/>
              </w:rPr>
            </w:pPr>
            <w:r>
              <w:rPr>
                <w:sz w:val="21"/>
              </w:rPr>
              <w:t>Estados Unidos</w:t>
            </w:r>
          </w:p>
        </w:tc>
        <w:tc>
          <w:tcPr>
            <w:tcW w:w="1198" w:type="dxa"/>
          </w:tcPr>
          <w:p>
            <w:pPr>
              <w:pStyle w:val="TableParagraph"/>
              <w:spacing w:line="235" w:lineRule="exact"/>
              <w:ind w:left="96"/>
              <w:rPr>
                <w:sz w:val="21"/>
              </w:rPr>
            </w:pPr>
            <w:r>
              <w:rPr>
                <w:sz w:val="21"/>
              </w:rPr>
              <w:t>35,644</w:t>
            </w:r>
          </w:p>
        </w:tc>
        <w:tc>
          <w:tcPr>
            <w:tcW w:w="1786" w:type="dxa"/>
          </w:tcPr>
          <w:p>
            <w:pPr>
              <w:pStyle w:val="TableParagraph"/>
              <w:spacing w:line="235" w:lineRule="exact"/>
              <w:rPr>
                <w:sz w:val="21"/>
              </w:rPr>
            </w:pPr>
            <w:r>
              <w:rPr>
                <w:sz w:val="21"/>
              </w:rPr>
              <w:t>19,580</w:t>
            </w:r>
          </w:p>
        </w:tc>
        <w:tc>
          <w:tcPr>
            <w:tcW w:w="636" w:type="dxa"/>
          </w:tcPr>
          <w:p>
            <w:pPr>
              <w:pStyle w:val="TableParagraph"/>
              <w:spacing w:line="235" w:lineRule="exact"/>
              <w:ind w:left="96"/>
              <w:rPr>
                <w:sz w:val="21"/>
              </w:rPr>
            </w:pPr>
            <w:r>
              <w:rPr>
                <w:sz w:val="21"/>
              </w:rPr>
              <w:t>54.9</w:t>
            </w:r>
          </w:p>
        </w:tc>
        <w:tc>
          <w:tcPr>
            <w:tcW w:w="1601" w:type="dxa"/>
          </w:tcPr>
          <w:p>
            <w:pPr>
              <w:pStyle w:val="TableParagraph"/>
              <w:spacing w:line="235" w:lineRule="exact"/>
              <w:ind w:left="95" w:right="337"/>
              <w:rPr>
                <w:sz w:val="21"/>
              </w:rPr>
            </w:pPr>
            <w:r>
              <w:rPr>
                <w:sz w:val="21"/>
              </w:rPr>
              <w:t>13,663</w:t>
            </w:r>
          </w:p>
        </w:tc>
        <w:tc>
          <w:tcPr>
            <w:tcW w:w="636" w:type="dxa"/>
          </w:tcPr>
          <w:p>
            <w:pPr>
              <w:pStyle w:val="TableParagraph"/>
              <w:spacing w:line="235" w:lineRule="exact"/>
              <w:ind w:left="96"/>
              <w:rPr>
                <w:sz w:val="21"/>
              </w:rPr>
            </w:pPr>
            <w:r>
              <w:rPr>
                <w:sz w:val="21"/>
              </w:rPr>
              <w:t>38.3</w:t>
            </w:r>
          </w:p>
        </w:tc>
        <w:tc>
          <w:tcPr>
            <w:tcW w:w="1443" w:type="dxa"/>
          </w:tcPr>
          <w:p>
            <w:pPr>
              <w:pStyle w:val="TableParagraph"/>
              <w:spacing w:line="235" w:lineRule="exact"/>
              <w:ind w:left="95" w:right="226"/>
              <w:rPr>
                <w:sz w:val="21"/>
              </w:rPr>
            </w:pPr>
            <w:r>
              <w:rPr>
                <w:sz w:val="21"/>
              </w:rPr>
              <w:t>2,401</w:t>
            </w:r>
          </w:p>
        </w:tc>
        <w:tc>
          <w:tcPr>
            <w:tcW w:w="636" w:type="dxa"/>
          </w:tcPr>
          <w:p>
            <w:pPr>
              <w:pStyle w:val="TableParagraph"/>
              <w:spacing w:line="235" w:lineRule="exact"/>
              <w:ind w:left="95"/>
              <w:rPr>
                <w:sz w:val="21"/>
              </w:rPr>
            </w:pPr>
            <w:r>
              <w:rPr>
                <w:sz w:val="21"/>
              </w:rPr>
              <w:t>6.7</w:t>
            </w:r>
          </w:p>
        </w:tc>
        <w:tc>
          <w:tcPr>
            <w:tcW w:w="718" w:type="dxa"/>
          </w:tcPr>
          <w:p>
            <w:pPr>
              <w:pStyle w:val="TableParagraph"/>
              <w:spacing w:line="235" w:lineRule="exact"/>
              <w:ind w:left="78" w:right="203"/>
              <w:jc w:val="center"/>
              <w:rPr>
                <w:sz w:val="21"/>
              </w:rPr>
            </w:pPr>
            <w:r>
              <w:rPr>
                <w:sz w:val="21"/>
              </w:rPr>
              <w:t>95.1</w:t>
            </w:r>
          </w:p>
        </w:tc>
      </w:tr>
      <w:tr>
        <w:trPr>
          <w:trHeight w:val="451" w:hRule="exact"/>
        </w:trPr>
        <w:tc>
          <w:tcPr>
            <w:tcW w:w="1390" w:type="dxa"/>
          </w:tcPr>
          <w:p>
            <w:pPr>
              <w:pStyle w:val="TableParagraph"/>
              <w:spacing w:line="237" w:lineRule="exact"/>
              <w:ind w:left="96" w:right="218"/>
              <w:rPr>
                <w:sz w:val="21"/>
              </w:rPr>
            </w:pPr>
            <w:r>
              <w:rPr>
                <w:sz w:val="21"/>
              </w:rPr>
              <w:t>México</w:t>
            </w:r>
          </w:p>
        </w:tc>
        <w:tc>
          <w:tcPr>
            <w:tcW w:w="1198" w:type="dxa"/>
          </w:tcPr>
          <w:p>
            <w:pPr>
              <w:pStyle w:val="TableParagraph"/>
              <w:spacing w:line="237" w:lineRule="exact"/>
              <w:ind w:left="96"/>
              <w:rPr>
                <w:sz w:val="21"/>
              </w:rPr>
            </w:pPr>
            <w:r>
              <w:rPr>
                <w:sz w:val="21"/>
              </w:rPr>
              <w:t>45,480</w:t>
            </w:r>
          </w:p>
        </w:tc>
        <w:tc>
          <w:tcPr>
            <w:tcW w:w="1786" w:type="dxa"/>
          </w:tcPr>
          <w:p>
            <w:pPr>
              <w:pStyle w:val="TableParagraph"/>
              <w:spacing w:line="237" w:lineRule="exact"/>
              <w:rPr>
                <w:sz w:val="21"/>
              </w:rPr>
            </w:pPr>
            <w:r>
              <w:rPr>
                <w:sz w:val="21"/>
              </w:rPr>
              <w:t>24,162</w:t>
            </w:r>
          </w:p>
        </w:tc>
        <w:tc>
          <w:tcPr>
            <w:tcW w:w="636" w:type="dxa"/>
          </w:tcPr>
          <w:p>
            <w:pPr>
              <w:pStyle w:val="TableParagraph"/>
              <w:spacing w:line="237" w:lineRule="exact"/>
              <w:ind w:left="96"/>
              <w:rPr>
                <w:sz w:val="21"/>
              </w:rPr>
            </w:pPr>
            <w:r>
              <w:rPr>
                <w:sz w:val="21"/>
              </w:rPr>
              <w:t>53.1</w:t>
            </w:r>
          </w:p>
        </w:tc>
        <w:tc>
          <w:tcPr>
            <w:tcW w:w="1601" w:type="dxa"/>
          </w:tcPr>
          <w:p>
            <w:pPr>
              <w:pStyle w:val="TableParagraph"/>
              <w:spacing w:line="237" w:lineRule="exact"/>
              <w:ind w:left="95" w:right="337"/>
              <w:rPr>
                <w:sz w:val="21"/>
              </w:rPr>
            </w:pPr>
            <w:r>
              <w:rPr>
                <w:sz w:val="21"/>
              </w:rPr>
              <w:t>19,811</w:t>
            </w:r>
          </w:p>
        </w:tc>
        <w:tc>
          <w:tcPr>
            <w:tcW w:w="636" w:type="dxa"/>
          </w:tcPr>
          <w:p>
            <w:pPr>
              <w:pStyle w:val="TableParagraph"/>
              <w:spacing w:line="237" w:lineRule="exact"/>
              <w:ind w:left="96"/>
              <w:rPr>
                <w:sz w:val="21"/>
              </w:rPr>
            </w:pPr>
            <w:r>
              <w:rPr>
                <w:sz w:val="21"/>
              </w:rPr>
              <w:t>43.6</w:t>
            </w:r>
          </w:p>
        </w:tc>
        <w:tc>
          <w:tcPr>
            <w:tcW w:w="1443" w:type="dxa"/>
          </w:tcPr>
          <w:p>
            <w:pPr>
              <w:pStyle w:val="TableParagraph"/>
              <w:spacing w:line="237" w:lineRule="exact"/>
              <w:ind w:left="95" w:right="226"/>
              <w:rPr>
                <w:sz w:val="21"/>
              </w:rPr>
            </w:pPr>
            <w:r>
              <w:rPr>
                <w:sz w:val="21"/>
              </w:rPr>
              <w:t>1,507</w:t>
            </w:r>
          </w:p>
        </w:tc>
        <w:tc>
          <w:tcPr>
            <w:tcW w:w="636" w:type="dxa"/>
          </w:tcPr>
          <w:p>
            <w:pPr>
              <w:pStyle w:val="TableParagraph"/>
              <w:spacing w:line="237" w:lineRule="exact"/>
              <w:ind w:left="95"/>
              <w:rPr>
                <w:sz w:val="21"/>
              </w:rPr>
            </w:pPr>
            <w:r>
              <w:rPr>
                <w:sz w:val="21"/>
              </w:rPr>
              <w:t>3.3</w:t>
            </w:r>
          </w:p>
        </w:tc>
        <w:tc>
          <w:tcPr>
            <w:tcW w:w="718" w:type="dxa"/>
          </w:tcPr>
          <w:p>
            <w:pPr>
              <w:pStyle w:val="TableParagraph"/>
              <w:spacing w:line="237" w:lineRule="exact"/>
              <w:ind w:left="78" w:right="203"/>
              <w:jc w:val="center"/>
              <w:rPr>
                <w:sz w:val="21"/>
              </w:rPr>
            </w:pPr>
            <w:r>
              <w:rPr>
                <w:sz w:val="21"/>
              </w:rPr>
              <w:t>77.3</w:t>
            </w:r>
          </w:p>
        </w:tc>
      </w:tr>
      <w:tr>
        <w:trPr>
          <w:trHeight w:val="451" w:hRule="exact"/>
        </w:trPr>
        <w:tc>
          <w:tcPr>
            <w:tcW w:w="1390" w:type="dxa"/>
          </w:tcPr>
          <w:p>
            <w:pPr>
              <w:pStyle w:val="TableParagraph"/>
              <w:spacing w:line="237" w:lineRule="exact"/>
              <w:ind w:left="96" w:right="218"/>
              <w:rPr>
                <w:sz w:val="21"/>
              </w:rPr>
            </w:pPr>
            <w:r>
              <w:rPr>
                <w:sz w:val="21"/>
              </w:rPr>
              <w:t>Paraguay</w:t>
            </w:r>
          </w:p>
        </w:tc>
        <w:tc>
          <w:tcPr>
            <w:tcW w:w="1198" w:type="dxa"/>
          </w:tcPr>
          <w:p>
            <w:pPr>
              <w:pStyle w:val="TableParagraph"/>
              <w:spacing w:line="237" w:lineRule="exact"/>
              <w:ind w:left="96"/>
              <w:rPr>
                <w:sz w:val="21"/>
              </w:rPr>
            </w:pPr>
            <w:r>
              <w:rPr>
                <w:sz w:val="21"/>
              </w:rPr>
              <w:t>82,622</w:t>
            </w:r>
          </w:p>
        </w:tc>
        <w:tc>
          <w:tcPr>
            <w:tcW w:w="1786" w:type="dxa"/>
          </w:tcPr>
          <w:p>
            <w:pPr>
              <w:pStyle w:val="TableParagraph"/>
              <w:spacing w:line="237" w:lineRule="exact"/>
              <w:rPr>
                <w:sz w:val="21"/>
              </w:rPr>
            </w:pPr>
            <w:r>
              <w:rPr>
                <w:sz w:val="21"/>
              </w:rPr>
              <w:t>79,487</w:t>
            </w:r>
          </w:p>
        </w:tc>
        <w:tc>
          <w:tcPr>
            <w:tcW w:w="636" w:type="dxa"/>
          </w:tcPr>
          <w:p>
            <w:pPr>
              <w:pStyle w:val="TableParagraph"/>
              <w:spacing w:line="237" w:lineRule="exact"/>
              <w:ind w:left="96"/>
              <w:rPr>
                <w:sz w:val="21"/>
              </w:rPr>
            </w:pPr>
            <w:r>
              <w:rPr>
                <w:sz w:val="21"/>
              </w:rPr>
              <w:t>96.2</w:t>
            </w:r>
          </w:p>
        </w:tc>
        <w:tc>
          <w:tcPr>
            <w:tcW w:w="1601" w:type="dxa"/>
          </w:tcPr>
          <w:p>
            <w:pPr>
              <w:pStyle w:val="TableParagraph"/>
              <w:spacing w:line="237" w:lineRule="exact"/>
              <w:ind w:left="95" w:right="337"/>
              <w:rPr>
                <w:sz w:val="21"/>
              </w:rPr>
            </w:pPr>
            <w:r>
              <w:rPr>
                <w:sz w:val="21"/>
              </w:rPr>
              <w:t>2,131</w:t>
            </w:r>
          </w:p>
        </w:tc>
        <w:tc>
          <w:tcPr>
            <w:tcW w:w="636" w:type="dxa"/>
          </w:tcPr>
          <w:p>
            <w:pPr>
              <w:pStyle w:val="TableParagraph"/>
              <w:spacing w:line="237" w:lineRule="exact"/>
              <w:ind w:left="96"/>
              <w:rPr>
                <w:sz w:val="21"/>
              </w:rPr>
            </w:pPr>
            <w:r>
              <w:rPr>
                <w:sz w:val="21"/>
              </w:rPr>
              <w:t>2.6</w:t>
            </w:r>
          </w:p>
        </w:tc>
        <w:tc>
          <w:tcPr>
            <w:tcW w:w="1443" w:type="dxa"/>
          </w:tcPr>
          <w:p>
            <w:pPr>
              <w:pStyle w:val="TableParagraph"/>
              <w:spacing w:line="237" w:lineRule="exact"/>
              <w:ind w:left="95" w:right="226"/>
              <w:rPr>
                <w:sz w:val="21"/>
              </w:rPr>
            </w:pPr>
            <w:r>
              <w:rPr>
                <w:sz w:val="21"/>
              </w:rPr>
              <w:t>1,004</w:t>
            </w:r>
          </w:p>
        </w:tc>
        <w:tc>
          <w:tcPr>
            <w:tcW w:w="636" w:type="dxa"/>
          </w:tcPr>
          <w:p>
            <w:pPr>
              <w:pStyle w:val="TableParagraph"/>
              <w:spacing w:line="237" w:lineRule="exact"/>
              <w:ind w:left="95"/>
              <w:rPr>
                <w:sz w:val="21"/>
              </w:rPr>
            </w:pPr>
            <w:r>
              <w:rPr>
                <w:sz w:val="21"/>
              </w:rPr>
              <w:t>1.2</w:t>
            </w:r>
          </w:p>
        </w:tc>
        <w:tc>
          <w:tcPr>
            <w:tcW w:w="718" w:type="dxa"/>
          </w:tcPr>
          <w:p>
            <w:pPr>
              <w:pStyle w:val="TableParagraph"/>
              <w:spacing w:line="237" w:lineRule="exact"/>
              <w:ind w:left="78" w:right="203"/>
              <w:jc w:val="center"/>
              <w:rPr>
                <w:sz w:val="21"/>
              </w:rPr>
            </w:pPr>
            <w:r>
              <w:rPr>
                <w:sz w:val="21"/>
              </w:rPr>
              <w:t>53.4</w:t>
            </w:r>
          </w:p>
        </w:tc>
      </w:tr>
      <w:tr>
        <w:trPr>
          <w:trHeight w:val="451" w:hRule="exact"/>
        </w:trPr>
        <w:tc>
          <w:tcPr>
            <w:tcW w:w="1390" w:type="dxa"/>
          </w:tcPr>
          <w:p>
            <w:pPr>
              <w:pStyle w:val="TableParagraph"/>
              <w:spacing w:line="235" w:lineRule="exact"/>
              <w:ind w:left="96" w:right="218"/>
              <w:rPr>
                <w:sz w:val="21"/>
              </w:rPr>
            </w:pPr>
            <w:r>
              <w:rPr>
                <w:sz w:val="21"/>
              </w:rPr>
              <w:t>Perú</w:t>
            </w:r>
          </w:p>
        </w:tc>
        <w:tc>
          <w:tcPr>
            <w:tcW w:w="1198" w:type="dxa"/>
          </w:tcPr>
          <w:p>
            <w:pPr>
              <w:pStyle w:val="TableParagraph"/>
              <w:spacing w:line="235" w:lineRule="exact"/>
              <w:ind w:left="96"/>
              <w:rPr>
                <w:sz w:val="21"/>
              </w:rPr>
            </w:pPr>
            <w:r>
              <w:rPr>
                <w:sz w:val="21"/>
              </w:rPr>
              <w:t>188,235</w:t>
            </w:r>
          </w:p>
        </w:tc>
        <w:tc>
          <w:tcPr>
            <w:tcW w:w="1786" w:type="dxa"/>
          </w:tcPr>
          <w:p>
            <w:pPr>
              <w:pStyle w:val="TableParagraph"/>
              <w:spacing w:line="235" w:lineRule="exact"/>
              <w:rPr>
                <w:sz w:val="21"/>
              </w:rPr>
            </w:pPr>
            <w:r>
              <w:rPr>
                <w:sz w:val="21"/>
              </w:rPr>
              <w:t>136,065</w:t>
            </w:r>
          </w:p>
        </w:tc>
        <w:tc>
          <w:tcPr>
            <w:tcW w:w="636" w:type="dxa"/>
          </w:tcPr>
          <w:p>
            <w:pPr>
              <w:pStyle w:val="TableParagraph"/>
              <w:spacing w:line="235" w:lineRule="exact"/>
              <w:ind w:left="96"/>
              <w:rPr>
                <w:sz w:val="21"/>
              </w:rPr>
            </w:pPr>
            <w:r>
              <w:rPr>
                <w:sz w:val="21"/>
              </w:rPr>
              <w:t>72.3</w:t>
            </w:r>
          </w:p>
        </w:tc>
        <w:tc>
          <w:tcPr>
            <w:tcW w:w="1601" w:type="dxa"/>
          </w:tcPr>
          <w:p>
            <w:pPr>
              <w:pStyle w:val="TableParagraph"/>
              <w:spacing w:line="235" w:lineRule="exact"/>
              <w:ind w:left="95" w:right="337"/>
              <w:rPr>
                <w:sz w:val="21"/>
              </w:rPr>
            </w:pPr>
            <w:r>
              <w:rPr>
                <w:sz w:val="21"/>
              </w:rPr>
              <w:t>47,714</w:t>
            </w:r>
          </w:p>
        </w:tc>
        <w:tc>
          <w:tcPr>
            <w:tcW w:w="636" w:type="dxa"/>
          </w:tcPr>
          <w:p>
            <w:pPr>
              <w:pStyle w:val="TableParagraph"/>
              <w:spacing w:line="235" w:lineRule="exact"/>
              <w:ind w:left="96"/>
              <w:rPr>
                <w:sz w:val="21"/>
              </w:rPr>
            </w:pPr>
            <w:r>
              <w:rPr>
                <w:sz w:val="21"/>
              </w:rPr>
              <w:t>25.3</w:t>
            </w:r>
          </w:p>
        </w:tc>
        <w:tc>
          <w:tcPr>
            <w:tcW w:w="1443" w:type="dxa"/>
          </w:tcPr>
          <w:p>
            <w:pPr>
              <w:pStyle w:val="TableParagraph"/>
              <w:spacing w:line="235" w:lineRule="exact"/>
              <w:ind w:left="95" w:right="226"/>
              <w:rPr>
                <w:sz w:val="21"/>
              </w:rPr>
            </w:pPr>
            <w:r>
              <w:rPr>
                <w:sz w:val="21"/>
              </w:rPr>
              <w:t>4,456</w:t>
            </w:r>
          </w:p>
        </w:tc>
        <w:tc>
          <w:tcPr>
            <w:tcW w:w="636" w:type="dxa"/>
          </w:tcPr>
          <w:p>
            <w:pPr>
              <w:pStyle w:val="TableParagraph"/>
              <w:spacing w:line="235" w:lineRule="exact"/>
              <w:ind w:left="95"/>
              <w:rPr>
                <w:sz w:val="21"/>
              </w:rPr>
            </w:pPr>
            <w:r>
              <w:rPr>
                <w:sz w:val="21"/>
              </w:rPr>
              <w:t>2.4</w:t>
            </w:r>
          </w:p>
        </w:tc>
        <w:tc>
          <w:tcPr>
            <w:tcW w:w="718" w:type="dxa"/>
          </w:tcPr>
          <w:p>
            <w:pPr>
              <w:pStyle w:val="TableParagraph"/>
              <w:spacing w:line="235" w:lineRule="exact"/>
              <w:ind w:left="78" w:right="203"/>
              <w:jc w:val="center"/>
              <w:rPr>
                <w:sz w:val="21"/>
              </w:rPr>
            </w:pPr>
            <w:r>
              <w:rPr>
                <w:sz w:val="21"/>
              </w:rPr>
              <w:t>91.1</w:t>
            </w:r>
          </w:p>
        </w:tc>
      </w:tr>
      <w:tr>
        <w:trPr>
          <w:trHeight w:val="711" w:hRule="exact"/>
        </w:trPr>
        <w:tc>
          <w:tcPr>
            <w:tcW w:w="1390" w:type="dxa"/>
          </w:tcPr>
          <w:p>
            <w:pPr>
              <w:pStyle w:val="TableParagraph"/>
              <w:spacing w:line="259" w:lineRule="auto"/>
              <w:ind w:left="96" w:right="218"/>
              <w:rPr>
                <w:sz w:val="21"/>
              </w:rPr>
            </w:pPr>
            <w:r>
              <w:rPr>
                <w:sz w:val="21"/>
              </w:rPr>
              <w:t>Rep. Dominicana</w:t>
            </w:r>
          </w:p>
        </w:tc>
        <w:tc>
          <w:tcPr>
            <w:tcW w:w="1198" w:type="dxa"/>
          </w:tcPr>
          <w:p>
            <w:pPr>
              <w:pStyle w:val="TableParagraph"/>
              <w:spacing w:line="235" w:lineRule="exact"/>
              <w:ind w:left="96"/>
              <w:rPr>
                <w:sz w:val="21"/>
              </w:rPr>
            </w:pPr>
            <w:r>
              <w:rPr>
                <w:sz w:val="21"/>
              </w:rPr>
              <w:t>129,669</w:t>
            </w:r>
          </w:p>
        </w:tc>
        <w:tc>
          <w:tcPr>
            <w:tcW w:w="1786" w:type="dxa"/>
          </w:tcPr>
          <w:p>
            <w:pPr>
              <w:pStyle w:val="TableParagraph"/>
              <w:spacing w:line="235" w:lineRule="exact"/>
              <w:rPr>
                <w:sz w:val="21"/>
              </w:rPr>
            </w:pPr>
            <w:r>
              <w:rPr>
                <w:sz w:val="21"/>
              </w:rPr>
              <w:t>83,528</w:t>
            </w:r>
          </w:p>
        </w:tc>
        <w:tc>
          <w:tcPr>
            <w:tcW w:w="636" w:type="dxa"/>
          </w:tcPr>
          <w:p>
            <w:pPr>
              <w:pStyle w:val="TableParagraph"/>
              <w:spacing w:line="235" w:lineRule="exact"/>
              <w:ind w:left="96"/>
              <w:rPr>
                <w:sz w:val="21"/>
              </w:rPr>
            </w:pPr>
            <w:r>
              <w:rPr>
                <w:sz w:val="21"/>
              </w:rPr>
              <w:t>64.4</w:t>
            </w:r>
          </w:p>
        </w:tc>
        <w:tc>
          <w:tcPr>
            <w:tcW w:w="1601" w:type="dxa"/>
          </w:tcPr>
          <w:p>
            <w:pPr>
              <w:pStyle w:val="TableParagraph"/>
              <w:spacing w:line="235" w:lineRule="exact"/>
              <w:ind w:left="95" w:right="337"/>
              <w:rPr>
                <w:sz w:val="21"/>
              </w:rPr>
            </w:pPr>
            <w:r>
              <w:rPr>
                <w:sz w:val="21"/>
              </w:rPr>
              <w:t>42,932</w:t>
            </w:r>
          </w:p>
        </w:tc>
        <w:tc>
          <w:tcPr>
            <w:tcW w:w="636" w:type="dxa"/>
          </w:tcPr>
          <w:p>
            <w:pPr>
              <w:pStyle w:val="TableParagraph"/>
              <w:spacing w:line="235" w:lineRule="exact"/>
              <w:ind w:left="96"/>
              <w:rPr>
                <w:sz w:val="21"/>
              </w:rPr>
            </w:pPr>
            <w:r>
              <w:rPr>
                <w:sz w:val="21"/>
              </w:rPr>
              <w:t>33.1</w:t>
            </w:r>
          </w:p>
        </w:tc>
        <w:tc>
          <w:tcPr>
            <w:tcW w:w="1443" w:type="dxa"/>
          </w:tcPr>
          <w:p>
            <w:pPr>
              <w:pStyle w:val="TableParagraph"/>
              <w:spacing w:line="235" w:lineRule="exact"/>
              <w:ind w:left="95" w:right="226"/>
              <w:rPr>
                <w:sz w:val="21"/>
              </w:rPr>
            </w:pPr>
            <w:r>
              <w:rPr>
                <w:sz w:val="21"/>
              </w:rPr>
              <w:t>3,209</w:t>
            </w:r>
          </w:p>
        </w:tc>
        <w:tc>
          <w:tcPr>
            <w:tcW w:w="636" w:type="dxa"/>
          </w:tcPr>
          <w:p>
            <w:pPr>
              <w:pStyle w:val="TableParagraph"/>
              <w:spacing w:line="235" w:lineRule="exact"/>
              <w:ind w:left="95"/>
              <w:rPr>
                <w:sz w:val="21"/>
              </w:rPr>
            </w:pPr>
            <w:r>
              <w:rPr>
                <w:sz w:val="21"/>
              </w:rPr>
              <w:t>2.5</w:t>
            </w:r>
          </w:p>
        </w:tc>
        <w:tc>
          <w:tcPr>
            <w:tcW w:w="718" w:type="dxa"/>
          </w:tcPr>
          <w:p>
            <w:pPr>
              <w:pStyle w:val="TableParagraph"/>
              <w:spacing w:line="235" w:lineRule="exact"/>
              <w:ind w:left="78" w:right="203"/>
              <w:jc w:val="center"/>
              <w:rPr>
                <w:sz w:val="21"/>
              </w:rPr>
            </w:pPr>
            <w:r>
              <w:rPr>
                <w:sz w:val="21"/>
              </w:rPr>
              <w:t>61.6</w:t>
            </w:r>
          </w:p>
        </w:tc>
      </w:tr>
      <w:tr>
        <w:trPr>
          <w:trHeight w:val="451" w:hRule="exact"/>
        </w:trPr>
        <w:tc>
          <w:tcPr>
            <w:tcW w:w="1390" w:type="dxa"/>
          </w:tcPr>
          <w:p>
            <w:pPr>
              <w:pStyle w:val="TableParagraph"/>
              <w:spacing w:line="235" w:lineRule="exact"/>
              <w:ind w:left="96" w:right="218"/>
              <w:rPr>
                <w:sz w:val="21"/>
              </w:rPr>
            </w:pPr>
            <w:r>
              <w:rPr>
                <w:sz w:val="21"/>
              </w:rPr>
              <w:t>Uruguay</w:t>
            </w:r>
          </w:p>
        </w:tc>
        <w:tc>
          <w:tcPr>
            <w:tcW w:w="1198" w:type="dxa"/>
          </w:tcPr>
          <w:p>
            <w:pPr>
              <w:pStyle w:val="TableParagraph"/>
              <w:spacing w:line="235" w:lineRule="exact"/>
              <w:ind w:left="96"/>
              <w:rPr>
                <w:sz w:val="21"/>
              </w:rPr>
            </w:pPr>
            <w:r>
              <w:rPr>
                <w:sz w:val="21"/>
              </w:rPr>
              <w:t>89,540</w:t>
            </w:r>
          </w:p>
        </w:tc>
        <w:tc>
          <w:tcPr>
            <w:tcW w:w="1786" w:type="dxa"/>
          </w:tcPr>
          <w:p>
            <w:pPr>
              <w:pStyle w:val="TableParagraph"/>
              <w:spacing w:line="235" w:lineRule="exact"/>
              <w:rPr>
                <w:sz w:val="21"/>
              </w:rPr>
            </w:pPr>
            <w:r>
              <w:rPr>
                <w:sz w:val="21"/>
              </w:rPr>
              <w:t>49,136</w:t>
            </w:r>
          </w:p>
        </w:tc>
        <w:tc>
          <w:tcPr>
            <w:tcW w:w="636" w:type="dxa"/>
          </w:tcPr>
          <w:p>
            <w:pPr>
              <w:pStyle w:val="TableParagraph"/>
              <w:spacing w:line="235" w:lineRule="exact"/>
              <w:ind w:left="96"/>
              <w:rPr>
                <w:sz w:val="21"/>
              </w:rPr>
            </w:pPr>
            <w:r>
              <w:rPr>
                <w:sz w:val="21"/>
              </w:rPr>
              <w:t>54.9</w:t>
            </w:r>
          </w:p>
        </w:tc>
        <w:tc>
          <w:tcPr>
            <w:tcW w:w="1601" w:type="dxa"/>
          </w:tcPr>
          <w:p>
            <w:pPr>
              <w:pStyle w:val="TableParagraph"/>
              <w:spacing w:line="235" w:lineRule="exact"/>
              <w:ind w:left="95" w:right="337"/>
              <w:rPr>
                <w:sz w:val="21"/>
              </w:rPr>
            </w:pPr>
            <w:r>
              <w:rPr>
                <w:sz w:val="21"/>
              </w:rPr>
              <w:t>27,302</w:t>
            </w:r>
          </w:p>
        </w:tc>
        <w:tc>
          <w:tcPr>
            <w:tcW w:w="636" w:type="dxa"/>
          </w:tcPr>
          <w:p>
            <w:pPr>
              <w:pStyle w:val="TableParagraph"/>
              <w:spacing w:line="235" w:lineRule="exact"/>
              <w:ind w:left="96"/>
              <w:rPr>
                <w:sz w:val="21"/>
              </w:rPr>
            </w:pPr>
            <w:r>
              <w:rPr>
                <w:sz w:val="21"/>
              </w:rPr>
              <w:t>30.5</w:t>
            </w:r>
          </w:p>
        </w:tc>
        <w:tc>
          <w:tcPr>
            <w:tcW w:w="1443" w:type="dxa"/>
          </w:tcPr>
          <w:p>
            <w:pPr>
              <w:pStyle w:val="TableParagraph"/>
              <w:spacing w:line="235" w:lineRule="exact"/>
              <w:ind w:left="95" w:right="226"/>
              <w:rPr>
                <w:sz w:val="21"/>
              </w:rPr>
            </w:pPr>
            <w:r>
              <w:rPr>
                <w:sz w:val="21"/>
              </w:rPr>
              <w:t>13,102</w:t>
            </w:r>
          </w:p>
        </w:tc>
        <w:tc>
          <w:tcPr>
            <w:tcW w:w="636" w:type="dxa"/>
          </w:tcPr>
          <w:p>
            <w:pPr>
              <w:pStyle w:val="TableParagraph"/>
              <w:spacing w:line="235" w:lineRule="exact"/>
              <w:ind w:left="95"/>
              <w:rPr>
                <w:sz w:val="21"/>
              </w:rPr>
            </w:pPr>
            <w:r>
              <w:rPr>
                <w:sz w:val="21"/>
              </w:rPr>
              <w:t>14.6</w:t>
            </w:r>
          </w:p>
        </w:tc>
        <w:tc>
          <w:tcPr>
            <w:tcW w:w="718" w:type="dxa"/>
          </w:tcPr>
          <w:p>
            <w:pPr>
              <w:pStyle w:val="TableParagraph"/>
              <w:spacing w:line="235" w:lineRule="exact"/>
              <w:ind w:left="78" w:right="97"/>
              <w:jc w:val="center"/>
              <w:rPr>
                <w:sz w:val="21"/>
              </w:rPr>
            </w:pPr>
            <w:r>
              <w:rPr>
                <w:sz w:val="21"/>
              </w:rPr>
              <w:t>104.6</w:t>
            </w:r>
          </w:p>
        </w:tc>
      </w:tr>
      <w:tr>
        <w:trPr>
          <w:trHeight w:val="449" w:hRule="exact"/>
        </w:trPr>
        <w:tc>
          <w:tcPr>
            <w:tcW w:w="1390" w:type="dxa"/>
          </w:tcPr>
          <w:p>
            <w:pPr>
              <w:pStyle w:val="TableParagraph"/>
              <w:spacing w:line="235" w:lineRule="exact"/>
              <w:ind w:left="96" w:right="218"/>
              <w:rPr>
                <w:sz w:val="21"/>
              </w:rPr>
            </w:pPr>
            <w:r>
              <w:rPr>
                <w:sz w:val="21"/>
              </w:rPr>
              <w:t>Venezuela</w:t>
            </w:r>
          </w:p>
        </w:tc>
        <w:tc>
          <w:tcPr>
            <w:tcW w:w="1198" w:type="dxa"/>
          </w:tcPr>
          <w:p>
            <w:pPr>
              <w:pStyle w:val="TableParagraph"/>
              <w:spacing w:line="235" w:lineRule="exact"/>
              <w:ind w:left="96"/>
              <w:rPr>
                <w:sz w:val="21"/>
              </w:rPr>
            </w:pPr>
            <w:r>
              <w:rPr>
                <w:sz w:val="21"/>
              </w:rPr>
              <w:t>152,395</w:t>
            </w:r>
          </w:p>
        </w:tc>
        <w:tc>
          <w:tcPr>
            <w:tcW w:w="1786" w:type="dxa"/>
          </w:tcPr>
          <w:p>
            <w:pPr>
              <w:pStyle w:val="TableParagraph"/>
              <w:spacing w:line="235" w:lineRule="exact"/>
              <w:rPr>
                <w:sz w:val="21"/>
              </w:rPr>
            </w:pPr>
            <w:r>
              <w:rPr>
                <w:sz w:val="21"/>
              </w:rPr>
              <w:t>56,955</w:t>
            </w:r>
          </w:p>
        </w:tc>
        <w:tc>
          <w:tcPr>
            <w:tcW w:w="636" w:type="dxa"/>
          </w:tcPr>
          <w:p>
            <w:pPr>
              <w:pStyle w:val="TableParagraph"/>
              <w:spacing w:line="235" w:lineRule="exact"/>
              <w:ind w:left="96"/>
              <w:rPr>
                <w:sz w:val="21"/>
              </w:rPr>
            </w:pPr>
            <w:r>
              <w:rPr>
                <w:sz w:val="21"/>
              </w:rPr>
              <w:t>37.4</w:t>
            </w:r>
          </w:p>
        </w:tc>
        <w:tc>
          <w:tcPr>
            <w:tcW w:w="1601" w:type="dxa"/>
          </w:tcPr>
          <w:p>
            <w:pPr>
              <w:pStyle w:val="TableParagraph"/>
              <w:spacing w:line="235" w:lineRule="exact"/>
              <w:ind w:left="95" w:right="337"/>
              <w:rPr>
                <w:sz w:val="21"/>
              </w:rPr>
            </w:pPr>
            <w:r>
              <w:rPr>
                <w:sz w:val="21"/>
              </w:rPr>
              <w:t>87,509</w:t>
            </w:r>
          </w:p>
        </w:tc>
        <w:tc>
          <w:tcPr>
            <w:tcW w:w="636" w:type="dxa"/>
          </w:tcPr>
          <w:p>
            <w:pPr>
              <w:pStyle w:val="TableParagraph"/>
              <w:spacing w:line="235" w:lineRule="exact"/>
              <w:ind w:left="96"/>
              <w:rPr>
                <w:sz w:val="21"/>
              </w:rPr>
            </w:pPr>
            <w:r>
              <w:rPr>
                <w:sz w:val="21"/>
              </w:rPr>
              <w:t>57.4</w:t>
            </w:r>
          </w:p>
        </w:tc>
        <w:tc>
          <w:tcPr>
            <w:tcW w:w="1443" w:type="dxa"/>
          </w:tcPr>
          <w:p>
            <w:pPr>
              <w:pStyle w:val="TableParagraph"/>
              <w:spacing w:line="235" w:lineRule="exact"/>
              <w:ind w:left="95" w:right="226"/>
              <w:rPr>
                <w:sz w:val="21"/>
              </w:rPr>
            </w:pPr>
            <w:r>
              <w:rPr>
                <w:sz w:val="21"/>
              </w:rPr>
              <w:t>7,931</w:t>
            </w:r>
          </w:p>
        </w:tc>
        <w:tc>
          <w:tcPr>
            <w:tcW w:w="636" w:type="dxa"/>
          </w:tcPr>
          <w:p>
            <w:pPr>
              <w:pStyle w:val="TableParagraph"/>
              <w:spacing w:line="235" w:lineRule="exact"/>
              <w:ind w:left="95"/>
              <w:rPr>
                <w:sz w:val="21"/>
              </w:rPr>
            </w:pPr>
            <w:r>
              <w:rPr>
                <w:sz w:val="21"/>
              </w:rPr>
              <w:t>5.2</w:t>
            </w:r>
          </w:p>
        </w:tc>
        <w:tc>
          <w:tcPr>
            <w:tcW w:w="718" w:type="dxa"/>
          </w:tcPr>
          <w:p>
            <w:pPr>
              <w:pStyle w:val="TableParagraph"/>
              <w:spacing w:line="235" w:lineRule="exact"/>
              <w:ind w:left="78" w:right="203"/>
              <w:jc w:val="center"/>
              <w:rPr>
                <w:sz w:val="21"/>
              </w:rPr>
            </w:pPr>
            <w:r>
              <w:rPr>
                <w:sz w:val="21"/>
              </w:rPr>
              <w:t>87.5</w:t>
            </w:r>
          </w:p>
        </w:tc>
      </w:tr>
      <w:tr>
        <w:trPr>
          <w:trHeight w:val="713" w:hRule="exact"/>
        </w:trPr>
        <w:tc>
          <w:tcPr>
            <w:tcW w:w="1390" w:type="dxa"/>
          </w:tcPr>
          <w:p>
            <w:pPr>
              <w:pStyle w:val="TableParagraph"/>
              <w:tabs>
                <w:tab w:pos="1072" w:val="left" w:leader="none"/>
              </w:tabs>
              <w:spacing w:line="256" w:lineRule="auto"/>
              <w:ind w:left="96" w:right="87"/>
              <w:rPr>
                <w:sz w:val="21"/>
              </w:rPr>
            </w:pPr>
            <w:r>
              <w:rPr>
                <w:sz w:val="21"/>
              </w:rPr>
              <w:t>Resto</w:t>
              <w:tab/>
              <w:t>de América</w:t>
            </w:r>
          </w:p>
        </w:tc>
        <w:tc>
          <w:tcPr>
            <w:tcW w:w="1198" w:type="dxa"/>
          </w:tcPr>
          <w:p>
            <w:pPr>
              <w:pStyle w:val="TableParagraph"/>
              <w:spacing w:line="237" w:lineRule="exact"/>
              <w:ind w:left="96"/>
              <w:rPr>
                <w:sz w:val="21"/>
              </w:rPr>
            </w:pPr>
            <w:r>
              <w:rPr>
                <w:sz w:val="21"/>
              </w:rPr>
              <w:t>70,238</w:t>
            </w:r>
          </w:p>
        </w:tc>
        <w:tc>
          <w:tcPr>
            <w:tcW w:w="1786" w:type="dxa"/>
          </w:tcPr>
          <w:p>
            <w:pPr>
              <w:pStyle w:val="TableParagraph"/>
              <w:spacing w:line="237" w:lineRule="exact"/>
              <w:rPr>
                <w:sz w:val="21"/>
              </w:rPr>
            </w:pPr>
            <w:r>
              <w:rPr>
                <w:sz w:val="21"/>
              </w:rPr>
              <w:t>50,928</w:t>
            </w:r>
          </w:p>
        </w:tc>
        <w:tc>
          <w:tcPr>
            <w:tcW w:w="636" w:type="dxa"/>
          </w:tcPr>
          <w:p>
            <w:pPr>
              <w:pStyle w:val="TableParagraph"/>
              <w:spacing w:line="237" w:lineRule="exact"/>
              <w:ind w:left="96"/>
              <w:rPr>
                <w:sz w:val="21"/>
              </w:rPr>
            </w:pPr>
            <w:r>
              <w:rPr>
                <w:sz w:val="21"/>
              </w:rPr>
              <w:t>72.5</w:t>
            </w:r>
          </w:p>
        </w:tc>
        <w:tc>
          <w:tcPr>
            <w:tcW w:w="1601" w:type="dxa"/>
          </w:tcPr>
          <w:p>
            <w:pPr>
              <w:pStyle w:val="TableParagraph"/>
              <w:spacing w:line="237" w:lineRule="exact"/>
              <w:ind w:left="95" w:right="337"/>
              <w:rPr>
                <w:sz w:val="21"/>
              </w:rPr>
            </w:pPr>
            <w:r>
              <w:rPr>
                <w:sz w:val="21"/>
              </w:rPr>
              <w:t>16,625</w:t>
            </w:r>
          </w:p>
        </w:tc>
        <w:tc>
          <w:tcPr>
            <w:tcW w:w="636" w:type="dxa"/>
          </w:tcPr>
          <w:p>
            <w:pPr>
              <w:pStyle w:val="TableParagraph"/>
              <w:spacing w:line="237" w:lineRule="exact"/>
              <w:ind w:left="96"/>
              <w:rPr>
                <w:sz w:val="21"/>
              </w:rPr>
            </w:pPr>
            <w:r>
              <w:rPr>
                <w:sz w:val="21"/>
              </w:rPr>
              <w:t>23.7</w:t>
            </w:r>
          </w:p>
        </w:tc>
        <w:tc>
          <w:tcPr>
            <w:tcW w:w="1443" w:type="dxa"/>
          </w:tcPr>
          <w:p>
            <w:pPr>
              <w:pStyle w:val="TableParagraph"/>
              <w:spacing w:line="237" w:lineRule="exact"/>
              <w:ind w:left="95" w:right="226"/>
              <w:rPr>
                <w:sz w:val="21"/>
              </w:rPr>
            </w:pPr>
            <w:r>
              <w:rPr>
                <w:sz w:val="21"/>
              </w:rPr>
              <w:t>2,730</w:t>
            </w:r>
          </w:p>
        </w:tc>
        <w:tc>
          <w:tcPr>
            <w:tcW w:w="636" w:type="dxa"/>
          </w:tcPr>
          <w:p>
            <w:pPr>
              <w:pStyle w:val="TableParagraph"/>
              <w:spacing w:line="237" w:lineRule="exact"/>
              <w:ind w:left="95"/>
              <w:rPr>
                <w:sz w:val="21"/>
              </w:rPr>
            </w:pPr>
            <w:r>
              <w:rPr>
                <w:sz w:val="21"/>
              </w:rPr>
              <w:t>3.9</w:t>
            </w:r>
          </w:p>
        </w:tc>
        <w:tc>
          <w:tcPr>
            <w:tcW w:w="718" w:type="dxa"/>
          </w:tcPr>
          <w:p>
            <w:pPr>
              <w:pStyle w:val="TableParagraph"/>
              <w:spacing w:line="237" w:lineRule="exact"/>
              <w:ind w:left="78" w:right="203"/>
              <w:jc w:val="center"/>
              <w:rPr>
                <w:sz w:val="21"/>
              </w:rPr>
            </w:pPr>
            <w:r>
              <w:rPr>
                <w:sz w:val="21"/>
              </w:rPr>
              <w:t>58.7</w:t>
            </w:r>
          </w:p>
        </w:tc>
      </w:tr>
      <w:tr>
        <w:trPr>
          <w:trHeight w:val="449" w:hRule="exact"/>
        </w:trPr>
        <w:tc>
          <w:tcPr>
            <w:tcW w:w="1390" w:type="dxa"/>
          </w:tcPr>
          <w:p>
            <w:pPr>
              <w:pStyle w:val="TableParagraph"/>
              <w:spacing w:line="235" w:lineRule="exact"/>
              <w:ind w:left="96" w:right="218"/>
              <w:rPr>
                <w:sz w:val="21"/>
              </w:rPr>
            </w:pPr>
            <w:r>
              <w:rPr>
                <w:sz w:val="21"/>
              </w:rPr>
              <w:t>Total</w:t>
            </w:r>
          </w:p>
        </w:tc>
        <w:tc>
          <w:tcPr>
            <w:tcW w:w="1198" w:type="dxa"/>
          </w:tcPr>
          <w:p>
            <w:pPr>
              <w:pStyle w:val="TableParagraph"/>
              <w:spacing w:line="235" w:lineRule="exact"/>
              <w:ind w:left="96"/>
              <w:rPr>
                <w:sz w:val="21"/>
              </w:rPr>
            </w:pPr>
            <w:r>
              <w:rPr>
                <w:sz w:val="21"/>
              </w:rPr>
              <w:t>2’479,035</w:t>
            </w:r>
          </w:p>
        </w:tc>
        <w:tc>
          <w:tcPr>
            <w:tcW w:w="1786" w:type="dxa"/>
          </w:tcPr>
          <w:p>
            <w:pPr>
              <w:pStyle w:val="TableParagraph"/>
              <w:spacing w:line="235" w:lineRule="exact"/>
              <w:rPr>
                <w:sz w:val="21"/>
              </w:rPr>
            </w:pPr>
            <w:r>
              <w:rPr>
                <w:sz w:val="21"/>
              </w:rPr>
              <w:t>1’779,533</w:t>
            </w:r>
          </w:p>
        </w:tc>
        <w:tc>
          <w:tcPr>
            <w:tcW w:w="636" w:type="dxa"/>
          </w:tcPr>
          <w:p>
            <w:pPr>
              <w:pStyle w:val="TableParagraph"/>
              <w:spacing w:line="235" w:lineRule="exact"/>
              <w:ind w:left="96"/>
              <w:rPr>
                <w:sz w:val="21"/>
              </w:rPr>
            </w:pPr>
            <w:r>
              <w:rPr>
                <w:sz w:val="21"/>
              </w:rPr>
              <w:t>71.8</w:t>
            </w:r>
          </w:p>
        </w:tc>
        <w:tc>
          <w:tcPr>
            <w:tcW w:w="1601" w:type="dxa"/>
          </w:tcPr>
          <w:p>
            <w:pPr>
              <w:pStyle w:val="TableParagraph"/>
              <w:spacing w:line="235" w:lineRule="exact"/>
              <w:ind w:left="95" w:right="337"/>
              <w:rPr>
                <w:sz w:val="21"/>
              </w:rPr>
            </w:pPr>
            <w:r>
              <w:rPr>
                <w:sz w:val="21"/>
              </w:rPr>
              <w:t>582,892</w:t>
            </w:r>
          </w:p>
        </w:tc>
        <w:tc>
          <w:tcPr>
            <w:tcW w:w="636" w:type="dxa"/>
          </w:tcPr>
          <w:p>
            <w:pPr>
              <w:pStyle w:val="TableParagraph"/>
              <w:spacing w:line="235" w:lineRule="exact"/>
              <w:ind w:left="96"/>
              <w:rPr>
                <w:sz w:val="21"/>
              </w:rPr>
            </w:pPr>
            <w:r>
              <w:rPr>
                <w:sz w:val="21"/>
              </w:rPr>
              <w:t>23.5</w:t>
            </w:r>
          </w:p>
        </w:tc>
        <w:tc>
          <w:tcPr>
            <w:tcW w:w="1443" w:type="dxa"/>
          </w:tcPr>
          <w:p>
            <w:pPr>
              <w:pStyle w:val="TableParagraph"/>
              <w:spacing w:line="235" w:lineRule="exact"/>
              <w:ind w:left="95" w:right="226"/>
              <w:rPr>
                <w:sz w:val="21"/>
              </w:rPr>
            </w:pPr>
            <w:r>
              <w:rPr>
                <w:sz w:val="21"/>
              </w:rPr>
              <w:t>116,610</w:t>
            </w:r>
          </w:p>
        </w:tc>
        <w:tc>
          <w:tcPr>
            <w:tcW w:w="636" w:type="dxa"/>
          </w:tcPr>
          <w:p>
            <w:pPr>
              <w:pStyle w:val="TableParagraph"/>
              <w:spacing w:line="235" w:lineRule="exact"/>
              <w:ind w:left="95"/>
              <w:rPr>
                <w:sz w:val="21"/>
              </w:rPr>
            </w:pPr>
            <w:r>
              <w:rPr>
                <w:sz w:val="21"/>
              </w:rPr>
              <w:t>4.7</w:t>
            </w:r>
          </w:p>
        </w:tc>
        <w:tc>
          <w:tcPr>
            <w:tcW w:w="718" w:type="dxa"/>
          </w:tcPr>
          <w:p>
            <w:pPr>
              <w:pStyle w:val="TableParagraph"/>
              <w:spacing w:line="235" w:lineRule="exact"/>
              <w:ind w:left="78" w:right="203"/>
              <w:jc w:val="center"/>
              <w:rPr>
                <w:sz w:val="21"/>
              </w:rPr>
            </w:pPr>
            <w:r>
              <w:rPr>
                <w:sz w:val="21"/>
              </w:rPr>
              <w:t>83.9</w:t>
            </w:r>
          </w:p>
        </w:tc>
      </w:tr>
    </w:tbl>
    <w:p>
      <w:pPr>
        <w:spacing w:line="181" w:lineRule="exact" w:before="0"/>
        <w:ind w:left="4147" w:right="4165" w:firstLine="0"/>
        <w:jc w:val="center"/>
        <w:rPr>
          <w:sz w:val="16"/>
        </w:rPr>
      </w:pPr>
      <w:r>
        <w:rPr>
          <w:sz w:val="16"/>
        </w:rPr>
        <w:t>*RM: Razón de masculinidad.</w:t>
      </w:r>
    </w:p>
    <w:p>
      <w:pPr>
        <w:spacing w:before="1"/>
        <w:ind w:left="4056" w:right="0" w:firstLine="0"/>
        <w:jc w:val="left"/>
        <w:rPr>
          <w:sz w:val="16"/>
        </w:rPr>
      </w:pPr>
      <w:r>
        <w:rPr>
          <w:sz w:val="16"/>
        </w:rPr>
        <w:t>Fuente: Tomado de CEPAL-CELADE, 2010</w:t>
      </w:r>
    </w:p>
    <w:p>
      <w:pPr>
        <w:pStyle w:val="BodyText"/>
        <w:rPr>
          <w:sz w:val="16"/>
        </w:rPr>
      </w:pPr>
    </w:p>
    <w:p>
      <w:pPr>
        <w:pStyle w:val="BodyText"/>
        <w:spacing w:before="8"/>
        <w:rPr>
          <w:sz w:val="23"/>
        </w:rPr>
      </w:pPr>
    </w:p>
    <w:p>
      <w:pPr>
        <w:pStyle w:val="BodyText"/>
        <w:spacing w:line="256" w:lineRule="auto"/>
        <w:ind w:left="152" w:right="175" w:firstLine="708"/>
        <w:jc w:val="both"/>
      </w:pPr>
      <w:r>
        <w:rPr/>
        <w:t>Hasta enero de 2009 había en España 2’479,035 inmigrantes latinoamericanos empadronados y, según su nacionalidad, los ecuatorianos constituían el grupo más numeroso, seguidos por los colombianos y los bolivianos.</w:t>
      </w:r>
    </w:p>
    <w:p>
      <w:pPr>
        <w:spacing w:after="0" w:line="256" w:lineRule="auto"/>
        <w:jc w:val="both"/>
        <w:sectPr>
          <w:headerReference w:type="default" r:id="rId8"/>
          <w:pgSz w:w="12240" w:h="15840"/>
          <w:pgMar w:header="731" w:footer="0" w:top="1380" w:bottom="280" w:left="980" w:right="960"/>
          <w:pgNumType w:start="208"/>
        </w:sectPr>
      </w:pPr>
    </w:p>
    <w:p>
      <w:pPr>
        <w:pStyle w:val="BodyText"/>
        <w:spacing w:line="259" w:lineRule="auto" w:before="29"/>
        <w:ind w:left="112" w:right="114"/>
        <w:jc w:val="both"/>
      </w:pPr>
      <w:r>
        <w:rPr/>
        <w:t>entre los migrantes latinoamericanos, muy por encima de la de otros orígenes. A excepción de los inmigrantes argentinos y uruguayos, en todos los demás orígenes predominan las mujeres, en mayor o menor medida. En los Estados Unidos también se observa una estabilización del crecimiento de la población inmigrante desde finales de 2007, particularmente debido al estancamiento del flujo de indocumentados que venía detectándose desde 2006 (CEPAL-CELADE, 2010).</w:t>
      </w:r>
    </w:p>
    <w:p>
      <w:pPr>
        <w:pStyle w:val="BodyText"/>
        <w:spacing w:line="259" w:lineRule="auto" w:before="163"/>
        <w:ind w:left="112" w:right="114" w:firstLine="708"/>
        <w:jc w:val="both"/>
      </w:pPr>
      <w:r>
        <w:rPr/>
        <w:t>Por otra parte, la caída de casi un millón de inmigrantes que comenzó a registrarse en este país desde mediados de 2008 tiene una clara incidencia de la estacionalidad, pues el stock volvió a crecer hacia comienzos de 2009, aún en plena vigencia de los síntomas agudos de la crisis. Del otro lado de la frontera, en México, los datos del Instituto Nacional de Estadística y Geografía (INEGI) provistos en  un estudio de la Fundación BBVA Bancomer (2010) indican que entre 2006 y 2009 el número de emigrantes internacionales de ese país tendió a disminuir: la tasa de emigración habría sido de 5 por cada mil habitantes en 2009, en contraste con una superior a 8 por cada mil en 2006. Los datos estarían confirmando entonces una desaceleración de la migración internacional latinoamericana, pero de ninguna manera es posible concluir de ello que la crisis económica se ha convertido en un impedimento decisivo para la migración, al menos desde ALC (CEPAL-CELADE,</w:t>
      </w:r>
      <w:r>
        <w:rPr>
          <w:spacing w:val="-14"/>
        </w:rPr>
        <w:t> </w:t>
      </w:r>
      <w:r>
        <w:rPr/>
        <w:t>2010).</w:t>
      </w:r>
    </w:p>
    <w:p>
      <w:pPr>
        <w:pStyle w:val="BodyText"/>
        <w:spacing w:line="259" w:lineRule="auto" w:before="161"/>
        <w:ind w:left="112" w:right="111" w:firstLine="708"/>
        <w:jc w:val="both"/>
      </w:pPr>
      <w:r>
        <w:rPr/>
        <w:t>Otro aspecto identificado a partir del escenario de crisis se refiere a un hipotético retorno masivo de los migrantes a sus países de origen. Esto puede ser un tanto cierto, pues a la fecha se ha constatado un cierto aumento en el regreso de los migrantes a los países de la región. Sin embargo, lo más destacable es que tal regreso masivo no se ha registrado. Por el contrario, ha sido muy limitado </w:t>
      </w:r>
      <w:r>
        <w:rPr>
          <w:spacing w:val="-3"/>
        </w:rPr>
        <w:t>y, </w:t>
      </w:r>
      <w:r>
        <w:rPr/>
        <w:t>definitivamente, permite afirmar que el retorno sigue siendo un proceso eminentemente selectivo </w:t>
      </w:r>
      <w:hyperlink r:id="rId10">
        <w:r>
          <w:rPr/>
          <w:t>http://www.cepal.org/celade/agenda/8/41868/ALAP_2010.pdf</w:t>
        </w:r>
      </w:hyperlink>
      <w:r>
        <w:rPr/>
        <w:t> (1 de diciembre de</w:t>
      </w:r>
      <w:r>
        <w:rPr>
          <w:spacing w:val="-16"/>
        </w:rPr>
        <w:t> </w:t>
      </w:r>
      <w:r>
        <w:rPr/>
        <w:t>2013).</w:t>
      </w:r>
    </w:p>
    <w:p>
      <w:pPr>
        <w:pStyle w:val="BodyText"/>
        <w:spacing w:line="259" w:lineRule="auto" w:before="163"/>
        <w:ind w:left="112" w:right="109" w:firstLine="708"/>
        <w:jc w:val="both"/>
      </w:pPr>
      <w:r>
        <w:rPr/>
        <w:t>Desde su entrada en vigor hasta noviembre de 2009, el Plan de Retorno Voluntario instrumentado por España, por el cual se facilita el regreso de los migrantes desempleados a sus países de origen, recibió 8,724 solicitudes directas, a las que se agregan 1,581 beneficiarios indirectos (Familiares acompañantes). Aunque el Ministerio del Trabajo e Inmigración de España ha evaluado positivamente los resultados del programa, el balance hasta el momento muestra que la participación en los programas de retorno asistido ha sido muy limitada, como pareciera haber ocurrido en otros períodos postcrisis en la historia. Existe bastante consenso entre los investigadores sobre la improbabilidad de un retorno masivo, por varios motivos. Por una parte, la decisión del retorno está condicionada por los altos costos económicos involucrados en todo viaje y también por las dificultades para un regreso al país de destino. Por otra parte, también se hace difícil regresar cuando </w:t>
      </w:r>
      <w:r>
        <w:rPr>
          <w:spacing w:val="-3"/>
        </w:rPr>
        <w:t>ya </w:t>
      </w:r>
      <w:r>
        <w:rPr/>
        <w:t>se ha logrado cierto nivel de integración y se cuenta con alguna inversión inmobiliaria o de otro tipo, sobre todo si se ha adquirido con años de esfuerzo. En efecto, el estatus migratorio alcanzado es motivo suficiente para no querer perder logros, también la formación de vínculos (Familiares, afectivos) y el arraigo de los hijos, todas razones de peso para no retornar a pesar de la situación desfavorable por la que pueda estar pasando el país de destino. A todo ello cabría agregar los altos niveles </w:t>
      </w:r>
      <w:r>
        <w:rPr>
          <w:spacing w:val="3"/>
        </w:rPr>
        <w:t>de </w:t>
      </w:r>
      <w:r>
        <w:rPr/>
        <w:t>desempleo que persisten en los países de origen y las obligaciones económicas que se mantienen con los familiares mediante el envío de remesas, factores que también condicionan la decisión de volver. En otros términos, las enormes asimetrías en el desarrollo siguen alentando la migración y desestimulando el regreso. Mientras las brechas entre los países en desarrollo y los desarrollados continúen, es viable pensar que no habrá motivos suficientes para que las personas dejen de migrar o bien regresen a sus países </w:t>
      </w:r>
      <w:hyperlink r:id="rId10">
        <w:r>
          <w:rPr/>
          <w:t>http://www.cepal.org/celade/agenda/8/41868/ALAP_2010.pdf</w:t>
        </w:r>
      </w:hyperlink>
      <w:r>
        <w:rPr/>
        <w:t> (1 de diciembre de</w:t>
      </w:r>
      <w:r>
        <w:rPr>
          <w:spacing w:val="-16"/>
        </w:rPr>
        <w:t> </w:t>
      </w:r>
      <w:r>
        <w:rPr/>
        <w:t>2013).</w:t>
      </w:r>
    </w:p>
    <w:p>
      <w:pPr>
        <w:spacing w:after="0" w:line="259" w:lineRule="auto"/>
        <w:jc w:val="both"/>
        <w:sectPr>
          <w:headerReference w:type="default" r:id="rId9"/>
          <w:pgSz w:w="12240" w:h="15840"/>
          <w:pgMar w:header="731" w:footer="0" w:top="1380" w:bottom="280" w:left="1020" w:right="1020"/>
          <w:pgNumType w:start="209"/>
        </w:sectPr>
      </w:pPr>
    </w:p>
    <w:p>
      <w:pPr>
        <w:pStyle w:val="BodyText"/>
        <w:spacing w:before="154"/>
        <w:ind w:left="821" w:right="150"/>
      </w:pPr>
      <w:r>
        <w:rPr/>
        <w:t>Evolución de los flujos migratorios de América Latina y el Caribe a Europa.</w:t>
      </w:r>
    </w:p>
    <w:p>
      <w:pPr>
        <w:pStyle w:val="BodyText"/>
        <w:spacing w:line="259" w:lineRule="auto" w:before="185"/>
        <w:ind w:left="112" w:right="114" w:firstLine="708"/>
        <w:jc w:val="both"/>
      </w:pPr>
      <w:r>
        <w:rPr/>
        <w:t>La migración entre las dos regiones no es un fenómeno nuevo. De acuerdo con Ayuso (2009), los primeros flujos importantes desde ALC tuvieron lugar alrededor de los años 50 del siglo XX, con el retorno de parte de los emigrantes europeos en América Latina hacia sus tierras de origen. Este proceso se produjo especialmente entre 1962 y 1973, con más de 50,000 emigrantes anuales, estimulado por la amplia demanda de mano de obra en los países europeos.</w:t>
      </w:r>
    </w:p>
    <w:p>
      <w:pPr>
        <w:pStyle w:val="BodyText"/>
        <w:spacing w:line="259" w:lineRule="auto" w:before="161"/>
        <w:ind w:left="112" w:right="113" w:firstLine="708"/>
        <w:jc w:val="both"/>
      </w:pPr>
      <w:r>
        <w:rPr/>
        <w:t>A principios de los 60, algunos exiliados políticos cubanos ya se habían instalado en Europa y otros inmigrantes caribeños se habían trasladado a sus antiguas metrópolis, tras los procesos de descolonización tardía. A partir de los 70 es posible identificar un primer flujo migratorio relevante de latinoamericanos, aunque de baja intensidad, motivado principalmente por razones políticas, ante la ola autoritaria que asoló el Cono Sur y América Central. La violencia política desatada en la región por las dictaduras militares, obligó a argentinos, brasileños, chilenos y uruguayos a refugiarse en el Reino Unido, Francia, Suiza, Alemania, los países escandinavos, España y Portugal. La mayoría de estos inmigrantes contaba con un alto nivel de educación y se incorporaron con cierta facilidad en los mercados laborales en los países de destino (Padilla, 2007).</w:t>
      </w:r>
    </w:p>
    <w:p>
      <w:pPr>
        <w:pStyle w:val="BodyText"/>
        <w:spacing w:line="259" w:lineRule="auto" w:before="163"/>
        <w:ind w:left="112" w:right="108" w:firstLine="708"/>
        <w:jc w:val="both"/>
      </w:pPr>
      <w:r>
        <w:rPr/>
        <w:t>Con el retorno de la democracia a ALC, parte de los exiliados políticos regresaron a sus países de origen y otros tantos adoptaron la nacionalidad del país europeo receptor. Un segundo flujo migratorio relevante se produjo en la década de los 80 y se caracterizó por su conformación más diversificada y por incluir a un colectivo latinoamericano y caribeño con un perfil principalmente económico y laboral. A ellos se sumaron estudiantes latinoamericanos que emigraron a Europa para cursar estudios de postgrado, así como emigrantes económicos de clase media en proceso de empobrecimiento, en el contexto de crisis económica en ALC (Yépez, 2007).</w:t>
      </w:r>
    </w:p>
    <w:p>
      <w:pPr>
        <w:pStyle w:val="BodyText"/>
        <w:spacing w:line="259" w:lineRule="auto" w:before="164"/>
        <w:ind w:left="112" w:right="110" w:firstLine="708"/>
        <w:jc w:val="both"/>
      </w:pPr>
      <w:r>
        <w:rPr/>
        <w:t>Si bien no muy numerosos, estos núcleos facilitarían la llegada de los flujos de inmigrantes que llegaron en los 90 y luego masivamente a partir del año 2000; de tal manera que, durante toda la década de los años 90 se produce una llegada progresiva y silenciosa de dominicanos, peruanos, ecuatorianos, colombianos, bolivianos que van a preparar el terreno para la entrada de otros inmigrantes: van a sembrar las primeras semillas para la conformación de las redes laborales y sociales y convertir a Europa, especialmente Italia, España y Portugal, en el destino preferido de muchos latinoamericanos (Yépez, 2007; Herrera y Yépez, 2007). El proceso migratorio de los años 90 y 2000 tuvo un perfil principalmente de carácter laboral. Sin embargo, como lo menciona Yépez (2007), a partir del año 2000, no sólo han cambiado las causas de la migración, sino también la velocidad de los flujos migratorios.</w:t>
      </w:r>
    </w:p>
    <w:p>
      <w:pPr>
        <w:spacing w:after="0" w:line="259" w:lineRule="auto"/>
        <w:jc w:val="both"/>
        <w:sectPr>
          <w:headerReference w:type="default" r:id="rId11"/>
          <w:pgSz w:w="12240" w:h="15840"/>
          <w:pgMar w:header="731" w:footer="0" w:top="960" w:bottom="280" w:left="1020" w:right="1020"/>
          <w:pgNumType w:start="210"/>
        </w:sectPr>
      </w:pPr>
    </w:p>
    <w:p>
      <w:pPr>
        <w:pStyle w:val="BodyText"/>
        <w:spacing w:line="259" w:lineRule="auto" w:before="156"/>
        <w:ind w:left="4858" w:right="150" w:hanging="4693"/>
      </w:pPr>
      <w:r>
        <w:rPr>
          <w:b/>
        </w:rPr>
        <w:t>Figura 16 </w:t>
      </w:r>
      <w:r>
        <w:rPr/>
        <w:t>Personas que llegaron a la UE en el período de 1998-2009, flujo total y flujo de personas de ALC</w:t>
      </w:r>
    </w:p>
    <w:p>
      <w:pPr>
        <w:pStyle w:val="BodyText"/>
        <w:spacing w:before="1"/>
        <w:rPr>
          <w:sz w:val="11"/>
        </w:rPr>
      </w:pPr>
      <w:r>
        <w:rPr/>
        <w:drawing>
          <wp:anchor distT="0" distB="0" distL="0" distR="0" allowOverlap="1" layoutInCell="1" locked="0" behindDoc="0" simplePos="0" relativeHeight="1192">
            <wp:simplePos x="0" y="0"/>
            <wp:positionH relativeFrom="page">
              <wp:posOffset>1083563</wp:posOffset>
            </wp:positionH>
            <wp:positionV relativeFrom="paragraph">
              <wp:posOffset>105932</wp:posOffset>
            </wp:positionV>
            <wp:extent cx="5548482" cy="240982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12" cstate="print"/>
                    <a:stretch>
                      <a:fillRect/>
                    </a:stretch>
                  </pic:blipFill>
                  <pic:spPr>
                    <a:xfrm>
                      <a:off x="0" y="0"/>
                      <a:ext cx="5548482" cy="2409825"/>
                    </a:xfrm>
                    <a:prstGeom prst="rect">
                      <a:avLst/>
                    </a:prstGeom>
                  </pic:spPr>
                </pic:pic>
              </a:graphicData>
            </a:graphic>
          </wp:anchor>
        </w:drawing>
      </w:r>
    </w:p>
    <w:p>
      <w:pPr>
        <w:spacing w:before="194"/>
        <w:ind w:left="4816" w:right="4112" w:firstLine="0"/>
        <w:jc w:val="center"/>
        <w:rPr>
          <w:sz w:val="16"/>
        </w:rPr>
      </w:pPr>
      <w:r>
        <w:rPr>
          <w:sz w:val="16"/>
        </w:rPr>
        <w:t>Fuente: OIM, 2012</w:t>
      </w:r>
    </w:p>
    <w:p>
      <w:pPr>
        <w:pStyle w:val="BodyText"/>
        <w:rPr>
          <w:sz w:val="16"/>
        </w:rPr>
      </w:pPr>
    </w:p>
    <w:p>
      <w:pPr>
        <w:pStyle w:val="BodyText"/>
        <w:spacing w:line="259" w:lineRule="auto" w:before="92"/>
        <w:ind w:left="112" w:right="113" w:firstLine="708"/>
        <w:jc w:val="both"/>
      </w:pPr>
      <w:r>
        <w:rPr/>
        <w:t>En este sentido, los flujos migratorios desde ALC hacia la UE, se incrementaron de manera paulatina prácticamente durante toda la primera década del 2000; sin embargo, 2008 marcó un punto de inflexión ya que los flujos disminuyeron drásticamente. Ese descenso podría explicarse por la crisis económica de la zona y fundamentalmente del principal país receptor de este flujo: España. Durante el año 2000 poco más de 200,000 personas provenientes de ALC entraron a la UE. Otro incremento importante se dio en 2006, cuando casi 400,000 personas llegaron a la Unión. A partir de entonces, se dio una caída exponencial: del 21.0% en 2008 y del 20.0% en 2009 (Para ambos casos en comparación con el año anterior), de tal forma que para 2009 se registraron poco más de 229,000 entradas, cifra similar a la del año 2000 (Ver figura 16).</w:t>
      </w:r>
    </w:p>
    <w:p>
      <w:pPr>
        <w:pStyle w:val="BodyText"/>
        <w:spacing w:line="256" w:lineRule="auto" w:before="161"/>
        <w:ind w:left="112" w:right="112" w:firstLine="708"/>
        <w:jc w:val="both"/>
      </w:pPr>
      <w:r>
        <w:rPr/>
        <w:t>Llama la atención que, a pesar de los incrementos y de las caídas, la proporción de personas originarias de esta región, el flujo total de personas que ingresaron en la UE se ha mantenido constante en los últimos 10 años: entre el 9.0 y el 11.0% (OIM, 2012).</w:t>
      </w:r>
    </w:p>
    <w:p>
      <w:pPr>
        <w:pStyle w:val="BodyText"/>
        <w:spacing w:line="259" w:lineRule="auto" w:before="166"/>
        <w:ind w:left="112" w:right="114" w:firstLine="708"/>
        <w:jc w:val="both"/>
      </w:pPr>
      <w:r>
        <w:rPr/>
        <w:t>Lo anterior se puede constatar debido a que las personas con nacionalidad extracomunitaria que buscan realizar actividades remuneradas en alguno de los países de la UE normalmente ingresan en ella, cuando lo hacen de manera regular, con un permiso de residencia. Esta categoría está integrada  por personas que recibieron por primera vez un permiso de residencia, </w:t>
      </w:r>
      <w:r>
        <w:rPr>
          <w:spacing w:val="-3"/>
        </w:rPr>
        <w:t>ya </w:t>
      </w:r>
      <w:r>
        <w:rPr/>
        <w:t>fuese por motivos de reunificación familiar, para estudiar o trabajar, entre</w:t>
      </w:r>
      <w:r>
        <w:rPr>
          <w:spacing w:val="-12"/>
        </w:rPr>
        <w:t> </w:t>
      </w:r>
      <w:r>
        <w:rPr/>
        <w:t>otros.</w:t>
      </w:r>
    </w:p>
    <w:p>
      <w:pPr>
        <w:pStyle w:val="BodyText"/>
        <w:spacing w:line="259" w:lineRule="auto" w:before="161"/>
        <w:ind w:left="112" w:right="108" w:firstLine="708"/>
        <w:jc w:val="both"/>
      </w:pPr>
      <w:r>
        <w:rPr/>
        <w:t>Los datos contenidos en EUROSTAT (2011) para esta categoría permiten también identificar una tendencia a la baja en los flujos de inmigración hacia la UE a partir de 2008 tanto en el número de permisos totales concedidos por vez primera como en aquellos otorgados a las personas de algún país de ALC. En el período 2008-2010 los 27 países otorgaron poco más de 7.33 millones de permisos. En 2008 se otorgaron algo más de 2.53 millones, en 2009 alrededor de 2.33 millones y en 2010 algo más de 2.46 millones. Durante el mismo período trienal se otorgaron 1.01 millones de permisos para personas provenientes de la misma región (14.0% del</w:t>
      </w:r>
      <w:r>
        <w:rPr>
          <w:spacing w:val="-10"/>
        </w:rPr>
        <w:t> </w:t>
      </w:r>
      <w:r>
        <w:rPr/>
        <w:t>total).</w:t>
      </w:r>
    </w:p>
    <w:p>
      <w:pPr>
        <w:spacing w:after="0" w:line="259" w:lineRule="auto"/>
        <w:jc w:val="both"/>
        <w:sectPr>
          <w:pgSz w:w="12240" w:h="15840"/>
          <w:pgMar w:header="731" w:footer="0" w:top="960" w:bottom="280" w:left="1020" w:right="1020"/>
        </w:sectPr>
      </w:pPr>
    </w:p>
    <w:p>
      <w:pPr>
        <w:pStyle w:val="BodyText"/>
        <w:spacing w:line="259" w:lineRule="auto" w:before="29"/>
        <w:ind w:left="112" w:right="113"/>
        <w:jc w:val="both"/>
      </w:pPr>
      <w:r>
        <w:rPr/>
        <w:t>comparación con 2008 y un ligero incremento en 2010 con respecto a 2009, pero por debajo de los niveles de 2008, en el caso de las personas de ALC ha habido una disminución paulatina desde este último año. Este descenso se observa en términos absolutos y relativos. En 2008 se otorgaron 397,000 permisos, que representaron el 16.0% del total para ese año; en 2009 alrededor de 318, 000, el 14.0% del total para ese año; y 295,000 en 2010, el 12.0% del total para este último año (OIM, 2012).</w:t>
      </w:r>
    </w:p>
    <w:p>
      <w:pPr>
        <w:pStyle w:val="BodyText"/>
        <w:spacing w:line="259" w:lineRule="auto" w:before="163"/>
        <w:ind w:left="112" w:right="111" w:firstLine="708"/>
        <w:jc w:val="both"/>
      </w:pPr>
      <w:r>
        <w:rPr/>
        <w:t>Los países que más permisos otorgaron a personas de la región en el período 2008-2010 fueron España (495,468), Italia (189,548) y el Reino Unido (103,463). Estos tres países otorgaron 8 de cada 10 permisos a migrantes de algún país latinoamericano y caribeño. Por su parte, los cinco principales países de origen son Brasil, con 226,551 permisos (22.0%), Colombia con 123,038 (12.0%), el Perú  con 109,342 (11.0%) y Ecuador con 108,917 (11.0%). A estos les siguen el Estado Plurinacional de Bolivia y la República Dominicana (9.0% cada uno), Argentina y México (5.0% cada uno). Las personas con nacionalidad de alguno de estos ocho países representan el 80.0% del total de permisos recibidos por ciudadanos de ALC en el período trienal. Bolivia fue el único caso que registró un incremento en el periodo trienal aludido, pasando de 27,551 permisos en 2008, a poco más de 32,000  en 2009 y cerrando en los 33,000 en 2010. En el caso de México la tendencia fue similar a la de la UE: registró un descenso en 2009 (14,000) en comparación con 2008 (16,000) y un ligero incremento en 2010 (15,000), pero por debajo de los niveles de</w:t>
      </w:r>
      <w:r>
        <w:rPr>
          <w:spacing w:val="-5"/>
        </w:rPr>
        <w:t> </w:t>
      </w:r>
      <w:r>
        <w:rPr/>
        <w:t>2008.</w:t>
      </w:r>
    </w:p>
    <w:p>
      <w:pPr>
        <w:pStyle w:val="BodyText"/>
        <w:spacing w:line="259" w:lineRule="auto" w:before="163"/>
        <w:ind w:left="112" w:right="112" w:firstLine="708"/>
        <w:jc w:val="both"/>
      </w:pPr>
      <w:r>
        <w:rPr/>
        <w:t>Los otros seis casos registraron un descenso a partir de 2008. Sobresalen los casos de Ecuador, Colombia y la República Dominicana, donde la caída fue del 54.0%, del 47.0% y del 38.0%, respectivamente. En el caso ecuatoriano, el número de permisos pasó de 53,000 en 2008 a 25,000 en 2010. En el caso colombiano, los permisos pasaron de 56,000 a 30,000 y en el caso dominicano de 20,000 a 13,000. La mayor parte de los permisos fueron otorgados por motivos familiares (44.0, 40.0 y 54.0%, respectivamente) y principalmente a mujeres. También se registraron descensos paulatinos en los casos de Dominica y Santa Lucía en el Caribe y Chile, Uruguay y Venezuela en Sudamérica (OIM, 2012).</w:t>
      </w:r>
    </w:p>
    <w:p>
      <w:pPr>
        <w:spacing w:line="256" w:lineRule="auto" w:before="163"/>
        <w:ind w:left="112" w:right="120" w:firstLine="708"/>
        <w:jc w:val="both"/>
        <w:rPr>
          <w:i/>
          <w:sz w:val="24"/>
        </w:rPr>
      </w:pPr>
      <w:r>
        <w:rPr>
          <w:i/>
          <w:sz w:val="24"/>
        </w:rPr>
        <w:t>Comportamiento de los flujos migratorios de ALC como región de origen en la primera década </w:t>
      </w:r>
      <w:r>
        <w:rPr>
          <w:i/>
          <w:sz w:val="24"/>
        </w:rPr>
        <w:t>del siglo XXI</w:t>
      </w:r>
    </w:p>
    <w:p>
      <w:pPr>
        <w:pStyle w:val="BodyText"/>
        <w:spacing w:line="259" w:lineRule="auto" w:before="166"/>
        <w:ind w:left="112" w:right="115" w:firstLine="708"/>
        <w:jc w:val="both"/>
      </w:pPr>
      <w:r>
        <w:rPr/>
        <w:t>De acuerdo con la OIM (2012), en ALC como región de origen, es posible percibir que la tendencia general de emigración se ha incrementado durante los últimos 10 años. Sin embargo, esta tendencia no se ha mantenido constante en los países, ni siquiera en las regiones de origen ni de destino.</w:t>
      </w:r>
    </w:p>
    <w:p>
      <w:pPr>
        <w:spacing w:after="0" w:line="259" w:lineRule="auto"/>
        <w:jc w:val="both"/>
        <w:sectPr>
          <w:headerReference w:type="default" r:id="rId13"/>
          <w:pgSz w:w="12240" w:h="15840"/>
          <w:pgMar w:header="731" w:footer="0" w:top="1380" w:bottom="280" w:left="1020" w:right="1020"/>
          <w:pgNumType w:start="212"/>
        </w:sectPr>
      </w:pPr>
    </w:p>
    <w:p>
      <w:pPr>
        <w:pStyle w:val="BodyText"/>
        <w:spacing w:line="259" w:lineRule="auto" w:before="156"/>
        <w:ind w:left="2539" w:right="308" w:hanging="2238"/>
      </w:pPr>
      <w:r>
        <w:rPr>
          <w:b/>
        </w:rPr>
        <w:t>Tabla 16.1 </w:t>
      </w:r>
      <w:r>
        <w:rPr/>
        <w:t>Emigración desde las Américas hacia países de la OCDE por país de origen y país/región de destino, 2003-2007 y 2008-2009, promedio anuales</w:t>
      </w:r>
    </w:p>
    <w:p>
      <w:pPr>
        <w:pStyle w:val="BodyText"/>
        <w:spacing w:before="6"/>
        <w:rPr>
          <w:sz w:val="14"/>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49"/>
        <w:gridCol w:w="787"/>
        <w:gridCol w:w="710"/>
        <w:gridCol w:w="142"/>
        <w:gridCol w:w="1210"/>
        <w:gridCol w:w="910"/>
        <w:gridCol w:w="723"/>
        <w:gridCol w:w="1373"/>
        <w:gridCol w:w="754"/>
        <w:gridCol w:w="898"/>
        <w:gridCol w:w="706"/>
        <w:gridCol w:w="804"/>
      </w:tblGrid>
      <w:tr>
        <w:trPr>
          <w:trHeight w:val="377" w:hRule="exact"/>
        </w:trPr>
        <w:tc>
          <w:tcPr>
            <w:tcW w:w="1049" w:type="dxa"/>
            <w:vMerge w:val="restart"/>
          </w:tcPr>
          <w:p>
            <w:pPr>
              <w:pStyle w:val="TableParagraph"/>
              <w:tabs>
                <w:tab w:pos="851" w:val="left" w:leader="none"/>
              </w:tabs>
              <w:rPr>
                <w:sz w:val="15"/>
              </w:rPr>
            </w:pPr>
            <w:r>
              <w:rPr>
                <w:sz w:val="15"/>
              </w:rPr>
              <w:t>País</w:t>
              <w:tab/>
              <w:t>y</w:t>
            </w:r>
          </w:p>
          <w:p>
            <w:pPr>
              <w:pStyle w:val="TableParagraph"/>
              <w:tabs>
                <w:tab w:pos="784" w:val="left" w:leader="none"/>
              </w:tabs>
              <w:spacing w:line="261" w:lineRule="auto" w:before="12"/>
              <w:ind w:right="90"/>
              <w:rPr>
                <w:sz w:val="15"/>
              </w:rPr>
            </w:pPr>
            <w:r>
              <w:rPr>
                <w:sz w:val="15"/>
              </w:rPr>
              <w:t>Región</w:t>
              <w:tab/>
              <w:t>de origen</w:t>
            </w:r>
          </w:p>
        </w:tc>
        <w:tc>
          <w:tcPr>
            <w:tcW w:w="4482" w:type="dxa"/>
            <w:gridSpan w:val="6"/>
          </w:tcPr>
          <w:p>
            <w:pPr>
              <w:pStyle w:val="TableParagraph"/>
              <w:rPr>
                <w:sz w:val="15"/>
              </w:rPr>
            </w:pPr>
            <w:r>
              <w:rPr>
                <w:sz w:val="15"/>
              </w:rPr>
              <w:t>Promedio anual 2003-2007</w:t>
            </w:r>
          </w:p>
        </w:tc>
        <w:tc>
          <w:tcPr>
            <w:tcW w:w="4534" w:type="dxa"/>
            <w:gridSpan w:val="5"/>
          </w:tcPr>
          <w:p>
            <w:pPr>
              <w:pStyle w:val="TableParagraph"/>
              <w:ind w:left="96"/>
              <w:rPr>
                <w:sz w:val="15"/>
              </w:rPr>
            </w:pPr>
            <w:r>
              <w:rPr>
                <w:sz w:val="15"/>
              </w:rPr>
              <w:t>Promedio anual 2008-2009</w:t>
            </w:r>
          </w:p>
        </w:tc>
      </w:tr>
      <w:tr>
        <w:trPr>
          <w:trHeight w:val="1493" w:hRule="exact"/>
        </w:trPr>
        <w:tc>
          <w:tcPr>
            <w:tcW w:w="1049" w:type="dxa"/>
            <w:vMerge/>
          </w:tcPr>
          <w:p>
            <w:pPr/>
          </w:p>
        </w:tc>
        <w:tc>
          <w:tcPr>
            <w:tcW w:w="787" w:type="dxa"/>
          </w:tcPr>
          <w:p>
            <w:pPr>
              <w:pStyle w:val="TableParagraph"/>
              <w:spacing w:line="256" w:lineRule="auto"/>
              <w:ind w:right="178"/>
              <w:rPr>
                <w:sz w:val="15"/>
              </w:rPr>
            </w:pPr>
            <w:r>
              <w:rPr>
                <w:sz w:val="15"/>
              </w:rPr>
              <w:t>Estados Unidos</w:t>
            </w:r>
          </w:p>
        </w:tc>
        <w:tc>
          <w:tcPr>
            <w:tcW w:w="852" w:type="dxa"/>
            <w:gridSpan w:val="2"/>
          </w:tcPr>
          <w:p>
            <w:pPr>
              <w:pStyle w:val="TableParagraph"/>
              <w:rPr>
                <w:sz w:val="15"/>
              </w:rPr>
            </w:pPr>
            <w:r>
              <w:rPr>
                <w:sz w:val="15"/>
              </w:rPr>
              <w:t>España</w:t>
            </w:r>
          </w:p>
        </w:tc>
        <w:tc>
          <w:tcPr>
            <w:tcW w:w="1210" w:type="dxa"/>
          </w:tcPr>
          <w:p>
            <w:pPr>
              <w:pStyle w:val="TableParagraph"/>
              <w:spacing w:line="259" w:lineRule="auto"/>
              <w:ind w:left="94" w:right="88"/>
              <w:jc w:val="both"/>
              <w:rPr>
                <w:sz w:val="15"/>
              </w:rPr>
            </w:pPr>
            <w:r>
              <w:rPr>
                <w:sz w:val="15"/>
              </w:rPr>
              <w:t>Resto de los países de la UE miembros de la OCDE</w:t>
            </w:r>
          </w:p>
        </w:tc>
        <w:tc>
          <w:tcPr>
            <w:tcW w:w="910" w:type="dxa"/>
          </w:tcPr>
          <w:p>
            <w:pPr>
              <w:pStyle w:val="TableParagraph"/>
              <w:tabs>
                <w:tab w:pos="645" w:val="left" w:leader="none"/>
              </w:tabs>
              <w:rPr>
                <w:sz w:val="15"/>
              </w:rPr>
            </w:pPr>
            <w:r>
              <w:rPr>
                <w:sz w:val="15"/>
              </w:rPr>
              <w:t>Resto</w:t>
              <w:tab/>
              <w:t>de</w:t>
            </w:r>
          </w:p>
          <w:p>
            <w:pPr>
              <w:pStyle w:val="TableParagraph"/>
              <w:spacing w:line="240" w:lineRule="auto" w:before="12"/>
              <w:rPr>
                <w:sz w:val="15"/>
              </w:rPr>
            </w:pPr>
            <w:r>
              <w:rPr>
                <w:sz w:val="15"/>
              </w:rPr>
              <w:t>los   países</w:t>
            </w:r>
          </w:p>
          <w:p>
            <w:pPr>
              <w:pStyle w:val="TableParagraph"/>
              <w:tabs>
                <w:tab w:pos="681" w:val="left" w:leader="none"/>
              </w:tabs>
              <w:spacing w:line="240" w:lineRule="auto" w:before="14"/>
              <w:rPr>
                <w:sz w:val="15"/>
              </w:rPr>
            </w:pPr>
            <w:r>
              <w:rPr>
                <w:sz w:val="15"/>
              </w:rPr>
              <w:t>de</w:t>
              <w:tab/>
              <w:t>la</w:t>
            </w:r>
          </w:p>
          <w:p>
            <w:pPr>
              <w:pStyle w:val="TableParagraph"/>
              <w:spacing w:line="240" w:lineRule="auto" w:before="12"/>
              <w:rPr>
                <w:sz w:val="15"/>
              </w:rPr>
            </w:pPr>
            <w:r>
              <w:rPr>
                <w:sz w:val="15"/>
              </w:rPr>
              <w:t>OCDE</w:t>
            </w:r>
          </w:p>
          <w:p>
            <w:pPr>
              <w:pStyle w:val="TableParagraph"/>
              <w:spacing w:line="256" w:lineRule="auto" w:before="14"/>
              <w:rPr>
                <w:sz w:val="15"/>
              </w:rPr>
            </w:pPr>
            <w:r>
              <w:rPr>
                <w:sz w:val="15"/>
              </w:rPr>
              <w:t>fuera de la UE</w:t>
            </w:r>
          </w:p>
        </w:tc>
        <w:tc>
          <w:tcPr>
            <w:tcW w:w="723" w:type="dxa"/>
          </w:tcPr>
          <w:p>
            <w:pPr>
              <w:pStyle w:val="TableParagraph"/>
              <w:ind w:left="96"/>
              <w:rPr>
                <w:sz w:val="15"/>
              </w:rPr>
            </w:pPr>
            <w:r>
              <w:rPr>
                <w:sz w:val="15"/>
              </w:rPr>
              <w:t>Total</w:t>
            </w:r>
          </w:p>
        </w:tc>
        <w:tc>
          <w:tcPr>
            <w:tcW w:w="1373" w:type="dxa"/>
          </w:tcPr>
          <w:p>
            <w:pPr>
              <w:pStyle w:val="TableParagraph"/>
              <w:ind w:left="96"/>
              <w:rPr>
                <w:sz w:val="15"/>
              </w:rPr>
            </w:pPr>
            <w:r>
              <w:rPr>
                <w:sz w:val="15"/>
              </w:rPr>
              <w:t>Estados Unidos</w:t>
            </w:r>
          </w:p>
        </w:tc>
        <w:tc>
          <w:tcPr>
            <w:tcW w:w="754" w:type="dxa"/>
          </w:tcPr>
          <w:p>
            <w:pPr>
              <w:pStyle w:val="TableParagraph"/>
              <w:rPr>
                <w:sz w:val="15"/>
              </w:rPr>
            </w:pPr>
            <w:r>
              <w:rPr>
                <w:sz w:val="15"/>
              </w:rPr>
              <w:t>España</w:t>
            </w:r>
          </w:p>
        </w:tc>
        <w:tc>
          <w:tcPr>
            <w:tcW w:w="898" w:type="dxa"/>
          </w:tcPr>
          <w:p>
            <w:pPr>
              <w:pStyle w:val="TableParagraph"/>
              <w:ind w:left="95"/>
              <w:rPr>
                <w:sz w:val="15"/>
              </w:rPr>
            </w:pPr>
            <w:r>
              <w:rPr>
                <w:sz w:val="15"/>
              </w:rPr>
              <w:t>Resto     de</w:t>
            </w:r>
          </w:p>
          <w:p>
            <w:pPr>
              <w:pStyle w:val="TableParagraph"/>
              <w:tabs>
                <w:tab w:pos="669" w:val="left" w:leader="none"/>
              </w:tabs>
              <w:spacing w:line="259" w:lineRule="auto" w:before="12"/>
              <w:ind w:left="95" w:right="89"/>
              <w:rPr>
                <w:sz w:val="15"/>
              </w:rPr>
            </w:pPr>
            <w:r>
              <w:rPr>
                <w:sz w:val="15"/>
              </w:rPr>
              <w:t>los países de la UE miembros de</w:t>
              <w:tab/>
              <w:t>la</w:t>
            </w:r>
          </w:p>
          <w:p>
            <w:pPr>
              <w:pStyle w:val="TableParagraph"/>
              <w:spacing w:line="172" w:lineRule="exact"/>
              <w:ind w:left="95"/>
              <w:rPr>
                <w:sz w:val="15"/>
              </w:rPr>
            </w:pPr>
            <w:r>
              <w:rPr>
                <w:sz w:val="15"/>
              </w:rPr>
              <w:t>OCDE</w:t>
            </w:r>
          </w:p>
        </w:tc>
        <w:tc>
          <w:tcPr>
            <w:tcW w:w="706" w:type="dxa"/>
          </w:tcPr>
          <w:p>
            <w:pPr>
              <w:pStyle w:val="TableParagraph"/>
              <w:tabs>
                <w:tab w:pos="477" w:val="left" w:leader="none"/>
              </w:tabs>
              <w:spacing w:line="259" w:lineRule="auto"/>
              <w:ind w:right="89"/>
              <w:rPr>
                <w:sz w:val="15"/>
              </w:rPr>
            </w:pPr>
            <w:r>
              <w:rPr>
                <w:sz w:val="15"/>
              </w:rPr>
              <w:t>Resto de los países de</w:t>
              <w:tab/>
              <w:t>la OCDE</w:t>
            </w:r>
          </w:p>
          <w:p>
            <w:pPr>
              <w:pStyle w:val="TableParagraph"/>
              <w:spacing w:line="261" w:lineRule="auto"/>
              <w:ind w:right="76"/>
              <w:rPr>
                <w:sz w:val="15"/>
              </w:rPr>
            </w:pPr>
            <w:r>
              <w:rPr>
                <w:sz w:val="15"/>
              </w:rPr>
              <w:t>fuera de la UE</w:t>
            </w:r>
          </w:p>
        </w:tc>
        <w:tc>
          <w:tcPr>
            <w:tcW w:w="804" w:type="dxa"/>
          </w:tcPr>
          <w:p>
            <w:pPr>
              <w:pStyle w:val="TableParagraph"/>
              <w:rPr>
                <w:sz w:val="15"/>
              </w:rPr>
            </w:pPr>
            <w:r>
              <w:rPr>
                <w:sz w:val="15"/>
              </w:rPr>
              <w:t>Total</w:t>
            </w:r>
          </w:p>
        </w:tc>
      </w:tr>
      <w:tr>
        <w:trPr>
          <w:trHeight w:val="562" w:hRule="exact"/>
        </w:trPr>
        <w:tc>
          <w:tcPr>
            <w:tcW w:w="1049" w:type="dxa"/>
          </w:tcPr>
          <w:p>
            <w:pPr>
              <w:pStyle w:val="TableParagraph"/>
              <w:tabs>
                <w:tab w:pos="851" w:val="left" w:leader="none"/>
              </w:tabs>
              <w:spacing w:line="256" w:lineRule="auto"/>
              <w:ind w:right="91"/>
              <w:rPr>
                <w:sz w:val="15"/>
              </w:rPr>
            </w:pPr>
            <w:r>
              <w:rPr>
                <w:sz w:val="15"/>
              </w:rPr>
              <w:t>Antigua</w:t>
              <w:tab/>
              <w:t>y Barbuda</w:t>
            </w:r>
          </w:p>
        </w:tc>
        <w:tc>
          <w:tcPr>
            <w:tcW w:w="787" w:type="dxa"/>
          </w:tcPr>
          <w:p>
            <w:pPr>
              <w:pStyle w:val="TableParagraph"/>
              <w:ind w:right="178"/>
              <w:rPr>
                <w:sz w:val="15"/>
              </w:rPr>
            </w:pPr>
            <w:r>
              <w:rPr>
                <w:sz w:val="15"/>
              </w:rPr>
              <w:t>430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10</w:t>
            </w:r>
          </w:p>
        </w:tc>
        <w:tc>
          <w:tcPr>
            <w:tcW w:w="910" w:type="dxa"/>
          </w:tcPr>
          <w:p>
            <w:pPr>
              <w:pStyle w:val="TableParagraph"/>
              <w:rPr>
                <w:sz w:val="15"/>
              </w:rPr>
            </w:pPr>
            <w:r>
              <w:rPr>
                <w:sz w:val="15"/>
              </w:rPr>
              <w:t>30</w:t>
            </w:r>
          </w:p>
        </w:tc>
        <w:tc>
          <w:tcPr>
            <w:tcW w:w="723" w:type="dxa"/>
          </w:tcPr>
          <w:p>
            <w:pPr>
              <w:pStyle w:val="TableParagraph"/>
              <w:ind w:left="96"/>
              <w:rPr>
                <w:sz w:val="15"/>
              </w:rPr>
            </w:pPr>
            <w:r>
              <w:rPr>
                <w:sz w:val="15"/>
              </w:rPr>
              <w:t>470</w:t>
            </w:r>
          </w:p>
        </w:tc>
        <w:tc>
          <w:tcPr>
            <w:tcW w:w="1373" w:type="dxa"/>
          </w:tcPr>
          <w:p>
            <w:pPr>
              <w:pStyle w:val="TableParagraph"/>
              <w:ind w:left="96"/>
              <w:rPr>
                <w:sz w:val="15"/>
              </w:rPr>
            </w:pPr>
            <w:r>
              <w:rPr>
                <w:sz w:val="15"/>
              </w:rPr>
              <w:t>440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w w:val="100"/>
                <w:sz w:val="15"/>
              </w:rPr>
              <w:t>0</w:t>
            </w:r>
          </w:p>
        </w:tc>
        <w:tc>
          <w:tcPr>
            <w:tcW w:w="706" w:type="dxa"/>
          </w:tcPr>
          <w:p>
            <w:pPr>
              <w:pStyle w:val="TableParagraph"/>
              <w:ind w:right="89"/>
              <w:rPr>
                <w:sz w:val="15"/>
              </w:rPr>
            </w:pPr>
            <w:r>
              <w:rPr>
                <w:sz w:val="15"/>
              </w:rPr>
              <w:t>60</w:t>
            </w:r>
          </w:p>
        </w:tc>
        <w:tc>
          <w:tcPr>
            <w:tcW w:w="804" w:type="dxa"/>
          </w:tcPr>
          <w:p>
            <w:pPr>
              <w:pStyle w:val="TableParagraph"/>
              <w:rPr>
                <w:sz w:val="15"/>
              </w:rPr>
            </w:pPr>
            <w:r>
              <w:rPr>
                <w:sz w:val="15"/>
              </w:rPr>
              <w:t>500</w:t>
            </w:r>
          </w:p>
        </w:tc>
      </w:tr>
      <w:tr>
        <w:trPr>
          <w:trHeight w:val="377" w:hRule="exact"/>
        </w:trPr>
        <w:tc>
          <w:tcPr>
            <w:tcW w:w="1049" w:type="dxa"/>
          </w:tcPr>
          <w:p>
            <w:pPr>
              <w:pStyle w:val="TableParagraph"/>
              <w:rPr>
                <w:sz w:val="15"/>
              </w:rPr>
            </w:pPr>
            <w:r>
              <w:rPr>
                <w:sz w:val="15"/>
              </w:rPr>
              <w:t>Bahamas</w:t>
            </w:r>
          </w:p>
        </w:tc>
        <w:tc>
          <w:tcPr>
            <w:tcW w:w="787" w:type="dxa"/>
          </w:tcPr>
          <w:p>
            <w:pPr>
              <w:pStyle w:val="TableParagraph"/>
              <w:ind w:right="178"/>
              <w:rPr>
                <w:sz w:val="15"/>
              </w:rPr>
            </w:pPr>
            <w:r>
              <w:rPr>
                <w:sz w:val="15"/>
              </w:rPr>
              <w:t>660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10</w:t>
            </w:r>
          </w:p>
        </w:tc>
        <w:tc>
          <w:tcPr>
            <w:tcW w:w="910" w:type="dxa"/>
          </w:tcPr>
          <w:p>
            <w:pPr>
              <w:pStyle w:val="TableParagraph"/>
              <w:rPr>
                <w:sz w:val="15"/>
              </w:rPr>
            </w:pPr>
            <w:r>
              <w:rPr>
                <w:sz w:val="15"/>
              </w:rPr>
              <w:t>30</w:t>
            </w:r>
          </w:p>
        </w:tc>
        <w:tc>
          <w:tcPr>
            <w:tcW w:w="723" w:type="dxa"/>
          </w:tcPr>
          <w:p>
            <w:pPr>
              <w:pStyle w:val="TableParagraph"/>
              <w:ind w:left="96"/>
              <w:rPr>
                <w:sz w:val="15"/>
              </w:rPr>
            </w:pPr>
            <w:r>
              <w:rPr>
                <w:sz w:val="15"/>
              </w:rPr>
              <w:t>700</w:t>
            </w:r>
          </w:p>
        </w:tc>
        <w:tc>
          <w:tcPr>
            <w:tcW w:w="1373" w:type="dxa"/>
          </w:tcPr>
          <w:p>
            <w:pPr>
              <w:pStyle w:val="TableParagraph"/>
              <w:ind w:left="96"/>
              <w:rPr>
                <w:sz w:val="15"/>
              </w:rPr>
            </w:pPr>
            <w:r>
              <w:rPr>
                <w:sz w:val="15"/>
              </w:rPr>
              <w:t>720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sz w:val="15"/>
              </w:rPr>
              <w:t>10</w:t>
            </w:r>
          </w:p>
        </w:tc>
        <w:tc>
          <w:tcPr>
            <w:tcW w:w="706" w:type="dxa"/>
          </w:tcPr>
          <w:p>
            <w:pPr>
              <w:pStyle w:val="TableParagraph"/>
              <w:ind w:right="89"/>
              <w:rPr>
                <w:sz w:val="15"/>
              </w:rPr>
            </w:pPr>
            <w:r>
              <w:rPr>
                <w:sz w:val="15"/>
              </w:rPr>
              <w:t>60</w:t>
            </w:r>
          </w:p>
        </w:tc>
        <w:tc>
          <w:tcPr>
            <w:tcW w:w="804" w:type="dxa"/>
          </w:tcPr>
          <w:p>
            <w:pPr>
              <w:pStyle w:val="TableParagraph"/>
              <w:rPr>
                <w:sz w:val="15"/>
              </w:rPr>
            </w:pPr>
            <w:r>
              <w:rPr>
                <w:sz w:val="15"/>
              </w:rPr>
              <w:t>790</w:t>
            </w:r>
          </w:p>
        </w:tc>
      </w:tr>
      <w:tr>
        <w:trPr>
          <w:trHeight w:val="377" w:hRule="exact"/>
        </w:trPr>
        <w:tc>
          <w:tcPr>
            <w:tcW w:w="1049" w:type="dxa"/>
          </w:tcPr>
          <w:p>
            <w:pPr>
              <w:pStyle w:val="TableParagraph"/>
              <w:rPr>
                <w:sz w:val="15"/>
              </w:rPr>
            </w:pPr>
            <w:r>
              <w:rPr>
                <w:sz w:val="15"/>
              </w:rPr>
              <w:t>Barbados</w:t>
            </w:r>
          </w:p>
        </w:tc>
        <w:tc>
          <w:tcPr>
            <w:tcW w:w="787" w:type="dxa"/>
          </w:tcPr>
          <w:p>
            <w:pPr>
              <w:pStyle w:val="TableParagraph"/>
              <w:ind w:right="178"/>
              <w:rPr>
                <w:sz w:val="15"/>
              </w:rPr>
            </w:pPr>
            <w:r>
              <w:rPr>
                <w:sz w:val="15"/>
              </w:rPr>
              <w:t>730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20</w:t>
            </w:r>
          </w:p>
        </w:tc>
        <w:tc>
          <w:tcPr>
            <w:tcW w:w="910" w:type="dxa"/>
          </w:tcPr>
          <w:p>
            <w:pPr>
              <w:pStyle w:val="TableParagraph"/>
              <w:rPr>
                <w:sz w:val="15"/>
              </w:rPr>
            </w:pPr>
            <w:r>
              <w:rPr>
                <w:sz w:val="15"/>
              </w:rPr>
              <w:t>110</w:t>
            </w:r>
          </w:p>
        </w:tc>
        <w:tc>
          <w:tcPr>
            <w:tcW w:w="723" w:type="dxa"/>
          </w:tcPr>
          <w:p>
            <w:pPr>
              <w:pStyle w:val="TableParagraph"/>
              <w:ind w:left="96"/>
              <w:rPr>
                <w:sz w:val="15"/>
              </w:rPr>
            </w:pPr>
            <w:r>
              <w:rPr>
                <w:sz w:val="15"/>
              </w:rPr>
              <w:t>860</w:t>
            </w:r>
          </w:p>
        </w:tc>
        <w:tc>
          <w:tcPr>
            <w:tcW w:w="1373" w:type="dxa"/>
          </w:tcPr>
          <w:p>
            <w:pPr>
              <w:pStyle w:val="TableParagraph"/>
              <w:ind w:left="96"/>
              <w:rPr>
                <w:sz w:val="15"/>
              </w:rPr>
            </w:pPr>
            <w:r>
              <w:rPr>
                <w:sz w:val="15"/>
              </w:rPr>
              <w:t>590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sz w:val="15"/>
              </w:rPr>
              <w:t>20</w:t>
            </w:r>
          </w:p>
        </w:tc>
        <w:tc>
          <w:tcPr>
            <w:tcW w:w="706" w:type="dxa"/>
          </w:tcPr>
          <w:p>
            <w:pPr>
              <w:pStyle w:val="TableParagraph"/>
              <w:ind w:right="89"/>
              <w:rPr>
                <w:sz w:val="15"/>
              </w:rPr>
            </w:pPr>
            <w:r>
              <w:rPr>
                <w:sz w:val="15"/>
              </w:rPr>
              <w:t>150</w:t>
            </w:r>
          </w:p>
        </w:tc>
        <w:tc>
          <w:tcPr>
            <w:tcW w:w="804" w:type="dxa"/>
          </w:tcPr>
          <w:p>
            <w:pPr>
              <w:pStyle w:val="TableParagraph"/>
              <w:rPr>
                <w:sz w:val="15"/>
              </w:rPr>
            </w:pPr>
            <w:r>
              <w:rPr>
                <w:sz w:val="15"/>
              </w:rPr>
              <w:t>760</w:t>
            </w:r>
          </w:p>
        </w:tc>
      </w:tr>
      <w:tr>
        <w:trPr>
          <w:trHeight w:val="377" w:hRule="exact"/>
        </w:trPr>
        <w:tc>
          <w:tcPr>
            <w:tcW w:w="1049" w:type="dxa"/>
          </w:tcPr>
          <w:p>
            <w:pPr>
              <w:pStyle w:val="TableParagraph"/>
              <w:spacing w:line="167" w:lineRule="exact"/>
              <w:rPr>
                <w:sz w:val="15"/>
              </w:rPr>
            </w:pPr>
            <w:r>
              <w:rPr>
                <w:sz w:val="15"/>
              </w:rPr>
              <w:t>Cuba</w:t>
            </w:r>
          </w:p>
        </w:tc>
        <w:tc>
          <w:tcPr>
            <w:tcW w:w="787" w:type="dxa"/>
          </w:tcPr>
          <w:p>
            <w:pPr>
              <w:pStyle w:val="TableParagraph"/>
              <w:spacing w:line="167" w:lineRule="exact"/>
              <w:ind w:right="178"/>
              <w:rPr>
                <w:sz w:val="15"/>
              </w:rPr>
            </w:pPr>
            <w:r>
              <w:rPr>
                <w:sz w:val="15"/>
              </w:rPr>
              <w:t>28,150</w:t>
            </w:r>
          </w:p>
        </w:tc>
        <w:tc>
          <w:tcPr>
            <w:tcW w:w="710" w:type="dxa"/>
          </w:tcPr>
          <w:p>
            <w:pPr>
              <w:pStyle w:val="TableParagraph"/>
              <w:spacing w:line="167" w:lineRule="exact"/>
              <w:rPr>
                <w:sz w:val="15"/>
              </w:rPr>
            </w:pPr>
            <w:r>
              <w:rPr>
                <w:sz w:val="15"/>
              </w:rPr>
              <w:t>700</w:t>
            </w:r>
          </w:p>
        </w:tc>
        <w:tc>
          <w:tcPr>
            <w:tcW w:w="1352" w:type="dxa"/>
            <w:gridSpan w:val="2"/>
          </w:tcPr>
          <w:p>
            <w:pPr>
              <w:pStyle w:val="TableParagraph"/>
              <w:spacing w:line="167" w:lineRule="exact"/>
              <w:ind w:left="96"/>
              <w:rPr>
                <w:sz w:val="15"/>
              </w:rPr>
            </w:pPr>
            <w:r>
              <w:rPr>
                <w:sz w:val="15"/>
              </w:rPr>
              <w:t>2,470</w:t>
            </w:r>
          </w:p>
        </w:tc>
        <w:tc>
          <w:tcPr>
            <w:tcW w:w="910" w:type="dxa"/>
          </w:tcPr>
          <w:p>
            <w:pPr>
              <w:pStyle w:val="TableParagraph"/>
              <w:spacing w:line="167" w:lineRule="exact"/>
              <w:rPr>
                <w:sz w:val="15"/>
              </w:rPr>
            </w:pPr>
            <w:r>
              <w:rPr>
                <w:sz w:val="15"/>
              </w:rPr>
              <w:t>1,180</w:t>
            </w:r>
          </w:p>
        </w:tc>
        <w:tc>
          <w:tcPr>
            <w:tcW w:w="723" w:type="dxa"/>
          </w:tcPr>
          <w:p>
            <w:pPr>
              <w:pStyle w:val="TableParagraph"/>
              <w:spacing w:line="167" w:lineRule="exact"/>
              <w:ind w:left="96"/>
              <w:rPr>
                <w:sz w:val="15"/>
              </w:rPr>
            </w:pPr>
            <w:r>
              <w:rPr>
                <w:sz w:val="15"/>
              </w:rPr>
              <w:t>38,900</w:t>
            </w:r>
          </w:p>
        </w:tc>
        <w:tc>
          <w:tcPr>
            <w:tcW w:w="1373" w:type="dxa"/>
          </w:tcPr>
          <w:p>
            <w:pPr>
              <w:pStyle w:val="TableParagraph"/>
              <w:spacing w:line="167" w:lineRule="exact"/>
              <w:ind w:left="96"/>
              <w:rPr>
                <w:sz w:val="15"/>
              </w:rPr>
            </w:pPr>
            <w:r>
              <w:rPr>
                <w:sz w:val="15"/>
              </w:rPr>
              <w:t>44,230</w:t>
            </w:r>
          </w:p>
        </w:tc>
        <w:tc>
          <w:tcPr>
            <w:tcW w:w="754" w:type="dxa"/>
          </w:tcPr>
          <w:p>
            <w:pPr>
              <w:pStyle w:val="TableParagraph"/>
              <w:spacing w:line="167" w:lineRule="exact"/>
              <w:rPr>
                <w:sz w:val="15"/>
              </w:rPr>
            </w:pPr>
            <w:r>
              <w:rPr>
                <w:sz w:val="15"/>
              </w:rPr>
              <w:t>8,190</w:t>
            </w:r>
          </w:p>
        </w:tc>
        <w:tc>
          <w:tcPr>
            <w:tcW w:w="898" w:type="dxa"/>
          </w:tcPr>
          <w:p>
            <w:pPr>
              <w:pStyle w:val="TableParagraph"/>
              <w:spacing w:line="167" w:lineRule="exact"/>
              <w:ind w:left="95"/>
              <w:rPr>
                <w:sz w:val="15"/>
              </w:rPr>
            </w:pPr>
            <w:r>
              <w:rPr>
                <w:sz w:val="15"/>
              </w:rPr>
              <w:t>2,590</w:t>
            </w:r>
          </w:p>
        </w:tc>
        <w:tc>
          <w:tcPr>
            <w:tcW w:w="706" w:type="dxa"/>
          </w:tcPr>
          <w:p>
            <w:pPr>
              <w:pStyle w:val="TableParagraph"/>
              <w:spacing w:line="167" w:lineRule="exact"/>
              <w:ind w:right="89"/>
              <w:rPr>
                <w:sz w:val="15"/>
              </w:rPr>
            </w:pPr>
            <w:r>
              <w:rPr>
                <w:sz w:val="15"/>
              </w:rPr>
              <w:t>2,920</w:t>
            </w:r>
          </w:p>
        </w:tc>
        <w:tc>
          <w:tcPr>
            <w:tcW w:w="804" w:type="dxa"/>
          </w:tcPr>
          <w:p>
            <w:pPr>
              <w:pStyle w:val="TableParagraph"/>
              <w:spacing w:line="167" w:lineRule="exact"/>
              <w:rPr>
                <w:sz w:val="15"/>
              </w:rPr>
            </w:pPr>
            <w:r>
              <w:rPr>
                <w:sz w:val="15"/>
              </w:rPr>
              <w:t>57,930</w:t>
            </w:r>
          </w:p>
        </w:tc>
      </w:tr>
      <w:tr>
        <w:trPr>
          <w:trHeight w:val="374" w:hRule="exact"/>
        </w:trPr>
        <w:tc>
          <w:tcPr>
            <w:tcW w:w="1049" w:type="dxa"/>
          </w:tcPr>
          <w:p>
            <w:pPr>
              <w:pStyle w:val="TableParagraph"/>
              <w:spacing w:line="167" w:lineRule="exact"/>
              <w:rPr>
                <w:sz w:val="15"/>
              </w:rPr>
            </w:pPr>
            <w:r>
              <w:rPr>
                <w:sz w:val="15"/>
              </w:rPr>
              <w:t>Dominica</w:t>
            </w:r>
          </w:p>
        </w:tc>
        <w:tc>
          <w:tcPr>
            <w:tcW w:w="787" w:type="dxa"/>
          </w:tcPr>
          <w:p>
            <w:pPr>
              <w:pStyle w:val="TableParagraph"/>
              <w:spacing w:line="167" w:lineRule="exact"/>
              <w:ind w:right="178"/>
              <w:rPr>
                <w:sz w:val="15"/>
              </w:rPr>
            </w:pPr>
            <w:r>
              <w:rPr>
                <w:sz w:val="15"/>
              </w:rPr>
              <w:t>290</w:t>
            </w:r>
          </w:p>
        </w:tc>
        <w:tc>
          <w:tcPr>
            <w:tcW w:w="710" w:type="dxa"/>
          </w:tcPr>
          <w:p>
            <w:pPr>
              <w:pStyle w:val="TableParagraph"/>
              <w:spacing w:line="167" w:lineRule="exact"/>
              <w:rPr>
                <w:sz w:val="15"/>
              </w:rPr>
            </w:pPr>
            <w:r>
              <w:rPr>
                <w:sz w:val="15"/>
              </w:rPr>
              <w:t>110</w:t>
            </w:r>
          </w:p>
        </w:tc>
        <w:tc>
          <w:tcPr>
            <w:tcW w:w="1352" w:type="dxa"/>
            <w:gridSpan w:val="2"/>
          </w:tcPr>
          <w:p>
            <w:pPr>
              <w:pStyle w:val="TableParagraph"/>
              <w:spacing w:line="167" w:lineRule="exact"/>
              <w:ind w:left="96"/>
              <w:rPr>
                <w:sz w:val="15"/>
              </w:rPr>
            </w:pPr>
            <w:r>
              <w:rPr>
                <w:sz w:val="15"/>
              </w:rPr>
              <w:t>230</w:t>
            </w:r>
          </w:p>
        </w:tc>
        <w:tc>
          <w:tcPr>
            <w:tcW w:w="910" w:type="dxa"/>
          </w:tcPr>
          <w:p>
            <w:pPr>
              <w:pStyle w:val="TableParagraph"/>
              <w:spacing w:line="167" w:lineRule="exact"/>
              <w:rPr>
                <w:sz w:val="15"/>
              </w:rPr>
            </w:pPr>
            <w:r>
              <w:rPr>
                <w:sz w:val="15"/>
              </w:rPr>
              <w:t>60</w:t>
            </w:r>
          </w:p>
        </w:tc>
        <w:tc>
          <w:tcPr>
            <w:tcW w:w="723" w:type="dxa"/>
          </w:tcPr>
          <w:p>
            <w:pPr>
              <w:pStyle w:val="TableParagraph"/>
              <w:spacing w:line="167" w:lineRule="exact"/>
              <w:ind w:left="96"/>
              <w:rPr>
                <w:sz w:val="15"/>
              </w:rPr>
            </w:pPr>
            <w:r>
              <w:rPr>
                <w:sz w:val="15"/>
              </w:rPr>
              <w:t>690</w:t>
            </w:r>
          </w:p>
        </w:tc>
        <w:tc>
          <w:tcPr>
            <w:tcW w:w="1373" w:type="dxa"/>
          </w:tcPr>
          <w:p>
            <w:pPr>
              <w:pStyle w:val="TableParagraph"/>
              <w:spacing w:line="167" w:lineRule="exact"/>
              <w:ind w:left="96"/>
              <w:rPr>
                <w:sz w:val="15"/>
              </w:rPr>
            </w:pPr>
            <w:r>
              <w:rPr>
                <w:sz w:val="15"/>
              </w:rPr>
              <w:t>470</w:t>
            </w:r>
          </w:p>
        </w:tc>
        <w:tc>
          <w:tcPr>
            <w:tcW w:w="754" w:type="dxa"/>
          </w:tcPr>
          <w:p>
            <w:pPr>
              <w:pStyle w:val="TableParagraph"/>
              <w:spacing w:line="167" w:lineRule="exact"/>
              <w:rPr>
                <w:sz w:val="15"/>
              </w:rPr>
            </w:pPr>
            <w:r>
              <w:rPr>
                <w:sz w:val="15"/>
              </w:rPr>
              <w:t>130</w:t>
            </w:r>
          </w:p>
        </w:tc>
        <w:tc>
          <w:tcPr>
            <w:tcW w:w="898" w:type="dxa"/>
          </w:tcPr>
          <w:p>
            <w:pPr>
              <w:pStyle w:val="TableParagraph"/>
              <w:spacing w:line="167" w:lineRule="exact"/>
              <w:ind w:left="95"/>
              <w:rPr>
                <w:sz w:val="15"/>
              </w:rPr>
            </w:pPr>
            <w:r>
              <w:rPr>
                <w:sz w:val="15"/>
              </w:rPr>
              <w:t>200</w:t>
            </w:r>
          </w:p>
        </w:tc>
        <w:tc>
          <w:tcPr>
            <w:tcW w:w="706" w:type="dxa"/>
          </w:tcPr>
          <w:p>
            <w:pPr>
              <w:pStyle w:val="TableParagraph"/>
              <w:spacing w:line="167" w:lineRule="exact"/>
              <w:ind w:right="89"/>
              <w:rPr>
                <w:sz w:val="15"/>
              </w:rPr>
            </w:pPr>
            <w:r>
              <w:rPr>
                <w:sz w:val="15"/>
              </w:rPr>
              <w:t>70</w:t>
            </w:r>
          </w:p>
        </w:tc>
        <w:tc>
          <w:tcPr>
            <w:tcW w:w="804" w:type="dxa"/>
          </w:tcPr>
          <w:p>
            <w:pPr>
              <w:pStyle w:val="TableParagraph"/>
              <w:spacing w:line="167" w:lineRule="exact"/>
              <w:rPr>
                <w:sz w:val="15"/>
              </w:rPr>
            </w:pPr>
            <w:r>
              <w:rPr>
                <w:sz w:val="15"/>
              </w:rPr>
              <w:t>870</w:t>
            </w:r>
          </w:p>
        </w:tc>
      </w:tr>
      <w:tr>
        <w:trPr>
          <w:trHeight w:val="564" w:hRule="exact"/>
        </w:trPr>
        <w:tc>
          <w:tcPr>
            <w:tcW w:w="1049" w:type="dxa"/>
          </w:tcPr>
          <w:p>
            <w:pPr>
              <w:pStyle w:val="TableParagraph"/>
              <w:rPr>
                <w:sz w:val="15"/>
              </w:rPr>
            </w:pPr>
            <w:r>
              <w:rPr>
                <w:sz w:val="15"/>
              </w:rPr>
              <w:t>R.</w:t>
            </w:r>
          </w:p>
          <w:p>
            <w:pPr>
              <w:pStyle w:val="TableParagraph"/>
              <w:spacing w:line="240" w:lineRule="auto" w:before="12"/>
              <w:rPr>
                <w:sz w:val="15"/>
              </w:rPr>
            </w:pPr>
            <w:r>
              <w:rPr>
                <w:sz w:val="15"/>
              </w:rPr>
              <w:t>Dominicana</w:t>
            </w:r>
          </w:p>
        </w:tc>
        <w:tc>
          <w:tcPr>
            <w:tcW w:w="787" w:type="dxa"/>
          </w:tcPr>
          <w:p>
            <w:pPr>
              <w:pStyle w:val="TableParagraph"/>
              <w:ind w:right="178"/>
              <w:rPr>
                <w:sz w:val="15"/>
              </w:rPr>
            </w:pPr>
            <w:r>
              <w:rPr>
                <w:sz w:val="15"/>
              </w:rPr>
              <w:t>30,050</w:t>
            </w:r>
          </w:p>
        </w:tc>
        <w:tc>
          <w:tcPr>
            <w:tcW w:w="710" w:type="dxa"/>
          </w:tcPr>
          <w:p>
            <w:pPr>
              <w:pStyle w:val="TableParagraph"/>
              <w:rPr>
                <w:sz w:val="15"/>
              </w:rPr>
            </w:pPr>
            <w:r>
              <w:rPr>
                <w:sz w:val="15"/>
              </w:rPr>
              <w:t>12,360</w:t>
            </w:r>
          </w:p>
        </w:tc>
        <w:tc>
          <w:tcPr>
            <w:tcW w:w="1352" w:type="dxa"/>
            <w:gridSpan w:val="2"/>
          </w:tcPr>
          <w:p>
            <w:pPr>
              <w:pStyle w:val="TableParagraph"/>
              <w:ind w:left="96"/>
              <w:rPr>
                <w:sz w:val="15"/>
              </w:rPr>
            </w:pPr>
            <w:r>
              <w:rPr>
                <w:sz w:val="15"/>
              </w:rPr>
              <w:t>2,730</w:t>
            </w:r>
          </w:p>
        </w:tc>
        <w:tc>
          <w:tcPr>
            <w:tcW w:w="910" w:type="dxa"/>
          </w:tcPr>
          <w:p>
            <w:pPr>
              <w:pStyle w:val="TableParagraph"/>
              <w:rPr>
                <w:sz w:val="15"/>
              </w:rPr>
            </w:pPr>
            <w:r>
              <w:rPr>
                <w:sz w:val="15"/>
              </w:rPr>
              <w:t>320</w:t>
            </w:r>
          </w:p>
        </w:tc>
        <w:tc>
          <w:tcPr>
            <w:tcW w:w="723" w:type="dxa"/>
          </w:tcPr>
          <w:p>
            <w:pPr>
              <w:pStyle w:val="TableParagraph"/>
              <w:ind w:left="96"/>
              <w:rPr>
                <w:sz w:val="15"/>
              </w:rPr>
            </w:pPr>
            <w:r>
              <w:rPr>
                <w:sz w:val="15"/>
              </w:rPr>
              <w:t>45,460</w:t>
            </w:r>
          </w:p>
        </w:tc>
        <w:tc>
          <w:tcPr>
            <w:tcW w:w="1373" w:type="dxa"/>
          </w:tcPr>
          <w:p>
            <w:pPr>
              <w:pStyle w:val="TableParagraph"/>
              <w:ind w:left="96"/>
              <w:rPr>
                <w:sz w:val="15"/>
              </w:rPr>
            </w:pPr>
            <w:r>
              <w:rPr>
                <w:sz w:val="15"/>
              </w:rPr>
              <w:t>40,650</w:t>
            </w:r>
          </w:p>
        </w:tc>
        <w:tc>
          <w:tcPr>
            <w:tcW w:w="754" w:type="dxa"/>
          </w:tcPr>
          <w:p>
            <w:pPr>
              <w:pStyle w:val="TableParagraph"/>
              <w:rPr>
                <w:sz w:val="15"/>
              </w:rPr>
            </w:pPr>
            <w:r>
              <w:rPr>
                <w:sz w:val="15"/>
              </w:rPr>
              <w:t>14,300</w:t>
            </w:r>
          </w:p>
        </w:tc>
        <w:tc>
          <w:tcPr>
            <w:tcW w:w="898" w:type="dxa"/>
          </w:tcPr>
          <w:p>
            <w:pPr>
              <w:pStyle w:val="TableParagraph"/>
              <w:ind w:left="95"/>
              <w:rPr>
                <w:sz w:val="15"/>
              </w:rPr>
            </w:pPr>
            <w:r>
              <w:rPr>
                <w:sz w:val="15"/>
              </w:rPr>
              <w:t>2,630</w:t>
            </w:r>
          </w:p>
        </w:tc>
        <w:tc>
          <w:tcPr>
            <w:tcW w:w="706" w:type="dxa"/>
          </w:tcPr>
          <w:p>
            <w:pPr>
              <w:pStyle w:val="TableParagraph"/>
              <w:ind w:right="89"/>
              <w:rPr>
                <w:sz w:val="15"/>
              </w:rPr>
            </w:pPr>
            <w:r>
              <w:rPr>
                <w:sz w:val="15"/>
              </w:rPr>
              <w:t>700</w:t>
            </w:r>
          </w:p>
        </w:tc>
        <w:tc>
          <w:tcPr>
            <w:tcW w:w="804" w:type="dxa"/>
          </w:tcPr>
          <w:p>
            <w:pPr>
              <w:pStyle w:val="TableParagraph"/>
              <w:rPr>
                <w:sz w:val="15"/>
              </w:rPr>
            </w:pPr>
            <w:r>
              <w:rPr>
                <w:sz w:val="15"/>
              </w:rPr>
              <w:t>58,280</w:t>
            </w:r>
          </w:p>
        </w:tc>
      </w:tr>
      <w:tr>
        <w:trPr>
          <w:trHeight w:val="374" w:hRule="exact"/>
        </w:trPr>
        <w:tc>
          <w:tcPr>
            <w:tcW w:w="1049" w:type="dxa"/>
          </w:tcPr>
          <w:p>
            <w:pPr>
              <w:pStyle w:val="TableParagraph"/>
              <w:spacing w:line="167" w:lineRule="exact"/>
              <w:rPr>
                <w:sz w:val="15"/>
              </w:rPr>
            </w:pPr>
            <w:r>
              <w:rPr>
                <w:sz w:val="15"/>
              </w:rPr>
              <w:t>Granada</w:t>
            </w:r>
          </w:p>
        </w:tc>
        <w:tc>
          <w:tcPr>
            <w:tcW w:w="787" w:type="dxa"/>
          </w:tcPr>
          <w:p>
            <w:pPr>
              <w:pStyle w:val="TableParagraph"/>
              <w:spacing w:line="167" w:lineRule="exact"/>
              <w:ind w:right="178"/>
              <w:rPr>
                <w:sz w:val="15"/>
              </w:rPr>
            </w:pPr>
            <w:r>
              <w:rPr>
                <w:sz w:val="15"/>
              </w:rPr>
              <w:t>750</w:t>
            </w:r>
          </w:p>
        </w:tc>
        <w:tc>
          <w:tcPr>
            <w:tcW w:w="710" w:type="dxa"/>
          </w:tcPr>
          <w:p>
            <w:pPr>
              <w:pStyle w:val="TableParagraph"/>
              <w:spacing w:line="167" w:lineRule="exact"/>
              <w:rPr>
                <w:sz w:val="15"/>
              </w:rPr>
            </w:pPr>
            <w:r>
              <w:rPr>
                <w:w w:val="100"/>
                <w:sz w:val="15"/>
              </w:rPr>
              <w:t>0</w:t>
            </w:r>
          </w:p>
        </w:tc>
        <w:tc>
          <w:tcPr>
            <w:tcW w:w="1352" w:type="dxa"/>
            <w:gridSpan w:val="2"/>
          </w:tcPr>
          <w:p>
            <w:pPr>
              <w:pStyle w:val="TableParagraph"/>
              <w:spacing w:line="167" w:lineRule="exact"/>
              <w:ind w:left="96"/>
              <w:rPr>
                <w:sz w:val="15"/>
              </w:rPr>
            </w:pPr>
            <w:r>
              <w:rPr>
                <w:sz w:val="15"/>
              </w:rPr>
              <w:t>10</w:t>
            </w:r>
          </w:p>
        </w:tc>
        <w:tc>
          <w:tcPr>
            <w:tcW w:w="910" w:type="dxa"/>
          </w:tcPr>
          <w:p>
            <w:pPr>
              <w:pStyle w:val="TableParagraph"/>
              <w:spacing w:line="167" w:lineRule="exact"/>
              <w:rPr>
                <w:sz w:val="15"/>
              </w:rPr>
            </w:pPr>
            <w:r>
              <w:rPr>
                <w:sz w:val="15"/>
              </w:rPr>
              <w:t>300</w:t>
            </w:r>
          </w:p>
        </w:tc>
        <w:tc>
          <w:tcPr>
            <w:tcW w:w="723" w:type="dxa"/>
          </w:tcPr>
          <w:p>
            <w:pPr>
              <w:pStyle w:val="TableParagraph"/>
              <w:spacing w:line="167" w:lineRule="exact"/>
              <w:ind w:left="96"/>
              <w:rPr>
                <w:sz w:val="15"/>
              </w:rPr>
            </w:pPr>
            <w:r>
              <w:rPr>
                <w:sz w:val="15"/>
              </w:rPr>
              <w:t>1,060</w:t>
            </w:r>
          </w:p>
        </w:tc>
        <w:tc>
          <w:tcPr>
            <w:tcW w:w="1373" w:type="dxa"/>
          </w:tcPr>
          <w:p>
            <w:pPr>
              <w:pStyle w:val="TableParagraph"/>
              <w:spacing w:line="167" w:lineRule="exact"/>
              <w:ind w:left="96"/>
              <w:rPr>
                <w:sz w:val="15"/>
              </w:rPr>
            </w:pPr>
            <w:r>
              <w:rPr>
                <w:sz w:val="15"/>
              </w:rPr>
              <w:t>770</w:t>
            </w:r>
          </w:p>
        </w:tc>
        <w:tc>
          <w:tcPr>
            <w:tcW w:w="754" w:type="dxa"/>
          </w:tcPr>
          <w:p>
            <w:pPr>
              <w:pStyle w:val="TableParagraph"/>
              <w:spacing w:line="167" w:lineRule="exact"/>
              <w:rPr>
                <w:sz w:val="15"/>
              </w:rPr>
            </w:pPr>
            <w:r>
              <w:rPr>
                <w:w w:val="100"/>
                <w:sz w:val="15"/>
              </w:rPr>
              <w:t>0</w:t>
            </w:r>
          </w:p>
        </w:tc>
        <w:tc>
          <w:tcPr>
            <w:tcW w:w="898" w:type="dxa"/>
          </w:tcPr>
          <w:p>
            <w:pPr>
              <w:pStyle w:val="TableParagraph"/>
              <w:spacing w:line="167" w:lineRule="exact"/>
              <w:ind w:left="95"/>
              <w:rPr>
                <w:sz w:val="15"/>
              </w:rPr>
            </w:pPr>
            <w:r>
              <w:rPr>
                <w:sz w:val="15"/>
              </w:rPr>
              <w:t>20</w:t>
            </w:r>
          </w:p>
        </w:tc>
        <w:tc>
          <w:tcPr>
            <w:tcW w:w="706" w:type="dxa"/>
          </w:tcPr>
          <w:p>
            <w:pPr>
              <w:pStyle w:val="TableParagraph"/>
              <w:spacing w:line="167" w:lineRule="exact"/>
              <w:ind w:right="89"/>
              <w:rPr>
                <w:sz w:val="15"/>
              </w:rPr>
            </w:pPr>
            <w:r>
              <w:rPr>
                <w:sz w:val="15"/>
              </w:rPr>
              <w:t>310</w:t>
            </w:r>
          </w:p>
        </w:tc>
        <w:tc>
          <w:tcPr>
            <w:tcW w:w="804" w:type="dxa"/>
          </w:tcPr>
          <w:p>
            <w:pPr>
              <w:pStyle w:val="TableParagraph"/>
              <w:spacing w:line="167" w:lineRule="exact"/>
              <w:rPr>
                <w:sz w:val="15"/>
              </w:rPr>
            </w:pPr>
            <w:r>
              <w:rPr>
                <w:sz w:val="15"/>
              </w:rPr>
              <w:t>1,100</w:t>
            </w:r>
          </w:p>
        </w:tc>
      </w:tr>
      <w:tr>
        <w:trPr>
          <w:trHeight w:val="377" w:hRule="exact"/>
        </w:trPr>
        <w:tc>
          <w:tcPr>
            <w:tcW w:w="1049" w:type="dxa"/>
          </w:tcPr>
          <w:p>
            <w:pPr>
              <w:pStyle w:val="TableParagraph"/>
              <w:rPr>
                <w:sz w:val="15"/>
              </w:rPr>
            </w:pPr>
            <w:r>
              <w:rPr>
                <w:sz w:val="15"/>
              </w:rPr>
              <w:t>Guyana</w:t>
            </w:r>
          </w:p>
        </w:tc>
        <w:tc>
          <w:tcPr>
            <w:tcW w:w="787" w:type="dxa"/>
          </w:tcPr>
          <w:p>
            <w:pPr>
              <w:pStyle w:val="TableParagraph"/>
              <w:ind w:right="178"/>
              <w:rPr>
                <w:sz w:val="15"/>
              </w:rPr>
            </w:pPr>
            <w:r>
              <w:rPr>
                <w:sz w:val="15"/>
              </w:rPr>
              <w:t>7550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180</w:t>
            </w:r>
          </w:p>
        </w:tc>
        <w:tc>
          <w:tcPr>
            <w:tcW w:w="910" w:type="dxa"/>
          </w:tcPr>
          <w:p>
            <w:pPr>
              <w:pStyle w:val="TableParagraph"/>
              <w:rPr>
                <w:sz w:val="15"/>
              </w:rPr>
            </w:pPr>
            <w:r>
              <w:rPr>
                <w:sz w:val="15"/>
              </w:rPr>
              <w:t>1,290</w:t>
            </w:r>
          </w:p>
        </w:tc>
        <w:tc>
          <w:tcPr>
            <w:tcW w:w="723" w:type="dxa"/>
          </w:tcPr>
          <w:p>
            <w:pPr>
              <w:pStyle w:val="TableParagraph"/>
              <w:ind w:left="96"/>
              <w:rPr>
                <w:sz w:val="15"/>
              </w:rPr>
            </w:pPr>
            <w:r>
              <w:rPr>
                <w:sz w:val="15"/>
              </w:rPr>
              <w:t>9,020</w:t>
            </w:r>
          </w:p>
        </w:tc>
        <w:tc>
          <w:tcPr>
            <w:tcW w:w="1373" w:type="dxa"/>
          </w:tcPr>
          <w:p>
            <w:pPr>
              <w:pStyle w:val="TableParagraph"/>
              <w:ind w:left="96"/>
              <w:rPr>
                <w:sz w:val="15"/>
              </w:rPr>
            </w:pPr>
            <w:r>
              <w:rPr>
                <w:sz w:val="15"/>
              </w:rPr>
              <w:t>6,750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sz w:val="15"/>
              </w:rPr>
              <w:t>130</w:t>
            </w:r>
          </w:p>
        </w:tc>
        <w:tc>
          <w:tcPr>
            <w:tcW w:w="706" w:type="dxa"/>
          </w:tcPr>
          <w:p>
            <w:pPr>
              <w:pStyle w:val="TableParagraph"/>
              <w:ind w:right="89"/>
              <w:rPr>
                <w:sz w:val="15"/>
              </w:rPr>
            </w:pPr>
            <w:r>
              <w:rPr>
                <w:sz w:val="15"/>
              </w:rPr>
              <w:t>1,140</w:t>
            </w:r>
          </w:p>
        </w:tc>
        <w:tc>
          <w:tcPr>
            <w:tcW w:w="804" w:type="dxa"/>
          </w:tcPr>
          <w:p>
            <w:pPr>
              <w:pStyle w:val="TableParagraph"/>
              <w:rPr>
                <w:sz w:val="15"/>
              </w:rPr>
            </w:pPr>
            <w:r>
              <w:rPr>
                <w:sz w:val="15"/>
              </w:rPr>
              <w:t>8,020</w:t>
            </w:r>
          </w:p>
        </w:tc>
      </w:tr>
      <w:tr>
        <w:trPr>
          <w:trHeight w:val="377" w:hRule="exact"/>
        </w:trPr>
        <w:tc>
          <w:tcPr>
            <w:tcW w:w="1049" w:type="dxa"/>
          </w:tcPr>
          <w:p>
            <w:pPr>
              <w:pStyle w:val="TableParagraph"/>
              <w:rPr>
                <w:sz w:val="15"/>
              </w:rPr>
            </w:pPr>
            <w:r>
              <w:rPr>
                <w:sz w:val="15"/>
              </w:rPr>
              <w:t>Haití</w:t>
            </w:r>
          </w:p>
        </w:tc>
        <w:tc>
          <w:tcPr>
            <w:tcW w:w="787" w:type="dxa"/>
          </w:tcPr>
          <w:p>
            <w:pPr>
              <w:pStyle w:val="TableParagraph"/>
              <w:ind w:right="178"/>
              <w:rPr>
                <w:sz w:val="15"/>
              </w:rPr>
            </w:pPr>
            <w:r>
              <w:rPr>
                <w:sz w:val="15"/>
              </w:rPr>
              <w:t>18,730</w:t>
            </w:r>
          </w:p>
        </w:tc>
        <w:tc>
          <w:tcPr>
            <w:tcW w:w="710" w:type="dxa"/>
          </w:tcPr>
          <w:p>
            <w:pPr>
              <w:pStyle w:val="TableParagraph"/>
              <w:rPr>
                <w:sz w:val="15"/>
              </w:rPr>
            </w:pPr>
            <w:r>
              <w:rPr>
                <w:sz w:val="15"/>
              </w:rPr>
              <w:t>40</w:t>
            </w:r>
          </w:p>
        </w:tc>
        <w:tc>
          <w:tcPr>
            <w:tcW w:w="1352" w:type="dxa"/>
            <w:gridSpan w:val="2"/>
          </w:tcPr>
          <w:p>
            <w:pPr>
              <w:pStyle w:val="TableParagraph"/>
              <w:ind w:left="96"/>
              <w:rPr>
                <w:sz w:val="15"/>
              </w:rPr>
            </w:pPr>
            <w:r>
              <w:rPr>
                <w:sz w:val="15"/>
              </w:rPr>
              <w:t>2,970</w:t>
            </w:r>
          </w:p>
        </w:tc>
        <w:tc>
          <w:tcPr>
            <w:tcW w:w="910" w:type="dxa"/>
          </w:tcPr>
          <w:p>
            <w:pPr>
              <w:pStyle w:val="TableParagraph"/>
              <w:rPr>
                <w:sz w:val="15"/>
              </w:rPr>
            </w:pPr>
            <w:r>
              <w:rPr>
                <w:sz w:val="15"/>
              </w:rPr>
              <w:t>1,730</w:t>
            </w:r>
          </w:p>
        </w:tc>
        <w:tc>
          <w:tcPr>
            <w:tcW w:w="723" w:type="dxa"/>
          </w:tcPr>
          <w:p>
            <w:pPr>
              <w:pStyle w:val="TableParagraph"/>
              <w:ind w:left="96"/>
              <w:rPr>
                <w:sz w:val="15"/>
              </w:rPr>
            </w:pPr>
            <w:r>
              <w:rPr>
                <w:sz w:val="15"/>
              </w:rPr>
              <w:t>23,470</w:t>
            </w:r>
          </w:p>
        </w:tc>
        <w:tc>
          <w:tcPr>
            <w:tcW w:w="1373" w:type="dxa"/>
          </w:tcPr>
          <w:p>
            <w:pPr>
              <w:pStyle w:val="TableParagraph"/>
              <w:ind w:left="96"/>
              <w:rPr>
                <w:sz w:val="15"/>
              </w:rPr>
            </w:pPr>
            <w:r>
              <w:rPr>
                <w:sz w:val="15"/>
              </w:rPr>
              <w:t>25,140</w:t>
            </w:r>
          </w:p>
        </w:tc>
        <w:tc>
          <w:tcPr>
            <w:tcW w:w="754" w:type="dxa"/>
          </w:tcPr>
          <w:p>
            <w:pPr>
              <w:pStyle w:val="TableParagraph"/>
              <w:rPr>
                <w:sz w:val="15"/>
              </w:rPr>
            </w:pPr>
            <w:r>
              <w:rPr>
                <w:sz w:val="15"/>
              </w:rPr>
              <w:t>80</w:t>
            </w:r>
          </w:p>
        </w:tc>
        <w:tc>
          <w:tcPr>
            <w:tcW w:w="898" w:type="dxa"/>
          </w:tcPr>
          <w:p>
            <w:pPr>
              <w:pStyle w:val="TableParagraph"/>
              <w:ind w:left="95"/>
              <w:rPr>
                <w:sz w:val="15"/>
              </w:rPr>
            </w:pPr>
            <w:r>
              <w:rPr>
                <w:sz w:val="15"/>
              </w:rPr>
              <w:t>2,520</w:t>
            </w:r>
          </w:p>
        </w:tc>
        <w:tc>
          <w:tcPr>
            <w:tcW w:w="706" w:type="dxa"/>
          </w:tcPr>
          <w:p>
            <w:pPr>
              <w:pStyle w:val="TableParagraph"/>
              <w:ind w:right="89"/>
              <w:rPr>
                <w:sz w:val="15"/>
              </w:rPr>
            </w:pPr>
            <w:r>
              <w:rPr>
                <w:sz w:val="15"/>
              </w:rPr>
              <w:t>2,360</w:t>
            </w:r>
          </w:p>
        </w:tc>
        <w:tc>
          <w:tcPr>
            <w:tcW w:w="804" w:type="dxa"/>
          </w:tcPr>
          <w:p>
            <w:pPr>
              <w:pStyle w:val="TableParagraph"/>
              <w:rPr>
                <w:sz w:val="15"/>
              </w:rPr>
            </w:pPr>
            <w:r>
              <w:rPr>
                <w:sz w:val="15"/>
              </w:rPr>
              <w:t>30,100</w:t>
            </w:r>
          </w:p>
        </w:tc>
      </w:tr>
      <w:tr>
        <w:trPr>
          <w:trHeight w:val="377" w:hRule="exact"/>
        </w:trPr>
        <w:tc>
          <w:tcPr>
            <w:tcW w:w="1049" w:type="dxa"/>
          </w:tcPr>
          <w:p>
            <w:pPr>
              <w:pStyle w:val="TableParagraph"/>
              <w:spacing w:line="167" w:lineRule="exact"/>
              <w:rPr>
                <w:sz w:val="15"/>
              </w:rPr>
            </w:pPr>
            <w:r>
              <w:rPr>
                <w:sz w:val="15"/>
              </w:rPr>
              <w:t>Jamaica</w:t>
            </w:r>
          </w:p>
        </w:tc>
        <w:tc>
          <w:tcPr>
            <w:tcW w:w="787" w:type="dxa"/>
          </w:tcPr>
          <w:p>
            <w:pPr>
              <w:pStyle w:val="TableParagraph"/>
              <w:spacing w:line="167" w:lineRule="exact"/>
              <w:ind w:right="178"/>
              <w:rPr>
                <w:sz w:val="15"/>
              </w:rPr>
            </w:pPr>
            <w:r>
              <w:rPr>
                <w:sz w:val="15"/>
              </w:rPr>
              <w:t>18,090</w:t>
            </w:r>
          </w:p>
        </w:tc>
        <w:tc>
          <w:tcPr>
            <w:tcW w:w="710" w:type="dxa"/>
          </w:tcPr>
          <w:p>
            <w:pPr>
              <w:pStyle w:val="TableParagraph"/>
              <w:spacing w:line="167" w:lineRule="exact"/>
              <w:rPr>
                <w:sz w:val="15"/>
              </w:rPr>
            </w:pPr>
            <w:r>
              <w:rPr>
                <w:sz w:val="15"/>
              </w:rPr>
              <w:t>10</w:t>
            </w:r>
          </w:p>
        </w:tc>
        <w:tc>
          <w:tcPr>
            <w:tcW w:w="1352" w:type="dxa"/>
            <w:gridSpan w:val="2"/>
          </w:tcPr>
          <w:p>
            <w:pPr>
              <w:pStyle w:val="TableParagraph"/>
              <w:spacing w:line="167" w:lineRule="exact"/>
              <w:ind w:left="96"/>
              <w:rPr>
                <w:sz w:val="15"/>
              </w:rPr>
            </w:pPr>
            <w:r>
              <w:rPr>
                <w:sz w:val="15"/>
              </w:rPr>
              <w:t>170</w:t>
            </w:r>
          </w:p>
        </w:tc>
        <w:tc>
          <w:tcPr>
            <w:tcW w:w="910" w:type="dxa"/>
          </w:tcPr>
          <w:p>
            <w:pPr>
              <w:pStyle w:val="TableParagraph"/>
              <w:spacing w:line="167" w:lineRule="exact"/>
              <w:rPr>
                <w:sz w:val="15"/>
              </w:rPr>
            </w:pPr>
            <w:r>
              <w:rPr>
                <w:sz w:val="15"/>
              </w:rPr>
              <w:t>2,070</w:t>
            </w:r>
          </w:p>
        </w:tc>
        <w:tc>
          <w:tcPr>
            <w:tcW w:w="723" w:type="dxa"/>
          </w:tcPr>
          <w:p>
            <w:pPr>
              <w:pStyle w:val="TableParagraph"/>
              <w:spacing w:line="167" w:lineRule="exact"/>
              <w:ind w:left="96"/>
              <w:rPr>
                <w:sz w:val="15"/>
              </w:rPr>
            </w:pPr>
            <w:r>
              <w:rPr>
                <w:sz w:val="15"/>
              </w:rPr>
              <w:t>20,340</w:t>
            </w:r>
          </w:p>
        </w:tc>
        <w:tc>
          <w:tcPr>
            <w:tcW w:w="1373" w:type="dxa"/>
          </w:tcPr>
          <w:p>
            <w:pPr>
              <w:pStyle w:val="TableParagraph"/>
              <w:spacing w:line="167" w:lineRule="exact"/>
              <w:ind w:left="96"/>
              <w:rPr>
                <w:sz w:val="15"/>
              </w:rPr>
            </w:pPr>
            <w:r>
              <w:rPr>
                <w:sz w:val="15"/>
              </w:rPr>
              <w:t>20,130</w:t>
            </w:r>
          </w:p>
        </w:tc>
        <w:tc>
          <w:tcPr>
            <w:tcW w:w="754" w:type="dxa"/>
          </w:tcPr>
          <w:p>
            <w:pPr>
              <w:pStyle w:val="TableParagraph"/>
              <w:spacing w:line="167" w:lineRule="exact"/>
              <w:rPr>
                <w:sz w:val="15"/>
              </w:rPr>
            </w:pPr>
            <w:r>
              <w:rPr>
                <w:sz w:val="15"/>
              </w:rPr>
              <w:t>20</w:t>
            </w:r>
          </w:p>
        </w:tc>
        <w:tc>
          <w:tcPr>
            <w:tcW w:w="898" w:type="dxa"/>
          </w:tcPr>
          <w:p>
            <w:pPr>
              <w:pStyle w:val="TableParagraph"/>
              <w:spacing w:line="167" w:lineRule="exact"/>
              <w:ind w:left="95"/>
              <w:rPr>
                <w:sz w:val="15"/>
              </w:rPr>
            </w:pPr>
            <w:r>
              <w:rPr>
                <w:sz w:val="15"/>
              </w:rPr>
              <w:t>190</w:t>
            </w:r>
          </w:p>
        </w:tc>
        <w:tc>
          <w:tcPr>
            <w:tcW w:w="706" w:type="dxa"/>
          </w:tcPr>
          <w:p>
            <w:pPr>
              <w:pStyle w:val="TableParagraph"/>
              <w:spacing w:line="167" w:lineRule="exact"/>
              <w:ind w:right="89"/>
              <w:rPr>
                <w:sz w:val="15"/>
              </w:rPr>
            </w:pPr>
            <w:r>
              <w:rPr>
                <w:sz w:val="15"/>
              </w:rPr>
              <w:t>2,590</w:t>
            </w:r>
          </w:p>
        </w:tc>
        <w:tc>
          <w:tcPr>
            <w:tcW w:w="804" w:type="dxa"/>
          </w:tcPr>
          <w:p>
            <w:pPr>
              <w:pStyle w:val="TableParagraph"/>
              <w:spacing w:line="167" w:lineRule="exact"/>
              <w:rPr>
                <w:sz w:val="15"/>
              </w:rPr>
            </w:pPr>
            <w:r>
              <w:rPr>
                <w:sz w:val="15"/>
              </w:rPr>
              <w:t>22,930</w:t>
            </w:r>
          </w:p>
        </w:tc>
      </w:tr>
      <w:tr>
        <w:trPr>
          <w:trHeight w:val="720" w:hRule="exact"/>
        </w:trPr>
        <w:tc>
          <w:tcPr>
            <w:tcW w:w="1049" w:type="dxa"/>
          </w:tcPr>
          <w:p>
            <w:pPr>
              <w:pStyle w:val="TableParagraph"/>
              <w:spacing w:line="261" w:lineRule="auto"/>
              <w:ind w:right="90"/>
              <w:rPr>
                <w:sz w:val="15"/>
              </w:rPr>
            </w:pPr>
            <w:r>
              <w:rPr>
                <w:sz w:val="15"/>
              </w:rPr>
              <w:t>San Cristóbal y Nieves</w:t>
            </w:r>
          </w:p>
        </w:tc>
        <w:tc>
          <w:tcPr>
            <w:tcW w:w="787" w:type="dxa"/>
          </w:tcPr>
          <w:p>
            <w:pPr>
              <w:pStyle w:val="TableParagraph"/>
              <w:spacing w:line="167" w:lineRule="exact"/>
              <w:ind w:right="178"/>
              <w:rPr>
                <w:sz w:val="15"/>
              </w:rPr>
            </w:pPr>
            <w:r>
              <w:rPr>
                <w:sz w:val="15"/>
              </w:rPr>
              <w:t>350</w:t>
            </w:r>
          </w:p>
        </w:tc>
        <w:tc>
          <w:tcPr>
            <w:tcW w:w="710" w:type="dxa"/>
          </w:tcPr>
          <w:p>
            <w:pPr>
              <w:pStyle w:val="TableParagraph"/>
              <w:spacing w:line="167" w:lineRule="exact"/>
              <w:rPr>
                <w:sz w:val="15"/>
              </w:rPr>
            </w:pPr>
            <w:r>
              <w:rPr>
                <w:w w:val="100"/>
                <w:sz w:val="15"/>
              </w:rPr>
              <w:t>0</w:t>
            </w:r>
          </w:p>
        </w:tc>
        <w:tc>
          <w:tcPr>
            <w:tcW w:w="1352" w:type="dxa"/>
            <w:gridSpan w:val="2"/>
          </w:tcPr>
          <w:p>
            <w:pPr>
              <w:pStyle w:val="TableParagraph"/>
              <w:spacing w:line="167" w:lineRule="exact"/>
              <w:ind w:left="96"/>
              <w:rPr>
                <w:sz w:val="15"/>
              </w:rPr>
            </w:pPr>
            <w:r>
              <w:rPr>
                <w:sz w:val="15"/>
              </w:rPr>
              <w:t>10</w:t>
            </w:r>
          </w:p>
        </w:tc>
        <w:tc>
          <w:tcPr>
            <w:tcW w:w="910" w:type="dxa"/>
          </w:tcPr>
          <w:p>
            <w:pPr>
              <w:pStyle w:val="TableParagraph"/>
              <w:spacing w:line="167" w:lineRule="exact"/>
              <w:rPr>
                <w:sz w:val="15"/>
              </w:rPr>
            </w:pPr>
            <w:r>
              <w:rPr>
                <w:sz w:val="15"/>
              </w:rPr>
              <w:t>10</w:t>
            </w:r>
          </w:p>
        </w:tc>
        <w:tc>
          <w:tcPr>
            <w:tcW w:w="723" w:type="dxa"/>
          </w:tcPr>
          <w:p>
            <w:pPr>
              <w:pStyle w:val="TableParagraph"/>
              <w:spacing w:line="167" w:lineRule="exact"/>
              <w:ind w:left="96"/>
              <w:rPr>
                <w:sz w:val="15"/>
              </w:rPr>
            </w:pPr>
            <w:r>
              <w:rPr>
                <w:sz w:val="15"/>
              </w:rPr>
              <w:t>370</w:t>
            </w:r>
          </w:p>
        </w:tc>
        <w:tc>
          <w:tcPr>
            <w:tcW w:w="1373" w:type="dxa"/>
          </w:tcPr>
          <w:p>
            <w:pPr>
              <w:pStyle w:val="TableParagraph"/>
              <w:spacing w:line="167" w:lineRule="exact"/>
              <w:ind w:left="96"/>
              <w:rPr>
                <w:sz w:val="15"/>
              </w:rPr>
            </w:pPr>
            <w:r>
              <w:rPr>
                <w:sz w:val="15"/>
              </w:rPr>
              <w:t>340</w:t>
            </w:r>
          </w:p>
        </w:tc>
        <w:tc>
          <w:tcPr>
            <w:tcW w:w="754" w:type="dxa"/>
          </w:tcPr>
          <w:p>
            <w:pPr>
              <w:pStyle w:val="TableParagraph"/>
              <w:spacing w:line="167" w:lineRule="exact"/>
              <w:rPr>
                <w:sz w:val="15"/>
              </w:rPr>
            </w:pPr>
            <w:r>
              <w:rPr>
                <w:w w:val="100"/>
                <w:sz w:val="15"/>
              </w:rPr>
              <w:t>0</w:t>
            </w:r>
          </w:p>
        </w:tc>
        <w:tc>
          <w:tcPr>
            <w:tcW w:w="898" w:type="dxa"/>
          </w:tcPr>
          <w:p>
            <w:pPr>
              <w:pStyle w:val="TableParagraph"/>
              <w:spacing w:line="167" w:lineRule="exact"/>
              <w:ind w:left="95"/>
              <w:rPr>
                <w:sz w:val="15"/>
              </w:rPr>
            </w:pPr>
            <w:r>
              <w:rPr>
                <w:w w:val="100"/>
                <w:sz w:val="15"/>
              </w:rPr>
              <w:t>0</w:t>
            </w:r>
          </w:p>
        </w:tc>
        <w:tc>
          <w:tcPr>
            <w:tcW w:w="706" w:type="dxa"/>
          </w:tcPr>
          <w:p>
            <w:pPr>
              <w:pStyle w:val="TableParagraph"/>
              <w:spacing w:line="167" w:lineRule="exact"/>
              <w:ind w:right="89"/>
              <w:rPr>
                <w:sz w:val="15"/>
              </w:rPr>
            </w:pPr>
            <w:r>
              <w:rPr>
                <w:sz w:val="15"/>
              </w:rPr>
              <w:t>30</w:t>
            </w:r>
          </w:p>
        </w:tc>
        <w:tc>
          <w:tcPr>
            <w:tcW w:w="804" w:type="dxa"/>
          </w:tcPr>
          <w:p>
            <w:pPr>
              <w:pStyle w:val="TableParagraph"/>
              <w:spacing w:line="167" w:lineRule="exact"/>
              <w:rPr>
                <w:sz w:val="15"/>
              </w:rPr>
            </w:pPr>
            <w:r>
              <w:rPr>
                <w:sz w:val="15"/>
              </w:rPr>
              <w:t>370</w:t>
            </w:r>
          </w:p>
        </w:tc>
      </w:tr>
      <w:tr>
        <w:trPr>
          <w:trHeight w:val="377" w:hRule="exact"/>
        </w:trPr>
        <w:tc>
          <w:tcPr>
            <w:tcW w:w="1049" w:type="dxa"/>
          </w:tcPr>
          <w:p>
            <w:pPr>
              <w:pStyle w:val="TableParagraph"/>
              <w:rPr>
                <w:sz w:val="15"/>
              </w:rPr>
            </w:pPr>
            <w:r>
              <w:rPr>
                <w:sz w:val="15"/>
              </w:rPr>
              <w:t>Santa Lucía</w:t>
            </w:r>
          </w:p>
        </w:tc>
        <w:tc>
          <w:tcPr>
            <w:tcW w:w="787" w:type="dxa"/>
          </w:tcPr>
          <w:p>
            <w:pPr>
              <w:pStyle w:val="TableParagraph"/>
              <w:ind w:right="178"/>
              <w:rPr>
                <w:sz w:val="15"/>
              </w:rPr>
            </w:pPr>
            <w:r>
              <w:rPr>
                <w:sz w:val="15"/>
              </w:rPr>
              <w:t>820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90</w:t>
            </w:r>
          </w:p>
        </w:tc>
        <w:tc>
          <w:tcPr>
            <w:tcW w:w="910" w:type="dxa"/>
          </w:tcPr>
          <w:p>
            <w:pPr>
              <w:pStyle w:val="TableParagraph"/>
              <w:rPr>
                <w:sz w:val="15"/>
              </w:rPr>
            </w:pPr>
            <w:r>
              <w:rPr>
                <w:sz w:val="15"/>
              </w:rPr>
              <w:t>180</w:t>
            </w:r>
          </w:p>
        </w:tc>
        <w:tc>
          <w:tcPr>
            <w:tcW w:w="723" w:type="dxa"/>
          </w:tcPr>
          <w:p>
            <w:pPr>
              <w:pStyle w:val="TableParagraph"/>
              <w:ind w:left="96"/>
              <w:rPr>
                <w:sz w:val="15"/>
              </w:rPr>
            </w:pPr>
            <w:r>
              <w:rPr>
                <w:sz w:val="15"/>
              </w:rPr>
              <w:t>1,090</w:t>
            </w:r>
          </w:p>
        </w:tc>
        <w:tc>
          <w:tcPr>
            <w:tcW w:w="1373" w:type="dxa"/>
          </w:tcPr>
          <w:p>
            <w:pPr>
              <w:pStyle w:val="TableParagraph"/>
              <w:ind w:left="96"/>
              <w:rPr>
                <w:sz w:val="15"/>
              </w:rPr>
            </w:pPr>
            <w:r>
              <w:rPr>
                <w:sz w:val="15"/>
              </w:rPr>
              <w:t>990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sz w:val="15"/>
              </w:rPr>
              <w:t>120</w:t>
            </w:r>
          </w:p>
        </w:tc>
        <w:tc>
          <w:tcPr>
            <w:tcW w:w="706" w:type="dxa"/>
          </w:tcPr>
          <w:p>
            <w:pPr>
              <w:pStyle w:val="TableParagraph"/>
              <w:ind w:right="89"/>
              <w:rPr>
                <w:sz w:val="15"/>
              </w:rPr>
            </w:pPr>
            <w:r>
              <w:rPr>
                <w:sz w:val="15"/>
              </w:rPr>
              <w:t>290</w:t>
            </w:r>
          </w:p>
        </w:tc>
        <w:tc>
          <w:tcPr>
            <w:tcW w:w="804" w:type="dxa"/>
          </w:tcPr>
          <w:p>
            <w:pPr>
              <w:pStyle w:val="TableParagraph"/>
              <w:rPr>
                <w:sz w:val="15"/>
              </w:rPr>
            </w:pPr>
            <w:r>
              <w:rPr>
                <w:sz w:val="15"/>
              </w:rPr>
              <w:t>1,400</w:t>
            </w:r>
          </w:p>
        </w:tc>
      </w:tr>
      <w:tr>
        <w:trPr>
          <w:trHeight w:val="749" w:hRule="exact"/>
        </w:trPr>
        <w:tc>
          <w:tcPr>
            <w:tcW w:w="1049" w:type="dxa"/>
          </w:tcPr>
          <w:p>
            <w:pPr>
              <w:pStyle w:val="TableParagraph"/>
              <w:tabs>
                <w:tab w:pos="758" w:val="left" w:leader="none"/>
              </w:tabs>
              <w:spacing w:line="256" w:lineRule="auto"/>
              <w:ind w:right="89"/>
              <w:rPr>
                <w:sz w:val="15"/>
              </w:rPr>
            </w:pPr>
            <w:r>
              <w:rPr>
                <w:sz w:val="15"/>
              </w:rPr>
              <w:t>San  Vicente y</w:t>
              <w:tab/>
              <w:t>las</w:t>
            </w:r>
          </w:p>
          <w:p>
            <w:pPr>
              <w:pStyle w:val="TableParagraph"/>
              <w:spacing w:line="240" w:lineRule="auto" w:before="3"/>
              <w:rPr>
                <w:sz w:val="15"/>
              </w:rPr>
            </w:pPr>
            <w:r>
              <w:rPr>
                <w:sz w:val="15"/>
              </w:rPr>
              <w:t>Granadinas</w:t>
            </w:r>
          </w:p>
        </w:tc>
        <w:tc>
          <w:tcPr>
            <w:tcW w:w="787" w:type="dxa"/>
          </w:tcPr>
          <w:p>
            <w:pPr>
              <w:pStyle w:val="TableParagraph"/>
              <w:ind w:right="178"/>
              <w:rPr>
                <w:sz w:val="15"/>
              </w:rPr>
            </w:pPr>
            <w:r>
              <w:rPr>
                <w:sz w:val="15"/>
              </w:rPr>
              <w:t>530</w:t>
            </w:r>
          </w:p>
        </w:tc>
        <w:tc>
          <w:tcPr>
            <w:tcW w:w="710" w:type="dxa"/>
          </w:tcPr>
          <w:p>
            <w:pPr>
              <w:pStyle w:val="TableParagraph"/>
              <w:rPr>
                <w:sz w:val="15"/>
              </w:rPr>
            </w:pPr>
            <w:r>
              <w:rPr>
                <w:w w:val="100"/>
                <w:sz w:val="15"/>
              </w:rPr>
              <w:t>0</w:t>
            </w:r>
          </w:p>
        </w:tc>
        <w:tc>
          <w:tcPr>
            <w:tcW w:w="1352" w:type="dxa"/>
            <w:gridSpan w:val="2"/>
          </w:tcPr>
          <w:p>
            <w:pPr>
              <w:pStyle w:val="TableParagraph"/>
              <w:ind w:left="96"/>
              <w:rPr>
                <w:sz w:val="15"/>
              </w:rPr>
            </w:pPr>
            <w:r>
              <w:rPr>
                <w:sz w:val="15"/>
              </w:rPr>
              <w:t>10</w:t>
            </w:r>
          </w:p>
        </w:tc>
        <w:tc>
          <w:tcPr>
            <w:tcW w:w="910" w:type="dxa"/>
          </w:tcPr>
          <w:p>
            <w:pPr>
              <w:pStyle w:val="TableParagraph"/>
              <w:rPr>
                <w:sz w:val="15"/>
              </w:rPr>
            </w:pPr>
            <w:r>
              <w:rPr>
                <w:sz w:val="15"/>
              </w:rPr>
              <w:t>360</w:t>
            </w:r>
          </w:p>
        </w:tc>
        <w:tc>
          <w:tcPr>
            <w:tcW w:w="723" w:type="dxa"/>
          </w:tcPr>
          <w:p>
            <w:pPr>
              <w:pStyle w:val="TableParagraph"/>
              <w:ind w:left="96"/>
              <w:rPr>
                <w:sz w:val="15"/>
              </w:rPr>
            </w:pPr>
            <w:r>
              <w:rPr>
                <w:sz w:val="15"/>
              </w:rPr>
              <w:t>900</w:t>
            </w:r>
          </w:p>
        </w:tc>
        <w:tc>
          <w:tcPr>
            <w:tcW w:w="1373" w:type="dxa"/>
          </w:tcPr>
          <w:p>
            <w:pPr>
              <w:pStyle w:val="TableParagraph"/>
              <w:ind w:left="96"/>
              <w:rPr>
                <w:sz w:val="15"/>
              </w:rPr>
            </w:pPr>
            <w:r>
              <w:rPr>
                <w:sz w:val="15"/>
              </w:rPr>
              <w:t>580</w:t>
            </w:r>
          </w:p>
        </w:tc>
        <w:tc>
          <w:tcPr>
            <w:tcW w:w="754" w:type="dxa"/>
          </w:tcPr>
          <w:p>
            <w:pPr>
              <w:pStyle w:val="TableParagraph"/>
              <w:rPr>
                <w:sz w:val="15"/>
              </w:rPr>
            </w:pPr>
            <w:r>
              <w:rPr>
                <w:w w:val="100"/>
                <w:sz w:val="15"/>
              </w:rPr>
              <w:t>0</w:t>
            </w:r>
          </w:p>
        </w:tc>
        <w:tc>
          <w:tcPr>
            <w:tcW w:w="898" w:type="dxa"/>
          </w:tcPr>
          <w:p>
            <w:pPr>
              <w:pStyle w:val="TableParagraph"/>
              <w:ind w:left="95"/>
              <w:rPr>
                <w:sz w:val="15"/>
              </w:rPr>
            </w:pPr>
            <w:r>
              <w:rPr>
                <w:sz w:val="15"/>
              </w:rPr>
              <w:t>20</w:t>
            </w:r>
          </w:p>
        </w:tc>
        <w:tc>
          <w:tcPr>
            <w:tcW w:w="706" w:type="dxa"/>
          </w:tcPr>
          <w:p>
            <w:pPr>
              <w:pStyle w:val="TableParagraph"/>
              <w:ind w:right="89"/>
              <w:rPr>
                <w:sz w:val="15"/>
              </w:rPr>
            </w:pPr>
            <w:r>
              <w:rPr>
                <w:sz w:val="15"/>
              </w:rPr>
              <w:t>470</w:t>
            </w:r>
          </w:p>
        </w:tc>
        <w:tc>
          <w:tcPr>
            <w:tcW w:w="804" w:type="dxa"/>
          </w:tcPr>
          <w:p>
            <w:pPr>
              <w:pStyle w:val="TableParagraph"/>
              <w:rPr>
                <w:sz w:val="15"/>
              </w:rPr>
            </w:pPr>
            <w:r>
              <w:rPr>
                <w:sz w:val="15"/>
              </w:rPr>
              <w:t>1,070</w:t>
            </w:r>
          </w:p>
        </w:tc>
      </w:tr>
      <w:tr>
        <w:trPr>
          <w:trHeight w:val="377" w:hRule="exact"/>
        </w:trPr>
        <w:tc>
          <w:tcPr>
            <w:tcW w:w="1049" w:type="dxa"/>
          </w:tcPr>
          <w:p>
            <w:pPr>
              <w:pStyle w:val="TableParagraph"/>
              <w:rPr>
                <w:sz w:val="15"/>
              </w:rPr>
            </w:pPr>
            <w:r>
              <w:rPr>
                <w:sz w:val="15"/>
              </w:rPr>
              <w:t>Surinam</w:t>
            </w:r>
          </w:p>
        </w:tc>
        <w:tc>
          <w:tcPr>
            <w:tcW w:w="787" w:type="dxa"/>
          </w:tcPr>
          <w:p>
            <w:pPr>
              <w:pStyle w:val="TableParagraph"/>
              <w:ind w:right="178"/>
              <w:rPr>
                <w:sz w:val="15"/>
              </w:rPr>
            </w:pPr>
            <w:r>
              <w:rPr>
                <w:sz w:val="15"/>
              </w:rPr>
              <w:t>230</w:t>
            </w:r>
          </w:p>
        </w:tc>
        <w:tc>
          <w:tcPr>
            <w:tcW w:w="710" w:type="dxa"/>
          </w:tcPr>
          <w:p>
            <w:pPr>
              <w:pStyle w:val="TableParagraph"/>
              <w:rPr>
                <w:sz w:val="15"/>
              </w:rPr>
            </w:pPr>
            <w:r>
              <w:rPr>
                <w:sz w:val="15"/>
              </w:rPr>
              <w:t>10</w:t>
            </w:r>
          </w:p>
        </w:tc>
        <w:tc>
          <w:tcPr>
            <w:tcW w:w="1352" w:type="dxa"/>
            <w:gridSpan w:val="2"/>
          </w:tcPr>
          <w:p>
            <w:pPr>
              <w:pStyle w:val="TableParagraph"/>
              <w:ind w:left="96"/>
              <w:rPr>
                <w:sz w:val="15"/>
              </w:rPr>
            </w:pPr>
            <w:r>
              <w:rPr>
                <w:sz w:val="15"/>
              </w:rPr>
              <w:t>1,960</w:t>
            </w:r>
          </w:p>
        </w:tc>
        <w:tc>
          <w:tcPr>
            <w:tcW w:w="910" w:type="dxa"/>
          </w:tcPr>
          <w:p>
            <w:pPr>
              <w:pStyle w:val="TableParagraph"/>
              <w:rPr>
                <w:sz w:val="15"/>
              </w:rPr>
            </w:pPr>
            <w:r>
              <w:rPr>
                <w:sz w:val="15"/>
              </w:rPr>
              <w:t>20</w:t>
            </w:r>
          </w:p>
        </w:tc>
        <w:tc>
          <w:tcPr>
            <w:tcW w:w="723" w:type="dxa"/>
          </w:tcPr>
          <w:p>
            <w:pPr>
              <w:pStyle w:val="TableParagraph"/>
              <w:ind w:left="96"/>
              <w:rPr>
                <w:sz w:val="15"/>
              </w:rPr>
            </w:pPr>
            <w:r>
              <w:rPr>
                <w:sz w:val="15"/>
              </w:rPr>
              <w:t>2,220</w:t>
            </w:r>
          </w:p>
        </w:tc>
        <w:tc>
          <w:tcPr>
            <w:tcW w:w="1373" w:type="dxa"/>
          </w:tcPr>
          <w:p>
            <w:pPr>
              <w:pStyle w:val="TableParagraph"/>
              <w:ind w:left="96"/>
              <w:rPr>
                <w:sz w:val="15"/>
              </w:rPr>
            </w:pPr>
            <w:r>
              <w:rPr>
                <w:sz w:val="15"/>
              </w:rPr>
              <w:t>220</w:t>
            </w:r>
          </w:p>
        </w:tc>
        <w:tc>
          <w:tcPr>
            <w:tcW w:w="754" w:type="dxa"/>
          </w:tcPr>
          <w:p>
            <w:pPr>
              <w:pStyle w:val="TableParagraph"/>
              <w:rPr>
                <w:sz w:val="15"/>
              </w:rPr>
            </w:pPr>
            <w:r>
              <w:rPr>
                <w:sz w:val="15"/>
              </w:rPr>
              <w:t>10</w:t>
            </w:r>
          </w:p>
        </w:tc>
        <w:tc>
          <w:tcPr>
            <w:tcW w:w="898" w:type="dxa"/>
          </w:tcPr>
          <w:p>
            <w:pPr>
              <w:pStyle w:val="TableParagraph"/>
              <w:ind w:left="95"/>
              <w:rPr>
                <w:sz w:val="15"/>
              </w:rPr>
            </w:pPr>
            <w:r>
              <w:rPr>
                <w:sz w:val="15"/>
              </w:rPr>
              <w:t>1,710</w:t>
            </w:r>
          </w:p>
        </w:tc>
        <w:tc>
          <w:tcPr>
            <w:tcW w:w="706" w:type="dxa"/>
          </w:tcPr>
          <w:p>
            <w:pPr>
              <w:pStyle w:val="TableParagraph"/>
              <w:ind w:right="89"/>
              <w:rPr>
                <w:sz w:val="15"/>
              </w:rPr>
            </w:pPr>
            <w:r>
              <w:rPr>
                <w:sz w:val="15"/>
              </w:rPr>
              <w:t>20</w:t>
            </w:r>
          </w:p>
        </w:tc>
        <w:tc>
          <w:tcPr>
            <w:tcW w:w="804" w:type="dxa"/>
          </w:tcPr>
          <w:p>
            <w:pPr>
              <w:pStyle w:val="TableParagraph"/>
              <w:rPr>
                <w:sz w:val="15"/>
              </w:rPr>
            </w:pPr>
            <w:r>
              <w:rPr>
                <w:sz w:val="15"/>
              </w:rPr>
              <w:t>1,960</w:t>
            </w:r>
          </w:p>
        </w:tc>
      </w:tr>
      <w:tr>
        <w:trPr>
          <w:trHeight w:val="562" w:hRule="exact"/>
        </w:trPr>
        <w:tc>
          <w:tcPr>
            <w:tcW w:w="1049" w:type="dxa"/>
          </w:tcPr>
          <w:p>
            <w:pPr>
              <w:pStyle w:val="TableParagraph"/>
              <w:tabs>
                <w:tab w:pos="851" w:val="left" w:leader="none"/>
              </w:tabs>
              <w:spacing w:line="261" w:lineRule="auto"/>
              <w:ind w:right="91"/>
              <w:rPr>
                <w:sz w:val="15"/>
              </w:rPr>
            </w:pPr>
            <w:r>
              <w:rPr>
                <w:sz w:val="15"/>
              </w:rPr>
              <w:t>Trinidad</w:t>
              <w:tab/>
              <w:t>y Tobago</w:t>
            </w:r>
          </w:p>
        </w:tc>
        <w:tc>
          <w:tcPr>
            <w:tcW w:w="787" w:type="dxa"/>
          </w:tcPr>
          <w:p>
            <w:pPr>
              <w:pStyle w:val="TableParagraph"/>
              <w:spacing w:line="167" w:lineRule="exact"/>
              <w:ind w:right="178"/>
              <w:rPr>
                <w:sz w:val="15"/>
              </w:rPr>
            </w:pPr>
            <w:r>
              <w:rPr>
                <w:sz w:val="15"/>
              </w:rPr>
              <w:t>6,350</w:t>
            </w:r>
          </w:p>
        </w:tc>
        <w:tc>
          <w:tcPr>
            <w:tcW w:w="710" w:type="dxa"/>
          </w:tcPr>
          <w:p>
            <w:pPr>
              <w:pStyle w:val="TableParagraph"/>
              <w:spacing w:line="167" w:lineRule="exact"/>
              <w:rPr>
                <w:sz w:val="15"/>
              </w:rPr>
            </w:pPr>
            <w:r>
              <w:rPr>
                <w:sz w:val="15"/>
              </w:rPr>
              <w:t>10</w:t>
            </w:r>
          </w:p>
        </w:tc>
        <w:tc>
          <w:tcPr>
            <w:tcW w:w="1352" w:type="dxa"/>
            <w:gridSpan w:val="2"/>
          </w:tcPr>
          <w:p>
            <w:pPr>
              <w:pStyle w:val="TableParagraph"/>
              <w:spacing w:line="167" w:lineRule="exact"/>
              <w:ind w:left="96"/>
              <w:rPr>
                <w:sz w:val="15"/>
              </w:rPr>
            </w:pPr>
            <w:r>
              <w:rPr>
                <w:sz w:val="15"/>
              </w:rPr>
              <w:t>100</w:t>
            </w:r>
          </w:p>
        </w:tc>
        <w:tc>
          <w:tcPr>
            <w:tcW w:w="910" w:type="dxa"/>
          </w:tcPr>
          <w:p>
            <w:pPr>
              <w:pStyle w:val="TableParagraph"/>
              <w:spacing w:line="167" w:lineRule="exact"/>
              <w:rPr>
                <w:sz w:val="15"/>
              </w:rPr>
            </w:pPr>
            <w:r>
              <w:rPr>
                <w:sz w:val="15"/>
              </w:rPr>
              <w:t>850</w:t>
            </w:r>
          </w:p>
        </w:tc>
        <w:tc>
          <w:tcPr>
            <w:tcW w:w="723" w:type="dxa"/>
          </w:tcPr>
          <w:p>
            <w:pPr>
              <w:pStyle w:val="TableParagraph"/>
              <w:spacing w:line="167" w:lineRule="exact"/>
              <w:ind w:left="96"/>
              <w:rPr>
                <w:sz w:val="15"/>
              </w:rPr>
            </w:pPr>
            <w:r>
              <w:rPr>
                <w:sz w:val="15"/>
              </w:rPr>
              <w:t>7,310</w:t>
            </w:r>
          </w:p>
        </w:tc>
        <w:tc>
          <w:tcPr>
            <w:tcW w:w="1373" w:type="dxa"/>
          </w:tcPr>
          <w:p>
            <w:pPr>
              <w:pStyle w:val="TableParagraph"/>
              <w:spacing w:line="167" w:lineRule="exact"/>
              <w:ind w:left="96"/>
              <w:rPr>
                <w:sz w:val="15"/>
              </w:rPr>
            </w:pPr>
            <w:r>
              <w:rPr>
                <w:sz w:val="15"/>
              </w:rPr>
              <w:t>6,100</w:t>
            </w:r>
          </w:p>
        </w:tc>
        <w:tc>
          <w:tcPr>
            <w:tcW w:w="754" w:type="dxa"/>
          </w:tcPr>
          <w:p>
            <w:pPr>
              <w:pStyle w:val="TableParagraph"/>
              <w:spacing w:line="167" w:lineRule="exact"/>
              <w:rPr>
                <w:sz w:val="15"/>
              </w:rPr>
            </w:pPr>
            <w:r>
              <w:rPr>
                <w:sz w:val="15"/>
              </w:rPr>
              <w:t>10</w:t>
            </w:r>
          </w:p>
        </w:tc>
        <w:tc>
          <w:tcPr>
            <w:tcW w:w="898" w:type="dxa"/>
          </w:tcPr>
          <w:p>
            <w:pPr>
              <w:pStyle w:val="TableParagraph"/>
              <w:spacing w:line="167" w:lineRule="exact"/>
              <w:ind w:left="95"/>
              <w:rPr>
                <w:sz w:val="15"/>
              </w:rPr>
            </w:pPr>
            <w:r>
              <w:rPr>
                <w:sz w:val="15"/>
              </w:rPr>
              <w:t>90</w:t>
            </w:r>
          </w:p>
        </w:tc>
        <w:tc>
          <w:tcPr>
            <w:tcW w:w="706" w:type="dxa"/>
          </w:tcPr>
          <w:p>
            <w:pPr>
              <w:pStyle w:val="TableParagraph"/>
              <w:spacing w:line="167" w:lineRule="exact"/>
              <w:ind w:right="89"/>
              <w:rPr>
                <w:sz w:val="15"/>
              </w:rPr>
            </w:pPr>
            <w:r>
              <w:rPr>
                <w:sz w:val="15"/>
              </w:rPr>
              <w:t>1,170</w:t>
            </w:r>
          </w:p>
        </w:tc>
        <w:tc>
          <w:tcPr>
            <w:tcW w:w="804" w:type="dxa"/>
          </w:tcPr>
          <w:p>
            <w:pPr>
              <w:pStyle w:val="TableParagraph"/>
              <w:spacing w:line="167" w:lineRule="exact"/>
              <w:rPr>
                <w:sz w:val="15"/>
              </w:rPr>
            </w:pPr>
            <w:r>
              <w:rPr>
                <w:sz w:val="15"/>
              </w:rPr>
              <w:t>7,370</w:t>
            </w:r>
          </w:p>
        </w:tc>
      </w:tr>
      <w:tr>
        <w:trPr>
          <w:trHeight w:val="377" w:hRule="exact"/>
        </w:trPr>
        <w:tc>
          <w:tcPr>
            <w:tcW w:w="1049" w:type="dxa"/>
          </w:tcPr>
          <w:p>
            <w:pPr>
              <w:pStyle w:val="TableParagraph"/>
              <w:rPr>
                <w:sz w:val="15"/>
              </w:rPr>
            </w:pPr>
            <w:r>
              <w:rPr>
                <w:sz w:val="15"/>
              </w:rPr>
              <w:t>Caribe</w:t>
            </w:r>
          </w:p>
        </w:tc>
        <w:tc>
          <w:tcPr>
            <w:tcW w:w="787" w:type="dxa"/>
          </w:tcPr>
          <w:p>
            <w:pPr>
              <w:pStyle w:val="TableParagraph"/>
              <w:rPr>
                <w:sz w:val="15"/>
              </w:rPr>
            </w:pPr>
            <w:r>
              <w:rPr>
                <w:sz w:val="15"/>
              </w:rPr>
              <w:t>113,710</w:t>
            </w:r>
          </w:p>
        </w:tc>
        <w:tc>
          <w:tcPr>
            <w:tcW w:w="710" w:type="dxa"/>
          </w:tcPr>
          <w:p>
            <w:pPr>
              <w:pStyle w:val="TableParagraph"/>
              <w:rPr>
                <w:sz w:val="15"/>
              </w:rPr>
            </w:pPr>
            <w:r>
              <w:rPr>
                <w:sz w:val="15"/>
              </w:rPr>
              <w:t>19,640</w:t>
            </w:r>
          </w:p>
        </w:tc>
        <w:tc>
          <w:tcPr>
            <w:tcW w:w="1352" w:type="dxa"/>
            <w:gridSpan w:val="2"/>
          </w:tcPr>
          <w:p>
            <w:pPr>
              <w:pStyle w:val="TableParagraph"/>
              <w:ind w:left="96"/>
              <w:rPr>
                <w:sz w:val="15"/>
              </w:rPr>
            </w:pPr>
            <w:r>
              <w:rPr>
                <w:sz w:val="15"/>
              </w:rPr>
              <w:t>10,970</w:t>
            </w:r>
          </w:p>
        </w:tc>
        <w:tc>
          <w:tcPr>
            <w:tcW w:w="910" w:type="dxa"/>
          </w:tcPr>
          <w:p>
            <w:pPr>
              <w:pStyle w:val="TableParagraph"/>
              <w:rPr>
                <w:sz w:val="15"/>
              </w:rPr>
            </w:pPr>
            <w:r>
              <w:rPr>
                <w:sz w:val="15"/>
              </w:rPr>
              <w:t>1,420</w:t>
            </w:r>
          </w:p>
        </w:tc>
        <w:tc>
          <w:tcPr>
            <w:tcW w:w="723" w:type="dxa"/>
          </w:tcPr>
          <w:p>
            <w:pPr>
              <w:pStyle w:val="TableParagraph"/>
              <w:ind w:left="96"/>
              <w:rPr>
                <w:sz w:val="15"/>
              </w:rPr>
            </w:pPr>
            <w:r>
              <w:rPr>
                <w:sz w:val="15"/>
              </w:rPr>
              <w:t>152,860</w:t>
            </w:r>
          </w:p>
        </w:tc>
        <w:tc>
          <w:tcPr>
            <w:tcW w:w="1373" w:type="dxa"/>
          </w:tcPr>
          <w:p>
            <w:pPr>
              <w:pStyle w:val="TableParagraph"/>
              <w:ind w:left="96"/>
              <w:rPr>
                <w:sz w:val="15"/>
              </w:rPr>
            </w:pPr>
            <w:r>
              <w:rPr>
                <w:sz w:val="15"/>
              </w:rPr>
              <w:t>148,120</w:t>
            </w:r>
          </w:p>
        </w:tc>
        <w:tc>
          <w:tcPr>
            <w:tcW w:w="754" w:type="dxa"/>
          </w:tcPr>
          <w:p>
            <w:pPr>
              <w:pStyle w:val="TableParagraph"/>
              <w:rPr>
                <w:sz w:val="15"/>
              </w:rPr>
            </w:pPr>
            <w:r>
              <w:rPr>
                <w:sz w:val="15"/>
              </w:rPr>
              <w:t>22,740</w:t>
            </w:r>
          </w:p>
        </w:tc>
        <w:tc>
          <w:tcPr>
            <w:tcW w:w="898" w:type="dxa"/>
          </w:tcPr>
          <w:p>
            <w:pPr>
              <w:pStyle w:val="TableParagraph"/>
              <w:ind w:left="95"/>
              <w:rPr>
                <w:sz w:val="15"/>
              </w:rPr>
            </w:pPr>
            <w:r>
              <w:rPr>
                <w:sz w:val="15"/>
              </w:rPr>
              <w:t>10,250</w:t>
            </w:r>
          </w:p>
        </w:tc>
        <w:tc>
          <w:tcPr>
            <w:tcW w:w="706" w:type="dxa"/>
          </w:tcPr>
          <w:p>
            <w:pPr>
              <w:pStyle w:val="TableParagraph"/>
              <w:ind w:right="89"/>
              <w:rPr>
                <w:sz w:val="15"/>
              </w:rPr>
            </w:pPr>
            <w:r>
              <w:rPr>
                <w:sz w:val="15"/>
              </w:rPr>
              <w:t>1,980</w:t>
            </w:r>
          </w:p>
        </w:tc>
        <w:tc>
          <w:tcPr>
            <w:tcW w:w="804" w:type="dxa"/>
          </w:tcPr>
          <w:p>
            <w:pPr>
              <w:pStyle w:val="TableParagraph"/>
              <w:rPr>
                <w:sz w:val="15"/>
              </w:rPr>
            </w:pPr>
            <w:r>
              <w:rPr>
                <w:sz w:val="15"/>
              </w:rPr>
              <w:t>193,450</w:t>
            </w:r>
          </w:p>
        </w:tc>
      </w:tr>
      <w:tr>
        <w:trPr>
          <w:trHeight w:val="377" w:hRule="exact"/>
        </w:trPr>
        <w:tc>
          <w:tcPr>
            <w:tcW w:w="1049" w:type="dxa"/>
          </w:tcPr>
          <w:p>
            <w:pPr>
              <w:pStyle w:val="TableParagraph"/>
              <w:spacing w:line="167" w:lineRule="exact"/>
              <w:rPr>
                <w:sz w:val="15"/>
              </w:rPr>
            </w:pPr>
            <w:r>
              <w:rPr>
                <w:sz w:val="15"/>
              </w:rPr>
              <w:t>Belice</w:t>
            </w:r>
          </w:p>
        </w:tc>
        <w:tc>
          <w:tcPr>
            <w:tcW w:w="787" w:type="dxa"/>
          </w:tcPr>
          <w:p>
            <w:pPr>
              <w:pStyle w:val="TableParagraph"/>
              <w:spacing w:line="167" w:lineRule="exact"/>
              <w:ind w:right="178"/>
              <w:rPr>
                <w:sz w:val="15"/>
              </w:rPr>
            </w:pPr>
            <w:r>
              <w:rPr>
                <w:sz w:val="15"/>
              </w:rPr>
              <w:t>930</w:t>
            </w:r>
          </w:p>
        </w:tc>
        <w:tc>
          <w:tcPr>
            <w:tcW w:w="710" w:type="dxa"/>
          </w:tcPr>
          <w:p>
            <w:pPr>
              <w:pStyle w:val="TableParagraph"/>
              <w:spacing w:line="167" w:lineRule="exact"/>
              <w:rPr>
                <w:sz w:val="15"/>
              </w:rPr>
            </w:pPr>
            <w:r>
              <w:rPr>
                <w:w w:val="100"/>
                <w:sz w:val="15"/>
              </w:rPr>
              <w:t>0</w:t>
            </w:r>
          </w:p>
        </w:tc>
        <w:tc>
          <w:tcPr>
            <w:tcW w:w="1352" w:type="dxa"/>
            <w:gridSpan w:val="2"/>
          </w:tcPr>
          <w:p>
            <w:pPr>
              <w:pStyle w:val="TableParagraph"/>
              <w:spacing w:line="167" w:lineRule="exact"/>
              <w:ind w:left="96"/>
              <w:rPr>
                <w:sz w:val="15"/>
              </w:rPr>
            </w:pPr>
            <w:r>
              <w:rPr>
                <w:sz w:val="15"/>
              </w:rPr>
              <w:t>20</w:t>
            </w:r>
          </w:p>
        </w:tc>
        <w:tc>
          <w:tcPr>
            <w:tcW w:w="910" w:type="dxa"/>
          </w:tcPr>
          <w:p>
            <w:pPr>
              <w:pStyle w:val="TableParagraph"/>
              <w:spacing w:line="167" w:lineRule="exact"/>
              <w:rPr>
                <w:sz w:val="15"/>
              </w:rPr>
            </w:pPr>
            <w:r>
              <w:rPr>
                <w:sz w:val="15"/>
              </w:rPr>
              <w:t>40</w:t>
            </w:r>
          </w:p>
        </w:tc>
        <w:tc>
          <w:tcPr>
            <w:tcW w:w="723" w:type="dxa"/>
          </w:tcPr>
          <w:p>
            <w:pPr>
              <w:pStyle w:val="TableParagraph"/>
              <w:spacing w:line="167" w:lineRule="exact"/>
              <w:ind w:left="96"/>
              <w:rPr>
                <w:sz w:val="15"/>
              </w:rPr>
            </w:pPr>
            <w:r>
              <w:rPr>
                <w:sz w:val="15"/>
              </w:rPr>
              <w:t>990</w:t>
            </w:r>
          </w:p>
        </w:tc>
        <w:tc>
          <w:tcPr>
            <w:tcW w:w="1373" w:type="dxa"/>
          </w:tcPr>
          <w:p>
            <w:pPr>
              <w:pStyle w:val="TableParagraph"/>
              <w:spacing w:line="167" w:lineRule="exact"/>
              <w:ind w:left="96"/>
              <w:rPr>
                <w:sz w:val="15"/>
              </w:rPr>
            </w:pPr>
            <w:r>
              <w:rPr>
                <w:sz w:val="15"/>
              </w:rPr>
              <w:t>1,060</w:t>
            </w:r>
          </w:p>
        </w:tc>
        <w:tc>
          <w:tcPr>
            <w:tcW w:w="754" w:type="dxa"/>
          </w:tcPr>
          <w:p>
            <w:pPr>
              <w:pStyle w:val="TableParagraph"/>
              <w:spacing w:line="167" w:lineRule="exact"/>
              <w:rPr>
                <w:sz w:val="15"/>
              </w:rPr>
            </w:pPr>
            <w:r>
              <w:rPr>
                <w:w w:val="100"/>
                <w:sz w:val="15"/>
              </w:rPr>
              <w:t>0</w:t>
            </w:r>
          </w:p>
        </w:tc>
        <w:tc>
          <w:tcPr>
            <w:tcW w:w="898" w:type="dxa"/>
          </w:tcPr>
          <w:p>
            <w:pPr>
              <w:pStyle w:val="TableParagraph"/>
              <w:spacing w:line="167" w:lineRule="exact"/>
              <w:ind w:left="95"/>
              <w:rPr>
                <w:sz w:val="15"/>
              </w:rPr>
            </w:pPr>
            <w:r>
              <w:rPr>
                <w:sz w:val="15"/>
              </w:rPr>
              <w:t>30</w:t>
            </w:r>
          </w:p>
        </w:tc>
        <w:tc>
          <w:tcPr>
            <w:tcW w:w="706" w:type="dxa"/>
          </w:tcPr>
          <w:p>
            <w:pPr>
              <w:pStyle w:val="TableParagraph"/>
              <w:spacing w:line="167" w:lineRule="exact"/>
              <w:ind w:right="89"/>
              <w:rPr>
                <w:sz w:val="15"/>
              </w:rPr>
            </w:pPr>
            <w:r>
              <w:rPr>
                <w:sz w:val="15"/>
              </w:rPr>
              <w:t>130</w:t>
            </w:r>
          </w:p>
        </w:tc>
        <w:tc>
          <w:tcPr>
            <w:tcW w:w="804" w:type="dxa"/>
          </w:tcPr>
          <w:p>
            <w:pPr>
              <w:pStyle w:val="TableParagraph"/>
              <w:spacing w:line="167" w:lineRule="exact"/>
              <w:rPr>
                <w:sz w:val="15"/>
              </w:rPr>
            </w:pPr>
            <w:r>
              <w:rPr>
                <w:sz w:val="15"/>
              </w:rPr>
              <w:t>1,220</w:t>
            </w:r>
          </w:p>
        </w:tc>
      </w:tr>
      <w:tr>
        <w:trPr>
          <w:trHeight w:val="375" w:hRule="exact"/>
        </w:trPr>
        <w:tc>
          <w:tcPr>
            <w:tcW w:w="1049" w:type="dxa"/>
          </w:tcPr>
          <w:p>
            <w:pPr>
              <w:pStyle w:val="TableParagraph"/>
              <w:spacing w:line="167" w:lineRule="exact"/>
              <w:rPr>
                <w:sz w:val="15"/>
              </w:rPr>
            </w:pPr>
            <w:r>
              <w:rPr>
                <w:sz w:val="15"/>
              </w:rPr>
              <w:t>Costa Rica</w:t>
            </w:r>
          </w:p>
        </w:tc>
        <w:tc>
          <w:tcPr>
            <w:tcW w:w="787" w:type="dxa"/>
          </w:tcPr>
          <w:p>
            <w:pPr>
              <w:pStyle w:val="TableParagraph"/>
              <w:spacing w:line="167" w:lineRule="exact"/>
              <w:ind w:right="178"/>
              <w:rPr>
                <w:sz w:val="15"/>
              </w:rPr>
            </w:pPr>
            <w:r>
              <w:rPr>
                <w:sz w:val="15"/>
              </w:rPr>
              <w:t>2,190</w:t>
            </w:r>
          </w:p>
        </w:tc>
        <w:tc>
          <w:tcPr>
            <w:tcW w:w="710" w:type="dxa"/>
          </w:tcPr>
          <w:p>
            <w:pPr>
              <w:pStyle w:val="TableParagraph"/>
              <w:spacing w:line="167" w:lineRule="exact"/>
              <w:rPr>
                <w:sz w:val="15"/>
              </w:rPr>
            </w:pPr>
            <w:r>
              <w:rPr>
                <w:sz w:val="15"/>
              </w:rPr>
              <w:t>340</w:t>
            </w:r>
          </w:p>
        </w:tc>
        <w:tc>
          <w:tcPr>
            <w:tcW w:w="1352" w:type="dxa"/>
            <w:gridSpan w:val="2"/>
          </w:tcPr>
          <w:p>
            <w:pPr>
              <w:pStyle w:val="TableParagraph"/>
              <w:spacing w:line="167" w:lineRule="exact"/>
              <w:ind w:left="96"/>
              <w:rPr>
                <w:sz w:val="15"/>
              </w:rPr>
            </w:pPr>
            <w:r>
              <w:rPr>
                <w:sz w:val="15"/>
              </w:rPr>
              <w:t>280</w:t>
            </w:r>
          </w:p>
        </w:tc>
        <w:tc>
          <w:tcPr>
            <w:tcW w:w="910" w:type="dxa"/>
          </w:tcPr>
          <w:p>
            <w:pPr>
              <w:pStyle w:val="TableParagraph"/>
              <w:spacing w:line="167" w:lineRule="exact"/>
              <w:rPr>
                <w:sz w:val="15"/>
              </w:rPr>
            </w:pPr>
            <w:r>
              <w:rPr>
                <w:sz w:val="15"/>
              </w:rPr>
              <w:t>280</w:t>
            </w:r>
          </w:p>
        </w:tc>
        <w:tc>
          <w:tcPr>
            <w:tcW w:w="723" w:type="dxa"/>
          </w:tcPr>
          <w:p>
            <w:pPr>
              <w:pStyle w:val="TableParagraph"/>
              <w:spacing w:line="167" w:lineRule="exact"/>
              <w:ind w:left="96"/>
              <w:rPr>
                <w:sz w:val="15"/>
              </w:rPr>
            </w:pPr>
            <w:r>
              <w:rPr>
                <w:sz w:val="15"/>
              </w:rPr>
              <w:t>3,090</w:t>
            </w:r>
          </w:p>
        </w:tc>
        <w:tc>
          <w:tcPr>
            <w:tcW w:w="1373" w:type="dxa"/>
          </w:tcPr>
          <w:p>
            <w:pPr>
              <w:pStyle w:val="TableParagraph"/>
              <w:spacing w:line="167" w:lineRule="exact"/>
              <w:ind w:left="96"/>
              <w:rPr>
                <w:sz w:val="15"/>
              </w:rPr>
            </w:pPr>
            <w:r>
              <w:rPr>
                <w:sz w:val="15"/>
              </w:rPr>
              <w:t>2,240</w:t>
            </w:r>
          </w:p>
        </w:tc>
        <w:tc>
          <w:tcPr>
            <w:tcW w:w="754" w:type="dxa"/>
          </w:tcPr>
          <w:p>
            <w:pPr>
              <w:pStyle w:val="TableParagraph"/>
              <w:spacing w:line="167" w:lineRule="exact"/>
              <w:rPr>
                <w:sz w:val="15"/>
              </w:rPr>
            </w:pPr>
            <w:r>
              <w:rPr>
                <w:sz w:val="15"/>
              </w:rPr>
              <w:t>440</w:t>
            </w:r>
          </w:p>
        </w:tc>
        <w:tc>
          <w:tcPr>
            <w:tcW w:w="898" w:type="dxa"/>
          </w:tcPr>
          <w:p>
            <w:pPr>
              <w:pStyle w:val="TableParagraph"/>
              <w:spacing w:line="167" w:lineRule="exact"/>
              <w:ind w:left="95"/>
              <w:rPr>
                <w:sz w:val="15"/>
              </w:rPr>
            </w:pPr>
            <w:r>
              <w:rPr>
                <w:sz w:val="15"/>
              </w:rPr>
              <w:t>390</w:t>
            </w:r>
          </w:p>
        </w:tc>
        <w:tc>
          <w:tcPr>
            <w:tcW w:w="706" w:type="dxa"/>
          </w:tcPr>
          <w:p>
            <w:pPr>
              <w:pStyle w:val="TableParagraph"/>
              <w:spacing w:line="167" w:lineRule="exact"/>
              <w:ind w:right="89"/>
              <w:rPr>
                <w:sz w:val="15"/>
              </w:rPr>
            </w:pPr>
            <w:r>
              <w:rPr>
                <w:sz w:val="15"/>
              </w:rPr>
              <w:t>470</w:t>
            </w:r>
          </w:p>
        </w:tc>
        <w:tc>
          <w:tcPr>
            <w:tcW w:w="804" w:type="dxa"/>
          </w:tcPr>
          <w:p>
            <w:pPr>
              <w:pStyle w:val="TableParagraph"/>
              <w:spacing w:line="167" w:lineRule="exact"/>
              <w:rPr>
                <w:sz w:val="15"/>
              </w:rPr>
            </w:pPr>
            <w:r>
              <w:rPr>
                <w:sz w:val="15"/>
              </w:rPr>
              <w:t>3,540</w:t>
            </w:r>
          </w:p>
        </w:tc>
      </w:tr>
      <w:tr>
        <w:trPr>
          <w:trHeight w:val="377" w:hRule="exact"/>
        </w:trPr>
        <w:tc>
          <w:tcPr>
            <w:tcW w:w="1049" w:type="dxa"/>
          </w:tcPr>
          <w:p>
            <w:pPr>
              <w:pStyle w:val="TableParagraph"/>
              <w:rPr>
                <w:sz w:val="15"/>
              </w:rPr>
            </w:pPr>
            <w:r>
              <w:rPr>
                <w:sz w:val="15"/>
              </w:rPr>
              <w:t>El Salvador</w:t>
            </w:r>
          </w:p>
        </w:tc>
        <w:tc>
          <w:tcPr>
            <w:tcW w:w="787" w:type="dxa"/>
          </w:tcPr>
          <w:p>
            <w:pPr>
              <w:pStyle w:val="TableParagraph"/>
              <w:ind w:right="178"/>
              <w:rPr>
                <w:sz w:val="15"/>
              </w:rPr>
            </w:pPr>
            <w:r>
              <w:rPr>
                <w:sz w:val="15"/>
              </w:rPr>
              <w:t>26,460</w:t>
            </w:r>
          </w:p>
        </w:tc>
        <w:tc>
          <w:tcPr>
            <w:tcW w:w="710" w:type="dxa"/>
          </w:tcPr>
          <w:p>
            <w:pPr>
              <w:pStyle w:val="TableParagraph"/>
              <w:rPr>
                <w:sz w:val="15"/>
              </w:rPr>
            </w:pPr>
            <w:r>
              <w:rPr>
                <w:sz w:val="15"/>
              </w:rPr>
              <w:t>860</w:t>
            </w:r>
          </w:p>
        </w:tc>
        <w:tc>
          <w:tcPr>
            <w:tcW w:w="1352" w:type="dxa"/>
            <w:gridSpan w:val="2"/>
          </w:tcPr>
          <w:p>
            <w:pPr>
              <w:pStyle w:val="TableParagraph"/>
              <w:ind w:left="96"/>
              <w:rPr>
                <w:sz w:val="15"/>
              </w:rPr>
            </w:pPr>
            <w:r>
              <w:rPr>
                <w:sz w:val="15"/>
              </w:rPr>
              <w:t>170</w:t>
            </w:r>
          </w:p>
        </w:tc>
        <w:tc>
          <w:tcPr>
            <w:tcW w:w="910" w:type="dxa"/>
          </w:tcPr>
          <w:p>
            <w:pPr>
              <w:pStyle w:val="TableParagraph"/>
              <w:rPr>
                <w:sz w:val="15"/>
              </w:rPr>
            </w:pPr>
            <w:r>
              <w:rPr>
                <w:sz w:val="15"/>
              </w:rPr>
              <w:t>600</w:t>
            </w:r>
          </w:p>
        </w:tc>
        <w:tc>
          <w:tcPr>
            <w:tcW w:w="723" w:type="dxa"/>
          </w:tcPr>
          <w:p>
            <w:pPr>
              <w:pStyle w:val="TableParagraph"/>
              <w:ind w:left="96"/>
              <w:rPr>
                <w:sz w:val="15"/>
              </w:rPr>
            </w:pPr>
            <w:r>
              <w:rPr>
                <w:sz w:val="15"/>
              </w:rPr>
              <w:t>28,090</w:t>
            </w:r>
          </w:p>
        </w:tc>
        <w:tc>
          <w:tcPr>
            <w:tcW w:w="1373" w:type="dxa"/>
          </w:tcPr>
          <w:p>
            <w:pPr>
              <w:pStyle w:val="TableParagraph"/>
              <w:ind w:left="96"/>
              <w:rPr>
                <w:sz w:val="15"/>
              </w:rPr>
            </w:pPr>
            <w:r>
              <w:rPr>
                <w:sz w:val="15"/>
              </w:rPr>
              <w:t>19,780</w:t>
            </w:r>
          </w:p>
        </w:tc>
        <w:tc>
          <w:tcPr>
            <w:tcW w:w="754" w:type="dxa"/>
          </w:tcPr>
          <w:p>
            <w:pPr>
              <w:pStyle w:val="TableParagraph"/>
              <w:rPr>
                <w:sz w:val="15"/>
              </w:rPr>
            </w:pPr>
            <w:r>
              <w:rPr>
                <w:sz w:val="15"/>
              </w:rPr>
              <w:t>1,060</w:t>
            </w:r>
          </w:p>
        </w:tc>
        <w:tc>
          <w:tcPr>
            <w:tcW w:w="898" w:type="dxa"/>
          </w:tcPr>
          <w:p>
            <w:pPr>
              <w:pStyle w:val="TableParagraph"/>
              <w:ind w:left="95"/>
              <w:rPr>
                <w:sz w:val="15"/>
              </w:rPr>
            </w:pPr>
            <w:r>
              <w:rPr>
                <w:sz w:val="15"/>
              </w:rPr>
              <w:t>200</w:t>
            </w:r>
          </w:p>
        </w:tc>
        <w:tc>
          <w:tcPr>
            <w:tcW w:w="706" w:type="dxa"/>
          </w:tcPr>
          <w:p>
            <w:pPr>
              <w:pStyle w:val="TableParagraph"/>
              <w:ind w:right="89"/>
              <w:rPr>
                <w:sz w:val="15"/>
              </w:rPr>
            </w:pPr>
            <w:r>
              <w:rPr>
                <w:sz w:val="15"/>
              </w:rPr>
              <w:t>1,720</w:t>
            </w:r>
          </w:p>
        </w:tc>
        <w:tc>
          <w:tcPr>
            <w:tcW w:w="804" w:type="dxa"/>
          </w:tcPr>
          <w:p>
            <w:pPr>
              <w:pStyle w:val="TableParagraph"/>
              <w:rPr>
                <w:sz w:val="15"/>
              </w:rPr>
            </w:pPr>
            <w:r>
              <w:rPr>
                <w:sz w:val="15"/>
              </w:rPr>
              <w:t>22,760</w:t>
            </w:r>
          </w:p>
        </w:tc>
      </w:tr>
      <w:tr>
        <w:trPr>
          <w:trHeight w:val="377" w:hRule="exact"/>
        </w:trPr>
        <w:tc>
          <w:tcPr>
            <w:tcW w:w="1049" w:type="dxa"/>
          </w:tcPr>
          <w:p>
            <w:pPr>
              <w:pStyle w:val="TableParagraph"/>
              <w:spacing w:line="167" w:lineRule="exact"/>
              <w:rPr>
                <w:sz w:val="15"/>
              </w:rPr>
            </w:pPr>
            <w:r>
              <w:rPr>
                <w:sz w:val="15"/>
              </w:rPr>
              <w:t>Guatemala</w:t>
            </w:r>
          </w:p>
        </w:tc>
        <w:tc>
          <w:tcPr>
            <w:tcW w:w="787" w:type="dxa"/>
          </w:tcPr>
          <w:p>
            <w:pPr>
              <w:pStyle w:val="TableParagraph"/>
              <w:spacing w:line="167" w:lineRule="exact"/>
              <w:ind w:right="178"/>
              <w:rPr>
                <w:sz w:val="15"/>
              </w:rPr>
            </w:pPr>
            <w:r>
              <w:rPr>
                <w:sz w:val="15"/>
              </w:rPr>
              <w:t>18,440</w:t>
            </w:r>
          </w:p>
        </w:tc>
        <w:tc>
          <w:tcPr>
            <w:tcW w:w="710" w:type="dxa"/>
          </w:tcPr>
          <w:p>
            <w:pPr>
              <w:pStyle w:val="TableParagraph"/>
              <w:spacing w:line="167" w:lineRule="exact"/>
              <w:rPr>
                <w:sz w:val="15"/>
              </w:rPr>
            </w:pPr>
            <w:r>
              <w:rPr>
                <w:sz w:val="15"/>
              </w:rPr>
              <w:t>680</w:t>
            </w:r>
          </w:p>
        </w:tc>
        <w:tc>
          <w:tcPr>
            <w:tcW w:w="1352" w:type="dxa"/>
            <w:gridSpan w:val="2"/>
          </w:tcPr>
          <w:p>
            <w:pPr>
              <w:pStyle w:val="TableParagraph"/>
              <w:spacing w:line="167" w:lineRule="exact"/>
              <w:ind w:left="96"/>
              <w:rPr>
                <w:sz w:val="15"/>
              </w:rPr>
            </w:pPr>
            <w:r>
              <w:rPr>
                <w:sz w:val="15"/>
              </w:rPr>
              <w:t>220</w:t>
            </w:r>
          </w:p>
        </w:tc>
        <w:tc>
          <w:tcPr>
            <w:tcW w:w="910" w:type="dxa"/>
          </w:tcPr>
          <w:p>
            <w:pPr>
              <w:pStyle w:val="TableParagraph"/>
              <w:spacing w:line="167" w:lineRule="exact"/>
              <w:rPr>
                <w:sz w:val="15"/>
              </w:rPr>
            </w:pPr>
            <w:r>
              <w:rPr>
                <w:sz w:val="15"/>
              </w:rPr>
              <w:t>270</w:t>
            </w:r>
          </w:p>
        </w:tc>
        <w:tc>
          <w:tcPr>
            <w:tcW w:w="723" w:type="dxa"/>
          </w:tcPr>
          <w:p>
            <w:pPr>
              <w:pStyle w:val="TableParagraph"/>
              <w:spacing w:line="167" w:lineRule="exact"/>
              <w:ind w:left="96"/>
              <w:rPr>
                <w:sz w:val="15"/>
              </w:rPr>
            </w:pPr>
            <w:r>
              <w:rPr>
                <w:sz w:val="15"/>
              </w:rPr>
              <w:t>19,610</w:t>
            </w:r>
          </w:p>
        </w:tc>
        <w:tc>
          <w:tcPr>
            <w:tcW w:w="1373" w:type="dxa"/>
          </w:tcPr>
          <w:p>
            <w:pPr>
              <w:pStyle w:val="TableParagraph"/>
              <w:spacing w:line="167" w:lineRule="exact"/>
              <w:ind w:left="96"/>
              <w:rPr>
                <w:sz w:val="15"/>
              </w:rPr>
            </w:pPr>
            <w:r>
              <w:rPr>
                <w:sz w:val="15"/>
              </w:rPr>
              <w:t>14,180</w:t>
            </w:r>
          </w:p>
        </w:tc>
        <w:tc>
          <w:tcPr>
            <w:tcW w:w="754" w:type="dxa"/>
          </w:tcPr>
          <w:p>
            <w:pPr>
              <w:pStyle w:val="TableParagraph"/>
              <w:spacing w:line="167" w:lineRule="exact"/>
              <w:rPr>
                <w:sz w:val="15"/>
              </w:rPr>
            </w:pPr>
            <w:r>
              <w:rPr>
                <w:sz w:val="15"/>
              </w:rPr>
              <w:t>1,020</w:t>
            </w:r>
          </w:p>
        </w:tc>
        <w:tc>
          <w:tcPr>
            <w:tcW w:w="898" w:type="dxa"/>
          </w:tcPr>
          <w:p>
            <w:pPr>
              <w:pStyle w:val="TableParagraph"/>
              <w:spacing w:line="167" w:lineRule="exact"/>
              <w:ind w:left="95"/>
              <w:rPr>
                <w:sz w:val="15"/>
              </w:rPr>
            </w:pPr>
            <w:r>
              <w:rPr>
                <w:sz w:val="15"/>
              </w:rPr>
              <w:t>280</w:t>
            </w:r>
          </w:p>
        </w:tc>
        <w:tc>
          <w:tcPr>
            <w:tcW w:w="706" w:type="dxa"/>
          </w:tcPr>
          <w:p>
            <w:pPr>
              <w:pStyle w:val="TableParagraph"/>
              <w:spacing w:line="167" w:lineRule="exact"/>
              <w:ind w:right="89"/>
              <w:rPr>
                <w:sz w:val="15"/>
              </w:rPr>
            </w:pPr>
            <w:r>
              <w:rPr>
                <w:sz w:val="15"/>
              </w:rPr>
              <w:t>1,900</w:t>
            </w:r>
          </w:p>
        </w:tc>
        <w:tc>
          <w:tcPr>
            <w:tcW w:w="804" w:type="dxa"/>
          </w:tcPr>
          <w:p>
            <w:pPr>
              <w:pStyle w:val="TableParagraph"/>
              <w:spacing w:line="167" w:lineRule="exact"/>
              <w:rPr>
                <w:sz w:val="15"/>
              </w:rPr>
            </w:pPr>
            <w:r>
              <w:rPr>
                <w:sz w:val="15"/>
              </w:rPr>
              <w:t>17,380</w:t>
            </w:r>
          </w:p>
        </w:tc>
      </w:tr>
      <w:tr>
        <w:trPr>
          <w:trHeight w:val="374" w:hRule="exact"/>
        </w:trPr>
        <w:tc>
          <w:tcPr>
            <w:tcW w:w="1049" w:type="dxa"/>
          </w:tcPr>
          <w:p>
            <w:pPr>
              <w:pStyle w:val="TableParagraph"/>
              <w:spacing w:line="167" w:lineRule="exact"/>
              <w:rPr>
                <w:sz w:val="15"/>
              </w:rPr>
            </w:pPr>
            <w:r>
              <w:rPr>
                <w:sz w:val="15"/>
              </w:rPr>
              <w:t>Honduras</w:t>
            </w:r>
          </w:p>
        </w:tc>
        <w:tc>
          <w:tcPr>
            <w:tcW w:w="787" w:type="dxa"/>
          </w:tcPr>
          <w:p>
            <w:pPr>
              <w:pStyle w:val="TableParagraph"/>
              <w:spacing w:line="167" w:lineRule="exact"/>
              <w:ind w:right="178"/>
              <w:rPr>
                <w:sz w:val="15"/>
              </w:rPr>
            </w:pPr>
            <w:r>
              <w:rPr>
                <w:sz w:val="15"/>
              </w:rPr>
              <w:t>6,600</w:t>
            </w:r>
          </w:p>
        </w:tc>
        <w:tc>
          <w:tcPr>
            <w:tcW w:w="710" w:type="dxa"/>
          </w:tcPr>
          <w:p>
            <w:pPr>
              <w:pStyle w:val="TableParagraph"/>
              <w:spacing w:line="167" w:lineRule="exact"/>
              <w:rPr>
                <w:sz w:val="15"/>
              </w:rPr>
            </w:pPr>
            <w:r>
              <w:rPr>
                <w:sz w:val="15"/>
              </w:rPr>
              <w:t>4,170</w:t>
            </w:r>
          </w:p>
        </w:tc>
        <w:tc>
          <w:tcPr>
            <w:tcW w:w="1352" w:type="dxa"/>
            <w:gridSpan w:val="2"/>
          </w:tcPr>
          <w:p>
            <w:pPr>
              <w:pStyle w:val="TableParagraph"/>
              <w:spacing w:line="167" w:lineRule="exact"/>
              <w:ind w:left="96"/>
              <w:rPr>
                <w:sz w:val="15"/>
              </w:rPr>
            </w:pPr>
            <w:r>
              <w:rPr>
                <w:sz w:val="15"/>
              </w:rPr>
              <w:t>150</w:t>
            </w:r>
          </w:p>
        </w:tc>
        <w:tc>
          <w:tcPr>
            <w:tcW w:w="910" w:type="dxa"/>
          </w:tcPr>
          <w:p>
            <w:pPr>
              <w:pStyle w:val="TableParagraph"/>
              <w:spacing w:line="167" w:lineRule="exact"/>
              <w:rPr>
                <w:sz w:val="15"/>
              </w:rPr>
            </w:pPr>
            <w:r>
              <w:rPr>
                <w:sz w:val="15"/>
              </w:rPr>
              <w:t>180</w:t>
            </w:r>
          </w:p>
        </w:tc>
        <w:tc>
          <w:tcPr>
            <w:tcW w:w="723" w:type="dxa"/>
          </w:tcPr>
          <w:p>
            <w:pPr>
              <w:pStyle w:val="TableParagraph"/>
              <w:spacing w:line="167" w:lineRule="exact"/>
              <w:ind w:left="96"/>
              <w:rPr>
                <w:sz w:val="15"/>
              </w:rPr>
            </w:pPr>
            <w:r>
              <w:rPr>
                <w:sz w:val="15"/>
              </w:rPr>
              <w:t>11,100</w:t>
            </w:r>
          </w:p>
        </w:tc>
        <w:tc>
          <w:tcPr>
            <w:tcW w:w="1373" w:type="dxa"/>
          </w:tcPr>
          <w:p>
            <w:pPr>
              <w:pStyle w:val="TableParagraph"/>
              <w:spacing w:line="167" w:lineRule="exact"/>
              <w:ind w:left="96"/>
              <w:rPr>
                <w:sz w:val="15"/>
              </w:rPr>
            </w:pPr>
            <w:r>
              <w:rPr>
                <w:sz w:val="15"/>
              </w:rPr>
              <w:t>6,470</w:t>
            </w:r>
          </w:p>
        </w:tc>
        <w:tc>
          <w:tcPr>
            <w:tcW w:w="754" w:type="dxa"/>
          </w:tcPr>
          <w:p>
            <w:pPr>
              <w:pStyle w:val="TableParagraph"/>
              <w:spacing w:line="167" w:lineRule="exact"/>
              <w:rPr>
                <w:sz w:val="15"/>
              </w:rPr>
            </w:pPr>
            <w:r>
              <w:rPr>
                <w:sz w:val="15"/>
              </w:rPr>
              <w:t>4,880</w:t>
            </w:r>
          </w:p>
        </w:tc>
        <w:tc>
          <w:tcPr>
            <w:tcW w:w="898" w:type="dxa"/>
          </w:tcPr>
          <w:p>
            <w:pPr>
              <w:pStyle w:val="TableParagraph"/>
              <w:spacing w:line="167" w:lineRule="exact"/>
              <w:ind w:left="95"/>
              <w:rPr>
                <w:sz w:val="15"/>
              </w:rPr>
            </w:pPr>
            <w:r>
              <w:rPr>
                <w:sz w:val="15"/>
              </w:rPr>
              <w:t>210</w:t>
            </w:r>
          </w:p>
        </w:tc>
        <w:tc>
          <w:tcPr>
            <w:tcW w:w="706" w:type="dxa"/>
          </w:tcPr>
          <w:p>
            <w:pPr>
              <w:pStyle w:val="TableParagraph"/>
              <w:spacing w:line="167" w:lineRule="exact"/>
              <w:ind w:right="89"/>
              <w:rPr>
                <w:sz w:val="15"/>
              </w:rPr>
            </w:pPr>
            <w:r>
              <w:rPr>
                <w:sz w:val="15"/>
              </w:rPr>
              <w:t>1,330</w:t>
            </w:r>
          </w:p>
        </w:tc>
        <w:tc>
          <w:tcPr>
            <w:tcW w:w="804" w:type="dxa"/>
          </w:tcPr>
          <w:p>
            <w:pPr>
              <w:pStyle w:val="TableParagraph"/>
              <w:spacing w:line="167" w:lineRule="exact"/>
              <w:rPr>
                <w:sz w:val="15"/>
              </w:rPr>
            </w:pPr>
            <w:r>
              <w:rPr>
                <w:sz w:val="15"/>
              </w:rPr>
              <w:t>12,890</w:t>
            </w:r>
          </w:p>
        </w:tc>
      </w:tr>
      <w:tr>
        <w:trPr>
          <w:trHeight w:val="377" w:hRule="exact"/>
        </w:trPr>
        <w:tc>
          <w:tcPr>
            <w:tcW w:w="1049" w:type="dxa"/>
          </w:tcPr>
          <w:p>
            <w:pPr>
              <w:pStyle w:val="TableParagraph"/>
              <w:rPr>
                <w:sz w:val="15"/>
              </w:rPr>
            </w:pPr>
            <w:r>
              <w:rPr>
                <w:sz w:val="15"/>
              </w:rPr>
              <w:t>México</w:t>
            </w:r>
          </w:p>
        </w:tc>
        <w:tc>
          <w:tcPr>
            <w:tcW w:w="787" w:type="dxa"/>
          </w:tcPr>
          <w:p>
            <w:pPr>
              <w:pStyle w:val="TableParagraph"/>
              <w:rPr>
                <w:sz w:val="15"/>
              </w:rPr>
            </w:pPr>
            <w:r>
              <w:rPr>
                <w:sz w:val="15"/>
              </w:rPr>
              <w:t>154,970</w:t>
            </w:r>
          </w:p>
        </w:tc>
        <w:tc>
          <w:tcPr>
            <w:tcW w:w="710" w:type="dxa"/>
          </w:tcPr>
          <w:p>
            <w:pPr>
              <w:pStyle w:val="TableParagraph"/>
              <w:rPr>
                <w:sz w:val="15"/>
              </w:rPr>
            </w:pPr>
            <w:r>
              <w:rPr>
                <w:sz w:val="15"/>
              </w:rPr>
              <w:t>4,950</w:t>
            </w:r>
          </w:p>
        </w:tc>
        <w:tc>
          <w:tcPr>
            <w:tcW w:w="1352" w:type="dxa"/>
            <w:gridSpan w:val="2"/>
          </w:tcPr>
          <w:p>
            <w:pPr>
              <w:pStyle w:val="TableParagraph"/>
              <w:ind w:left="96"/>
              <w:rPr>
                <w:sz w:val="15"/>
              </w:rPr>
            </w:pPr>
            <w:r>
              <w:rPr>
                <w:sz w:val="15"/>
              </w:rPr>
              <w:t>3,820</w:t>
            </w:r>
          </w:p>
        </w:tc>
        <w:tc>
          <w:tcPr>
            <w:tcW w:w="910" w:type="dxa"/>
          </w:tcPr>
          <w:p>
            <w:pPr>
              <w:pStyle w:val="TableParagraph"/>
              <w:rPr>
                <w:sz w:val="15"/>
              </w:rPr>
            </w:pPr>
            <w:r>
              <w:rPr>
                <w:sz w:val="15"/>
              </w:rPr>
              <w:t>3,070</w:t>
            </w:r>
          </w:p>
        </w:tc>
        <w:tc>
          <w:tcPr>
            <w:tcW w:w="723" w:type="dxa"/>
          </w:tcPr>
          <w:p>
            <w:pPr>
              <w:pStyle w:val="TableParagraph"/>
              <w:ind w:left="96"/>
              <w:rPr>
                <w:sz w:val="15"/>
              </w:rPr>
            </w:pPr>
            <w:r>
              <w:rPr>
                <w:sz w:val="15"/>
              </w:rPr>
              <w:t>166,810</w:t>
            </w:r>
          </w:p>
        </w:tc>
        <w:tc>
          <w:tcPr>
            <w:tcW w:w="1373" w:type="dxa"/>
          </w:tcPr>
          <w:p>
            <w:pPr>
              <w:pStyle w:val="TableParagraph"/>
              <w:ind w:left="96"/>
              <w:rPr>
                <w:sz w:val="15"/>
              </w:rPr>
            </w:pPr>
            <w:r>
              <w:rPr>
                <w:sz w:val="15"/>
              </w:rPr>
              <w:t>177,450</w:t>
            </w:r>
          </w:p>
        </w:tc>
        <w:tc>
          <w:tcPr>
            <w:tcW w:w="754" w:type="dxa"/>
          </w:tcPr>
          <w:p>
            <w:pPr>
              <w:pStyle w:val="TableParagraph"/>
              <w:rPr>
                <w:sz w:val="15"/>
              </w:rPr>
            </w:pPr>
            <w:r>
              <w:rPr>
                <w:sz w:val="15"/>
              </w:rPr>
              <w:t>5,520</w:t>
            </w:r>
          </w:p>
        </w:tc>
        <w:tc>
          <w:tcPr>
            <w:tcW w:w="898" w:type="dxa"/>
          </w:tcPr>
          <w:p>
            <w:pPr>
              <w:pStyle w:val="TableParagraph"/>
              <w:ind w:left="95"/>
              <w:rPr>
                <w:sz w:val="15"/>
              </w:rPr>
            </w:pPr>
            <w:r>
              <w:rPr>
                <w:sz w:val="15"/>
              </w:rPr>
              <w:t>5,040</w:t>
            </w:r>
          </w:p>
        </w:tc>
        <w:tc>
          <w:tcPr>
            <w:tcW w:w="706" w:type="dxa"/>
          </w:tcPr>
          <w:p>
            <w:pPr>
              <w:pStyle w:val="TableParagraph"/>
              <w:ind w:right="89"/>
              <w:rPr>
                <w:sz w:val="15"/>
              </w:rPr>
            </w:pPr>
            <w:r>
              <w:rPr>
                <w:sz w:val="15"/>
              </w:rPr>
              <w:t>4,100</w:t>
            </w:r>
          </w:p>
        </w:tc>
        <w:tc>
          <w:tcPr>
            <w:tcW w:w="804" w:type="dxa"/>
          </w:tcPr>
          <w:p>
            <w:pPr>
              <w:pStyle w:val="TableParagraph"/>
              <w:rPr>
                <w:sz w:val="15"/>
              </w:rPr>
            </w:pPr>
            <w:r>
              <w:rPr>
                <w:sz w:val="15"/>
              </w:rPr>
              <w:t>192,110</w:t>
            </w:r>
          </w:p>
        </w:tc>
      </w:tr>
      <w:tr>
        <w:trPr>
          <w:trHeight w:val="377" w:hRule="exact"/>
        </w:trPr>
        <w:tc>
          <w:tcPr>
            <w:tcW w:w="1049" w:type="dxa"/>
          </w:tcPr>
          <w:p>
            <w:pPr>
              <w:pStyle w:val="TableParagraph"/>
              <w:rPr>
                <w:sz w:val="15"/>
              </w:rPr>
            </w:pPr>
            <w:r>
              <w:rPr>
                <w:sz w:val="15"/>
              </w:rPr>
              <w:t>Nicaragua</w:t>
            </w:r>
          </w:p>
        </w:tc>
        <w:tc>
          <w:tcPr>
            <w:tcW w:w="787" w:type="dxa"/>
          </w:tcPr>
          <w:p>
            <w:pPr>
              <w:pStyle w:val="TableParagraph"/>
              <w:ind w:right="178"/>
              <w:rPr>
                <w:sz w:val="15"/>
              </w:rPr>
            </w:pPr>
            <w:r>
              <w:rPr>
                <w:sz w:val="15"/>
              </w:rPr>
              <w:t>3,850</w:t>
            </w:r>
          </w:p>
        </w:tc>
        <w:tc>
          <w:tcPr>
            <w:tcW w:w="710" w:type="dxa"/>
          </w:tcPr>
          <w:p>
            <w:pPr>
              <w:pStyle w:val="TableParagraph"/>
              <w:rPr>
                <w:sz w:val="15"/>
              </w:rPr>
            </w:pPr>
            <w:r>
              <w:rPr>
                <w:sz w:val="15"/>
              </w:rPr>
              <w:t>1,650</w:t>
            </w:r>
          </w:p>
        </w:tc>
        <w:tc>
          <w:tcPr>
            <w:tcW w:w="1352" w:type="dxa"/>
            <w:gridSpan w:val="2"/>
          </w:tcPr>
          <w:p>
            <w:pPr>
              <w:pStyle w:val="TableParagraph"/>
              <w:ind w:left="96"/>
              <w:rPr>
                <w:sz w:val="15"/>
              </w:rPr>
            </w:pPr>
            <w:r>
              <w:rPr>
                <w:sz w:val="15"/>
              </w:rPr>
              <w:t>140</w:t>
            </w:r>
          </w:p>
        </w:tc>
        <w:tc>
          <w:tcPr>
            <w:tcW w:w="910" w:type="dxa"/>
          </w:tcPr>
          <w:p>
            <w:pPr>
              <w:pStyle w:val="TableParagraph"/>
              <w:rPr>
                <w:sz w:val="15"/>
              </w:rPr>
            </w:pPr>
            <w:r>
              <w:rPr>
                <w:sz w:val="15"/>
              </w:rPr>
              <w:t>110</w:t>
            </w:r>
          </w:p>
        </w:tc>
        <w:tc>
          <w:tcPr>
            <w:tcW w:w="723" w:type="dxa"/>
          </w:tcPr>
          <w:p>
            <w:pPr>
              <w:pStyle w:val="TableParagraph"/>
              <w:ind w:left="96"/>
              <w:rPr>
                <w:sz w:val="15"/>
              </w:rPr>
            </w:pPr>
            <w:r>
              <w:rPr>
                <w:sz w:val="15"/>
              </w:rPr>
              <w:t>5,750</w:t>
            </w:r>
          </w:p>
        </w:tc>
        <w:tc>
          <w:tcPr>
            <w:tcW w:w="1373" w:type="dxa"/>
          </w:tcPr>
          <w:p>
            <w:pPr>
              <w:pStyle w:val="TableParagraph"/>
              <w:ind w:left="96"/>
              <w:rPr>
                <w:sz w:val="15"/>
              </w:rPr>
            </w:pPr>
            <w:r>
              <w:rPr>
                <w:sz w:val="15"/>
              </w:rPr>
              <w:t>3,880</w:t>
            </w:r>
          </w:p>
        </w:tc>
        <w:tc>
          <w:tcPr>
            <w:tcW w:w="754" w:type="dxa"/>
          </w:tcPr>
          <w:p>
            <w:pPr>
              <w:pStyle w:val="TableParagraph"/>
              <w:rPr>
                <w:sz w:val="15"/>
              </w:rPr>
            </w:pPr>
            <w:r>
              <w:rPr>
                <w:sz w:val="15"/>
              </w:rPr>
              <w:t>2,950</w:t>
            </w:r>
          </w:p>
        </w:tc>
        <w:tc>
          <w:tcPr>
            <w:tcW w:w="898" w:type="dxa"/>
          </w:tcPr>
          <w:p>
            <w:pPr>
              <w:pStyle w:val="TableParagraph"/>
              <w:ind w:left="95"/>
              <w:rPr>
                <w:sz w:val="15"/>
              </w:rPr>
            </w:pPr>
            <w:r>
              <w:rPr>
                <w:sz w:val="15"/>
              </w:rPr>
              <w:t>200</w:t>
            </w:r>
          </w:p>
        </w:tc>
        <w:tc>
          <w:tcPr>
            <w:tcW w:w="706" w:type="dxa"/>
          </w:tcPr>
          <w:p>
            <w:pPr>
              <w:pStyle w:val="TableParagraph"/>
              <w:ind w:right="89"/>
              <w:rPr>
                <w:sz w:val="15"/>
              </w:rPr>
            </w:pPr>
            <w:r>
              <w:rPr>
                <w:sz w:val="15"/>
              </w:rPr>
              <w:t>460</w:t>
            </w:r>
          </w:p>
        </w:tc>
        <w:tc>
          <w:tcPr>
            <w:tcW w:w="804" w:type="dxa"/>
          </w:tcPr>
          <w:p>
            <w:pPr>
              <w:pStyle w:val="TableParagraph"/>
              <w:rPr>
                <w:sz w:val="15"/>
              </w:rPr>
            </w:pPr>
            <w:r>
              <w:rPr>
                <w:sz w:val="15"/>
              </w:rPr>
              <w:t>7,490</w:t>
            </w:r>
          </w:p>
        </w:tc>
      </w:tr>
      <w:tr>
        <w:trPr>
          <w:trHeight w:val="377" w:hRule="exact"/>
        </w:trPr>
        <w:tc>
          <w:tcPr>
            <w:tcW w:w="1049" w:type="dxa"/>
          </w:tcPr>
          <w:p>
            <w:pPr>
              <w:pStyle w:val="TableParagraph"/>
              <w:spacing w:line="167" w:lineRule="exact"/>
              <w:rPr>
                <w:sz w:val="15"/>
              </w:rPr>
            </w:pPr>
            <w:r>
              <w:rPr>
                <w:sz w:val="15"/>
              </w:rPr>
              <w:t>Panamá</w:t>
            </w:r>
          </w:p>
        </w:tc>
        <w:tc>
          <w:tcPr>
            <w:tcW w:w="787" w:type="dxa"/>
          </w:tcPr>
          <w:p>
            <w:pPr>
              <w:pStyle w:val="TableParagraph"/>
              <w:spacing w:line="167" w:lineRule="exact"/>
              <w:ind w:right="178"/>
              <w:rPr>
                <w:sz w:val="15"/>
              </w:rPr>
            </w:pPr>
            <w:r>
              <w:rPr>
                <w:sz w:val="15"/>
              </w:rPr>
              <w:t>1,750</w:t>
            </w:r>
          </w:p>
        </w:tc>
        <w:tc>
          <w:tcPr>
            <w:tcW w:w="710" w:type="dxa"/>
          </w:tcPr>
          <w:p>
            <w:pPr>
              <w:pStyle w:val="TableParagraph"/>
              <w:spacing w:line="167" w:lineRule="exact"/>
              <w:rPr>
                <w:sz w:val="15"/>
              </w:rPr>
            </w:pPr>
            <w:r>
              <w:rPr>
                <w:sz w:val="15"/>
              </w:rPr>
              <w:t>410</w:t>
            </w:r>
          </w:p>
        </w:tc>
        <w:tc>
          <w:tcPr>
            <w:tcW w:w="1352" w:type="dxa"/>
            <w:gridSpan w:val="2"/>
          </w:tcPr>
          <w:p>
            <w:pPr>
              <w:pStyle w:val="TableParagraph"/>
              <w:spacing w:line="167" w:lineRule="exact"/>
              <w:ind w:left="96"/>
              <w:rPr>
                <w:sz w:val="15"/>
              </w:rPr>
            </w:pPr>
            <w:r>
              <w:rPr>
                <w:sz w:val="15"/>
              </w:rPr>
              <w:t>120</w:t>
            </w:r>
          </w:p>
        </w:tc>
        <w:tc>
          <w:tcPr>
            <w:tcW w:w="910" w:type="dxa"/>
          </w:tcPr>
          <w:p>
            <w:pPr>
              <w:pStyle w:val="TableParagraph"/>
              <w:spacing w:line="167" w:lineRule="exact"/>
              <w:rPr>
                <w:sz w:val="15"/>
              </w:rPr>
            </w:pPr>
            <w:r>
              <w:rPr>
                <w:sz w:val="15"/>
              </w:rPr>
              <w:t>110</w:t>
            </w:r>
          </w:p>
        </w:tc>
        <w:tc>
          <w:tcPr>
            <w:tcW w:w="723" w:type="dxa"/>
          </w:tcPr>
          <w:p>
            <w:pPr>
              <w:pStyle w:val="TableParagraph"/>
              <w:spacing w:line="167" w:lineRule="exact"/>
              <w:ind w:left="96"/>
              <w:rPr>
                <w:sz w:val="15"/>
              </w:rPr>
            </w:pPr>
            <w:r>
              <w:rPr>
                <w:sz w:val="15"/>
              </w:rPr>
              <w:t>2,390</w:t>
            </w:r>
          </w:p>
        </w:tc>
        <w:tc>
          <w:tcPr>
            <w:tcW w:w="1373" w:type="dxa"/>
          </w:tcPr>
          <w:p>
            <w:pPr>
              <w:pStyle w:val="TableParagraph"/>
              <w:spacing w:line="167" w:lineRule="exact"/>
              <w:ind w:left="96"/>
              <w:rPr>
                <w:sz w:val="15"/>
              </w:rPr>
            </w:pPr>
            <w:r>
              <w:rPr>
                <w:sz w:val="15"/>
              </w:rPr>
              <w:t>1,740</w:t>
            </w:r>
          </w:p>
        </w:tc>
        <w:tc>
          <w:tcPr>
            <w:tcW w:w="754" w:type="dxa"/>
          </w:tcPr>
          <w:p>
            <w:pPr>
              <w:pStyle w:val="TableParagraph"/>
              <w:spacing w:line="167" w:lineRule="exact"/>
              <w:rPr>
                <w:sz w:val="15"/>
              </w:rPr>
            </w:pPr>
            <w:r>
              <w:rPr>
                <w:sz w:val="15"/>
              </w:rPr>
              <w:t>460</w:t>
            </w:r>
          </w:p>
        </w:tc>
        <w:tc>
          <w:tcPr>
            <w:tcW w:w="898" w:type="dxa"/>
          </w:tcPr>
          <w:p>
            <w:pPr>
              <w:pStyle w:val="TableParagraph"/>
              <w:spacing w:line="167" w:lineRule="exact"/>
              <w:ind w:left="95"/>
              <w:rPr>
                <w:sz w:val="15"/>
              </w:rPr>
            </w:pPr>
            <w:r>
              <w:rPr>
                <w:sz w:val="15"/>
              </w:rPr>
              <w:t>130</w:t>
            </w:r>
          </w:p>
        </w:tc>
        <w:tc>
          <w:tcPr>
            <w:tcW w:w="706" w:type="dxa"/>
          </w:tcPr>
          <w:p>
            <w:pPr>
              <w:pStyle w:val="TableParagraph"/>
              <w:spacing w:line="167" w:lineRule="exact"/>
              <w:ind w:right="89"/>
              <w:rPr>
                <w:sz w:val="15"/>
              </w:rPr>
            </w:pPr>
            <w:r>
              <w:rPr>
                <w:sz w:val="15"/>
              </w:rPr>
              <w:t>250</w:t>
            </w:r>
          </w:p>
        </w:tc>
        <w:tc>
          <w:tcPr>
            <w:tcW w:w="804" w:type="dxa"/>
          </w:tcPr>
          <w:p>
            <w:pPr>
              <w:pStyle w:val="TableParagraph"/>
              <w:spacing w:line="167" w:lineRule="exact"/>
              <w:rPr>
                <w:sz w:val="15"/>
              </w:rPr>
            </w:pPr>
            <w:r>
              <w:rPr>
                <w:sz w:val="15"/>
              </w:rPr>
              <w:t>2,580</w:t>
            </w:r>
          </w:p>
        </w:tc>
      </w:tr>
      <w:tr>
        <w:trPr>
          <w:trHeight w:val="559" w:hRule="exact"/>
        </w:trPr>
        <w:tc>
          <w:tcPr>
            <w:tcW w:w="1049" w:type="dxa"/>
          </w:tcPr>
          <w:p>
            <w:pPr>
              <w:pStyle w:val="TableParagraph"/>
              <w:spacing w:line="261" w:lineRule="auto"/>
              <w:ind w:right="391"/>
              <w:rPr>
                <w:sz w:val="15"/>
              </w:rPr>
            </w:pPr>
            <w:r>
              <w:rPr>
                <w:sz w:val="15"/>
              </w:rPr>
              <w:t>América Central</w:t>
            </w:r>
          </w:p>
        </w:tc>
        <w:tc>
          <w:tcPr>
            <w:tcW w:w="787" w:type="dxa"/>
          </w:tcPr>
          <w:p>
            <w:pPr>
              <w:pStyle w:val="TableParagraph"/>
              <w:spacing w:line="167" w:lineRule="exact"/>
              <w:rPr>
                <w:sz w:val="15"/>
              </w:rPr>
            </w:pPr>
            <w:r>
              <w:rPr>
                <w:sz w:val="15"/>
              </w:rPr>
              <w:t>215,190</w:t>
            </w:r>
          </w:p>
        </w:tc>
        <w:tc>
          <w:tcPr>
            <w:tcW w:w="710" w:type="dxa"/>
          </w:tcPr>
          <w:p>
            <w:pPr>
              <w:pStyle w:val="TableParagraph"/>
              <w:spacing w:line="167" w:lineRule="exact"/>
              <w:rPr>
                <w:sz w:val="15"/>
              </w:rPr>
            </w:pPr>
            <w:r>
              <w:rPr>
                <w:sz w:val="15"/>
              </w:rPr>
              <w:t>13,060</w:t>
            </w:r>
          </w:p>
        </w:tc>
        <w:tc>
          <w:tcPr>
            <w:tcW w:w="1352" w:type="dxa"/>
            <w:gridSpan w:val="2"/>
          </w:tcPr>
          <w:p>
            <w:pPr>
              <w:pStyle w:val="TableParagraph"/>
              <w:spacing w:line="167" w:lineRule="exact"/>
              <w:ind w:left="96"/>
              <w:rPr>
                <w:sz w:val="15"/>
              </w:rPr>
            </w:pPr>
            <w:r>
              <w:rPr>
                <w:sz w:val="15"/>
              </w:rPr>
              <w:t>4,920</w:t>
            </w:r>
          </w:p>
        </w:tc>
        <w:tc>
          <w:tcPr>
            <w:tcW w:w="910" w:type="dxa"/>
          </w:tcPr>
          <w:p>
            <w:pPr>
              <w:pStyle w:val="TableParagraph"/>
              <w:spacing w:line="167" w:lineRule="exact"/>
              <w:rPr>
                <w:sz w:val="15"/>
              </w:rPr>
            </w:pPr>
            <w:r>
              <w:rPr>
                <w:sz w:val="15"/>
              </w:rPr>
              <w:t>3,740</w:t>
            </w:r>
          </w:p>
        </w:tc>
        <w:tc>
          <w:tcPr>
            <w:tcW w:w="723" w:type="dxa"/>
          </w:tcPr>
          <w:p>
            <w:pPr>
              <w:pStyle w:val="TableParagraph"/>
              <w:spacing w:line="167" w:lineRule="exact"/>
              <w:ind w:left="96"/>
              <w:rPr>
                <w:sz w:val="15"/>
              </w:rPr>
            </w:pPr>
            <w:r>
              <w:rPr>
                <w:sz w:val="15"/>
              </w:rPr>
              <w:t>237,830</w:t>
            </w:r>
          </w:p>
        </w:tc>
        <w:tc>
          <w:tcPr>
            <w:tcW w:w="1373" w:type="dxa"/>
          </w:tcPr>
          <w:p>
            <w:pPr>
              <w:pStyle w:val="TableParagraph"/>
              <w:spacing w:line="167" w:lineRule="exact"/>
              <w:ind w:left="96"/>
              <w:rPr>
                <w:sz w:val="15"/>
              </w:rPr>
            </w:pPr>
            <w:r>
              <w:rPr>
                <w:sz w:val="15"/>
              </w:rPr>
              <w:t>226,800</w:t>
            </w:r>
          </w:p>
        </w:tc>
        <w:tc>
          <w:tcPr>
            <w:tcW w:w="754" w:type="dxa"/>
          </w:tcPr>
          <w:p>
            <w:pPr>
              <w:pStyle w:val="TableParagraph"/>
              <w:spacing w:line="167" w:lineRule="exact"/>
              <w:rPr>
                <w:sz w:val="15"/>
              </w:rPr>
            </w:pPr>
            <w:r>
              <w:rPr>
                <w:sz w:val="15"/>
              </w:rPr>
              <w:t>16,330</w:t>
            </w:r>
          </w:p>
        </w:tc>
        <w:tc>
          <w:tcPr>
            <w:tcW w:w="898" w:type="dxa"/>
          </w:tcPr>
          <w:p>
            <w:pPr>
              <w:pStyle w:val="TableParagraph"/>
              <w:spacing w:line="167" w:lineRule="exact"/>
              <w:ind w:left="95"/>
              <w:rPr>
                <w:sz w:val="15"/>
              </w:rPr>
            </w:pPr>
            <w:r>
              <w:rPr>
                <w:sz w:val="15"/>
              </w:rPr>
              <w:t>6,480</w:t>
            </w:r>
          </w:p>
        </w:tc>
        <w:tc>
          <w:tcPr>
            <w:tcW w:w="706" w:type="dxa"/>
          </w:tcPr>
          <w:p>
            <w:pPr>
              <w:pStyle w:val="TableParagraph"/>
              <w:spacing w:line="167" w:lineRule="exact"/>
              <w:ind w:right="89"/>
              <w:rPr>
                <w:sz w:val="15"/>
              </w:rPr>
            </w:pPr>
            <w:r>
              <w:rPr>
                <w:sz w:val="15"/>
              </w:rPr>
              <w:t>8,040</w:t>
            </w:r>
          </w:p>
        </w:tc>
        <w:tc>
          <w:tcPr>
            <w:tcW w:w="804" w:type="dxa"/>
          </w:tcPr>
          <w:p>
            <w:pPr>
              <w:pStyle w:val="TableParagraph"/>
              <w:spacing w:line="167" w:lineRule="exact"/>
              <w:rPr>
                <w:sz w:val="15"/>
              </w:rPr>
            </w:pPr>
            <w:r>
              <w:rPr>
                <w:sz w:val="15"/>
              </w:rPr>
              <w:t>259,970</w:t>
            </w:r>
          </w:p>
        </w:tc>
      </w:tr>
    </w:tbl>
    <w:p>
      <w:pPr>
        <w:spacing w:after="0" w:line="167" w:lineRule="exact"/>
        <w:rPr>
          <w:sz w:val="15"/>
        </w:rPr>
        <w:sectPr>
          <w:headerReference w:type="default" r:id="rId14"/>
          <w:pgSz w:w="12240" w:h="15840"/>
          <w:pgMar w:header="731" w:footer="0" w:top="960" w:bottom="280" w:left="960" w:right="940"/>
          <w:pgNumType w:start="213"/>
        </w:sectPr>
      </w:pPr>
    </w:p>
    <w:p>
      <w:pPr>
        <w:pStyle w:val="BodyText"/>
        <w:spacing w:after="1"/>
        <w:rPr>
          <w:sz w:val="14"/>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49"/>
        <w:gridCol w:w="787"/>
        <w:gridCol w:w="710"/>
        <w:gridCol w:w="1352"/>
        <w:gridCol w:w="910"/>
        <w:gridCol w:w="723"/>
        <w:gridCol w:w="1373"/>
        <w:gridCol w:w="754"/>
        <w:gridCol w:w="898"/>
        <w:gridCol w:w="706"/>
        <w:gridCol w:w="804"/>
      </w:tblGrid>
      <w:tr>
        <w:trPr>
          <w:trHeight w:val="377" w:hRule="exact"/>
        </w:trPr>
        <w:tc>
          <w:tcPr>
            <w:tcW w:w="1049" w:type="dxa"/>
          </w:tcPr>
          <w:p>
            <w:pPr>
              <w:pStyle w:val="TableParagraph"/>
              <w:rPr>
                <w:sz w:val="15"/>
              </w:rPr>
            </w:pPr>
            <w:r>
              <w:rPr>
                <w:sz w:val="15"/>
              </w:rPr>
              <w:t>Bolivia</w:t>
            </w:r>
          </w:p>
        </w:tc>
        <w:tc>
          <w:tcPr>
            <w:tcW w:w="787" w:type="dxa"/>
          </w:tcPr>
          <w:p>
            <w:pPr>
              <w:pStyle w:val="TableParagraph"/>
              <w:ind w:right="178"/>
              <w:rPr>
                <w:sz w:val="15"/>
              </w:rPr>
            </w:pPr>
            <w:r>
              <w:rPr>
                <w:sz w:val="15"/>
              </w:rPr>
              <w:t>2,390</w:t>
            </w:r>
          </w:p>
        </w:tc>
        <w:tc>
          <w:tcPr>
            <w:tcW w:w="710" w:type="dxa"/>
          </w:tcPr>
          <w:p>
            <w:pPr>
              <w:pStyle w:val="TableParagraph"/>
              <w:rPr>
                <w:sz w:val="15"/>
              </w:rPr>
            </w:pPr>
            <w:r>
              <w:rPr>
                <w:sz w:val="15"/>
              </w:rPr>
              <w:t>47,360</w:t>
            </w:r>
          </w:p>
        </w:tc>
        <w:tc>
          <w:tcPr>
            <w:tcW w:w="1352" w:type="dxa"/>
          </w:tcPr>
          <w:p>
            <w:pPr>
              <w:pStyle w:val="TableParagraph"/>
              <w:ind w:left="96"/>
              <w:rPr>
                <w:sz w:val="15"/>
              </w:rPr>
            </w:pPr>
            <w:r>
              <w:rPr>
                <w:sz w:val="15"/>
              </w:rPr>
              <w:t>640</w:t>
            </w:r>
          </w:p>
        </w:tc>
        <w:tc>
          <w:tcPr>
            <w:tcW w:w="910" w:type="dxa"/>
          </w:tcPr>
          <w:p>
            <w:pPr>
              <w:pStyle w:val="TableParagraph"/>
              <w:rPr>
                <w:sz w:val="15"/>
              </w:rPr>
            </w:pPr>
            <w:r>
              <w:rPr>
                <w:sz w:val="15"/>
              </w:rPr>
              <w:t>280</w:t>
            </w:r>
          </w:p>
        </w:tc>
        <w:tc>
          <w:tcPr>
            <w:tcW w:w="723" w:type="dxa"/>
          </w:tcPr>
          <w:p>
            <w:pPr>
              <w:pStyle w:val="TableParagraph"/>
              <w:ind w:left="96"/>
              <w:rPr>
                <w:sz w:val="15"/>
              </w:rPr>
            </w:pPr>
            <w:r>
              <w:rPr>
                <w:sz w:val="15"/>
              </w:rPr>
              <w:t>50,670</w:t>
            </w:r>
          </w:p>
        </w:tc>
        <w:tc>
          <w:tcPr>
            <w:tcW w:w="1373" w:type="dxa"/>
          </w:tcPr>
          <w:p>
            <w:pPr>
              <w:pStyle w:val="TableParagraph"/>
              <w:ind w:left="96"/>
              <w:rPr>
                <w:sz w:val="15"/>
              </w:rPr>
            </w:pPr>
            <w:r>
              <w:rPr>
                <w:sz w:val="15"/>
              </w:rPr>
              <w:t>2,640</w:t>
            </w:r>
          </w:p>
        </w:tc>
        <w:tc>
          <w:tcPr>
            <w:tcW w:w="754" w:type="dxa"/>
          </w:tcPr>
          <w:p>
            <w:pPr>
              <w:pStyle w:val="TableParagraph"/>
              <w:rPr>
                <w:sz w:val="15"/>
              </w:rPr>
            </w:pPr>
            <w:r>
              <w:rPr>
                <w:sz w:val="15"/>
              </w:rPr>
              <w:t>11,800</w:t>
            </w:r>
          </w:p>
        </w:tc>
        <w:tc>
          <w:tcPr>
            <w:tcW w:w="898" w:type="dxa"/>
          </w:tcPr>
          <w:p>
            <w:pPr>
              <w:pStyle w:val="TableParagraph"/>
              <w:ind w:left="95"/>
              <w:rPr>
                <w:sz w:val="15"/>
              </w:rPr>
            </w:pPr>
            <w:r>
              <w:rPr>
                <w:sz w:val="15"/>
              </w:rPr>
              <w:t>830</w:t>
            </w:r>
          </w:p>
        </w:tc>
        <w:tc>
          <w:tcPr>
            <w:tcW w:w="706" w:type="dxa"/>
          </w:tcPr>
          <w:p>
            <w:pPr>
              <w:pStyle w:val="TableParagraph"/>
              <w:ind w:right="89"/>
              <w:rPr>
                <w:sz w:val="15"/>
              </w:rPr>
            </w:pPr>
            <w:r>
              <w:rPr>
                <w:sz w:val="15"/>
              </w:rPr>
              <w:t>630</w:t>
            </w:r>
          </w:p>
        </w:tc>
        <w:tc>
          <w:tcPr>
            <w:tcW w:w="804" w:type="dxa"/>
          </w:tcPr>
          <w:p>
            <w:pPr>
              <w:pStyle w:val="TableParagraph"/>
              <w:ind w:left="0" w:right="172"/>
              <w:jc w:val="center"/>
              <w:rPr>
                <w:sz w:val="15"/>
              </w:rPr>
            </w:pPr>
            <w:r>
              <w:rPr>
                <w:sz w:val="15"/>
              </w:rPr>
              <w:t>15,900</w:t>
            </w:r>
          </w:p>
        </w:tc>
      </w:tr>
      <w:tr>
        <w:trPr>
          <w:trHeight w:val="377" w:hRule="exact"/>
        </w:trPr>
        <w:tc>
          <w:tcPr>
            <w:tcW w:w="1049" w:type="dxa"/>
          </w:tcPr>
          <w:p>
            <w:pPr>
              <w:pStyle w:val="TableParagraph"/>
              <w:rPr>
                <w:sz w:val="15"/>
              </w:rPr>
            </w:pPr>
            <w:r>
              <w:rPr>
                <w:sz w:val="15"/>
              </w:rPr>
              <w:t>Colombia</w:t>
            </w:r>
          </w:p>
        </w:tc>
        <w:tc>
          <w:tcPr>
            <w:tcW w:w="787" w:type="dxa"/>
          </w:tcPr>
          <w:p>
            <w:pPr>
              <w:pStyle w:val="TableParagraph"/>
              <w:ind w:right="178"/>
              <w:rPr>
                <w:sz w:val="15"/>
              </w:rPr>
            </w:pPr>
            <w:r>
              <w:rPr>
                <w:sz w:val="15"/>
              </w:rPr>
              <w:t>27,100</w:t>
            </w:r>
          </w:p>
        </w:tc>
        <w:tc>
          <w:tcPr>
            <w:tcW w:w="710" w:type="dxa"/>
          </w:tcPr>
          <w:p>
            <w:pPr>
              <w:pStyle w:val="TableParagraph"/>
              <w:rPr>
                <w:sz w:val="15"/>
              </w:rPr>
            </w:pPr>
            <w:r>
              <w:rPr>
                <w:sz w:val="15"/>
              </w:rPr>
              <w:t>26,980</w:t>
            </w:r>
          </w:p>
        </w:tc>
        <w:tc>
          <w:tcPr>
            <w:tcW w:w="1352" w:type="dxa"/>
          </w:tcPr>
          <w:p>
            <w:pPr>
              <w:pStyle w:val="TableParagraph"/>
              <w:ind w:left="96"/>
              <w:rPr>
                <w:sz w:val="15"/>
              </w:rPr>
            </w:pPr>
            <w:r>
              <w:rPr>
                <w:sz w:val="15"/>
              </w:rPr>
              <w:t>4,340</w:t>
            </w:r>
          </w:p>
        </w:tc>
        <w:tc>
          <w:tcPr>
            <w:tcW w:w="910" w:type="dxa"/>
          </w:tcPr>
          <w:p>
            <w:pPr>
              <w:pStyle w:val="TableParagraph"/>
              <w:rPr>
                <w:sz w:val="15"/>
              </w:rPr>
            </w:pPr>
            <w:r>
              <w:rPr>
                <w:sz w:val="15"/>
              </w:rPr>
              <w:t>5,690</w:t>
            </w:r>
          </w:p>
        </w:tc>
        <w:tc>
          <w:tcPr>
            <w:tcW w:w="723" w:type="dxa"/>
          </w:tcPr>
          <w:p>
            <w:pPr>
              <w:pStyle w:val="TableParagraph"/>
              <w:ind w:left="96"/>
              <w:rPr>
                <w:sz w:val="15"/>
              </w:rPr>
            </w:pPr>
            <w:r>
              <w:rPr>
                <w:sz w:val="15"/>
              </w:rPr>
              <w:t>64,110</w:t>
            </w:r>
          </w:p>
        </w:tc>
        <w:tc>
          <w:tcPr>
            <w:tcW w:w="1373" w:type="dxa"/>
          </w:tcPr>
          <w:p>
            <w:pPr>
              <w:pStyle w:val="TableParagraph"/>
              <w:ind w:left="96"/>
              <w:rPr>
                <w:sz w:val="15"/>
              </w:rPr>
            </w:pPr>
            <w:r>
              <w:rPr>
                <w:sz w:val="15"/>
              </w:rPr>
              <w:t>29,030</w:t>
            </w:r>
          </w:p>
        </w:tc>
        <w:tc>
          <w:tcPr>
            <w:tcW w:w="754" w:type="dxa"/>
          </w:tcPr>
          <w:p>
            <w:pPr>
              <w:pStyle w:val="TableParagraph"/>
              <w:rPr>
                <w:sz w:val="15"/>
              </w:rPr>
            </w:pPr>
            <w:r>
              <w:rPr>
                <w:sz w:val="15"/>
              </w:rPr>
              <w:t>33,860</w:t>
            </w:r>
          </w:p>
        </w:tc>
        <w:tc>
          <w:tcPr>
            <w:tcW w:w="898" w:type="dxa"/>
          </w:tcPr>
          <w:p>
            <w:pPr>
              <w:pStyle w:val="TableParagraph"/>
              <w:ind w:left="95"/>
              <w:rPr>
                <w:sz w:val="15"/>
              </w:rPr>
            </w:pPr>
            <w:r>
              <w:rPr>
                <w:sz w:val="15"/>
              </w:rPr>
              <w:t>4,860</w:t>
            </w:r>
          </w:p>
        </w:tc>
        <w:tc>
          <w:tcPr>
            <w:tcW w:w="706" w:type="dxa"/>
          </w:tcPr>
          <w:p>
            <w:pPr>
              <w:pStyle w:val="TableParagraph"/>
              <w:ind w:right="89"/>
              <w:rPr>
                <w:sz w:val="15"/>
              </w:rPr>
            </w:pPr>
            <w:r>
              <w:rPr>
                <w:sz w:val="15"/>
              </w:rPr>
              <w:t>7,130</w:t>
            </w:r>
          </w:p>
        </w:tc>
        <w:tc>
          <w:tcPr>
            <w:tcW w:w="804" w:type="dxa"/>
          </w:tcPr>
          <w:p>
            <w:pPr>
              <w:pStyle w:val="TableParagraph"/>
              <w:ind w:left="0" w:right="172"/>
              <w:jc w:val="center"/>
              <w:rPr>
                <w:sz w:val="15"/>
              </w:rPr>
            </w:pPr>
            <w:r>
              <w:rPr>
                <w:sz w:val="15"/>
              </w:rPr>
              <w:t>74,880</w:t>
            </w:r>
          </w:p>
        </w:tc>
      </w:tr>
      <w:tr>
        <w:trPr>
          <w:trHeight w:val="377" w:hRule="exact"/>
        </w:trPr>
        <w:tc>
          <w:tcPr>
            <w:tcW w:w="1049" w:type="dxa"/>
          </w:tcPr>
          <w:p>
            <w:pPr>
              <w:pStyle w:val="TableParagraph"/>
              <w:spacing w:line="167" w:lineRule="exact"/>
              <w:rPr>
                <w:sz w:val="15"/>
              </w:rPr>
            </w:pPr>
            <w:r>
              <w:rPr>
                <w:sz w:val="15"/>
              </w:rPr>
              <w:t>Ecuador</w:t>
            </w:r>
          </w:p>
        </w:tc>
        <w:tc>
          <w:tcPr>
            <w:tcW w:w="787" w:type="dxa"/>
          </w:tcPr>
          <w:p>
            <w:pPr>
              <w:pStyle w:val="TableParagraph"/>
              <w:spacing w:line="167" w:lineRule="exact"/>
              <w:ind w:right="178"/>
              <w:rPr>
                <w:sz w:val="15"/>
              </w:rPr>
            </w:pPr>
            <w:r>
              <w:rPr>
                <w:sz w:val="15"/>
              </w:rPr>
              <w:t>11,410</w:t>
            </w:r>
          </w:p>
        </w:tc>
        <w:tc>
          <w:tcPr>
            <w:tcW w:w="710" w:type="dxa"/>
          </w:tcPr>
          <w:p>
            <w:pPr>
              <w:pStyle w:val="TableParagraph"/>
              <w:spacing w:line="167" w:lineRule="exact"/>
              <w:rPr>
                <w:sz w:val="15"/>
              </w:rPr>
            </w:pPr>
            <w:r>
              <w:rPr>
                <w:sz w:val="15"/>
              </w:rPr>
              <w:t>31,360</w:t>
            </w:r>
          </w:p>
        </w:tc>
        <w:tc>
          <w:tcPr>
            <w:tcW w:w="1352" w:type="dxa"/>
          </w:tcPr>
          <w:p>
            <w:pPr>
              <w:pStyle w:val="TableParagraph"/>
              <w:spacing w:line="167" w:lineRule="exact"/>
              <w:ind w:left="96"/>
              <w:rPr>
                <w:sz w:val="15"/>
              </w:rPr>
            </w:pPr>
            <w:r>
              <w:rPr>
                <w:sz w:val="15"/>
              </w:rPr>
              <w:t>3,870</w:t>
            </w:r>
          </w:p>
        </w:tc>
        <w:tc>
          <w:tcPr>
            <w:tcW w:w="910" w:type="dxa"/>
          </w:tcPr>
          <w:p>
            <w:pPr>
              <w:pStyle w:val="TableParagraph"/>
              <w:spacing w:line="167" w:lineRule="exact"/>
              <w:rPr>
                <w:sz w:val="15"/>
              </w:rPr>
            </w:pPr>
            <w:r>
              <w:rPr>
                <w:sz w:val="15"/>
              </w:rPr>
              <w:t>620</w:t>
            </w:r>
          </w:p>
        </w:tc>
        <w:tc>
          <w:tcPr>
            <w:tcW w:w="723" w:type="dxa"/>
          </w:tcPr>
          <w:p>
            <w:pPr>
              <w:pStyle w:val="TableParagraph"/>
              <w:spacing w:line="167" w:lineRule="exact"/>
              <w:ind w:left="96"/>
              <w:rPr>
                <w:sz w:val="15"/>
              </w:rPr>
            </w:pPr>
            <w:r>
              <w:rPr>
                <w:sz w:val="15"/>
              </w:rPr>
              <w:t>47,260</w:t>
            </w:r>
          </w:p>
        </w:tc>
        <w:tc>
          <w:tcPr>
            <w:tcW w:w="1373" w:type="dxa"/>
          </w:tcPr>
          <w:p>
            <w:pPr>
              <w:pStyle w:val="TableParagraph"/>
              <w:spacing w:line="167" w:lineRule="exact"/>
              <w:ind w:left="96"/>
              <w:rPr>
                <w:sz w:val="15"/>
              </w:rPr>
            </w:pPr>
            <w:r>
              <w:rPr>
                <w:sz w:val="15"/>
              </w:rPr>
              <w:t>11,900</w:t>
            </w:r>
          </w:p>
        </w:tc>
        <w:tc>
          <w:tcPr>
            <w:tcW w:w="754" w:type="dxa"/>
          </w:tcPr>
          <w:p>
            <w:pPr>
              <w:pStyle w:val="TableParagraph"/>
              <w:spacing w:line="167" w:lineRule="exact"/>
              <w:rPr>
                <w:sz w:val="15"/>
              </w:rPr>
            </w:pPr>
            <w:r>
              <w:rPr>
                <w:sz w:val="15"/>
              </w:rPr>
              <w:t>27,980</w:t>
            </w:r>
          </w:p>
        </w:tc>
        <w:tc>
          <w:tcPr>
            <w:tcW w:w="898" w:type="dxa"/>
          </w:tcPr>
          <w:p>
            <w:pPr>
              <w:pStyle w:val="TableParagraph"/>
              <w:spacing w:line="167" w:lineRule="exact"/>
              <w:ind w:left="95"/>
              <w:rPr>
                <w:sz w:val="15"/>
              </w:rPr>
            </w:pPr>
            <w:r>
              <w:rPr>
                <w:sz w:val="15"/>
              </w:rPr>
              <w:t>4,530</w:t>
            </w:r>
          </w:p>
        </w:tc>
        <w:tc>
          <w:tcPr>
            <w:tcW w:w="706" w:type="dxa"/>
          </w:tcPr>
          <w:p>
            <w:pPr>
              <w:pStyle w:val="TableParagraph"/>
              <w:spacing w:line="167" w:lineRule="exact"/>
              <w:ind w:right="89"/>
              <w:rPr>
                <w:sz w:val="15"/>
              </w:rPr>
            </w:pPr>
            <w:r>
              <w:rPr>
                <w:sz w:val="15"/>
              </w:rPr>
              <w:t>990</w:t>
            </w:r>
          </w:p>
        </w:tc>
        <w:tc>
          <w:tcPr>
            <w:tcW w:w="804" w:type="dxa"/>
          </w:tcPr>
          <w:p>
            <w:pPr>
              <w:pStyle w:val="TableParagraph"/>
              <w:spacing w:line="167" w:lineRule="exact"/>
              <w:ind w:left="0" w:right="172"/>
              <w:jc w:val="center"/>
              <w:rPr>
                <w:sz w:val="15"/>
              </w:rPr>
            </w:pPr>
            <w:r>
              <w:rPr>
                <w:sz w:val="15"/>
              </w:rPr>
              <w:t>45,400</w:t>
            </w:r>
          </w:p>
        </w:tc>
      </w:tr>
      <w:tr>
        <w:trPr>
          <w:trHeight w:val="374" w:hRule="exact"/>
        </w:trPr>
        <w:tc>
          <w:tcPr>
            <w:tcW w:w="1049" w:type="dxa"/>
          </w:tcPr>
          <w:p>
            <w:pPr>
              <w:pStyle w:val="TableParagraph"/>
              <w:spacing w:line="167" w:lineRule="exact"/>
              <w:rPr>
                <w:sz w:val="15"/>
              </w:rPr>
            </w:pPr>
            <w:r>
              <w:rPr>
                <w:sz w:val="15"/>
              </w:rPr>
              <w:t>Perú</w:t>
            </w:r>
          </w:p>
        </w:tc>
        <w:tc>
          <w:tcPr>
            <w:tcW w:w="787" w:type="dxa"/>
          </w:tcPr>
          <w:p>
            <w:pPr>
              <w:pStyle w:val="TableParagraph"/>
              <w:spacing w:line="167" w:lineRule="exact"/>
              <w:ind w:right="178"/>
              <w:rPr>
                <w:sz w:val="15"/>
              </w:rPr>
            </w:pPr>
            <w:r>
              <w:rPr>
                <w:sz w:val="15"/>
              </w:rPr>
              <w:t>15,260</w:t>
            </w:r>
          </w:p>
        </w:tc>
        <w:tc>
          <w:tcPr>
            <w:tcW w:w="710" w:type="dxa"/>
          </w:tcPr>
          <w:p>
            <w:pPr>
              <w:pStyle w:val="TableParagraph"/>
              <w:spacing w:line="167" w:lineRule="exact"/>
              <w:rPr>
                <w:sz w:val="15"/>
              </w:rPr>
            </w:pPr>
            <w:r>
              <w:rPr>
                <w:sz w:val="15"/>
              </w:rPr>
              <w:t>20,040</w:t>
            </w:r>
          </w:p>
        </w:tc>
        <w:tc>
          <w:tcPr>
            <w:tcW w:w="1352" w:type="dxa"/>
          </w:tcPr>
          <w:p>
            <w:pPr>
              <w:pStyle w:val="TableParagraph"/>
              <w:spacing w:line="167" w:lineRule="exact"/>
              <w:ind w:left="96"/>
              <w:rPr>
                <w:sz w:val="15"/>
              </w:rPr>
            </w:pPr>
            <w:r>
              <w:rPr>
                <w:sz w:val="15"/>
              </w:rPr>
              <w:t>5,490</w:t>
            </w:r>
          </w:p>
        </w:tc>
        <w:tc>
          <w:tcPr>
            <w:tcW w:w="910" w:type="dxa"/>
          </w:tcPr>
          <w:p>
            <w:pPr>
              <w:pStyle w:val="TableParagraph"/>
              <w:spacing w:line="167" w:lineRule="exact"/>
              <w:rPr>
                <w:sz w:val="15"/>
              </w:rPr>
            </w:pPr>
            <w:r>
              <w:rPr>
                <w:sz w:val="15"/>
              </w:rPr>
              <w:t>2,610</w:t>
            </w:r>
          </w:p>
        </w:tc>
        <w:tc>
          <w:tcPr>
            <w:tcW w:w="723" w:type="dxa"/>
          </w:tcPr>
          <w:p>
            <w:pPr>
              <w:pStyle w:val="TableParagraph"/>
              <w:spacing w:line="167" w:lineRule="exact"/>
              <w:ind w:left="96"/>
              <w:rPr>
                <w:sz w:val="15"/>
              </w:rPr>
            </w:pPr>
            <w:r>
              <w:rPr>
                <w:sz w:val="15"/>
              </w:rPr>
              <w:t>43,400</w:t>
            </w:r>
          </w:p>
        </w:tc>
        <w:tc>
          <w:tcPr>
            <w:tcW w:w="1373" w:type="dxa"/>
          </w:tcPr>
          <w:p>
            <w:pPr>
              <w:pStyle w:val="TableParagraph"/>
              <w:spacing w:line="167" w:lineRule="exact"/>
              <w:ind w:left="96"/>
              <w:rPr>
                <w:sz w:val="15"/>
              </w:rPr>
            </w:pPr>
            <w:r>
              <w:rPr>
                <w:sz w:val="15"/>
              </w:rPr>
              <w:t>16,070</w:t>
            </w:r>
          </w:p>
        </w:tc>
        <w:tc>
          <w:tcPr>
            <w:tcW w:w="754" w:type="dxa"/>
          </w:tcPr>
          <w:p>
            <w:pPr>
              <w:pStyle w:val="TableParagraph"/>
              <w:spacing w:line="167" w:lineRule="exact"/>
              <w:rPr>
                <w:sz w:val="15"/>
              </w:rPr>
            </w:pPr>
            <w:r>
              <w:rPr>
                <w:sz w:val="15"/>
              </w:rPr>
              <w:t>23,710</w:t>
            </w:r>
          </w:p>
        </w:tc>
        <w:tc>
          <w:tcPr>
            <w:tcW w:w="898" w:type="dxa"/>
          </w:tcPr>
          <w:p>
            <w:pPr>
              <w:pStyle w:val="TableParagraph"/>
              <w:spacing w:line="167" w:lineRule="exact"/>
              <w:ind w:left="95"/>
              <w:rPr>
                <w:sz w:val="15"/>
              </w:rPr>
            </w:pPr>
            <w:r>
              <w:rPr>
                <w:sz w:val="15"/>
              </w:rPr>
              <w:t>6,880</w:t>
            </w:r>
          </w:p>
        </w:tc>
        <w:tc>
          <w:tcPr>
            <w:tcW w:w="706" w:type="dxa"/>
          </w:tcPr>
          <w:p>
            <w:pPr>
              <w:pStyle w:val="TableParagraph"/>
              <w:spacing w:line="167" w:lineRule="exact"/>
              <w:ind w:right="89"/>
              <w:rPr>
                <w:sz w:val="15"/>
              </w:rPr>
            </w:pPr>
            <w:r>
              <w:rPr>
                <w:sz w:val="15"/>
              </w:rPr>
              <w:t>3,900</w:t>
            </w:r>
          </w:p>
        </w:tc>
        <w:tc>
          <w:tcPr>
            <w:tcW w:w="804" w:type="dxa"/>
          </w:tcPr>
          <w:p>
            <w:pPr>
              <w:pStyle w:val="TableParagraph"/>
              <w:spacing w:line="167" w:lineRule="exact"/>
              <w:ind w:left="0" w:right="172"/>
              <w:jc w:val="center"/>
              <w:rPr>
                <w:sz w:val="15"/>
              </w:rPr>
            </w:pPr>
            <w:r>
              <w:rPr>
                <w:sz w:val="15"/>
              </w:rPr>
              <w:t>50,560</w:t>
            </w:r>
          </w:p>
        </w:tc>
      </w:tr>
      <w:tr>
        <w:trPr>
          <w:trHeight w:val="564" w:hRule="exact"/>
        </w:trPr>
        <w:tc>
          <w:tcPr>
            <w:tcW w:w="1049" w:type="dxa"/>
          </w:tcPr>
          <w:p>
            <w:pPr>
              <w:pStyle w:val="TableParagraph"/>
              <w:tabs>
                <w:tab w:pos="784" w:val="left" w:leader="none"/>
              </w:tabs>
              <w:spacing w:line="256" w:lineRule="auto"/>
              <w:ind w:right="90"/>
              <w:rPr>
                <w:sz w:val="15"/>
              </w:rPr>
            </w:pPr>
            <w:r>
              <w:rPr>
                <w:sz w:val="15"/>
              </w:rPr>
              <w:t>R.B.</w:t>
              <w:tab/>
              <w:t>de Venezuela</w:t>
            </w:r>
          </w:p>
        </w:tc>
        <w:tc>
          <w:tcPr>
            <w:tcW w:w="787" w:type="dxa"/>
          </w:tcPr>
          <w:p>
            <w:pPr>
              <w:pStyle w:val="TableParagraph"/>
              <w:ind w:right="178"/>
              <w:rPr>
                <w:sz w:val="15"/>
              </w:rPr>
            </w:pPr>
            <w:r>
              <w:rPr>
                <w:sz w:val="15"/>
              </w:rPr>
              <w:t>8,580</w:t>
            </w:r>
          </w:p>
        </w:tc>
        <w:tc>
          <w:tcPr>
            <w:tcW w:w="710" w:type="dxa"/>
          </w:tcPr>
          <w:p>
            <w:pPr>
              <w:pStyle w:val="TableParagraph"/>
              <w:rPr>
                <w:sz w:val="15"/>
              </w:rPr>
            </w:pPr>
            <w:r>
              <w:rPr>
                <w:sz w:val="15"/>
              </w:rPr>
              <w:t>11,780</w:t>
            </w:r>
          </w:p>
        </w:tc>
        <w:tc>
          <w:tcPr>
            <w:tcW w:w="1352" w:type="dxa"/>
          </w:tcPr>
          <w:p>
            <w:pPr>
              <w:pStyle w:val="TableParagraph"/>
              <w:ind w:left="96"/>
              <w:rPr>
                <w:sz w:val="15"/>
              </w:rPr>
            </w:pPr>
            <w:r>
              <w:rPr>
                <w:sz w:val="15"/>
              </w:rPr>
              <w:t>1,410</w:t>
            </w:r>
          </w:p>
        </w:tc>
        <w:tc>
          <w:tcPr>
            <w:tcW w:w="910" w:type="dxa"/>
          </w:tcPr>
          <w:p>
            <w:pPr>
              <w:pStyle w:val="TableParagraph"/>
              <w:rPr>
                <w:sz w:val="15"/>
              </w:rPr>
            </w:pPr>
            <w:r>
              <w:rPr>
                <w:sz w:val="15"/>
              </w:rPr>
              <w:t>1,420</w:t>
            </w:r>
          </w:p>
        </w:tc>
        <w:tc>
          <w:tcPr>
            <w:tcW w:w="723" w:type="dxa"/>
          </w:tcPr>
          <w:p>
            <w:pPr>
              <w:pStyle w:val="TableParagraph"/>
              <w:ind w:left="96"/>
              <w:rPr>
                <w:sz w:val="15"/>
              </w:rPr>
            </w:pPr>
            <w:r>
              <w:rPr>
                <w:sz w:val="15"/>
              </w:rPr>
              <w:t>23,190</w:t>
            </w:r>
          </w:p>
        </w:tc>
        <w:tc>
          <w:tcPr>
            <w:tcW w:w="1373" w:type="dxa"/>
          </w:tcPr>
          <w:p>
            <w:pPr>
              <w:pStyle w:val="TableParagraph"/>
              <w:ind w:left="96"/>
              <w:rPr>
                <w:sz w:val="15"/>
              </w:rPr>
            </w:pPr>
            <w:r>
              <w:rPr>
                <w:sz w:val="15"/>
              </w:rPr>
              <w:t>10,830</w:t>
            </w:r>
          </w:p>
        </w:tc>
        <w:tc>
          <w:tcPr>
            <w:tcW w:w="754" w:type="dxa"/>
          </w:tcPr>
          <w:p>
            <w:pPr>
              <w:pStyle w:val="TableParagraph"/>
              <w:rPr>
                <w:sz w:val="15"/>
              </w:rPr>
            </w:pPr>
            <w:r>
              <w:rPr>
                <w:sz w:val="15"/>
              </w:rPr>
              <w:t>8,840</w:t>
            </w:r>
          </w:p>
        </w:tc>
        <w:tc>
          <w:tcPr>
            <w:tcW w:w="898" w:type="dxa"/>
          </w:tcPr>
          <w:p>
            <w:pPr>
              <w:pStyle w:val="TableParagraph"/>
              <w:ind w:left="95"/>
              <w:rPr>
                <w:sz w:val="15"/>
              </w:rPr>
            </w:pPr>
            <w:r>
              <w:rPr>
                <w:sz w:val="15"/>
              </w:rPr>
              <w:t>1,280</w:t>
            </w:r>
          </w:p>
        </w:tc>
        <w:tc>
          <w:tcPr>
            <w:tcW w:w="706" w:type="dxa"/>
          </w:tcPr>
          <w:p>
            <w:pPr>
              <w:pStyle w:val="TableParagraph"/>
              <w:ind w:right="89"/>
              <w:rPr>
                <w:sz w:val="15"/>
              </w:rPr>
            </w:pPr>
            <w:r>
              <w:rPr>
                <w:sz w:val="15"/>
              </w:rPr>
              <w:t>3,030</w:t>
            </w:r>
          </w:p>
        </w:tc>
        <w:tc>
          <w:tcPr>
            <w:tcW w:w="804" w:type="dxa"/>
          </w:tcPr>
          <w:p>
            <w:pPr>
              <w:pStyle w:val="TableParagraph"/>
              <w:ind w:left="0" w:right="172"/>
              <w:jc w:val="center"/>
              <w:rPr>
                <w:sz w:val="15"/>
              </w:rPr>
            </w:pPr>
            <w:r>
              <w:rPr>
                <w:sz w:val="15"/>
              </w:rPr>
              <w:t>23,980</w:t>
            </w:r>
          </w:p>
        </w:tc>
      </w:tr>
      <w:tr>
        <w:trPr>
          <w:trHeight w:val="562" w:hRule="exact"/>
        </w:trPr>
        <w:tc>
          <w:tcPr>
            <w:tcW w:w="1049" w:type="dxa"/>
          </w:tcPr>
          <w:p>
            <w:pPr>
              <w:pStyle w:val="TableParagraph"/>
              <w:spacing w:line="261" w:lineRule="auto"/>
              <w:ind w:right="465"/>
              <w:rPr>
                <w:sz w:val="15"/>
              </w:rPr>
            </w:pPr>
            <w:r>
              <w:rPr>
                <w:sz w:val="15"/>
              </w:rPr>
              <w:t>Región Andina</w:t>
            </w:r>
          </w:p>
        </w:tc>
        <w:tc>
          <w:tcPr>
            <w:tcW w:w="787" w:type="dxa"/>
          </w:tcPr>
          <w:p>
            <w:pPr>
              <w:pStyle w:val="TableParagraph"/>
              <w:spacing w:line="167" w:lineRule="exact"/>
              <w:ind w:right="178"/>
              <w:rPr>
                <w:sz w:val="15"/>
              </w:rPr>
            </w:pPr>
            <w:r>
              <w:rPr>
                <w:sz w:val="15"/>
              </w:rPr>
              <w:t>64,740</w:t>
            </w:r>
          </w:p>
        </w:tc>
        <w:tc>
          <w:tcPr>
            <w:tcW w:w="710" w:type="dxa"/>
          </w:tcPr>
          <w:p>
            <w:pPr>
              <w:pStyle w:val="TableParagraph"/>
              <w:spacing w:line="167" w:lineRule="exact"/>
              <w:rPr>
                <w:sz w:val="15"/>
              </w:rPr>
            </w:pPr>
            <w:r>
              <w:rPr>
                <w:sz w:val="15"/>
              </w:rPr>
              <w:t>137,520</w:t>
            </w:r>
          </w:p>
        </w:tc>
        <w:tc>
          <w:tcPr>
            <w:tcW w:w="1352" w:type="dxa"/>
          </w:tcPr>
          <w:p>
            <w:pPr>
              <w:pStyle w:val="TableParagraph"/>
              <w:spacing w:line="167" w:lineRule="exact"/>
              <w:ind w:left="96"/>
              <w:rPr>
                <w:sz w:val="15"/>
              </w:rPr>
            </w:pPr>
            <w:r>
              <w:rPr>
                <w:sz w:val="15"/>
              </w:rPr>
              <w:t>15,750</w:t>
            </w:r>
          </w:p>
        </w:tc>
        <w:tc>
          <w:tcPr>
            <w:tcW w:w="910" w:type="dxa"/>
          </w:tcPr>
          <w:p>
            <w:pPr>
              <w:pStyle w:val="TableParagraph"/>
              <w:spacing w:line="167" w:lineRule="exact"/>
              <w:rPr>
                <w:sz w:val="15"/>
              </w:rPr>
            </w:pPr>
            <w:r>
              <w:rPr>
                <w:sz w:val="15"/>
              </w:rPr>
              <w:t>10,620</w:t>
            </w:r>
          </w:p>
        </w:tc>
        <w:tc>
          <w:tcPr>
            <w:tcW w:w="723" w:type="dxa"/>
          </w:tcPr>
          <w:p>
            <w:pPr>
              <w:pStyle w:val="TableParagraph"/>
              <w:spacing w:line="167" w:lineRule="exact"/>
              <w:ind w:left="96"/>
              <w:rPr>
                <w:sz w:val="15"/>
              </w:rPr>
            </w:pPr>
            <w:r>
              <w:rPr>
                <w:sz w:val="15"/>
              </w:rPr>
              <w:t>228,630</w:t>
            </w:r>
          </w:p>
        </w:tc>
        <w:tc>
          <w:tcPr>
            <w:tcW w:w="1373" w:type="dxa"/>
          </w:tcPr>
          <w:p>
            <w:pPr>
              <w:pStyle w:val="TableParagraph"/>
              <w:spacing w:line="167" w:lineRule="exact"/>
              <w:ind w:left="96"/>
              <w:rPr>
                <w:sz w:val="15"/>
              </w:rPr>
            </w:pPr>
            <w:r>
              <w:rPr>
                <w:sz w:val="15"/>
              </w:rPr>
              <w:t>70,470</w:t>
            </w:r>
          </w:p>
        </w:tc>
        <w:tc>
          <w:tcPr>
            <w:tcW w:w="754" w:type="dxa"/>
          </w:tcPr>
          <w:p>
            <w:pPr>
              <w:pStyle w:val="TableParagraph"/>
              <w:spacing w:line="167" w:lineRule="exact"/>
              <w:rPr>
                <w:sz w:val="15"/>
              </w:rPr>
            </w:pPr>
            <w:r>
              <w:rPr>
                <w:sz w:val="15"/>
              </w:rPr>
              <w:t>106,190</w:t>
            </w:r>
          </w:p>
        </w:tc>
        <w:tc>
          <w:tcPr>
            <w:tcW w:w="898" w:type="dxa"/>
          </w:tcPr>
          <w:p>
            <w:pPr>
              <w:pStyle w:val="TableParagraph"/>
              <w:spacing w:line="167" w:lineRule="exact"/>
              <w:ind w:left="95"/>
              <w:rPr>
                <w:sz w:val="15"/>
              </w:rPr>
            </w:pPr>
            <w:r>
              <w:rPr>
                <w:sz w:val="15"/>
              </w:rPr>
              <w:t>18,380</w:t>
            </w:r>
          </w:p>
        </w:tc>
        <w:tc>
          <w:tcPr>
            <w:tcW w:w="706" w:type="dxa"/>
          </w:tcPr>
          <w:p>
            <w:pPr>
              <w:pStyle w:val="TableParagraph"/>
              <w:spacing w:line="167" w:lineRule="exact"/>
              <w:ind w:right="89"/>
              <w:rPr>
                <w:sz w:val="15"/>
              </w:rPr>
            </w:pPr>
            <w:r>
              <w:rPr>
                <w:sz w:val="15"/>
              </w:rPr>
              <w:t>15,680</w:t>
            </w:r>
          </w:p>
        </w:tc>
        <w:tc>
          <w:tcPr>
            <w:tcW w:w="804" w:type="dxa"/>
          </w:tcPr>
          <w:p>
            <w:pPr>
              <w:pStyle w:val="TableParagraph"/>
              <w:spacing w:line="167" w:lineRule="exact"/>
              <w:ind w:left="75" w:right="172"/>
              <w:jc w:val="center"/>
              <w:rPr>
                <w:sz w:val="15"/>
              </w:rPr>
            </w:pPr>
            <w:r>
              <w:rPr>
                <w:sz w:val="15"/>
              </w:rPr>
              <w:t>210,720</w:t>
            </w:r>
          </w:p>
        </w:tc>
      </w:tr>
      <w:tr>
        <w:trPr>
          <w:trHeight w:val="377" w:hRule="exact"/>
        </w:trPr>
        <w:tc>
          <w:tcPr>
            <w:tcW w:w="1049" w:type="dxa"/>
          </w:tcPr>
          <w:p>
            <w:pPr>
              <w:pStyle w:val="TableParagraph"/>
              <w:spacing w:line="167" w:lineRule="exact"/>
              <w:rPr>
                <w:sz w:val="15"/>
              </w:rPr>
            </w:pPr>
            <w:r>
              <w:rPr>
                <w:sz w:val="15"/>
              </w:rPr>
              <w:t>Argentina</w:t>
            </w:r>
          </w:p>
        </w:tc>
        <w:tc>
          <w:tcPr>
            <w:tcW w:w="787" w:type="dxa"/>
          </w:tcPr>
          <w:p>
            <w:pPr>
              <w:pStyle w:val="TableParagraph"/>
              <w:spacing w:line="167" w:lineRule="exact"/>
              <w:ind w:right="178"/>
              <w:rPr>
                <w:sz w:val="15"/>
              </w:rPr>
            </w:pPr>
            <w:r>
              <w:rPr>
                <w:sz w:val="15"/>
              </w:rPr>
              <w:t>5,600</w:t>
            </w:r>
          </w:p>
        </w:tc>
        <w:tc>
          <w:tcPr>
            <w:tcW w:w="710" w:type="dxa"/>
          </w:tcPr>
          <w:p>
            <w:pPr>
              <w:pStyle w:val="TableParagraph"/>
              <w:spacing w:line="167" w:lineRule="exact"/>
              <w:rPr>
                <w:sz w:val="15"/>
              </w:rPr>
            </w:pPr>
            <w:r>
              <w:rPr>
                <w:sz w:val="15"/>
              </w:rPr>
              <w:t>23,460</w:t>
            </w:r>
          </w:p>
        </w:tc>
        <w:tc>
          <w:tcPr>
            <w:tcW w:w="1352" w:type="dxa"/>
          </w:tcPr>
          <w:p>
            <w:pPr>
              <w:pStyle w:val="TableParagraph"/>
              <w:spacing w:line="167" w:lineRule="exact"/>
              <w:ind w:left="96"/>
              <w:rPr>
                <w:sz w:val="15"/>
              </w:rPr>
            </w:pPr>
            <w:r>
              <w:rPr>
                <w:sz w:val="15"/>
              </w:rPr>
              <w:t>3,240</w:t>
            </w:r>
          </w:p>
        </w:tc>
        <w:tc>
          <w:tcPr>
            <w:tcW w:w="910" w:type="dxa"/>
          </w:tcPr>
          <w:p>
            <w:pPr>
              <w:pStyle w:val="TableParagraph"/>
              <w:spacing w:line="167" w:lineRule="exact"/>
              <w:rPr>
                <w:sz w:val="15"/>
              </w:rPr>
            </w:pPr>
            <w:r>
              <w:rPr>
                <w:sz w:val="15"/>
              </w:rPr>
              <w:t>1,850</w:t>
            </w:r>
          </w:p>
        </w:tc>
        <w:tc>
          <w:tcPr>
            <w:tcW w:w="723" w:type="dxa"/>
          </w:tcPr>
          <w:p>
            <w:pPr>
              <w:pStyle w:val="TableParagraph"/>
              <w:spacing w:line="167" w:lineRule="exact"/>
              <w:ind w:left="96"/>
              <w:rPr>
                <w:sz w:val="15"/>
              </w:rPr>
            </w:pPr>
            <w:r>
              <w:rPr>
                <w:sz w:val="15"/>
              </w:rPr>
              <w:t>34,150</w:t>
            </w:r>
          </w:p>
        </w:tc>
        <w:tc>
          <w:tcPr>
            <w:tcW w:w="1373" w:type="dxa"/>
          </w:tcPr>
          <w:p>
            <w:pPr>
              <w:pStyle w:val="TableParagraph"/>
              <w:spacing w:line="167" w:lineRule="exact"/>
              <w:ind w:left="96"/>
              <w:rPr>
                <w:sz w:val="15"/>
              </w:rPr>
            </w:pPr>
            <w:r>
              <w:rPr>
                <w:sz w:val="15"/>
              </w:rPr>
              <w:t>5,570</w:t>
            </w:r>
          </w:p>
        </w:tc>
        <w:tc>
          <w:tcPr>
            <w:tcW w:w="754" w:type="dxa"/>
          </w:tcPr>
          <w:p>
            <w:pPr>
              <w:pStyle w:val="TableParagraph"/>
              <w:spacing w:line="167" w:lineRule="exact"/>
              <w:rPr>
                <w:sz w:val="15"/>
              </w:rPr>
            </w:pPr>
            <w:r>
              <w:rPr>
                <w:sz w:val="15"/>
              </w:rPr>
              <w:t>13,190</w:t>
            </w:r>
          </w:p>
        </w:tc>
        <w:tc>
          <w:tcPr>
            <w:tcW w:w="898" w:type="dxa"/>
          </w:tcPr>
          <w:p>
            <w:pPr>
              <w:pStyle w:val="TableParagraph"/>
              <w:spacing w:line="167" w:lineRule="exact"/>
              <w:ind w:left="95"/>
              <w:rPr>
                <w:sz w:val="15"/>
              </w:rPr>
            </w:pPr>
            <w:r>
              <w:rPr>
                <w:sz w:val="15"/>
              </w:rPr>
              <w:t>2,270</w:t>
            </w:r>
          </w:p>
        </w:tc>
        <w:tc>
          <w:tcPr>
            <w:tcW w:w="706" w:type="dxa"/>
          </w:tcPr>
          <w:p>
            <w:pPr>
              <w:pStyle w:val="TableParagraph"/>
              <w:spacing w:line="167" w:lineRule="exact"/>
              <w:ind w:right="89"/>
              <w:rPr>
                <w:sz w:val="15"/>
              </w:rPr>
            </w:pPr>
            <w:r>
              <w:rPr>
                <w:sz w:val="15"/>
              </w:rPr>
              <w:t>2,440</w:t>
            </w:r>
          </w:p>
        </w:tc>
        <w:tc>
          <w:tcPr>
            <w:tcW w:w="804" w:type="dxa"/>
          </w:tcPr>
          <w:p>
            <w:pPr>
              <w:pStyle w:val="TableParagraph"/>
              <w:spacing w:line="167" w:lineRule="exact"/>
              <w:ind w:left="0" w:right="172"/>
              <w:jc w:val="center"/>
              <w:rPr>
                <w:sz w:val="15"/>
              </w:rPr>
            </w:pPr>
            <w:r>
              <w:rPr>
                <w:sz w:val="15"/>
              </w:rPr>
              <w:t>23,470</w:t>
            </w:r>
          </w:p>
        </w:tc>
      </w:tr>
      <w:tr>
        <w:trPr>
          <w:trHeight w:val="374" w:hRule="exact"/>
        </w:trPr>
        <w:tc>
          <w:tcPr>
            <w:tcW w:w="1049" w:type="dxa"/>
          </w:tcPr>
          <w:p>
            <w:pPr>
              <w:pStyle w:val="TableParagraph"/>
              <w:spacing w:line="167" w:lineRule="exact"/>
              <w:rPr>
                <w:sz w:val="15"/>
              </w:rPr>
            </w:pPr>
            <w:r>
              <w:rPr>
                <w:sz w:val="15"/>
              </w:rPr>
              <w:t>Brasil</w:t>
            </w:r>
          </w:p>
        </w:tc>
        <w:tc>
          <w:tcPr>
            <w:tcW w:w="787" w:type="dxa"/>
          </w:tcPr>
          <w:p>
            <w:pPr>
              <w:pStyle w:val="TableParagraph"/>
              <w:spacing w:line="167" w:lineRule="exact"/>
              <w:ind w:right="178"/>
              <w:rPr>
                <w:sz w:val="15"/>
              </w:rPr>
            </w:pPr>
            <w:r>
              <w:rPr>
                <w:sz w:val="15"/>
              </w:rPr>
              <w:t>13,150</w:t>
            </w:r>
          </w:p>
        </w:tc>
        <w:tc>
          <w:tcPr>
            <w:tcW w:w="710" w:type="dxa"/>
          </w:tcPr>
          <w:p>
            <w:pPr>
              <w:pStyle w:val="TableParagraph"/>
              <w:spacing w:line="167" w:lineRule="exact"/>
              <w:rPr>
                <w:sz w:val="15"/>
              </w:rPr>
            </w:pPr>
            <w:r>
              <w:rPr>
                <w:sz w:val="15"/>
              </w:rPr>
              <w:t>23,440</w:t>
            </w:r>
          </w:p>
        </w:tc>
        <w:tc>
          <w:tcPr>
            <w:tcW w:w="1352" w:type="dxa"/>
          </w:tcPr>
          <w:p>
            <w:pPr>
              <w:pStyle w:val="TableParagraph"/>
              <w:spacing w:line="167" w:lineRule="exact"/>
              <w:ind w:left="96"/>
              <w:rPr>
                <w:sz w:val="15"/>
              </w:rPr>
            </w:pPr>
            <w:r>
              <w:rPr>
                <w:sz w:val="15"/>
              </w:rPr>
              <w:t>24,560</w:t>
            </w:r>
          </w:p>
        </w:tc>
        <w:tc>
          <w:tcPr>
            <w:tcW w:w="910" w:type="dxa"/>
          </w:tcPr>
          <w:p>
            <w:pPr>
              <w:pStyle w:val="TableParagraph"/>
              <w:spacing w:line="167" w:lineRule="exact"/>
              <w:rPr>
                <w:sz w:val="15"/>
              </w:rPr>
            </w:pPr>
            <w:r>
              <w:rPr>
                <w:sz w:val="15"/>
              </w:rPr>
              <w:t>31,700</w:t>
            </w:r>
          </w:p>
        </w:tc>
        <w:tc>
          <w:tcPr>
            <w:tcW w:w="723" w:type="dxa"/>
          </w:tcPr>
          <w:p>
            <w:pPr>
              <w:pStyle w:val="TableParagraph"/>
              <w:spacing w:line="167" w:lineRule="exact"/>
              <w:ind w:left="96"/>
              <w:rPr>
                <w:sz w:val="15"/>
              </w:rPr>
            </w:pPr>
            <w:r>
              <w:rPr>
                <w:sz w:val="15"/>
              </w:rPr>
              <w:t>92,850</w:t>
            </w:r>
          </w:p>
        </w:tc>
        <w:tc>
          <w:tcPr>
            <w:tcW w:w="1373" w:type="dxa"/>
          </w:tcPr>
          <w:p>
            <w:pPr>
              <w:pStyle w:val="TableParagraph"/>
              <w:spacing w:line="167" w:lineRule="exact"/>
              <w:ind w:left="96"/>
              <w:rPr>
                <w:sz w:val="15"/>
              </w:rPr>
            </w:pPr>
            <w:r>
              <w:rPr>
                <w:sz w:val="15"/>
              </w:rPr>
              <w:t>13,450</w:t>
            </w:r>
          </w:p>
        </w:tc>
        <w:tc>
          <w:tcPr>
            <w:tcW w:w="754" w:type="dxa"/>
          </w:tcPr>
          <w:p>
            <w:pPr>
              <w:pStyle w:val="TableParagraph"/>
              <w:spacing w:line="167" w:lineRule="exact"/>
              <w:rPr>
                <w:sz w:val="15"/>
              </w:rPr>
            </w:pPr>
            <w:r>
              <w:rPr>
                <w:sz w:val="15"/>
              </w:rPr>
              <w:t>20,860</w:t>
            </w:r>
          </w:p>
        </w:tc>
        <w:tc>
          <w:tcPr>
            <w:tcW w:w="898" w:type="dxa"/>
          </w:tcPr>
          <w:p>
            <w:pPr>
              <w:pStyle w:val="TableParagraph"/>
              <w:spacing w:line="167" w:lineRule="exact"/>
              <w:ind w:left="95"/>
              <w:rPr>
                <w:sz w:val="15"/>
              </w:rPr>
            </w:pPr>
            <w:r>
              <w:rPr>
                <w:sz w:val="15"/>
              </w:rPr>
              <w:t>19,070</w:t>
            </w:r>
          </w:p>
        </w:tc>
        <w:tc>
          <w:tcPr>
            <w:tcW w:w="706" w:type="dxa"/>
          </w:tcPr>
          <w:p>
            <w:pPr>
              <w:pStyle w:val="TableParagraph"/>
              <w:spacing w:line="167" w:lineRule="exact"/>
              <w:ind w:right="89"/>
              <w:rPr>
                <w:sz w:val="15"/>
              </w:rPr>
            </w:pPr>
            <w:r>
              <w:rPr>
                <w:sz w:val="15"/>
              </w:rPr>
              <w:t>12,860</w:t>
            </w:r>
          </w:p>
        </w:tc>
        <w:tc>
          <w:tcPr>
            <w:tcW w:w="804" w:type="dxa"/>
          </w:tcPr>
          <w:p>
            <w:pPr>
              <w:pStyle w:val="TableParagraph"/>
              <w:spacing w:line="167" w:lineRule="exact"/>
              <w:ind w:left="0" w:right="172"/>
              <w:jc w:val="center"/>
              <w:rPr>
                <w:sz w:val="15"/>
              </w:rPr>
            </w:pPr>
            <w:r>
              <w:rPr>
                <w:sz w:val="15"/>
              </w:rPr>
              <w:t>66,240</w:t>
            </w:r>
          </w:p>
        </w:tc>
      </w:tr>
      <w:tr>
        <w:trPr>
          <w:trHeight w:val="377" w:hRule="exact"/>
        </w:trPr>
        <w:tc>
          <w:tcPr>
            <w:tcW w:w="1049" w:type="dxa"/>
          </w:tcPr>
          <w:p>
            <w:pPr>
              <w:pStyle w:val="TableParagraph"/>
              <w:rPr>
                <w:sz w:val="15"/>
              </w:rPr>
            </w:pPr>
            <w:r>
              <w:rPr>
                <w:sz w:val="15"/>
              </w:rPr>
              <w:t>Chile</w:t>
            </w:r>
          </w:p>
        </w:tc>
        <w:tc>
          <w:tcPr>
            <w:tcW w:w="787" w:type="dxa"/>
          </w:tcPr>
          <w:p>
            <w:pPr>
              <w:pStyle w:val="TableParagraph"/>
              <w:ind w:right="178"/>
              <w:rPr>
                <w:sz w:val="15"/>
              </w:rPr>
            </w:pPr>
            <w:r>
              <w:rPr>
                <w:sz w:val="15"/>
              </w:rPr>
              <w:t>2,110</w:t>
            </w:r>
          </w:p>
        </w:tc>
        <w:tc>
          <w:tcPr>
            <w:tcW w:w="710" w:type="dxa"/>
          </w:tcPr>
          <w:p>
            <w:pPr>
              <w:pStyle w:val="TableParagraph"/>
              <w:rPr>
                <w:sz w:val="15"/>
              </w:rPr>
            </w:pPr>
            <w:r>
              <w:rPr>
                <w:sz w:val="15"/>
              </w:rPr>
              <w:t>8,110</w:t>
            </w:r>
          </w:p>
        </w:tc>
        <w:tc>
          <w:tcPr>
            <w:tcW w:w="1352" w:type="dxa"/>
          </w:tcPr>
          <w:p>
            <w:pPr>
              <w:pStyle w:val="TableParagraph"/>
              <w:ind w:left="96"/>
              <w:rPr>
                <w:sz w:val="15"/>
              </w:rPr>
            </w:pPr>
            <w:r>
              <w:rPr>
                <w:sz w:val="15"/>
              </w:rPr>
              <w:t>1,810</w:t>
            </w:r>
          </w:p>
        </w:tc>
        <w:tc>
          <w:tcPr>
            <w:tcW w:w="910" w:type="dxa"/>
          </w:tcPr>
          <w:p>
            <w:pPr>
              <w:pStyle w:val="TableParagraph"/>
              <w:rPr>
                <w:sz w:val="15"/>
              </w:rPr>
            </w:pPr>
            <w:r>
              <w:rPr>
                <w:sz w:val="15"/>
              </w:rPr>
              <w:t>740</w:t>
            </w:r>
          </w:p>
        </w:tc>
        <w:tc>
          <w:tcPr>
            <w:tcW w:w="723" w:type="dxa"/>
          </w:tcPr>
          <w:p>
            <w:pPr>
              <w:pStyle w:val="TableParagraph"/>
              <w:ind w:left="96"/>
              <w:rPr>
                <w:sz w:val="15"/>
              </w:rPr>
            </w:pPr>
            <w:r>
              <w:rPr>
                <w:sz w:val="15"/>
              </w:rPr>
              <w:t>12,770</w:t>
            </w:r>
          </w:p>
        </w:tc>
        <w:tc>
          <w:tcPr>
            <w:tcW w:w="1373" w:type="dxa"/>
          </w:tcPr>
          <w:p>
            <w:pPr>
              <w:pStyle w:val="TableParagraph"/>
              <w:ind w:left="96"/>
              <w:rPr>
                <w:sz w:val="15"/>
              </w:rPr>
            </w:pPr>
            <w:r>
              <w:rPr>
                <w:sz w:val="15"/>
              </w:rPr>
              <w:t>2,130</w:t>
            </w:r>
          </w:p>
        </w:tc>
        <w:tc>
          <w:tcPr>
            <w:tcW w:w="754" w:type="dxa"/>
          </w:tcPr>
          <w:p>
            <w:pPr>
              <w:pStyle w:val="TableParagraph"/>
              <w:rPr>
                <w:sz w:val="15"/>
              </w:rPr>
            </w:pPr>
            <w:r>
              <w:rPr>
                <w:sz w:val="15"/>
              </w:rPr>
              <w:t>5,490</w:t>
            </w:r>
          </w:p>
        </w:tc>
        <w:tc>
          <w:tcPr>
            <w:tcW w:w="898" w:type="dxa"/>
          </w:tcPr>
          <w:p>
            <w:pPr>
              <w:pStyle w:val="TableParagraph"/>
              <w:ind w:left="95"/>
              <w:rPr>
                <w:sz w:val="15"/>
              </w:rPr>
            </w:pPr>
            <w:r>
              <w:rPr>
                <w:sz w:val="15"/>
              </w:rPr>
              <w:t>1,990</w:t>
            </w:r>
          </w:p>
        </w:tc>
        <w:tc>
          <w:tcPr>
            <w:tcW w:w="706" w:type="dxa"/>
          </w:tcPr>
          <w:p>
            <w:pPr>
              <w:pStyle w:val="TableParagraph"/>
              <w:ind w:right="89"/>
              <w:rPr>
                <w:sz w:val="15"/>
              </w:rPr>
            </w:pPr>
            <w:r>
              <w:rPr>
                <w:sz w:val="15"/>
              </w:rPr>
              <w:t>1,210</w:t>
            </w:r>
          </w:p>
        </w:tc>
        <w:tc>
          <w:tcPr>
            <w:tcW w:w="804" w:type="dxa"/>
          </w:tcPr>
          <w:p>
            <w:pPr>
              <w:pStyle w:val="TableParagraph"/>
              <w:ind w:left="0" w:right="172"/>
              <w:jc w:val="center"/>
              <w:rPr>
                <w:sz w:val="15"/>
              </w:rPr>
            </w:pPr>
            <w:r>
              <w:rPr>
                <w:sz w:val="15"/>
              </w:rPr>
              <w:t>10,820</w:t>
            </w:r>
          </w:p>
        </w:tc>
      </w:tr>
      <w:tr>
        <w:trPr>
          <w:trHeight w:val="377" w:hRule="exact"/>
        </w:trPr>
        <w:tc>
          <w:tcPr>
            <w:tcW w:w="1049" w:type="dxa"/>
          </w:tcPr>
          <w:p>
            <w:pPr>
              <w:pStyle w:val="TableParagraph"/>
              <w:spacing w:line="170" w:lineRule="exact"/>
              <w:rPr>
                <w:sz w:val="15"/>
              </w:rPr>
            </w:pPr>
            <w:r>
              <w:rPr>
                <w:sz w:val="15"/>
              </w:rPr>
              <w:t>Paraguay</w:t>
            </w:r>
          </w:p>
        </w:tc>
        <w:tc>
          <w:tcPr>
            <w:tcW w:w="787" w:type="dxa"/>
          </w:tcPr>
          <w:p>
            <w:pPr>
              <w:pStyle w:val="TableParagraph"/>
              <w:spacing w:line="170" w:lineRule="exact"/>
              <w:ind w:right="178"/>
              <w:rPr>
                <w:sz w:val="15"/>
              </w:rPr>
            </w:pPr>
            <w:r>
              <w:rPr>
                <w:sz w:val="15"/>
              </w:rPr>
              <w:t>460</w:t>
            </w:r>
          </w:p>
        </w:tc>
        <w:tc>
          <w:tcPr>
            <w:tcW w:w="710" w:type="dxa"/>
          </w:tcPr>
          <w:p>
            <w:pPr>
              <w:pStyle w:val="TableParagraph"/>
              <w:spacing w:line="170" w:lineRule="exact"/>
              <w:rPr>
                <w:sz w:val="15"/>
              </w:rPr>
            </w:pPr>
            <w:r>
              <w:rPr>
                <w:sz w:val="15"/>
              </w:rPr>
              <w:t>14,200</w:t>
            </w:r>
          </w:p>
        </w:tc>
        <w:tc>
          <w:tcPr>
            <w:tcW w:w="1352" w:type="dxa"/>
          </w:tcPr>
          <w:p>
            <w:pPr>
              <w:pStyle w:val="TableParagraph"/>
              <w:spacing w:line="170" w:lineRule="exact"/>
              <w:ind w:left="96"/>
              <w:rPr>
                <w:sz w:val="15"/>
              </w:rPr>
            </w:pPr>
            <w:r>
              <w:rPr>
                <w:sz w:val="15"/>
              </w:rPr>
              <w:t>260</w:t>
            </w:r>
          </w:p>
        </w:tc>
        <w:tc>
          <w:tcPr>
            <w:tcW w:w="910" w:type="dxa"/>
          </w:tcPr>
          <w:p>
            <w:pPr>
              <w:pStyle w:val="TableParagraph"/>
              <w:spacing w:line="170" w:lineRule="exact"/>
              <w:rPr>
                <w:sz w:val="15"/>
              </w:rPr>
            </w:pPr>
            <w:r>
              <w:rPr>
                <w:sz w:val="15"/>
              </w:rPr>
              <w:t>260</w:t>
            </w:r>
          </w:p>
        </w:tc>
        <w:tc>
          <w:tcPr>
            <w:tcW w:w="723" w:type="dxa"/>
          </w:tcPr>
          <w:p>
            <w:pPr>
              <w:pStyle w:val="TableParagraph"/>
              <w:spacing w:line="170" w:lineRule="exact"/>
              <w:ind w:left="96"/>
              <w:rPr>
                <w:sz w:val="15"/>
              </w:rPr>
            </w:pPr>
            <w:r>
              <w:rPr>
                <w:sz w:val="15"/>
              </w:rPr>
              <w:t>15,180</w:t>
            </w:r>
          </w:p>
        </w:tc>
        <w:tc>
          <w:tcPr>
            <w:tcW w:w="1373" w:type="dxa"/>
          </w:tcPr>
          <w:p>
            <w:pPr>
              <w:pStyle w:val="TableParagraph"/>
              <w:spacing w:line="170" w:lineRule="exact"/>
              <w:ind w:left="96"/>
              <w:rPr>
                <w:sz w:val="15"/>
              </w:rPr>
            </w:pPr>
            <w:r>
              <w:rPr>
                <w:sz w:val="15"/>
              </w:rPr>
              <w:t>510</w:t>
            </w:r>
          </w:p>
        </w:tc>
        <w:tc>
          <w:tcPr>
            <w:tcW w:w="754" w:type="dxa"/>
          </w:tcPr>
          <w:p>
            <w:pPr>
              <w:pStyle w:val="TableParagraph"/>
              <w:spacing w:line="170" w:lineRule="exact"/>
              <w:rPr>
                <w:sz w:val="15"/>
              </w:rPr>
            </w:pPr>
            <w:r>
              <w:rPr>
                <w:sz w:val="15"/>
              </w:rPr>
              <w:t>17,010</w:t>
            </w:r>
          </w:p>
        </w:tc>
        <w:tc>
          <w:tcPr>
            <w:tcW w:w="898" w:type="dxa"/>
          </w:tcPr>
          <w:p>
            <w:pPr>
              <w:pStyle w:val="TableParagraph"/>
              <w:spacing w:line="170" w:lineRule="exact"/>
              <w:ind w:left="95"/>
              <w:rPr>
                <w:sz w:val="15"/>
              </w:rPr>
            </w:pPr>
            <w:r>
              <w:rPr>
                <w:sz w:val="15"/>
              </w:rPr>
              <w:t>330</w:t>
            </w:r>
          </w:p>
        </w:tc>
        <w:tc>
          <w:tcPr>
            <w:tcW w:w="706" w:type="dxa"/>
          </w:tcPr>
          <w:p>
            <w:pPr>
              <w:pStyle w:val="TableParagraph"/>
              <w:spacing w:line="170" w:lineRule="exact"/>
              <w:ind w:right="89"/>
              <w:rPr>
                <w:sz w:val="15"/>
              </w:rPr>
            </w:pPr>
            <w:r>
              <w:rPr>
                <w:sz w:val="15"/>
              </w:rPr>
              <w:t>380</w:t>
            </w:r>
          </w:p>
        </w:tc>
        <w:tc>
          <w:tcPr>
            <w:tcW w:w="804" w:type="dxa"/>
          </w:tcPr>
          <w:p>
            <w:pPr>
              <w:pStyle w:val="TableParagraph"/>
              <w:spacing w:line="170" w:lineRule="exact"/>
              <w:ind w:left="0" w:right="172"/>
              <w:jc w:val="center"/>
              <w:rPr>
                <w:sz w:val="15"/>
              </w:rPr>
            </w:pPr>
            <w:r>
              <w:rPr>
                <w:sz w:val="15"/>
              </w:rPr>
              <w:t>18,230</w:t>
            </w:r>
          </w:p>
        </w:tc>
      </w:tr>
      <w:tr>
        <w:trPr>
          <w:trHeight w:val="377" w:hRule="exact"/>
        </w:trPr>
        <w:tc>
          <w:tcPr>
            <w:tcW w:w="1049" w:type="dxa"/>
          </w:tcPr>
          <w:p>
            <w:pPr>
              <w:pStyle w:val="TableParagraph"/>
              <w:spacing w:line="167" w:lineRule="exact"/>
              <w:rPr>
                <w:sz w:val="15"/>
              </w:rPr>
            </w:pPr>
            <w:r>
              <w:rPr>
                <w:sz w:val="15"/>
              </w:rPr>
              <w:t>Uruguay</w:t>
            </w:r>
          </w:p>
        </w:tc>
        <w:tc>
          <w:tcPr>
            <w:tcW w:w="787" w:type="dxa"/>
          </w:tcPr>
          <w:p>
            <w:pPr>
              <w:pStyle w:val="TableParagraph"/>
              <w:spacing w:line="167" w:lineRule="exact"/>
              <w:ind w:right="178"/>
              <w:rPr>
                <w:sz w:val="15"/>
              </w:rPr>
            </w:pPr>
            <w:r>
              <w:rPr>
                <w:sz w:val="15"/>
              </w:rPr>
              <w:t>1,100</w:t>
            </w:r>
          </w:p>
        </w:tc>
        <w:tc>
          <w:tcPr>
            <w:tcW w:w="710" w:type="dxa"/>
          </w:tcPr>
          <w:p>
            <w:pPr>
              <w:pStyle w:val="TableParagraph"/>
              <w:spacing w:line="167" w:lineRule="exact"/>
              <w:rPr>
                <w:sz w:val="15"/>
              </w:rPr>
            </w:pPr>
            <w:r>
              <w:rPr>
                <w:sz w:val="15"/>
              </w:rPr>
              <w:t>8,760</w:t>
            </w:r>
          </w:p>
        </w:tc>
        <w:tc>
          <w:tcPr>
            <w:tcW w:w="1352" w:type="dxa"/>
          </w:tcPr>
          <w:p>
            <w:pPr>
              <w:pStyle w:val="TableParagraph"/>
              <w:spacing w:line="167" w:lineRule="exact"/>
              <w:ind w:left="96"/>
              <w:rPr>
                <w:sz w:val="15"/>
              </w:rPr>
            </w:pPr>
            <w:r>
              <w:rPr>
                <w:sz w:val="15"/>
              </w:rPr>
              <w:t>200</w:t>
            </w:r>
          </w:p>
        </w:tc>
        <w:tc>
          <w:tcPr>
            <w:tcW w:w="910" w:type="dxa"/>
          </w:tcPr>
          <w:p>
            <w:pPr>
              <w:pStyle w:val="TableParagraph"/>
              <w:spacing w:line="167" w:lineRule="exact"/>
              <w:rPr>
                <w:sz w:val="15"/>
              </w:rPr>
            </w:pPr>
            <w:r>
              <w:rPr>
                <w:sz w:val="15"/>
              </w:rPr>
              <w:t>290</w:t>
            </w:r>
          </w:p>
        </w:tc>
        <w:tc>
          <w:tcPr>
            <w:tcW w:w="723" w:type="dxa"/>
          </w:tcPr>
          <w:p>
            <w:pPr>
              <w:pStyle w:val="TableParagraph"/>
              <w:spacing w:line="167" w:lineRule="exact"/>
              <w:ind w:left="96"/>
              <w:rPr>
                <w:sz w:val="15"/>
              </w:rPr>
            </w:pPr>
            <w:r>
              <w:rPr>
                <w:sz w:val="15"/>
              </w:rPr>
              <w:t>10,350</w:t>
            </w:r>
          </w:p>
        </w:tc>
        <w:tc>
          <w:tcPr>
            <w:tcW w:w="1373" w:type="dxa"/>
          </w:tcPr>
          <w:p>
            <w:pPr>
              <w:pStyle w:val="TableParagraph"/>
              <w:spacing w:line="167" w:lineRule="exact"/>
              <w:ind w:left="96"/>
              <w:rPr>
                <w:sz w:val="15"/>
              </w:rPr>
            </w:pPr>
            <w:r>
              <w:rPr>
                <w:sz w:val="15"/>
              </w:rPr>
              <w:t>1,610</w:t>
            </w:r>
          </w:p>
        </w:tc>
        <w:tc>
          <w:tcPr>
            <w:tcW w:w="754" w:type="dxa"/>
          </w:tcPr>
          <w:p>
            <w:pPr>
              <w:pStyle w:val="TableParagraph"/>
              <w:spacing w:line="167" w:lineRule="exact"/>
              <w:rPr>
                <w:sz w:val="15"/>
              </w:rPr>
            </w:pPr>
            <w:r>
              <w:rPr>
                <w:sz w:val="15"/>
              </w:rPr>
              <w:t>3,930</w:t>
            </w:r>
          </w:p>
        </w:tc>
        <w:tc>
          <w:tcPr>
            <w:tcW w:w="898" w:type="dxa"/>
          </w:tcPr>
          <w:p>
            <w:pPr>
              <w:pStyle w:val="TableParagraph"/>
              <w:spacing w:line="167" w:lineRule="exact"/>
              <w:ind w:left="95"/>
              <w:rPr>
                <w:sz w:val="15"/>
              </w:rPr>
            </w:pPr>
            <w:r>
              <w:rPr>
                <w:sz w:val="15"/>
              </w:rPr>
              <w:t>250</w:t>
            </w:r>
          </w:p>
        </w:tc>
        <w:tc>
          <w:tcPr>
            <w:tcW w:w="706" w:type="dxa"/>
          </w:tcPr>
          <w:p>
            <w:pPr>
              <w:pStyle w:val="TableParagraph"/>
              <w:spacing w:line="167" w:lineRule="exact"/>
              <w:ind w:right="89"/>
              <w:rPr>
                <w:sz w:val="15"/>
              </w:rPr>
            </w:pPr>
            <w:r>
              <w:rPr>
                <w:sz w:val="15"/>
              </w:rPr>
              <w:t>470</w:t>
            </w:r>
          </w:p>
        </w:tc>
        <w:tc>
          <w:tcPr>
            <w:tcW w:w="804" w:type="dxa"/>
          </w:tcPr>
          <w:p>
            <w:pPr>
              <w:pStyle w:val="TableParagraph"/>
              <w:spacing w:line="167" w:lineRule="exact"/>
              <w:ind w:left="75" w:right="321"/>
              <w:jc w:val="center"/>
              <w:rPr>
                <w:sz w:val="15"/>
              </w:rPr>
            </w:pPr>
            <w:r>
              <w:rPr>
                <w:sz w:val="15"/>
              </w:rPr>
              <w:t>6,260</w:t>
            </w:r>
          </w:p>
        </w:tc>
      </w:tr>
      <w:tr>
        <w:trPr>
          <w:trHeight w:val="374" w:hRule="exact"/>
        </w:trPr>
        <w:tc>
          <w:tcPr>
            <w:tcW w:w="1049" w:type="dxa"/>
          </w:tcPr>
          <w:p>
            <w:pPr>
              <w:pStyle w:val="TableParagraph"/>
              <w:spacing w:line="167" w:lineRule="exact"/>
              <w:rPr>
                <w:sz w:val="15"/>
              </w:rPr>
            </w:pPr>
            <w:r>
              <w:rPr>
                <w:sz w:val="15"/>
              </w:rPr>
              <w:t>Cono Sur</w:t>
            </w:r>
          </w:p>
        </w:tc>
        <w:tc>
          <w:tcPr>
            <w:tcW w:w="787" w:type="dxa"/>
          </w:tcPr>
          <w:p>
            <w:pPr>
              <w:pStyle w:val="TableParagraph"/>
              <w:spacing w:line="167" w:lineRule="exact"/>
              <w:ind w:right="178"/>
              <w:rPr>
                <w:sz w:val="15"/>
              </w:rPr>
            </w:pPr>
            <w:r>
              <w:rPr>
                <w:sz w:val="15"/>
              </w:rPr>
              <w:t>22,420</w:t>
            </w:r>
          </w:p>
        </w:tc>
        <w:tc>
          <w:tcPr>
            <w:tcW w:w="710" w:type="dxa"/>
          </w:tcPr>
          <w:p>
            <w:pPr>
              <w:pStyle w:val="TableParagraph"/>
              <w:spacing w:line="167" w:lineRule="exact"/>
              <w:rPr>
                <w:sz w:val="15"/>
              </w:rPr>
            </w:pPr>
            <w:r>
              <w:rPr>
                <w:sz w:val="15"/>
              </w:rPr>
              <w:t>77,970</w:t>
            </w:r>
          </w:p>
        </w:tc>
        <w:tc>
          <w:tcPr>
            <w:tcW w:w="1352" w:type="dxa"/>
          </w:tcPr>
          <w:p>
            <w:pPr>
              <w:pStyle w:val="TableParagraph"/>
              <w:spacing w:line="167" w:lineRule="exact"/>
              <w:ind w:left="96"/>
              <w:rPr>
                <w:sz w:val="15"/>
              </w:rPr>
            </w:pPr>
            <w:r>
              <w:rPr>
                <w:sz w:val="15"/>
              </w:rPr>
              <w:t>30,070</w:t>
            </w:r>
          </w:p>
        </w:tc>
        <w:tc>
          <w:tcPr>
            <w:tcW w:w="910" w:type="dxa"/>
          </w:tcPr>
          <w:p>
            <w:pPr>
              <w:pStyle w:val="TableParagraph"/>
              <w:spacing w:line="167" w:lineRule="exact"/>
              <w:rPr>
                <w:sz w:val="15"/>
              </w:rPr>
            </w:pPr>
            <w:r>
              <w:rPr>
                <w:sz w:val="15"/>
              </w:rPr>
              <w:t>34,840</w:t>
            </w:r>
          </w:p>
        </w:tc>
        <w:tc>
          <w:tcPr>
            <w:tcW w:w="723" w:type="dxa"/>
          </w:tcPr>
          <w:p>
            <w:pPr>
              <w:pStyle w:val="TableParagraph"/>
              <w:spacing w:line="167" w:lineRule="exact"/>
              <w:ind w:left="96"/>
              <w:rPr>
                <w:sz w:val="15"/>
              </w:rPr>
            </w:pPr>
            <w:r>
              <w:rPr>
                <w:sz w:val="15"/>
              </w:rPr>
              <w:t>165,300</w:t>
            </w:r>
          </w:p>
        </w:tc>
        <w:tc>
          <w:tcPr>
            <w:tcW w:w="1373" w:type="dxa"/>
          </w:tcPr>
          <w:p>
            <w:pPr>
              <w:pStyle w:val="TableParagraph"/>
              <w:spacing w:line="167" w:lineRule="exact"/>
              <w:ind w:left="96"/>
              <w:rPr>
                <w:sz w:val="15"/>
              </w:rPr>
            </w:pPr>
            <w:r>
              <w:rPr>
                <w:sz w:val="15"/>
              </w:rPr>
              <w:t>23,270</w:t>
            </w:r>
          </w:p>
        </w:tc>
        <w:tc>
          <w:tcPr>
            <w:tcW w:w="754" w:type="dxa"/>
          </w:tcPr>
          <w:p>
            <w:pPr>
              <w:pStyle w:val="TableParagraph"/>
              <w:spacing w:line="167" w:lineRule="exact"/>
              <w:rPr>
                <w:sz w:val="15"/>
              </w:rPr>
            </w:pPr>
            <w:r>
              <w:rPr>
                <w:sz w:val="15"/>
              </w:rPr>
              <w:t>60,480</w:t>
            </w:r>
          </w:p>
        </w:tc>
        <w:tc>
          <w:tcPr>
            <w:tcW w:w="898" w:type="dxa"/>
          </w:tcPr>
          <w:p>
            <w:pPr>
              <w:pStyle w:val="TableParagraph"/>
              <w:spacing w:line="167" w:lineRule="exact"/>
              <w:ind w:left="95"/>
              <w:rPr>
                <w:sz w:val="15"/>
              </w:rPr>
            </w:pPr>
            <w:r>
              <w:rPr>
                <w:sz w:val="15"/>
              </w:rPr>
              <w:t>23,910</w:t>
            </w:r>
          </w:p>
        </w:tc>
        <w:tc>
          <w:tcPr>
            <w:tcW w:w="706" w:type="dxa"/>
          </w:tcPr>
          <w:p>
            <w:pPr>
              <w:pStyle w:val="TableParagraph"/>
              <w:spacing w:line="167" w:lineRule="exact"/>
              <w:ind w:right="89"/>
              <w:rPr>
                <w:sz w:val="15"/>
              </w:rPr>
            </w:pPr>
            <w:r>
              <w:rPr>
                <w:sz w:val="15"/>
              </w:rPr>
              <w:t>17,360</w:t>
            </w:r>
          </w:p>
        </w:tc>
        <w:tc>
          <w:tcPr>
            <w:tcW w:w="804" w:type="dxa"/>
          </w:tcPr>
          <w:p>
            <w:pPr>
              <w:pStyle w:val="TableParagraph"/>
              <w:spacing w:line="167" w:lineRule="exact"/>
              <w:ind w:left="75" w:right="172"/>
              <w:jc w:val="center"/>
              <w:rPr>
                <w:sz w:val="15"/>
              </w:rPr>
            </w:pPr>
            <w:r>
              <w:rPr>
                <w:sz w:val="15"/>
              </w:rPr>
              <w:t>125,020</w:t>
            </w:r>
          </w:p>
        </w:tc>
      </w:tr>
      <w:tr>
        <w:trPr>
          <w:trHeight w:val="749" w:hRule="exact"/>
        </w:trPr>
        <w:tc>
          <w:tcPr>
            <w:tcW w:w="1049" w:type="dxa"/>
          </w:tcPr>
          <w:p>
            <w:pPr>
              <w:pStyle w:val="TableParagraph"/>
              <w:tabs>
                <w:tab w:pos="724" w:val="left" w:leader="none"/>
              </w:tabs>
              <w:spacing w:line="259" w:lineRule="auto"/>
              <w:ind w:right="92"/>
              <w:rPr>
                <w:sz w:val="15"/>
              </w:rPr>
            </w:pPr>
            <w:r>
              <w:rPr>
                <w:sz w:val="15"/>
              </w:rPr>
              <w:t>Total</w:t>
              <w:tab/>
              <w:t>por país/región de</w:t>
            </w:r>
            <w:r>
              <w:rPr>
                <w:spacing w:val="-1"/>
                <w:sz w:val="15"/>
              </w:rPr>
              <w:t> </w:t>
            </w:r>
            <w:r>
              <w:rPr>
                <w:sz w:val="15"/>
              </w:rPr>
              <w:t>destino</w:t>
            </w:r>
          </w:p>
        </w:tc>
        <w:tc>
          <w:tcPr>
            <w:tcW w:w="787" w:type="dxa"/>
          </w:tcPr>
          <w:p>
            <w:pPr>
              <w:pStyle w:val="TableParagraph"/>
              <w:rPr>
                <w:sz w:val="15"/>
              </w:rPr>
            </w:pPr>
            <w:r>
              <w:rPr>
                <w:sz w:val="15"/>
              </w:rPr>
              <w:t>416,060</w:t>
            </w:r>
          </w:p>
        </w:tc>
        <w:tc>
          <w:tcPr>
            <w:tcW w:w="710" w:type="dxa"/>
          </w:tcPr>
          <w:p>
            <w:pPr>
              <w:pStyle w:val="TableParagraph"/>
              <w:rPr>
                <w:sz w:val="15"/>
              </w:rPr>
            </w:pPr>
            <w:r>
              <w:rPr>
                <w:sz w:val="15"/>
              </w:rPr>
              <w:t>248,190</w:t>
            </w:r>
          </w:p>
        </w:tc>
        <w:tc>
          <w:tcPr>
            <w:tcW w:w="1352" w:type="dxa"/>
          </w:tcPr>
          <w:p>
            <w:pPr>
              <w:pStyle w:val="TableParagraph"/>
              <w:ind w:left="96"/>
              <w:rPr>
                <w:sz w:val="15"/>
              </w:rPr>
            </w:pPr>
            <w:r>
              <w:rPr>
                <w:sz w:val="15"/>
              </w:rPr>
              <w:t>61,710</w:t>
            </w:r>
          </w:p>
        </w:tc>
        <w:tc>
          <w:tcPr>
            <w:tcW w:w="910" w:type="dxa"/>
          </w:tcPr>
          <w:p>
            <w:pPr>
              <w:pStyle w:val="TableParagraph"/>
              <w:rPr>
                <w:sz w:val="15"/>
              </w:rPr>
            </w:pPr>
            <w:r>
              <w:rPr>
                <w:sz w:val="15"/>
              </w:rPr>
              <w:t>50,620</w:t>
            </w:r>
          </w:p>
        </w:tc>
        <w:tc>
          <w:tcPr>
            <w:tcW w:w="723" w:type="dxa"/>
          </w:tcPr>
          <w:p>
            <w:pPr>
              <w:pStyle w:val="TableParagraph"/>
              <w:ind w:left="96"/>
              <w:rPr>
                <w:sz w:val="15"/>
              </w:rPr>
            </w:pPr>
            <w:r>
              <w:rPr>
                <w:sz w:val="15"/>
              </w:rPr>
              <w:t>784,620</w:t>
            </w:r>
          </w:p>
        </w:tc>
        <w:tc>
          <w:tcPr>
            <w:tcW w:w="1373" w:type="dxa"/>
          </w:tcPr>
          <w:p>
            <w:pPr>
              <w:pStyle w:val="TableParagraph"/>
              <w:ind w:left="96"/>
              <w:rPr>
                <w:sz w:val="15"/>
              </w:rPr>
            </w:pPr>
            <w:r>
              <w:rPr>
                <w:sz w:val="15"/>
              </w:rPr>
              <w:t>468,660</w:t>
            </w:r>
          </w:p>
        </w:tc>
        <w:tc>
          <w:tcPr>
            <w:tcW w:w="754" w:type="dxa"/>
          </w:tcPr>
          <w:p>
            <w:pPr>
              <w:pStyle w:val="TableParagraph"/>
              <w:rPr>
                <w:sz w:val="15"/>
              </w:rPr>
            </w:pPr>
            <w:r>
              <w:rPr>
                <w:sz w:val="15"/>
              </w:rPr>
              <w:t>205,740</w:t>
            </w:r>
          </w:p>
        </w:tc>
        <w:tc>
          <w:tcPr>
            <w:tcW w:w="898" w:type="dxa"/>
          </w:tcPr>
          <w:p>
            <w:pPr>
              <w:pStyle w:val="TableParagraph"/>
              <w:ind w:left="95"/>
              <w:rPr>
                <w:sz w:val="15"/>
              </w:rPr>
            </w:pPr>
            <w:r>
              <w:rPr>
                <w:sz w:val="15"/>
              </w:rPr>
              <w:t>59,020</w:t>
            </w:r>
          </w:p>
        </w:tc>
        <w:tc>
          <w:tcPr>
            <w:tcW w:w="706" w:type="dxa"/>
          </w:tcPr>
          <w:p>
            <w:pPr>
              <w:pStyle w:val="TableParagraph"/>
              <w:ind w:right="89"/>
              <w:rPr>
                <w:sz w:val="15"/>
              </w:rPr>
            </w:pPr>
            <w:r>
              <w:rPr>
                <w:sz w:val="15"/>
              </w:rPr>
              <w:t>43,060</w:t>
            </w:r>
          </w:p>
        </w:tc>
        <w:tc>
          <w:tcPr>
            <w:tcW w:w="804" w:type="dxa"/>
          </w:tcPr>
          <w:p>
            <w:pPr>
              <w:pStyle w:val="TableParagraph"/>
              <w:ind w:left="75" w:right="172"/>
              <w:jc w:val="center"/>
              <w:rPr>
                <w:sz w:val="15"/>
              </w:rPr>
            </w:pPr>
            <w:r>
              <w:rPr>
                <w:sz w:val="15"/>
              </w:rPr>
              <w:t>789,160</w:t>
            </w:r>
          </w:p>
        </w:tc>
      </w:tr>
      <w:tr>
        <w:trPr>
          <w:trHeight w:val="1121" w:hRule="exact"/>
        </w:trPr>
        <w:tc>
          <w:tcPr>
            <w:tcW w:w="1049" w:type="dxa"/>
          </w:tcPr>
          <w:p>
            <w:pPr>
              <w:pStyle w:val="TableParagraph"/>
              <w:tabs>
                <w:tab w:pos="818" w:val="left" w:leader="none"/>
              </w:tabs>
              <w:spacing w:line="259" w:lineRule="auto"/>
              <w:ind w:right="90"/>
              <w:rPr>
                <w:sz w:val="15"/>
              </w:rPr>
            </w:pPr>
            <w:r>
              <w:rPr>
                <w:sz w:val="15"/>
              </w:rPr>
              <w:t>Distribución porcentual de acuerdo</w:t>
              <w:tab/>
              <w:t>al país/ región de</w:t>
            </w:r>
            <w:r>
              <w:rPr>
                <w:spacing w:val="-1"/>
                <w:sz w:val="15"/>
              </w:rPr>
              <w:t> </w:t>
            </w:r>
            <w:r>
              <w:rPr>
                <w:sz w:val="15"/>
              </w:rPr>
              <w:t>destino</w:t>
            </w:r>
          </w:p>
        </w:tc>
        <w:tc>
          <w:tcPr>
            <w:tcW w:w="787" w:type="dxa"/>
          </w:tcPr>
          <w:p>
            <w:pPr>
              <w:pStyle w:val="TableParagraph"/>
              <w:ind w:right="178"/>
              <w:rPr>
                <w:sz w:val="15"/>
              </w:rPr>
            </w:pPr>
            <w:r>
              <w:rPr>
                <w:sz w:val="15"/>
              </w:rPr>
              <w:t>53.0</w:t>
            </w:r>
          </w:p>
        </w:tc>
        <w:tc>
          <w:tcPr>
            <w:tcW w:w="710" w:type="dxa"/>
          </w:tcPr>
          <w:p>
            <w:pPr>
              <w:pStyle w:val="TableParagraph"/>
              <w:rPr>
                <w:sz w:val="15"/>
              </w:rPr>
            </w:pPr>
            <w:r>
              <w:rPr>
                <w:sz w:val="15"/>
              </w:rPr>
              <w:t>32.0</w:t>
            </w:r>
          </w:p>
        </w:tc>
        <w:tc>
          <w:tcPr>
            <w:tcW w:w="1352" w:type="dxa"/>
          </w:tcPr>
          <w:p>
            <w:pPr>
              <w:pStyle w:val="TableParagraph"/>
              <w:ind w:left="96"/>
              <w:rPr>
                <w:sz w:val="15"/>
              </w:rPr>
            </w:pPr>
            <w:r>
              <w:rPr>
                <w:sz w:val="15"/>
              </w:rPr>
              <w:t>8.0</w:t>
            </w:r>
          </w:p>
        </w:tc>
        <w:tc>
          <w:tcPr>
            <w:tcW w:w="910" w:type="dxa"/>
          </w:tcPr>
          <w:p>
            <w:pPr>
              <w:pStyle w:val="TableParagraph"/>
              <w:rPr>
                <w:sz w:val="15"/>
              </w:rPr>
            </w:pPr>
            <w:r>
              <w:rPr>
                <w:sz w:val="15"/>
              </w:rPr>
              <w:t>7.0</w:t>
            </w:r>
          </w:p>
        </w:tc>
        <w:tc>
          <w:tcPr>
            <w:tcW w:w="723" w:type="dxa"/>
          </w:tcPr>
          <w:p>
            <w:pPr>
              <w:pStyle w:val="TableParagraph"/>
              <w:ind w:left="96"/>
              <w:rPr>
                <w:sz w:val="15"/>
              </w:rPr>
            </w:pPr>
            <w:r>
              <w:rPr>
                <w:sz w:val="15"/>
              </w:rPr>
              <w:t>100.0</w:t>
            </w:r>
          </w:p>
        </w:tc>
        <w:tc>
          <w:tcPr>
            <w:tcW w:w="1373" w:type="dxa"/>
          </w:tcPr>
          <w:p>
            <w:pPr>
              <w:pStyle w:val="TableParagraph"/>
              <w:ind w:left="96"/>
              <w:rPr>
                <w:sz w:val="15"/>
              </w:rPr>
            </w:pPr>
            <w:r>
              <w:rPr>
                <w:sz w:val="15"/>
              </w:rPr>
              <w:t>60.0</w:t>
            </w:r>
          </w:p>
        </w:tc>
        <w:tc>
          <w:tcPr>
            <w:tcW w:w="754" w:type="dxa"/>
          </w:tcPr>
          <w:p>
            <w:pPr>
              <w:pStyle w:val="TableParagraph"/>
              <w:rPr>
                <w:sz w:val="15"/>
              </w:rPr>
            </w:pPr>
            <w:r>
              <w:rPr>
                <w:sz w:val="15"/>
              </w:rPr>
              <w:t>26.0%</w:t>
            </w:r>
          </w:p>
        </w:tc>
        <w:tc>
          <w:tcPr>
            <w:tcW w:w="898" w:type="dxa"/>
          </w:tcPr>
          <w:p>
            <w:pPr>
              <w:pStyle w:val="TableParagraph"/>
              <w:ind w:left="95"/>
              <w:rPr>
                <w:sz w:val="15"/>
              </w:rPr>
            </w:pPr>
            <w:r>
              <w:rPr>
                <w:sz w:val="15"/>
              </w:rPr>
              <w:t>8.0</w:t>
            </w:r>
          </w:p>
        </w:tc>
        <w:tc>
          <w:tcPr>
            <w:tcW w:w="706" w:type="dxa"/>
          </w:tcPr>
          <w:p>
            <w:pPr>
              <w:pStyle w:val="TableParagraph"/>
              <w:ind w:right="89"/>
              <w:rPr>
                <w:sz w:val="15"/>
              </w:rPr>
            </w:pPr>
            <w:r>
              <w:rPr>
                <w:sz w:val="15"/>
              </w:rPr>
              <w:t>6.0</w:t>
            </w:r>
          </w:p>
        </w:tc>
        <w:tc>
          <w:tcPr>
            <w:tcW w:w="804" w:type="dxa"/>
          </w:tcPr>
          <w:p>
            <w:pPr>
              <w:pStyle w:val="TableParagraph"/>
              <w:ind w:left="75" w:right="321"/>
              <w:jc w:val="center"/>
              <w:rPr>
                <w:sz w:val="15"/>
              </w:rPr>
            </w:pPr>
            <w:r>
              <w:rPr>
                <w:sz w:val="15"/>
              </w:rPr>
              <w:t>100.0</w:t>
            </w:r>
          </w:p>
        </w:tc>
      </w:tr>
    </w:tbl>
    <w:p>
      <w:pPr>
        <w:spacing w:line="181" w:lineRule="exact" w:before="0"/>
        <w:ind w:left="4525" w:right="4543" w:firstLine="0"/>
        <w:jc w:val="center"/>
        <w:rPr>
          <w:sz w:val="16"/>
        </w:rPr>
      </w:pPr>
      <w:r>
        <w:rPr>
          <w:sz w:val="16"/>
        </w:rPr>
        <w:t>Fuente: OIM, 2012</w:t>
      </w:r>
    </w:p>
    <w:p>
      <w:pPr>
        <w:pStyle w:val="BodyText"/>
        <w:spacing w:before="1"/>
        <w:rPr>
          <w:sz w:val="15"/>
        </w:rPr>
      </w:pPr>
    </w:p>
    <w:p>
      <w:pPr>
        <w:pStyle w:val="BodyText"/>
        <w:spacing w:line="256" w:lineRule="auto"/>
        <w:ind w:left="172" w:right="199" w:firstLine="708"/>
        <w:jc w:val="both"/>
      </w:pPr>
      <w:r>
        <w:rPr/>
        <w:t>El mayor número de emigrantes ha sido hacia Estados Unidos, país de destino de más de la mitad del flujo de emigración desde la región, dicho incremento fue a costa de la emigración hacia los países de la UE, particularmente hacia España, hasta el año 2007.</w:t>
      </w:r>
    </w:p>
    <w:p>
      <w:pPr>
        <w:pStyle w:val="BodyText"/>
        <w:spacing w:line="259" w:lineRule="auto" w:before="166"/>
        <w:ind w:left="172" w:right="188" w:firstLine="708"/>
        <w:jc w:val="both"/>
      </w:pPr>
      <w:r>
        <w:rPr/>
        <w:t>Los promedios anuales de emigración hacia los países de la UE que forman parte de la OCDE disminuyeron en el período 2008-2009 en comparación con los promedios en el período 2003-2007. Destaca el caso de España, donde el promedio anual de 2003 a 2007 indica que una de cada tres personas de ALC que emigraron lo hizo hacia este país, mientras que de 2008 a 2009 lo hicieron una de cada cuatro, ver tabla 16.1 (OIM, 2012).</w:t>
      </w:r>
    </w:p>
    <w:p>
      <w:pPr>
        <w:spacing w:before="161"/>
        <w:ind w:left="881" w:right="308" w:firstLine="0"/>
        <w:jc w:val="left"/>
        <w:rPr>
          <w:i/>
          <w:sz w:val="24"/>
        </w:rPr>
      </w:pPr>
      <w:r>
        <w:rPr>
          <w:i/>
          <w:sz w:val="24"/>
        </w:rPr>
        <w:t>Retorno de migrantes de la UE a ALC</w:t>
      </w:r>
    </w:p>
    <w:p>
      <w:pPr>
        <w:pStyle w:val="BodyText"/>
        <w:spacing w:line="259" w:lineRule="auto" w:before="185"/>
        <w:ind w:left="172" w:right="191" w:firstLine="708"/>
        <w:jc w:val="both"/>
      </w:pPr>
      <w:r>
        <w:rPr/>
        <w:t>La historia de las migraciones internacionales demuestra que el retorno es una dinámica natural de las migraciones internacionales. Durante el siglo XIX, a la hora de las migraciones masivas hacia el Nuevo Mundo se empezaron a ver flujos de retornados, por ejemplo de los trabajadores agrícolas italianos que se iban a Argentina para la duración de la cosecha y retornaban a su país después.</w:t>
      </w:r>
    </w:p>
    <w:p>
      <w:pPr>
        <w:pStyle w:val="BodyText"/>
        <w:spacing w:line="256" w:lineRule="auto" w:before="163"/>
        <w:ind w:left="172" w:right="200" w:firstLine="708"/>
        <w:jc w:val="both"/>
      </w:pPr>
      <w:r>
        <w:rPr/>
        <w:t>El retorno es parte integral del fenómeno migratorio. Son pocos los migrantes que se van con la idea de no retornar jamás. Al contrario, muchas veces el plan es retornar, pero en mejores condiciones financieras. La mayoría proyecta la migración como una experiencia temporal.</w:t>
      </w:r>
    </w:p>
    <w:p>
      <w:pPr>
        <w:spacing w:after="0" w:line="256" w:lineRule="auto"/>
        <w:jc w:val="both"/>
        <w:sectPr>
          <w:pgSz w:w="12240" w:h="15840"/>
          <w:pgMar w:header="731" w:footer="0" w:top="960" w:bottom="280" w:left="960" w:right="940"/>
        </w:sectPr>
      </w:pPr>
    </w:p>
    <w:p>
      <w:pPr>
        <w:pStyle w:val="BodyText"/>
        <w:spacing w:line="259" w:lineRule="auto" w:before="156"/>
        <w:ind w:left="112" w:right="113" w:firstLine="708"/>
        <w:jc w:val="both"/>
      </w:pPr>
      <w:r>
        <w:rPr/>
        <w:t>Pero si bien es cierto que los migrantes generalmente emprenden la migración con cierto objetivo y ciertas metas, también es cierto que esos planes pueden modificarse a lo largo de la experiencia, dependiendo cómo van avanzando en la realización de sus metas y cómo cambian las condiciones en los países de origen y en los países de destino, tanto a nivel económico y político como en el campo de la regulación migratoria. La recesión económica de la primera década del siglo XXI, ha afectado a los inmigrantes principalmente a través de las altas tasas de desempleo que están enfrentando. Pero, ¿es esto suficiente para que los migrantes decidan retornar? A esto le están  apostando muchos países, tanto de recepción como de origen, invirtiendo en la creación de programas de retorno voluntario (d'Anglejan,</w:t>
      </w:r>
      <w:r>
        <w:rPr>
          <w:spacing w:val="-7"/>
        </w:rPr>
        <w:t> </w:t>
      </w:r>
      <w:r>
        <w:rPr/>
        <w:t>2009).</w:t>
      </w:r>
    </w:p>
    <w:p>
      <w:pPr>
        <w:pStyle w:val="BodyText"/>
        <w:spacing w:line="259" w:lineRule="auto" w:before="163"/>
        <w:ind w:left="112" w:right="112" w:firstLine="708"/>
        <w:jc w:val="both"/>
      </w:pPr>
      <w:r>
        <w:rPr/>
        <w:t>La crisis económica europea generó dos procesos simultáneos en lo que se refiere a la  migración de retorno a ALC. Por un lado, frente a lo que se llegó a pensar en algunos países, no se produjo un regreso masivo de migrantes a sus países de origen. En otras palabras, las personas en general han decidido esperar a que mejore la situación en los países receptores. Por otro lado, algunos países impulsaron iniciativas para incentivar el retorno de los migrantes, particularmente de aquellos en condiciones de desempleo. En Europa, países como España y la República Checa comenzaron a implementar nuevos programas de retorno voluntario, que se complementan con los </w:t>
      </w:r>
      <w:r>
        <w:rPr>
          <w:spacing w:val="-4"/>
        </w:rPr>
        <w:t>ya </w:t>
      </w:r>
      <w:r>
        <w:rPr/>
        <w:t>implementados con el apoyo de la OIM. Uno de los objetivos centrales de estos programas es quitar presión al mercado laboral dados los altos niveles de desempleo en la población nativa. En noviembre de 2008, España aprobó el Programa</w:t>
      </w:r>
      <w:r>
        <w:rPr>
          <w:spacing w:val="-5"/>
        </w:rPr>
        <w:t> </w:t>
      </w:r>
      <w:r>
        <w:rPr/>
        <w:t>de</w:t>
      </w:r>
    </w:p>
    <w:p>
      <w:pPr>
        <w:pStyle w:val="BodyText"/>
        <w:spacing w:line="259" w:lineRule="auto" w:before="163"/>
        <w:ind w:left="112" w:right="112" w:firstLine="708"/>
        <w:jc w:val="both"/>
      </w:pPr>
      <w:r>
        <w:rPr/>
        <w:t>Abono Anticipado de Prestación a Extranjeros (APRE). Este iba dirigido a aquellas personas inmigrantes que, habiéndose quedado sin empleo, hubieran decidido capitalizar la prestación por desempleo a la que tenían derecho y retornar a sus países de origen. Las personas debían contar con un estatus regular en España y tener la nacionalidad de algún país con el cual España tuviera un acuerdo bilateral de seguridad social, es decir, Argentina, Brasil, Chile, Colombia, Ecuador, Paraguay, el Perú y la República Dominicana en ALC. Una vez aprobada la solicitud, los beneficios de desempleo se entregarían en dos pagos: el 40.0% en España y el 60.0% al llegar a su país de origen. A cambio de esto, las personas beneficiadas con este programa, debían comprometerse a no regresar a España durante los tres años siguientes a partir de la recepción del primer pago (OIM,</w:t>
      </w:r>
      <w:r>
        <w:rPr>
          <w:spacing w:val="-16"/>
        </w:rPr>
        <w:t> </w:t>
      </w:r>
      <w:r>
        <w:rPr/>
        <w:t>2012).</w:t>
      </w:r>
    </w:p>
    <w:p>
      <w:pPr>
        <w:pStyle w:val="BodyText"/>
        <w:spacing w:line="259" w:lineRule="auto" w:before="163"/>
        <w:ind w:left="112" w:right="114" w:firstLine="708"/>
        <w:jc w:val="both"/>
      </w:pPr>
      <w:r>
        <w:rPr/>
        <w:t>Durante el primer año 8,724 personas solicitaron anotarse al programa, únicamente un 10.0% de la potencial población beneficiaria. El 91.0% de las personas que solicitaron registrarse al programa tenían la nacionalidad de un país de ALC. Destacan los casos de Ecuador, con 3,839 personas originarias de este país (44.0%), de Colombia, con 1,570 (18.0%), de Argentina, con 846 (10.0%),   del</w:t>
      </w:r>
    </w:p>
    <w:p>
      <w:pPr>
        <w:pStyle w:val="BodyText"/>
        <w:spacing w:line="259" w:lineRule="auto" w:before="2"/>
        <w:ind w:left="112" w:right="111"/>
        <w:jc w:val="both"/>
      </w:pPr>
      <w:r>
        <w:rPr/>
        <w:t>Perú, con 750 (9.0%), de Brasil, con 462 (5.0%), de Chile, con 358 (4.0%) y de Uruguay, con 314 (4.0%). Para julio de 2010 la cifra ya se había duplicado y poco más de 16,000 personas se habían visto beneficiadas, con 4,000 beneficiarios indirectos. Estos programas se complementan con los que la OIM implementa en 166 países del mundo, principalmente el Programa de Retorno Voluntario Asistido. Los retornos gestionados por parte de la OIM a nivel mundial pasaron de 20,000 en 2008 a poco más de 34,000 en 2010. No obstante, los países de la UE que han registrado mayores índices de desempleo, como España, Portugal e Irlanda, experimentaron pequeños incrementos de 2008 a 2009 en el número de retornos, y 3,297 personas se acogieron a este programa en España en 2009.</w:t>
      </w:r>
    </w:p>
    <w:p>
      <w:pPr>
        <w:spacing w:after="0" w:line="259" w:lineRule="auto"/>
        <w:jc w:val="both"/>
        <w:sectPr>
          <w:pgSz w:w="12240" w:h="15840"/>
          <w:pgMar w:header="731" w:footer="0" w:top="960" w:bottom="280" w:left="1020" w:right="1020"/>
        </w:sectPr>
      </w:pPr>
    </w:p>
    <w:p>
      <w:pPr>
        <w:pStyle w:val="BodyText"/>
        <w:spacing w:before="40"/>
        <w:ind w:right="111"/>
        <w:jc w:val="right"/>
      </w:pPr>
      <w:r>
        <w:rPr/>
        <w:t>216</w:t>
      </w:r>
    </w:p>
    <w:p>
      <w:pPr>
        <w:pStyle w:val="BodyText"/>
        <w:spacing w:line="259" w:lineRule="auto" w:before="151"/>
        <w:ind w:left="112" w:right="111" w:firstLine="708"/>
        <w:jc w:val="both"/>
      </w:pPr>
      <w:r>
        <w:rPr/>
        <w:t>En este mismo país, la mayor parte de las personas que se acogieron a este programa en el período 2003-2009, periodo en el que prácticamente 10,000 personas fueron repatriadas a través de este programa, eran de ALC, destacando los casos de Bolivia (22.0%), Argentina (15.0%) y Brasil (10.0%). Existen algunos factores que pueden explicar los motivos por los que la mayor parte de los migrantes deciden quedarse en el país de destino durante la crisis. En primer lugar, la entrada a los países, tanto  de manera regular como irregular, es en la actualidad cada vez más complicada, debido a las medidas de seguridad fronteriza y a las cada vez más estrictas políticas de visado. Ambos factores han contribuido a romper la circularidad tradicional de los circuitos migratorios (OIM,</w:t>
      </w:r>
      <w:r>
        <w:rPr>
          <w:spacing w:val="-17"/>
        </w:rPr>
        <w:t> </w:t>
      </w:r>
      <w:r>
        <w:rPr/>
        <w:t>2012).</w:t>
      </w:r>
    </w:p>
    <w:p>
      <w:pPr>
        <w:pStyle w:val="Heading1"/>
        <w:numPr>
          <w:ilvl w:val="1"/>
          <w:numId w:val="2"/>
        </w:numPr>
        <w:tabs>
          <w:tab w:pos="594" w:val="left" w:leader="none"/>
        </w:tabs>
        <w:spacing w:line="240" w:lineRule="auto" w:before="166" w:after="0"/>
        <w:ind w:left="593" w:right="0" w:hanging="481"/>
        <w:jc w:val="both"/>
      </w:pPr>
      <w:r>
        <w:rPr/>
        <w:t>Conclusiones</w:t>
      </w:r>
    </w:p>
    <w:p>
      <w:pPr>
        <w:pStyle w:val="BodyText"/>
        <w:spacing w:line="259" w:lineRule="auto" w:before="180"/>
        <w:ind w:left="112" w:right="113"/>
        <w:jc w:val="both"/>
      </w:pPr>
      <w:r>
        <w:rPr/>
        <w:t>La crisis económica mundial que comenzó a finales del año 2008 y se difundió de las economías desarrolladas a las economías en desarrollo a lo largo del 2009, se caracterizó, entre otras, por la tremenda destrucción de empleos, siendo las primeras víctimas los trabajadores inmigrantes, así como los países de origen y los de recepción de los mismos. Dado que éstos se emplean en sectores que han sido fuertemente afectados por la crisis de la primera década del siglo XXI en los países de destino, se esperaba una fuerte reducción del flujo de migrantes internacionales, así como un retorno masivo hacia sus países de origen, sin embargo, de acuerdo con las investigaciones de diversos autores e  instituciones sobre el tema, a la fecha no se ha registrado un regreso masivo de migrantes a sus países de origen y tampoco han desaparecido los flujos migratorios principalmente de países latinoamericanos a Estados Unidos y</w:t>
      </w:r>
      <w:r>
        <w:rPr>
          <w:spacing w:val="-5"/>
        </w:rPr>
        <w:t> </w:t>
      </w:r>
      <w:r>
        <w:rPr/>
        <w:t>Europa.</w:t>
      </w:r>
    </w:p>
    <w:p>
      <w:pPr>
        <w:pStyle w:val="BodyText"/>
        <w:spacing w:line="259" w:lineRule="auto" w:before="161"/>
        <w:ind w:left="112" w:right="113" w:firstLine="708"/>
        <w:jc w:val="both"/>
      </w:pPr>
      <w:r>
        <w:rPr/>
        <w:t>Las crisis no son un fenómeno nuevo, a lo largo de la historia reciente en el mundo existe evidencia de las recurrentes crisis económicas y políticas que en distintos momentos han afectado los flujos migratorios entre países; no obstante, mientras sigan existiendo diferentes niveles de desarrollo entre los países de origen y destino de la migraciones internacionales, estos flujos continuarán a pesar de las crisis.</w:t>
      </w:r>
    </w:p>
    <w:p>
      <w:pPr>
        <w:pStyle w:val="Heading1"/>
        <w:numPr>
          <w:ilvl w:val="1"/>
          <w:numId w:val="2"/>
        </w:numPr>
        <w:tabs>
          <w:tab w:pos="593" w:val="left" w:leader="none"/>
        </w:tabs>
        <w:spacing w:line="240" w:lineRule="auto" w:before="163" w:after="0"/>
        <w:ind w:left="592" w:right="0" w:hanging="480"/>
        <w:jc w:val="both"/>
      </w:pPr>
      <w:r>
        <w:rPr/>
        <w:t>Referencias</w:t>
      </w:r>
    </w:p>
    <w:p>
      <w:pPr>
        <w:pStyle w:val="BodyText"/>
        <w:spacing w:line="256" w:lineRule="auto" w:before="180"/>
        <w:ind w:left="112" w:right="112"/>
        <w:jc w:val="both"/>
      </w:pPr>
      <w:r>
        <w:rPr/>
        <w:t>Ayuso, Anna (2009), Migraciones en el contexto de las relaciones entre la unión Europea-América Latina y el Caribe. Dirección General de Políticas Exteriores de la Unión. Service Contract Expo/B/AFET/2009/19. Comité de Relaciones Exteriores, Parlamento Europeo.</w:t>
      </w:r>
    </w:p>
    <w:p>
      <w:pPr>
        <w:pStyle w:val="BodyText"/>
        <w:spacing w:line="256" w:lineRule="auto" w:before="166"/>
        <w:ind w:left="112" w:right="112" w:firstLine="60"/>
        <w:jc w:val="both"/>
      </w:pPr>
      <w:r>
        <w:rPr/>
        <w:t>CEPAL (2008), América Latina y el Caribe: migración internacional, derechos humanos y desarrollo. Jorge Martínez Pizarro Editor. Santiago de Chile, septiembre de 2008. Consultado el 01 de diciembre de 2013, e</w:t>
      </w:r>
      <w:hyperlink r:id="rId16">
        <w:r>
          <w:rPr/>
          <w:t>n</w:t>
        </w:r>
        <w:r>
          <w:rPr>
            <w:spacing w:val="-13"/>
          </w:rPr>
          <w:t> </w:t>
        </w:r>
        <w:r>
          <w:rPr/>
          <w:t>http://www.eclac.org/publicaciones/xml/9/34889/Presentaci%C3%B3n.pdf</w:t>
        </w:r>
      </w:hyperlink>
    </w:p>
    <w:p>
      <w:pPr>
        <w:pStyle w:val="BodyText"/>
        <w:spacing w:line="259" w:lineRule="auto" w:before="166"/>
        <w:ind w:left="112" w:right="117"/>
        <w:jc w:val="both"/>
      </w:pPr>
      <w:r>
        <w:rPr/>
        <w:t>CEPAL-CELADE (2010), Impactos de la crisis económica en la migración y el desarrollo: respuestas de política y programas en Iberoamérica. Segundo Foro Iberoamericano sobre Migración y Desarrollo. San Salvador, El Salvador, 22 y 23 de julio de 2010.</w:t>
      </w:r>
    </w:p>
    <w:p>
      <w:pPr>
        <w:pStyle w:val="BodyText"/>
        <w:spacing w:line="256" w:lineRule="auto" w:before="163"/>
        <w:ind w:left="112" w:right="116"/>
        <w:jc w:val="both"/>
      </w:pPr>
      <w:r>
        <w:rPr/>
        <w:t>d'Anglejan, Suzanne (2009), Migraciones internacionales, crisis económica mundial y políticas migratorias. ¿Llegó la hora de retornar? Oasis. Disponible en:</w:t>
      </w:r>
    </w:p>
    <w:p>
      <w:pPr>
        <w:pStyle w:val="BodyText"/>
        <w:spacing w:before="164"/>
        <w:ind w:left="112"/>
        <w:jc w:val="both"/>
      </w:pPr>
      <w:hyperlink r:id="rId17">
        <w:r>
          <w:rPr/>
          <w:t>http://www.redalyc.org/articulo.oa?id=53117118002.</w:t>
        </w:r>
      </w:hyperlink>
    </w:p>
    <w:p>
      <w:pPr>
        <w:pStyle w:val="BodyText"/>
        <w:spacing w:line="259" w:lineRule="auto" w:before="184"/>
        <w:ind w:left="112" w:right="112"/>
        <w:jc w:val="both"/>
      </w:pPr>
      <w:r>
        <w:rPr/>
        <w:t>Grande Martín, Rafael (2010), Remesas, crisis económica internacional y desarrollo en  América Latina.  XIV  Encuentro   de   Latinoamericanistas  Españoles:  Congreso   Internacional,  Santiago   de</w:t>
      </w:r>
    </w:p>
    <w:p>
      <w:pPr>
        <w:spacing w:after="0" w:line="259" w:lineRule="auto"/>
        <w:jc w:val="both"/>
        <w:sectPr>
          <w:headerReference w:type="default" r:id="rId15"/>
          <w:pgSz w:w="12240" w:h="15840"/>
          <w:pgMar w:header="0" w:footer="0" w:top="660" w:bottom="280" w:left="1020" w:right="1020"/>
        </w:sectPr>
      </w:pPr>
    </w:p>
    <w:p>
      <w:pPr>
        <w:pStyle w:val="BodyText"/>
        <w:spacing w:before="40"/>
        <w:ind w:right="111"/>
        <w:jc w:val="right"/>
      </w:pPr>
      <w:r>
        <w:rPr/>
        <w:t>217</w:t>
      </w:r>
    </w:p>
    <w:p>
      <w:pPr>
        <w:pStyle w:val="BodyText"/>
        <w:spacing w:line="259" w:lineRule="auto" w:before="151"/>
        <w:ind w:left="112" w:right="119"/>
        <w:jc w:val="both"/>
      </w:pPr>
      <w:r>
        <w:rPr/>
        <w:t>Compostela: Espagne (2010). Instituto de Iberoamérica, Universidad de Salamanca. Disponible en </w:t>
      </w:r>
      <w:hyperlink r:id="rId19">
        <w:r>
          <w:rPr/>
          <w:t>http://halshs.archives-ouvertes.fr/halshs-00532664</w:t>
        </w:r>
      </w:hyperlink>
    </w:p>
    <w:p>
      <w:pPr>
        <w:pStyle w:val="BodyText"/>
        <w:spacing w:line="256" w:lineRule="auto" w:before="161"/>
        <w:ind w:left="112" w:right="114"/>
        <w:jc w:val="both"/>
      </w:pPr>
      <w:r>
        <w:rPr/>
        <w:t>Herrera Gioconda e Isabel Yépez (2007), “Introducción”. Nuevas migraciones latinoamericanas a Europa. Balances y desafíos. Quito: FLACSO Ecuador – UCL UB. OBREAL.</w:t>
      </w:r>
    </w:p>
    <w:p>
      <w:pPr>
        <w:pStyle w:val="BodyText"/>
        <w:spacing w:line="256" w:lineRule="auto" w:before="166"/>
        <w:ind w:left="112" w:right="114"/>
        <w:jc w:val="both"/>
      </w:pPr>
      <w:r>
        <w:rPr/>
        <w:t>Organización de los Estados Americanos (OEA) (2012). Migración internacional en las Américas: Segundo informe del Sistema Continuo de Reportes sobre Migración Internacional en las Américas (SICREMI) 2012.</w:t>
      </w:r>
    </w:p>
    <w:p>
      <w:pPr>
        <w:pStyle w:val="BodyText"/>
        <w:spacing w:line="256" w:lineRule="auto" w:before="166"/>
        <w:ind w:left="112" w:right="117"/>
        <w:jc w:val="both"/>
      </w:pPr>
      <w:r>
        <w:rPr/>
        <w:t>Organización Internacional para las Migraciones (OIM) (2012). Rutas y dinámicas migratorias entre  los países de América Latina y el Caribe (ALC), y entre ALC y la Unión</w:t>
      </w:r>
      <w:r>
        <w:rPr>
          <w:spacing w:val="-21"/>
        </w:rPr>
        <w:t> </w:t>
      </w:r>
      <w:r>
        <w:rPr/>
        <w:t>Europea.</w:t>
      </w:r>
    </w:p>
    <w:p>
      <w:pPr>
        <w:pStyle w:val="BodyText"/>
        <w:spacing w:line="259" w:lineRule="auto" w:before="166"/>
        <w:ind w:left="112" w:right="112"/>
        <w:jc w:val="both"/>
      </w:pPr>
      <w:r>
        <w:rPr/>
        <w:t>Padilla, B., y Peixoto, J. (2007). “Latin American Immigration to Southern Europe”, University Institute of Management, Social Sciences and Technology, and Technical University of Lisbon. Consultado en:</w:t>
      </w:r>
      <w:r>
        <w:rPr>
          <w:spacing w:val="-15"/>
        </w:rPr>
        <w:t> </w:t>
      </w:r>
      <w:hyperlink r:id="rId20">
        <w:r>
          <w:rPr/>
          <w:t>http://www.migrationinformation.org/Feature/display.cfm?id=609</w:t>
        </w:r>
      </w:hyperlink>
    </w:p>
    <w:p>
      <w:pPr>
        <w:pStyle w:val="BodyText"/>
        <w:spacing w:line="256" w:lineRule="auto" w:before="163"/>
        <w:ind w:left="112" w:right="118"/>
        <w:jc w:val="both"/>
      </w:pPr>
      <w:r>
        <w:rPr/>
        <w:t>Yépez, Isabel (2007), Introducción. Capítulo I, Estado del arte de las investigaciones, en: Nuevas migraciones latinoamericanas a Europa. Balances y desafíos.</w:t>
      </w:r>
    </w:p>
    <w:p>
      <w:pPr>
        <w:pStyle w:val="BodyText"/>
        <w:spacing w:line="256" w:lineRule="auto" w:before="166"/>
        <w:ind w:left="112" w:right="115"/>
        <w:jc w:val="both"/>
      </w:pPr>
      <w:r>
        <w:rPr/>
        <w:t>Influencias culturales y sociales de las migraciones latinoamericanas. Malamud, Carlos; Otero, Jaime; Encina, Carlota; Sandell, Rickard. Consultado el 30 de noviembre de 2013 en: </w:t>
      </w:r>
      <w:hyperlink r:id="rId7">
        <w:r>
          <w:rPr/>
          <w:t>http://www.corporacionescenarios.org/zav_admin/spaw/uploads/files/Biarritz06.migraciones.pdf</w:t>
        </w:r>
      </w:hyperlink>
    </w:p>
    <w:p>
      <w:pPr>
        <w:pStyle w:val="BodyText"/>
        <w:spacing w:line="256" w:lineRule="auto" w:before="166"/>
        <w:ind w:left="112" w:right="120"/>
        <w:jc w:val="both"/>
      </w:pPr>
      <w:r>
        <w:rPr/>
        <w:t>Crisis económica y migración internacional: hipótesis, visiones y consecuencias en América Latina y el Caribe. Martínez Pizarro, Jorge; Reboiras Finardi, Leandro; Soffia Contrucci, Magdalena. Consultado el 1 de diciembre de 2013 e</w:t>
      </w:r>
      <w:hyperlink r:id="rId21">
        <w:r>
          <w:rPr/>
          <w:t>n:</w:t>
        </w:r>
        <w:r>
          <w:rPr>
            <w:spacing w:val="-10"/>
          </w:rPr>
          <w:t> </w:t>
        </w:r>
        <w:r>
          <w:rPr/>
          <w:t>http://www.cepal.org/celade/agenda</w:t>
        </w:r>
      </w:hyperlink>
    </w:p>
    <w:p>
      <w:pPr>
        <w:spacing w:after="0" w:line="256" w:lineRule="auto"/>
        <w:jc w:val="both"/>
        <w:sectPr>
          <w:headerReference w:type="default" r:id="rId18"/>
          <w:pgSz w:w="12240" w:h="15840"/>
          <w:pgMar w:header="0" w:footer="0" w:top="660" w:bottom="280" w:left="1020" w:right="1020"/>
        </w:sectPr>
      </w:pPr>
    </w:p>
    <w:p>
      <w:pPr>
        <w:pStyle w:val="BodyText"/>
        <w:rPr>
          <w:sz w:val="20"/>
        </w:rPr>
      </w:pPr>
      <w:r>
        <w:rPr/>
        <w:pict>
          <v:shape style="position:absolute;margin-left:535.559998pt;margin-top:0pt;width:75.75pt;height:255.4pt;mso-position-horizontal-relative:page;mso-position-vertical-relative:page;z-index:-60664"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264" coordorigin="0,5263" coordsize="10563,10577">
            <v:rect style="position:absolute;left:0;top:5263;width:10562;height:10577" filled="true" fillcolor="#be8f00" stroked="false">
              <v:fill type="solid"/>
            </v:rect>
            <v:shape style="position:absolute;left:4980;top:13366;width:3074;height:2069" type="#_x0000_t75" stroked="false">
              <v:imagedata r:id="rId23" o:title=""/>
            </v:shape>
            <v:shape style="position:absolute;left:8261;top:13354;width:1886;height:2083" type="#_x0000_t75" stroked="false">
              <v:imagedata r:id="rId24" o:title=""/>
            </v:shape>
            <w10:wrap type="none"/>
          </v:group>
        </w:pict>
      </w:r>
      <w:r>
        <w:rPr/>
        <w:pict>
          <v:rect style="position:absolute;margin-left:535.320007pt;margin-top:373.679993pt;width:75.960pt;height:418.32pt;mso-position-horizontal-relative:page;mso-position-vertical-relative:page;z-index:1288" filled="true" fillcolor="#ffedbc" stroked="false">
            <v:fill type="solid"/>
            <w10:wrap type="none"/>
          </v:rect>
        </w:pict>
      </w:r>
      <w:r>
        <w:rPr/>
        <w:pict>
          <v:rect style="position:absolute;margin-left:533.76001pt;margin-top:263.160004pt;width:78.240pt;height:103.92pt;mso-position-horizontal-relative:page;mso-position-vertical-relative:page;z-index:1312" filled="true" fillcolor="#6c4700" stroked="false">
            <v:fill type="solid"/>
            <w10:wrap type="none"/>
          </v:rect>
        </w:pict>
      </w:r>
      <w:r>
        <w:rPr/>
        <w:pict>
          <v:rect style="position:absolute;margin-left:535.559998pt;margin-top:0pt;width:75.72pt;height:255.36pt;mso-position-horizontal-relative:page;mso-position-vertical-relative:page;z-index:1336"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22"/>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08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203</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0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208</w:t>
                </w:r>
                <w:r>
                  <w:rPr/>
                  <w:fldChar w:fldCharType="end"/>
                </w:r>
              </w:p>
            </w:txbxContent>
          </v:textbox>
          <w10:wrap type="none"/>
        </v:shape>
      </w:pict>
    </w:r>
    <w:r>
      <w:rPr/>
      <w:pict>
        <v:shape style="position:absolute;margin-left:80.264pt;margin-top:56.783916pt;width:451.05pt;height:14pt;mso-position-horizontal-relative:page;mso-position-vertical-relative:page;z-index:-60832" type="#_x0000_t202" filled="false" stroked="false">
          <v:textbox inset="0,0,0,0">
            <w:txbxContent>
              <w:p>
                <w:pPr>
                  <w:pStyle w:val="BodyText"/>
                  <w:spacing w:line="265" w:lineRule="exact"/>
                  <w:ind w:left="20" w:right="-4"/>
                </w:pPr>
                <w:r>
                  <w:rPr>
                    <w:b/>
                  </w:rPr>
                  <w:t>Tabla 16 </w:t>
                </w:r>
                <w:r>
                  <w:rPr/>
                  <w:t>España: Población latinoamericana según lugar de nacimiento y nacionalidad, 2009</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64003pt;margin-top:35.543915pt;width:466.3pt;height:35.4pt;mso-position-horizontal-relative:page;mso-position-vertical-relative:page;z-index:-60808" type="#_x0000_t202" filled="false" stroked="false">
          <v:textbox inset="0,0,0,0">
            <w:txbxContent>
              <w:p>
                <w:pPr>
                  <w:pStyle w:val="BodyText"/>
                  <w:spacing w:line="265" w:lineRule="exact"/>
                  <w:ind w:right="38"/>
                  <w:jc w:val="right"/>
                </w:pPr>
                <w:r>
                  <w:rPr/>
                  <w:fldChar w:fldCharType="begin"/>
                </w:r>
                <w:r>
                  <w:rPr/>
                  <w:instrText> PAGE </w:instrText>
                </w:r>
                <w:r>
                  <w:rPr/>
                  <w:fldChar w:fldCharType="separate"/>
                </w:r>
                <w:r>
                  <w:rPr/>
                  <w:t>209</w:t>
                </w:r>
                <w:r>
                  <w:rPr/>
                  <w:fldChar w:fldCharType="end"/>
                </w:r>
              </w:p>
              <w:p>
                <w:pPr>
                  <w:pStyle w:val="BodyText"/>
                  <w:spacing w:before="151"/>
                  <w:ind w:right="42"/>
                  <w:jc w:val="right"/>
                </w:pPr>
                <w:r>
                  <w:rPr/>
                  <w:t>Los datos referentes a los stock permiten observar, además, el peso de la presencia femenina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0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210</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64003pt;margin-top:35.543915pt;width:466.3pt;height:35.4pt;mso-position-horizontal-relative:page;mso-position-vertical-relative:page;z-index:-60760" type="#_x0000_t202" filled="false" stroked="false">
          <v:textbox inset="0,0,0,0">
            <w:txbxContent>
              <w:p>
                <w:pPr>
                  <w:pStyle w:val="BodyText"/>
                  <w:spacing w:line="265" w:lineRule="exact"/>
                  <w:ind w:right="38"/>
                  <w:jc w:val="right"/>
                </w:pPr>
                <w:r>
                  <w:rPr/>
                  <w:fldChar w:fldCharType="begin"/>
                </w:r>
                <w:r>
                  <w:rPr/>
                  <w:instrText> PAGE </w:instrText>
                </w:r>
                <w:r>
                  <w:rPr/>
                  <w:fldChar w:fldCharType="separate"/>
                </w:r>
                <w:r>
                  <w:rPr/>
                  <w:t>212</w:t>
                </w:r>
                <w:r>
                  <w:rPr/>
                  <w:fldChar w:fldCharType="end"/>
                </w:r>
              </w:p>
              <w:p>
                <w:pPr>
                  <w:pStyle w:val="BodyText"/>
                  <w:spacing w:before="151"/>
                  <w:ind w:right="46"/>
                  <w:jc w:val="right"/>
                </w:pPr>
                <w:r>
                  <w:rPr/>
                  <w:t>En contraste con lo que sucede con las cifras globales, que marcan una disminución en 2009  en</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607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6"/>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58"/>
      <w:ind w:left="112" w:hanging="481"/>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58"/>
      <w:ind w:left="592" w:hanging="481"/>
      <w:jc w:val="both"/>
    </w:pPr>
    <w:rPr>
      <w:rFonts w:ascii="Times New Roman" w:hAnsi="Times New Roman" w:eastAsia="Times New Roman" w:cs="Times New Roman"/>
    </w:rPr>
  </w:style>
  <w:style w:styleId="TableParagraph" w:type="paragraph">
    <w:name w:val="Table Paragraph"/>
    <w:basedOn w:val="Normal"/>
    <w:uiPriority w:val="1"/>
    <w:qFormat/>
    <w:pPr>
      <w:spacing w:line="169" w:lineRule="exact"/>
      <w:ind w:left="9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lgodinezm76@gmail.com" TargetMode="External"/><Relationship Id="rId7" Type="http://schemas.openxmlformats.org/officeDocument/2006/relationships/hyperlink" Target="http://www.corporacionescenarios.org/zav_admin/spaw/uploads/files/Biarritz06.migraciones.pdf" TargetMode="Externa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yperlink" Target="http://www.cepal.org/celade/agenda/8/41868/ALAP_2010.pdf" TargetMode="External"/><Relationship Id="rId11" Type="http://schemas.openxmlformats.org/officeDocument/2006/relationships/header" Target="header4.xml"/><Relationship Id="rId12" Type="http://schemas.openxmlformats.org/officeDocument/2006/relationships/image" Target="media/image1.png"/><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hyperlink" Target="http://www.eclac.org/publicaciones/xml/9/34889/Presentaci%C3%B3n.pdf" TargetMode="External"/><Relationship Id="rId17" Type="http://schemas.openxmlformats.org/officeDocument/2006/relationships/hyperlink" Target="http://www.redalyc.org/articulo.oa?id=53117118002" TargetMode="External"/><Relationship Id="rId18" Type="http://schemas.openxmlformats.org/officeDocument/2006/relationships/header" Target="header8.xml"/><Relationship Id="rId19" Type="http://schemas.openxmlformats.org/officeDocument/2006/relationships/hyperlink" Target="http://halshs.archives-ouvertes.fr/halshs-00532664" TargetMode="External"/><Relationship Id="rId20" Type="http://schemas.openxmlformats.org/officeDocument/2006/relationships/hyperlink" Target="http://www.migrationinformation.org/Feature/display.cfm?id=609" TargetMode="External"/><Relationship Id="rId21" Type="http://schemas.openxmlformats.org/officeDocument/2006/relationships/hyperlink" Target="http://www.cepal.org/celade/agenda" TargetMode="External"/><Relationship Id="rId22" Type="http://schemas.openxmlformats.org/officeDocument/2006/relationships/header" Target="header9.xml"/><Relationship Id="rId23" Type="http://schemas.openxmlformats.org/officeDocument/2006/relationships/image" Target="media/image2.jpeg"/><Relationship Id="rId24" Type="http://schemas.openxmlformats.org/officeDocument/2006/relationships/image" Target="media/image3.jpe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2017-05-25T17:47:57Z</dcterms:created>
  <dcterms:modified xsi:type="dcterms:W3CDTF">2017-05-25T17:47:57Z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2016-03-02T00:00:00Z</vt:filetime>
  </property>
  <property fmtid="{D5CDD505-2E9C-101B-9397-08002B2CF9AE}" pid="3" name="Creator">
    <vt:lpwstr>Microsoft® Word 2013</vt:lpwstr>
  </property>
  <property fmtid="{D5CDD505-2E9C-101B-9397-08002B2CF9AE}" pid="4" name="LastSaved">
    <vt:filetime>2017-05-25T00:00:00Z</vt:filetime>
  </property>
</Properties>
</file>