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Default Extension="png" ContentType="image/png"/>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sz w:val="20"/>
        </w:rPr>
        <w:pict>
          <v:group style="width:77.05pt;height:262pt;mso-position-horizontal-relative:char;mso-position-vertical-relative:line" coordorigin="0,0" coordsize="1541,5240">
            <v:rect style="position:absolute;left:0;top:0;width:1541;height:5239" filled="true" fillcolor="#9e7500" stroked="false">
              <v:fill type="solid"/>
            </v:rect>
          </v:group>
        </w:pict>
      </w:r>
      <w:r>
        <w:rPr>
          <w:sz w:val="20"/>
        </w:rPr>
      </w:r>
    </w:p>
    <w:p>
      <w:pPr>
        <w:pStyle w:val="BodyText"/>
        <w:spacing w:before="2"/>
        <w:rPr>
          <w:sz w:val="6"/>
        </w:rPr>
      </w:pPr>
    </w:p>
    <w:p>
      <w:pPr>
        <w:spacing w:before="39"/>
        <w:ind w:left="2170" w:right="4201" w:firstLine="0"/>
        <w:jc w:val="left"/>
        <w:rPr>
          <w:b/>
          <w:sz w:val="48"/>
        </w:rPr>
      </w:pPr>
      <w:r>
        <w:rPr/>
        <w:pict>
          <v:rect style="position:absolute;margin-left:83.879997pt;margin-top:1.506256pt;width:528.12pt;height:523.2pt;mso-position-horizontal-relative:page;mso-position-vertical-relative:paragraph;z-index:-46336" filled="true" fillcolor="#be8f00" stroked="false">
            <v:fill type="solid"/>
            <w10:wrap type="none"/>
          </v:rect>
        </w:pict>
      </w:r>
      <w:r>
        <w:rPr/>
        <w:pict>
          <v:rect style="position:absolute;margin-left:0pt;margin-top:1.506256pt;width:78.36pt;height:103.8pt;mso-position-horizontal-relative:page;mso-position-vertical-relative:paragraph;z-index:1096" filled="true" fillcolor="#6c4700" stroked="false">
            <v:fill type="solid"/>
            <w10:wrap type="none"/>
          </v:rect>
        </w:pict>
      </w:r>
      <w:r>
        <w:rPr/>
        <w:pict>
          <v:group style="position:absolute;margin-left:82.68pt;margin-top:-267.293732pt;width:529.35pt;height:263.2pt;mso-position-horizontal-relative:page;mso-position-vertical-relative:paragraph;z-index:1168" coordorigin="1654,-5346" coordsize="10587,5264">
            <v:rect style="position:absolute;left:1654;top:-5346;width:10586;height:5263" filled="true" fillcolor="#9e7500" stroked="false">
              <v:fill type="solid"/>
            </v:rect>
            <v:shapetype id="_x0000_t202" o:spt="202" coordsize="21600,21600" path="m,l,21600r21600,l21600,xe">
              <v:stroke joinstyle="miter"/>
              <v:path gradientshapeok="t" o:connecttype="rect"/>
            </v:shapetype>
            <v:shape style="position:absolute;left:2180;top:-4076;width:8004;height:420" type="#_x0000_t202" filled="false" stroked="false">
              <v:textbox inset="0,0,0,0">
                <w:txbxContent>
                  <w:p>
                    <w:pPr>
                      <w:spacing w:line="420" w:lineRule="exact" w:before="0"/>
                      <w:ind w:left="0" w:right="-20" w:firstLine="0"/>
                      <w:jc w:val="left"/>
                      <w:rPr>
                        <w:b/>
                        <w:sz w:val="42"/>
                      </w:rPr>
                    </w:pPr>
                    <w:r>
                      <w:rPr>
                        <w:b/>
                        <w:color w:val="FFFFFF"/>
                        <w:sz w:val="42"/>
                      </w:rPr>
                      <w:t>Ciencias Sociales: Economía y Humanidades</w:t>
                    </w:r>
                  </w:p>
                </w:txbxContent>
              </v:textbox>
              <w10:wrap type="none"/>
            </v:shape>
            <v:shape style="position:absolute;left:2180;top:-3130;width:3194;height:540" type="#_x0000_t202" filled="false" stroked="false">
              <v:textbox inset="0,0,0,0">
                <w:txbxContent>
                  <w:p>
                    <w:pPr>
                      <w:spacing w:line="540" w:lineRule="exact" w:before="0"/>
                      <w:ind w:left="0" w:right="-18" w:firstLine="0"/>
                      <w:jc w:val="left"/>
                      <w:rPr>
                        <w:b/>
                        <w:i/>
                        <w:sz w:val="54"/>
                      </w:rPr>
                    </w:pPr>
                    <w:r>
                      <w:rPr>
                        <w:b/>
                        <w:i/>
                        <w:color w:val="FFFFFF"/>
                        <w:sz w:val="54"/>
                      </w:rPr>
                      <w:t>Handbook</w:t>
                    </w:r>
                    <w:r>
                      <w:rPr>
                        <w:b/>
                        <w:i/>
                        <w:color w:val="FFFFFF"/>
                        <w:spacing w:val="-4"/>
                        <w:sz w:val="54"/>
                      </w:rPr>
                      <w:t> </w:t>
                    </w:r>
                    <w:r>
                      <w:rPr>
                        <w:b/>
                        <w:i/>
                        <w:color w:val="FFFFFF"/>
                        <w:sz w:val="54"/>
                      </w:rPr>
                      <w:t>T-I</w:t>
                    </w:r>
                  </w:p>
                </w:txbxContent>
              </v:textbox>
              <w10:wrap type="none"/>
            </v:shape>
            <w10:wrap type="none"/>
          </v:group>
        </w:pict>
      </w:r>
      <w:r>
        <w:rPr>
          <w:b/>
          <w:color w:val="FFFFFF"/>
          <w:sz w:val="48"/>
        </w:rPr>
        <w:t>Pérez-Soto, Francisco Figueroa-Hernández, Esther</w:t>
      </w:r>
    </w:p>
    <w:p>
      <w:pPr>
        <w:tabs>
          <w:tab w:pos="8926" w:val="left" w:leader="none"/>
        </w:tabs>
        <w:spacing w:before="0"/>
        <w:ind w:left="2170" w:right="0" w:firstLine="0"/>
        <w:jc w:val="left"/>
        <w:rPr>
          <w:b/>
          <w:i/>
          <w:sz w:val="40"/>
        </w:rPr>
      </w:pPr>
      <w:r>
        <w:rPr>
          <w:b/>
          <w:color w:val="FFFFFF"/>
          <w:sz w:val="48"/>
        </w:rPr>
        <w:t>Godínez-Montoya,</w:t>
      </w:r>
      <w:r>
        <w:rPr>
          <w:b/>
          <w:color w:val="FFFFFF"/>
          <w:spacing w:val="-1"/>
          <w:sz w:val="48"/>
        </w:rPr>
        <w:t> </w:t>
      </w:r>
      <w:r>
        <w:rPr>
          <w:b/>
          <w:color w:val="FFFFFF"/>
          <w:sz w:val="48"/>
        </w:rPr>
        <w:t>Lucila</w:t>
        <w:tab/>
      </w:r>
      <w:r>
        <w:rPr>
          <w:b/>
          <w:i/>
          <w:color w:val="FFFFFF"/>
          <w:sz w:val="40"/>
        </w:rPr>
        <w:t>Directores</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7"/>
        </w:rPr>
      </w:pPr>
    </w:p>
    <w:p>
      <w:pPr>
        <w:spacing w:before="65"/>
        <w:ind w:left="0" w:right="474" w:firstLine="0"/>
        <w:jc w:val="right"/>
        <w:rPr>
          <w:b/>
          <w:sz w:val="29"/>
        </w:rPr>
      </w:pPr>
      <w:r>
        <w:rPr/>
        <w:pict>
          <v:rect style="position:absolute;margin-left:.72pt;margin-top:-355.012878pt;width:76.08pt;height:411.48pt;mso-position-horizontal-relative:page;mso-position-vertical-relative:paragraph;z-index:1072" filled="true" fillcolor="#ffedbc" stroked="false">
            <v:fill type="solid"/>
            <w10:wrap type="none"/>
          </v:rect>
        </w:pict>
      </w:r>
      <w:r>
        <w:rPr>
          <w:b/>
          <w:w w:val="95"/>
          <w:sz w:val="44"/>
        </w:rPr>
        <w:t>ECORFAN</w:t>
      </w:r>
      <w:r>
        <w:rPr>
          <w:b/>
          <w:w w:val="95"/>
          <w:position w:val="16"/>
          <w:sz w:val="29"/>
        </w:rPr>
        <w:t>®</w:t>
      </w:r>
    </w:p>
    <w:p>
      <w:pPr>
        <w:spacing w:after="0"/>
        <w:jc w:val="right"/>
        <w:rPr>
          <w:sz w:val="29"/>
        </w:rPr>
        <w:sectPr>
          <w:type w:val="continuous"/>
          <w:pgSz w:w="12240" w:h="15840"/>
          <w:pgMar w:top="0" w:bottom="0" w:left="0" w:right="0"/>
        </w:sectPr>
      </w:pPr>
    </w:p>
    <w:p>
      <w:pPr>
        <w:pStyle w:val="BodyText"/>
        <w:spacing w:line="20" w:lineRule="exact"/>
        <w:ind w:left="105"/>
        <w:rPr>
          <w:sz w:val="2"/>
        </w:rPr>
      </w:pPr>
      <w:r>
        <w:rPr>
          <w:sz w:val="2"/>
        </w:rPr>
        <w:pict>
          <v:group style="width:487.15pt;height:.75pt;mso-position-horizontal-relative:char;mso-position-vertical-relative:line" coordorigin="0,0" coordsize="9743,15">
            <v:line style="position:absolute" from="8,8" to="9736,8" stroked="true" strokeweight=".72pt" strokecolor="#000000"/>
          </v:group>
        </w:pict>
      </w:r>
      <w:r>
        <w:rPr>
          <w:sz w:val="2"/>
        </w:rPr>
      </w:r>
    </w:p>
    <w:p>
      <w:pPr>
        <w:spacing w:before="62"/>
        <w:ind w:left="172" w:right="6408" w:firstLine="0"/>
        <w:jc w:val="left"/>
        <w:rPr>
          <w:sz w:val="32"/>
        </w:rPr>
      </w:pPr>
      <w:r>
        <w:rPr>
          <w:sz w:val="32"/>
        </w:rPr>
        <w:t>Volumen I</w:t>
      </w:r>
    </w:p>
    <w:p>
      <w:pPr>
        <w:pStyle w:val="BodyText"/>
        <w:spacing w:before="1"/>
        <w:rPr>
          <w:sz w:val="18"/>
        </w:rPr>
      </w:pPr>
      <w:r>
        <w:rPr/>
        <w:pict>
          <v:line style="position:absolute;mso-position-horizontal-relative:page;mso-position-vertical-relative:paragraph;z-index:1216;mso-wrap-distance-left:0;mso-wrap-distance-right:0" from="53.880001pt,12.739084pt" to="540.280001pt,12.739084pt" stroked="true" strokeweight=".72pt" strokecolor="#000000">
            <w10:wrap type="topAndBottom"/>
          </v:line>
        </w:pict>
      </w: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spacing w:line="242" w:lineRule="auto" w:before="220"/>
        <w:ind w:left="172" w:right="6408"/>
      </w:pPr>
      <w:r>
        <w:rPr/>
        <w:t>Para futuros volúmenes: </w:t>
      </w:r>
      <w:hyperlink r:id="rId5">
        <w:r>
          <w:rPr/>
          <w:t>http://www.ecorfan.org/handbooks</w:t>
        </w:r>
      </w:hyperlink>
    </w:p>
    <w:p>
      <w:pPr>
        <w:spacing w:after="0" w:line="242" w:lineRule="auto"/>
        <w:sectPr>
          <w:pgSz w:w="12240" w:h="15840"/>
          <w:pgMar w:top="1040" w:bottom="280" w:left="960" w:right="1320"/>
        </w:sectPr>
      </w:pPr>
    </w:p>
    <w:p>
      <w:pPr>
        <w:pStyle w:val="Heading2"/>
      </w:pPr>
      <w:r>
        <w:rPr/>
        <w:t>ECORFAN Ciencias Sociales: Economía y Humanidades</w:t>
      </w:r>
    </w:p>
    <w:p>
      <w:pPr>
        <w:pStyle w:val="BodyText"/>
        <w:spacing w:before="8"/>
        <w:rPr>
          <w:b/>
          <w:sz w:val="18"/>
        </w:rPr>
      </w:pPr>
      <w:r>
        <w:rPr/>
        <w:pict>
          <v:line style="position:absolute;mso-position-horizontal-relative:page;mso-position-vertical-relative:paragraph;z-index:1240;mso-wrap-distance-left:0;mso-wrap-distance-right:0" from="56.400002pt,13.099043pt" to="542.800002pt,13.099043pt" stroked="true" strokeweight=".72pt" strokecolor="#000000">
            <w10:wrap type="topAndBottom"/>
          </v:line>
        </w:pict>
      </w:r>
    </w:p>
    <w:p>
      <w:pPr>
        <w:pStyle w:val="BodyText"/>
        <w:rPr>
          <w:b/>
          <w:sz w:val="31"/>
        </w:rPr>
      </w:pPr>
    </w:p>
    <w:p>
      <w:pPr>
        <w:pStyle w:val="BodyText"/>
        <w:ind w:left="112" w:right="110"/>
        <w:jc w:val="both"/>
      </w:pPr>
      <w:r>
        <w:rPr/>
        <w:t>El Handbook ofrecerá los volúmenes de contribuciones seleccionadas de investigadores que contribuyan a la actividad de difusión científica de ECORFAN en su área de investigación en Ciencias Sociales: Economía y Humanidades. Además de tener una evaluación total, en las manos de  los editores de la Universidad Autónoma Chapingo que colaboraron con calidad y puntualidad en sus capítulos, cada contribución individual fue arbitrada a estándares internacionales (RENIECYT- LATINDEX-DIALNET-ResearchGate-DULCINEA-CLASE-          Sudoc-         HISPANA-SHERPA-</w:t>
      </w:r>
    </w:p>
    <w:p>
      <w:pPr>
        <w:pStyle w:val="BodyText"/>
        <w:ind w:left="112" w:right="113"/>
        <w:jc w:val="both"/>
      </w:pPr>
      <w:r>
        <w:rPr/>
        <w:t>UNIVERSIA-eREVISTAS-ScholarGoogle-DOI-REBID-Mendeley), el Handbook propone así a la comunidad académica, los informes recientes sobre los nuevos progresos en las áreas más interesantes  y prometedoras de investigación en Ciencias Sociales: Economía y</w:t>
      </w:r>
      <w:r>
        <w:rPr>
          <w:spacing w:val="-10"/>
        </w:rPr>
        <w:t> </w:t>
      </w:r>
      <w:r>
        <w:rPr/>
        <w:t>Humanidades.</w:t>
      </w:r>
    </w:p>
    <w:p>
      <w:pPr>
        <w:spacing w:after="0"/>
        <w:jc w:val="both"/>
        <w:sectPr>
          <w:pgSz w:w="12240" w:h="15840"/>
          <w:pgMar w:top="1100" w:bottom="280" w:left="1020" w:right="1020"/>
        </w:sectPr>
      </w:pPr>
    </w:p>
    <w:p>
      <w:pPr>
        <w:pStyle w:val="Heading3"/>
      </w:pPr>
      <w:r>
        <w:rPr/>
        <w:t>Pérez-Soto Francisco • Figueroa-Hernández Esther • Godínez-Montoya Lucila</w:t>
      </w:r>
    </w:p>
    <w:p>
      <w:pPr>
        <w:pStyle w:val="BodyText"/>
        <w:spacing w:before="5"/>
        <w:rPr>
          <w:b/>
          <w:sz w:val="31"/>
        </w:rPr>
      </w:pPr>
    </w:p>
    <w:p>
      <w:pPr>
        <w:spacing w:before="0"/>
        <w:ind w:left="112" w:right="0" w:firstLine="0"/>
        <w:jc w:val="left"/>
        <w:rPr>
          <w:sz w:val="28"/>
        </w:rPr>
      </w:pPr>
      <w:r>
        <w:rPr>
          <w:sz w:val="28"/>
        </w:rPr>
        <w:t>Editores</w:t>
      </w:r>
    </w:p>
    <w:p>
      <w:pPr>
        <w:pStyle w:val="BodyText"/>
        <w:spacing w:before="8"/>
        <w:rPr>
          <w:sz w:val="28"/>
        </w:rPr>
      </w:pPr>
    </w:p>
    <w:p>
      <w:pPr>
        <w:spacing w:before="0"/>
        <w:ind w:left="112" w:right="0" w:firstLine="0"/>
        <w:jc w:val="left"/>
        <w:rPr>
          <w:b/>
          <w:sz w:val="52"/>
        </w:rPr>
      </w:pPr>
      <w:r>
        <w:rPr>
          <w:b/>
          <w:color w:val="121312"/>
          <w:sz w:val="52"/>
        </w:rPr>
        <w:t>Ciencias Sociales: Economía y Humanidades</w:t>
      </w:r>
    </w:p>
    <w:p>
      <w:pPr>
        <w:pStyle w:val="BodyText"/>
        <w:spacing w:before="3"/>
        <w:rPr>
          <w:b/>
          <w:sz w:val="51"/>
        </w:rPr>
      </w:pPr>
    </w:p>
    <w:p>
      <w:pPr>
        <w:pStyle w:val="BodyText"/>
        <w:ind w:left="112"/>
      </w:pPr>
      <w:r>
        <w:rPr/>
        <w:t>Universidad Autónoma Chapingo. Octubre, 2015.</w:t>
      </w:r>
    </w:p>
    <w:p>
      <w:pPr>
        <w:spacing w:after="0"/>
        <w:sectPr>
          <w:pgSz w:w="12240" w:h="15840"/>
          <w:pgMar w:top="1460" w:bottom="280" w:left="1020" w:right="1080"/>
        </w:sectPr>
      </w:pPr>
    </w:p>
    <w:p>
      <w:pPr>
        <w:pStyle w:val="Heading1"/>
        <w:spacing w:before="42"/>
        <w:ind w:right="7378"/>
        <w:rPr>
          <w:sz w:val="26"/>
        </w:rPr>
      </w:pPr>
      <w:r>
        <w:rPr/>
        <w:t>ECORFAN</w:t>
      </w:r>
      <w:r>
        <w:rPr>
          <w:position w:val="14"/>
          <w:sz w:val="26"/>
        </w:rPr>
        <w:t>®</w:t>
      </w:r>
    </w:p>
    <w:p>
      <w:pPr>
        <w:spacing w:before="270"/>
        <w:ind w:left="112" w:right="7378" w:firstLine="0"/>
        <w:jc w:val="left"/>
        <w:rPr>
          <w:i/>
          <w:sz w:val="24"/>
        </w:rPr>
      </w:pPr>
      <w:r>
        <w:rPr>
          <w:i/>
          <w:sz w:val="24"/>
        </w:rPr>
        <w:t>Editores</w:t>
      </w:r>
    </w:p>
    <w:p>
      <w:pPr>
        <w:pStyle w:val="BodyText"/>
        <w:rPr>
          <w:i/>
        </w:rPr>
      </w:pPr>
    </w:p>
    <w:p>
      <w:pPr>
        <w:pStyle w:val="BodyText"/>
        <w:ind w:left="112" w:right="7378"/>
      </w:pPr>
      <w:r>
        <w:rPr/>
        <w:t>Pérez-Soto, Francisco Figueroa-Hernández, Esther Godínez-Montoya, Lucila</w:t>
      </w:r>
    </w:p>
    <w:p>
      <w:pPr>
        <w:pStyle w:val="BodyText"/>
      </w:pPr>
    </w:p>
    <w:p>
      <w:pPr>
        <w:pStyle w:val="BodyText"/>
        <w:ind w:left="112" w:right="6551"/>
      </w:pPr>
      <w:r>
        <w:rPr/>
        <w:t>Universidad Autónoma Chapingo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line="229" w:lineRule="exact" w:before="187"/>
        <w:ind w:left="112" w:right="7378" w:firstLine="0"/>
        <w:jc w:val="left"/>
        <w:rPr>
          <w:sz w:val="20"/>
        </w:rPr>
      </w:pPr>
      <w:r>
        <w:rPr>
          <w:sz w:val="20"/>
        </w:rPr>
        <w:t>ISBN- 978-607-8324-45-3</w:t>
      </w:r>
    </w:p>
    <w:p>
      <w:pPr>
        <w:spacing w:line="242" w:lineRule="auto" w:before="0"/>
        <w:ind w:left="112" w:right="6551" w:firstLine="0"/>
        <w:jc w:val="left"/>
        <w:rPr>
          <w:sz w:val="20"/>
        </w:rPr>
      </w:pPr>
      <w:r>
        <w:rPr>
          <w:sz w:val="20"/>
        </w:rPr>
        <w:t>Sello Editorial ECORFAN: 607-8324 Número de Control HCESH: 2015-01 Clasificación HCESH (2015): 081015-0101</w:t>
      </w:r>
    </w:p>
    <w:p>
      <w:pPr>
        <w:pStyle w:val="BodyText"/>
        <w:spacing w:before="4"/>
        <w:rPr>
          <w:sz w:val="17"/>
        </w:rPr>
      </w:pPr>
    </w:p>
    <w:p>
      <w:pPr>
        <w:pStyle w:val="Heading1"/>
      </w:pPr>
      <w:r>
        <w:rPr/>
        <w:t>©ECORFAN-México, S.C.</w:t>
      </w:r>
    </w:p>
    <w:p>
      <w:pPr>
        <w:pStyle w:val="BodyText"/>
        <w:rPr>
          <w:b/>
          <w:sz w:val="37"/>
        </w:rPr>
      </w:pPr>
    </w:p>
    <w:p>
      <w:pPr>
        <w:spacing w:before="0"/>
        <w:ind w:left="112" w:right="110" w:firstLine="0"/>
        <w:jc w:val="both"/>
        <w:rPr>
          <w:sz w:val="20"/>
        </w:rPr>
      </w:pPr>
      <w:r>
        <w:rPr>
          <w:sz w:val="20"/>
        </w:rPr>
        <w:t>Ninguna parte de este escrito amparado por la Ley Federal de Derechos de Autor ,podrá ser reproducida, transmitida o utilizada en cualquier forma o medio, ya sea gráfico, electrónico o mecánico, incluyendo, pero sin limitarse a lo siguiente: Citas en artículos y comentarios bibliográficos ,de compilación de datos periodísticos radiofónicos o electrónicos. Para los efectos de los artículos 13, 162,163 fracción I, 164 fracción I, 168, 169,209 fracción III y demás relativos de la Ley Federal de Derechos de Autor. Violaciones: Ser obligado al procesamiento bajo ley de copyright mexicana. El uso de nombres descriptivos generales, de nombres registrados, de marcas registradas, en esta publicación no implica, uniformemente en ausencia de una declaración específica, que tales nombres son exentos del protector relevante en leyes y regulaciones de México y por lo tanto libre para el uso general de la comunidad científica internacional. HCESH es parte de los medios de ECORFAN-México, S.C, E:94-443.F:008-(www.ecorfan.org)</w:t>
      </w:r>
    </w:p>
    <w:p>
      <w:pPr>
        <w:spacing w:after="0"/>
        <w:jc w:val="both"/>
        <w:rPr>
          <w:sz w:val="20"/>
        </w:rPr>
        <w:sectPr>
          <w:pgSz w:w="12240" w:h="15840"/>
          <w:pgMar w:top="1080" w:bottom="280" w:left="1020" w:right="1020"/>
        </w:sectPr>
      </w:pPr>
    </w:p>
    <w:p>
      <w:pPr>
        <w:pStyle w:val="Heading2"/>
      </w:pPr>
      <w:r>
        <w:rPr/>
        <w:t>Prefacio</w:t>
      </w:r>
    </w:p>
    <w:p>
      <w:pPr>
        <w:pStyle w:val="BodyText"/>
        <w:spacing w:before="225"/>
        <w:ind w:left="112" w:right="115"/>
        <w:jc w:val="both"/>
      </w:pPr>
      <w:r>
        <w:rPr/>
        <w:t>Una de las líneas estratégicas de la misión y visión universitaria ha sido la de impulsar una política de ciencia, tecnología e innovación que contribuya al crecimiento económico, a la competitividad, al desarrollo sustentable y al bienestar de la población, así como impulsar una mayor divulgación en beneficio del índice de desarrollo humano, a través de distintos medios y espacios, así como la consolidación de redes de innovación de la investigación, ciencia y tecnología en México.</w:t>
      </w:r>
    </w:p>
    <w:p>
      <w:pPr>
        <w:pStyle w:val="BodyText"/>
      </w:pPr>
    </w:p>
    <w:p>
      <w:pPr>
        <w:pStyle w:val="BodyText"/>
        <w:ind w:left="112" w:right="108" w:firstLine="708"/>
        <w:jc w:val="both"/>
      </w:pPr>
      <w:r>
        <w:rPr/>
        <w:t>La Universidad Autónoma Chapingo visualiza la necesidad de promover el proceso de la investigación , proporcionando un espacio de discusión y análisis de los trabajos realizados fomentando el conocimiento entre ellos y la formación y consolidación de redes que permitan una labor investigativa más eficaz y un incremento sustancial en la difusión de los nuevos conocimientos. Este volumen I contiene 29 capítulos arbitrados que se ocupan de estos asuntos en Tópicos Selectos de Ciencias Sociales: Economía y Humanidades, elegidos de entre las contribuciones, reunimos algunos investigadores y estudiantes.</w:t>
      </w:r>
    </w:p>
    <w:p>
      <w:pPr>
        <w:pStyle w:val="BodyText"/>
      </w:pPr>
    </w:p>
    <w:p>
      <w:pPr>
        <w:pStyle w:val="BodyText"/>
        <w:ind w:left="112" w:right="109" w:firstLine="708"/>
        <w:jc w:val="both"/>
        <w:rPr>
          <w:b/>
        </w:rPr>
      </w:pPr>
      <w:r>
        <w:rPr>
          <w:i/>
        </w:rPr>
        <w:t>Gómez, </w:t>
      </w:r>
      <w:r>
        <w:rPr/>
        <w:t>presenta un breve examen de la producción y comercialización de rosa en México; </w:t>
      </w:r>
      <w:r>
        <w:rPr>
          <w:i/>
        </w:rPr>
        <w:t>Arpi </w:t>
      </w:r>
      <w:r>
        <w:rPr>
          <w:i/>
        </w:rPr>
        <w:t>y Portillo </w:t>
      </w:r>
      <w:r>
        <w:rPr/>
        <w:t>realiza un estudio en México sobre el ingreso mínimo de las familias que identifica la línea  de pobreza alimentaria en el área rural del sur de México, 2012; </w:t>
      </w:r>
      <w:r>
        <w:rPr>
          <w:i/>
        </w:rPr>
        <w:t>Bravo </w:t>
      </w:r>
      <w:r>
        <w:rPr/>
        <w:t>realiza un pequeño estudio donde hablará sobre el análisis comparado del Sector Gubernamental y la Economía Mexicana desde la perspectiva de los eslabonamientos productivos Hirshman-Rasmuss; </w:t>
      </w:r>
      <w:r>
        <w:rPr>
          <w:i/>
        </w:rPr>
        <w:t>Caamal, Pat, Jerónimo y Romero </w:t>
      </w:r>
      <w:r>
        <w:rPr/>
        <w:t>realizan un estudio sobre los canales de comercialización de limón persa en el municipio de Martínez de la Torre, Veracruz; </w:t>
      </w:r>
      <w:r>
        <w:rPr>
          <w:i/>
        </w:rPr>
        <w:t>Macías y Perales </w:t>
      </w:r>
      <w:r>
        <w:rPr/>
        <w:t>nos hablarán sobre una análisis del comercio estratégico en el TLCAN: El Estado en la política agrícola de biocombustibles; </w:t>
      </w:r>
      <w:r>
        <w:rPr>
          <w:i/>
        </w:rPr>
        <w:t>Figueroa, Pérez y Godínez </w:t>
      </w:r>
      <w:r>
        <w:rPr/>
        <w:t>se expresan acerca de la importancia de la comercialización del café en México; </w:t>
      </w:r>
      <w:r>
        <w:rPr>
          <w:i/>
        </w:rPr>
        <w:t>Sepúlveda, Sepúlveda y Pérez </w:t>
      </w:r>
      <w:r>
        <w:rPr/>
        <w:t>realizan un diagnóstico, retos del comercio electrónico en el Sector Agroindustrial Mexicano; </w:t>
      </w:r>
      <w:r>
        <w:rPr>
          <w:i/>
        </w:rPr>
        <w:t>Duana </w:t>
      </w:r>
      <w:r>
        <w:rPr/>
        <w:t>mediante su trabajo nos muestra y habla sobre la inversión extranjera directa y su impacto en crecimiento de México, un análisis en prospectiva: 1999-2010; </w:t>
      </w:r>
      <w:r>
        <w:rPr>
          <w:i/>
        </w:rPr>
        <w:t>Figueroa, Pérez y Ramírez </w:t>
      </w:r>
      <w:r>
        <w:rPr/>
        <w:t>hacen un estudio acerca sobre la importancia de la Banca en México; </w:t>
      </w:r>
      <w:r>
        <w:rPr>
          <w:i/>
        </w:rPr>
        <w:t>Pérez, Figueroa, Godínez y Pérez </w:t>
      </w:r>
      <w:r>
        <w:rPr/>
        <w:t>presenta un trabajo acerca de la competitividad de la producción agrícola en México, un análisis regional; </w:t>
      </w:r>
      <w:r>
        <w:rPr>
          <w:i/>
        </w:rPr>
        <w:t>Rodríguez, Espinosa y Márquez </w:t>
      </w:r>
      <w:r>
        <w:rPr/>
        <w:t>analizan todo acerca de </w:t>
      </w:r>
      <w:r>
        <w:rPr>
          <w:b/>
        </w:rPr>
        <w:t>e</w:t>
      </w:r>
      <w:r>
        <w:rPr/>
        <w:t>l SIAL productor de quesos en Poxtla, competividad y territorio; </w:t>
      </w:r>
      <w:r>
        <w:rPr>
          <w:i/>
        </w:rPr>
        <w:t>Garza </w:t>
      </w:r>
      <w:r>
        <w:rPr/>
        <w:t>nos habla acerca de </w:t>
      </w:r>
      <w:r>
        <w:rPr>
          <w:b/>
        </w:rPr>
        <w:t>l</w:t>
      </w:r>
      <w:r>
        <w:rPr/>
        <w:t>a intermediación financiera al servicio de la comunidad indígena: el fondo regional indígena Tarhiata Keri; </w:t>
      </w:r>
      <w:r>
        <w:rPr>
          <w:i/>
        </w:rPr>
        <w:t>Arroyo, Aguilar, Santoyo y Muñoz </w:t>
      </w:r>
      <w:r>
        <w:rPr/>
        <w:t>realizan un estudio acerca de la demanda de Importaciones de durazno </w:t>
      </w:r>
      <w:r>
        <w:rPr>
          <w:i/>
        </w:rPr>
        <w:t>(Prunus pérsica L. Batsch) </w:t>
      </w:r>
      <w:r>
        <w:rPr/>
        <w:t>en México procedentes de Estados Unidos de América (1982-2011); </w:t>
      </w:r>
      <w:r>
        <w:rPr>
          <w:i/>
        </w:rPr>
        <w:t>Loera y Sepúlveda </w:t>
      </w:r>
      <w:r>
        <w:rPr/>
        <w:t>analizan los parámetros de la productividad forestal en la producción de madera en rollo; </w:t>
      </w:r>
      <w:r>
        <w:rPr>
          <w:i/>
        </w:rPr>
        <w:t>Pérez, Morett y Tecpan </w:t>
      </w:r>
      <w:r>
        <w:rPr/>
        <w:t>realizan un análisis de factores sociales, ambientales y económicos del territorio rural cercano a la ciudad de México; </w:t>
      </w:r>
      <w:r>
        <w:rPr>
          <w:i/>
        </w:rPr>
        <w:t>Godínez, Figueroa y Pérez </w:t>
      </w:r>
      <w:r>
        <w:rPr/>
        <w:t>realizan un estudio acerca de la crisis económica  mundial y su efecto sobre los flujos migratorios de América Latina; </w:t>
      </w:r>
      <w:r>
        <w:rPr>
          <w:i/>
        </w:rPr>
        <w:t>Magadán, Hernández y Escalona </w:t>
      </w:r>
      <w:r>
        <w:rPr/>
        <w:t>presentan la tipología de los sujetos sociales que intervienen en el mercado campesino de Ocotlán Oaxaca; </w:t>
      </w:r>
      <w:r>
        <w:rPr>
          <w:i/>
        </w:rPr>
        <w:t>Tavera y Cobos </w:t>
      </w:r>
      <w:r>
        <w:rPr/>
        <w:t>nos hablan de la normalización del proceso de compostaje: una opción para desarrollar el mercado de la composta; </w:t>
      </w:r>
      <w:r>
        <w:rPr>
          <w:i/>
        </w:rPr>
        <w:t>Piña y Pérez </w:t>
      </w:r>
      <w:r>
        <w:rPr/>
        <w:t>hablan acerca de la reestructuración del capitalismo y crisis política en México; </w:t>
      </w:r>
      <w:r>
        <w:rPr>
          <w:i/>
        </w:rPr>
        <w:t>Gonzáles, Rucoba y Ramírez </w:t>
      </w:r>
      <w:r>
        <w:rPr/>
        <w:t>realizan un estudio de la rentabilidad de la producción de miel en el municipio de León, Guanjuato; </w:t>
      </w:r>
      <w:r>
        <w:rPr>
          <w:i/>
        </w:rPr>
        <w:t>Ramírez, Gutiérrez y </w:t>
      </w:r>
      <w:r>
        <w:rPr>
          <w:i/>
        </w:rPr>
        <w:t>Figueroa </w:t>
      </w:r>
      <w:r>
        <w:rPr/>
        <w:t>realizan un estudio acerca de la economía del maíz en la región metropolitana, Chiapas,  2014; </w:t>
      </w:r>
      <w:r>
        <w:rPr>
          <w:i/>
        </w:rPr>
        <w:t>Bueno, Méndez y Cruz </w:t>
      </w:r>
      <w:r>
        <w:rPr/>
        <w:t>realizan un estudio y análisis de los centros de educación y cultura ambiental, necesidad de profesionalización Pedagógica de facilitadores ambientales; </w:t>
      </w:r>
      <w:r>
        <w:rPr>
          <w:i/>
        </w:rPr>
        <w:t>Pat, Caamal, </w:t>
      </w:r>
      <w:r>
        <w:rPr>
          <w:i/>
        </w:rPr>
        <w:t>Jerónimo y Mendoza </w:t>
      </w:r>
      <w:r>
        <w:rPr/>
        <w:t>presentan un estudio acerca de los Costos y competitividad de la producción del limón persa en el municipio de Martínez de la Torre,</w:t>
      </w:r>
      <w:r>
        <w:rPr>
          <w:spacing w:val="-7"/>
        </w:rPr>
        <w:t> </w:t>
      </w:r>
      <w:r>
        <w:rPr/>
        <w:t>Veracruz</w:t>
      </w:r>
      <w:r>
        <w:rPr>
          <w:b/>
        </w:rPr>
        <w:t>.</w:t>
      </w:r>
    </w:p>
    <w:p>
      <w:pPr>
        <w:spacing w:after="0"/>
        <w:jc w:val="both"/>
        <w:sectPr>
          <w:pgSz w:w="12240" w:h="15840"/>
          <w:pgMar w:top="1100" w:bottom="280" w:left="1020" w:right="1020"/>
        </w:sectPr>
      </w:pPr>
    </w:p>
    <w:p>
      <w:pPr>
        <w:spacing w:before="44"/>
        <w:ind w:left="112" w:right="111" w:firstLine="708"/>
        <w:jc w:val="both"/>
        <w:rPr>
          <w:sz w:val="24"/>
        </w:rPr>
      </w:pPr>
      <w:r>
        <w:rPr>
          <w:i/>
          <w:sz w:val="24"/>
        </w:rPr>
        <w:t>Vizuet </w:t>
      </w:r>
      <w:r>
        <w:rPr>
          <w:sz w:val="24"/>
        </w:rPr>
        <w:t>presenta un trabajo de la construcción polisémica e histórica del concepto de la pobreza; </w:t>
      </w:r>
      <w:r>
        <w:rPr>
          <w:i/>
          <w:sz w:val="24"/>
        </w:rPr>
        <w:t>Navarrete, Ríos y Arévalo </w:t>
      </w:r>
      <w:r>
        <w:rPr>
          <w:sz w:val="24"/>
        </w:rPr>
        <w:t>presentan un estudio acerca de la producción ejidal de tomate rojo </w:t>
      </w:r>
      <w:r>
        <w:rPr>
          <w:i/>
          <w:sz w:val="24"/>
        </w:rPr>
        <w:t>(Lycopersicum esculentum) </w:t>
      </w:r>
      <w:r>
        <w:rPr>
          <w:sz w:val="24"/>
        </w:rPr>
        <w:t>en el DR-017, y su huella hídrica; </w:t>
      </w:r>
      <w:r>
        <w:rPr>
          <w:i/>
          <w:sz w:val="24"/>
        </w:rPr>
        <w:t>Pérez y Piña </w:t>
      </w:r>
      <w:r>
        <w:rPr>
          <w:sz w:val="24"/>
        </w:rPr>
        <w:t>hablan acerca de la productividad e inversión extranjera: La industria de Alimentos; </w:t>
      </w:r>
      <w:r>
        <w:rPr>
          <w:i/>
          <w:sz w:val="24"/>
        </w:rPr>
        <w:t>Pérez, Figueroa, Godínez y Gómez </w:t>
      </w:r>
      <w:r>
        <w:rPr>
          <w:sz w:val="24"/>
        </w:rPr>
        <w:t>presentan el trabajo sobre el sector primario en México; </w:t>
      </w:r>
      <w:r>
        <w:rPr>
          <w:i/>
          <w:sz w:val="24"/>
        </w:rPr>
        <w:t>Pérez, Figueroa, Godínez y Gómez </w:t>
      </w:r>
      <w:r>
        <w:rPr>
          <w:sz w:val="24"/>
        </w:rPr>
        <w:t>presentan acerca de los subsidios al campo como instrumento de política económica en México; </w:t>
      </w:r>
      <w:r>
        <w:rPr>
          <w:i/>
          <w:sz w:val="24"/>
        </w:rPr>
        <w:t>Venegas, Perales </w:t>
      </w:r>
      <w:r>
        <w:rPr>
          <w:i/>
          <w:sz w:val="24"/>
        </w:rPr>
        <w:t>y Del Valle </w:t>
      </w:r>
      <w:r>
        <w:rPr>
          <w:sz w:val="24"/>
        </w:rPr>
        <w:t>realizan un estudio de </w:t>
      </w:r>
      <w:r>
        <w:rPr>
          <w:i/>
          <w:sz w:val="24"/>
        </w:rPr>
        <w:t>r</w:t>
      </w:r>
      <w:r>
        <w:rPr>
          <w:sz w:val="24"/>
        </w:rPr>
        <w:t>entabilidad de biodigestores y motogeneradores para diferentes tamaños de granjas porcinas en Michoacán.</w:t>
      </w:r>
    </w:p>
    <w:p>
      <w:pPr>
        <w:pStyle w:val="BodyText"/>
        <w:spacing w:before="1"/>
        <w:rPr>
          <w:sz w:val="22"/>
        </w:rPr>
      </w:pPr>
    </w:p>
    <w:p>
      <w:pPr>
        <w:pStyle w:val="BodyText"/>
        <w:ind w:left="112" w:right="113" w:firstLine="708"/>
        <w:jc w:val="both"/>
      </w:pPr>
      <w:r>
        <w:rPr/>
        <w:t>Quisiéramos agradecer a los revisores anónimos por sus informes y muchos otros que contribuyeron enormemente para la publicación en éstos procedimientos repasando los manuscritos que fueron sometidos. Finalmente, deseamos expresar nuestra gratitud a la Universidad Autónoma Chapingo en el proceso de preparar esta edición del volumen.</w:t>
      </w:r>
    </w:p>
    <w:p>
      <w:pPr>
        <w:pStyle w:val="BodyText"/>
      </w:pPr>
    </w:p>
    <w:p>
      <w:pPr>
        <w:pStyle w:val="BodyText"/>
      </w:pPr>
    </w:p>
    <w:p>
      <w:pPr>
        <w:spacing w:before="0"/>
        <w:ind w:left="7374" w:right="111" w:firstLine="528"/>
        <w:jc w:val="right"/>
        <w:rPr>
          <w:i/>
          <w:sz w:val="24"/>
        </w:rPr>
      </w:pPr>
      <w:r>
        <w:rPr>
          <w:i/>
          <w:sz w:val="24"/>
        </w:rPr>
        <w:t>Pérez –Soto Francisco</w:t>
      </w:r>
      <w:r>
        <w:rPr>
          <w:i/>
          <w:sz w:val="24"/>
        </w:rPr>
        <w:t> Figueroa-Hernández Esther</w:t>
      </w:r>
    </w:p>
    <w:p>
      <w:pPr>
        <w:tabs>
          <w:tab w:pos="7479" w:val="left" w:leader="none"/>
        </w:tabs>
        <w:spacing w:before="0"/>
        <w:ind w:left="0" w:right="198" w:firstLine="0"/>
        <w:jc w:val="right"/>
        <w:rPr>
          <w:i/>
          <w:sz w:val="24"/>
        </w:rPr>
      </w:pPr>
      <w:r>
        <w:rPr>
          <w:sz w:val="24"/>
        </w:rPr>
        <w:t>Texcoco de Mora- México.</w:t>
      </w:r>
      <w:r>
        <w:rPr>
          <w:spacing w:val="-6"/>
          <w:sz w:val="24"/>
        </w:rPr>
        <w:t> </w:t>
      </w:r>
      <w:r>
        <w:rPr>
          <w:sz w:val="24"/>
        </w:rPr>
        <w:t>Octubre,</w:t>
      </w:r>
      <w:r>
        <w:rPr>
          <w:spacing w:val="-1"/>
          <w:sz w:val="24"/>
        </w:rPr>
        <w:t> </w:t>
      </w:r>
      <w:r>
        <w:rPr>
          <w:sz w:val="24"/>
        </w:rPr>
        <w:t>2015.</w:t>
        <w:tab/>
      </w:r>
      <w:r>
        <w:rPr>
          <w:i/>
          <w:sz w:val="24"/>
        </w:rPr>
        <w:t>Godínez-Montoya</w:t>
      </w:r>
      <w:r>
        <w:rPr>
          <w:i/>
          <w:spacing w:val="-2"/>
          <w:sz w:val="24"/>
        </w:rPr>
        <w:t> </w:t>
      </w:r>
      <w:r>
        <w:rPr>
          <w:i/>
          <w:sz w:val="24"/>
        </w:rPr>
        <w:t>Lucila</w:t>
      </w:r>
    </w:p>
    <w:p>
      <w:pPr>
        <w:spacing w:after="0"/>
        <w:jc w:val="right"/>
        <w:rPr>
          <w:sz w:val="24"/>
        </w:rPr>
        <w:sectPr>
          <w:pgSz w:w="12240" w:h="15840"/>
          <w:pgMar w:top="1080" w:bottom="280" w:left="1020" w:right="102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19"/>
        <w:gridCol w:w="1219"/>
      </w:tblGrid>
      <w:tr>
        <w:trPr>
          <w:trHeight w:val="538" w:hRule="exact"/>
        </w:trPr>
        <w:tc>
          <w:tcPr>
            <w:tcW w:w="9019" w:type="dxa"/>
          </w:tcPr>
          <w:p>
            <w:pPr>
              <w:pStyle w:val="TableParagraph"/>
              <w:spacing w:line="364" w:lineRule="exact"/>
              <w:ind w:left="200" w:right="67"/>
              <w:rPr>
                <w:b/>
                <w:sz w:val="36"/>
              </w:rPr>
            </w:pPr>
            <w:r>
              <w:rPr>
                <w:b/>
                <w:sz w:val="36"/>
              </w:rPr>
              <w:t>Contenido</w:t>
            </w:r>
          </w:p>
        </w:tc>
        <w:tc>
          <w:tcPr>
            <w:tcW w:w="1219" w:type="dxa"/>
          </w:tcPr>
          <w:p>
            <w:pPr>
              <w:pStyle w:val="TableParagraph"/>
              <w:spacing w:line="364" w:lineRule="exact"/>
              <w:ind w:left="0" w:right="198"/>
              <w:jc w:val="right"/>
              <w:rPr>
                <w:b/>
                <w:sz w:val="36"/>
              </w:rPr>
            </w:pPr>
            <w:r>
              <w:rPr>
                <w:b/>
                <w:sz w:val="36"/>
              </w:rPr>
              <w:t>Pág.</w:t>
            </w:r>
          </w:p>
        </w:tc>
      </w:tr>
      <w:tr>
        <w:trPr>
          <w:trHeight w:val="850" w:hRule="exact"/>
        </w:trPr>
        <w:tc>
          <w:tcPr>
            <w:tcW w:w="9019" w:type="dxa"/>
          </w:tcPr>
          <w:p>
            <w:pPr>
              <w:pStyle w:val="TableParagraph"/>
              <w:spacing w:line="274" w:lineRule="exact" w:before="148"/>
              <w:ind w:left="200" w:right="67"/>
              <w:rPr>
                <w:b/>
                <w:sz w:val="24"/>
              </w:rPr>
            </w:pPr>
            <w:r>
              <w:rPr>
                <w:b/>
                <w:sz w:val="24"/>
              </w:rPr>
              <w:t>1 Producción y comercialización de rosa en México</w:t>
            </w:r>
          </w:p>
          <w:p>
            <w:pPr>
              <w:pStyle w:val="TableParagraph"/>
              <w:spacing w:line="274" w:lineRule="exact"/>
              <w:ind w:left="200" w:right="67"/>
              <w:rPr>
                <w:i/>
                <w:sz w:val="24"/>
              </w:rPr>
            </w:pPr>
            <w:r>
              <w:rPr>
                <w:i/>
                <w:sz w:val="24"/>
              </w:rPr>
              <w:t>GÓMEZ-GÓMEZ, Alma</w:t>
            </w:r>
          </w:p>
        </w:tc>
        <w:tc>
          <w:tcPr>
            <w:tcW w:w="1219" w:type="dxa"/>
          </w:tcPr>
          <w:p>
            <w:pPr>
              <w:pStyle w:val="TableParagraph"/>
              <w:spacing w:line="240" w:lineRule="auto" w:before="144"/>
              <w:ind w:left="396"/>
              <w:rPr>
                <w:sz w:val="24"/>
              </w:rPr>
            </w:pPr>
            <w:r>
              <w:rPr>
                <w:sz w:val="24"/>
              </w:rPr>
              <w:t>1-11</w:t>
            </w:r>
          </w:p>
        </w:tc>
      </w:tr>
      <w:tr>
        <w:trPr>
          <w:trHeight w:val="1104" w:hRule="exact"/>
        </w:trPr>
        <w:tc>
          <w:tcPr>
            <w:tcW w:w="9019" w:type="dxa"/>
          </w:tcPr>
          <w:p>
            <w:pPr>
              <w:pStyle w:val="TableParagraph"/>
              <w:spacing w:line="240" w:lineRule="auto" w:before="126"/>
              <w:ind w:left="200" w:right="67"/>
              <w:rPr>
                <w:b/>
                <w:sz w:val="24"/>
              </w:rPr>
            </w:pPr>
            <w:r>
              <w:rPr>
                <w:b/>
                <w:sz w:val="24"/>
              </w:rPr>
              <w:t>2 Ingreso mínimo de las familias que identifica la línea de pobreza alimentaria en el área rural del sur de México, 2012</w:t>
            </w:r>
          </w:p>
          <w:p>
            <w:pPr>
              <w:pStyle w:val="TableParagraph"/>
              <w:spacing w:line="271" w:lineRule="exact"/>
              <w:ind w:left="200" w:right="67"/>
              <w:rPr>
                <w:i/>
                <w:sz w:val="24"/>
              </w:rPr>
            </w:pPr>
            <w:r>
              <w:rPr>
                <w:i/>
                <w:sz w:val="24"/>
              </w:rPr>
              <w:t>ARPI-MAYTA, Roberto y PORTILLO-VÁZQUEZ, Marcos</w:t>
            </w:r>
          </w:p>
        </w:tc>
        <w:tc>
          <w:tcPr>
            <w:tcW w:w="1219" w:type="dxa"/>
          </w:tcPr>
          <w:p>
            <w:pPr>
              <w:pStyle w:val="TableParagraph"/>
              <w:spacing w:line="240" w:lineRule="auto" w:before="121"/>
              <w:ind w:left="336"/>
              <w:rPr>
                <w:sz w:val="24"/>
              </w:rPr>
            </w:pPr>
            <w:r>
              <w:rPr>
                <w:sz w:val="24"/>
              </w:rPr>
              <w:t>12-24</w:t>
            </w:r>
          </w:p>
        </w:tc>
      </w:tr>
      <w:tr>
        <w:trPr>
          <w:trHeight w:val="1104" w:hRule="exact"/>
        </w:trPr>
        <w:tc>
          <w:tcPr>
            <w:tcW w:w="9019" w:type="dxa"/>
          </w:tcPr>
          <w:p>
            <w:pPr>
              <w:pStyle w:val="TableParagraph"/>
              <w:spacing w:line="240" w:lineRule="auto" w:before="126"/>
              <w:ind w:left="200" w:right="67"/>
              <w:rPr>
                <w:b/>
                <w:sz w:val="24"/>
              </w:rPr>
            </w:pPr>
            <w:r>
              <w:rPr>
                <w:b/>
                <w:sz w:val="24"/>
              </w:rPr>
              <w:t>3 Análisis comparado del Sector Gubernamental y la economía mexicana desde la perspectiva de los eslabonamientos productivos Hirshman-Rasmussen</w:t>
            </w:r>
          </w:p>
          <w:p>
            <w:pPr>
              <w:pStyle w:val="TableParagraph"/>
              <w:spacing w:line="271" w:lineRule="exact"/>
              <w:ind w:left="200" w:right="67"/>
              <w:rPr>
                <w:i/>
                <w:sz w:val="24"/>
              </w:rPr>
            </w:pPr>
            <w:r>
              <w:rPr>
                <w:i/>
                <w:sz w:val="24"/>
              </w:rPr>
              <w:t>BRAVO-BENITEZ, Ernesto</w:t>
            </w:r>
          </w:p>
        </w:tc>
        <w:tc>
          <w:tcPr>
            <w:tcW w:w="1219" w:type="dxa"/>
          </w:tcPr>
          <w:p>
            <w:pPr>
              <w:pStyle w:val="TableParagraph"/>
              <w:spacing w:line="240" w:lineRule="auto" w:before="121"/>
              <w:ind w:left="336"/>
              <w:rPr>
                <w:sz w:val="24"/>
              </w:rPr>
            </w:pPr>
            <w:r>
              <w:rPr>
                <w:sz w:val="24"/>
              </w:rPr>
              <w:t>25-38</w:t>
            </w:r>
          </w:p>
        </w:tc>
      </w:tr>
      <w:tr>
        <w:trPr>
          <w:trHeight w:val="1380" w:hRule="exact"/>
        </w:trPr>
        <w:tc>
          <w:tcPr>
            <w:tcW w:w="9019" w:type="dxa"/>
          </w:tcPr>
          <w:p>
            <w:pPr>
              <w:pStyle w:val="TableParagraph"/>
              <w:spacing w:line="240" w:lineRule="auto" w:before="127"/>
              <w:ind w:left="200" w:right="67"/>
              <w:rPr>
                <w:b/>
                <w:sz w:val="24"/>
              </w:rPr>
            </w:pPr>
            <w:r>
              <w:rPr>
                <w:b/>
                <w:sz w:val="24"/>
              </w:rPr>
              <w:t>4 Canales de comercialización de limón persa en el municipio de Martínez de la Torre, Veracruz</w:t>
            </w:r>
          </w:p>
          <w:p>
            <w:pPr>
              <w:pStyle w:val="TableParagraph"/>
              <w:tabs>
                <w:tab w:pos="2383" w:val="left" w:leader="none"/>
                <w:tab w:pos="3396" w:val="left" w:leader="none"/>
                <w:tab w:pos="5542" w:val="left" w:leader="none"/>
                <w:tab w:pos="6406" w:val="left" w:leader="none"/>
              </w:tabs>
              <w:spacing w:line="271" w:lineRule="exact"/>
              <w:ind w:left="200" w:right="67"/>
              <w:rPr>
                <w:i/>
                <w:sz w:val="24"/>
              </w:rPr>
            </w:pPr>
            <w:r>
              <w:rPr>
                <w:i/>
                <w:sz w:val="24"/>
              </w:rPr>
              <w:t>CAAMAL-CAUICH,</w:t>
              <w:tab/>
              <w:t>Ignacio,</w:t>
              <w:tab/>
              <w:t>PAT-FERNÁNDEZ,</w:t>
              <w:tab/>
              <w:t>Verna,</w:t>
              <w:tab/>
              <w:t>JERÓNIMO-ASCENCIO,</w:t>
            </w:r>
          </w:p>
          <w:p>
            <w:pPr>
              <w:pStyle w:val="TableParagraph"/>
              <w:spacing w:line="240" w:lineRule="auto"/>
              <w:ind w:left="200" w:right="67"/>
              <w:rPr>
                <w:i/>
                <w:sz w:val="24"/>
              </w:rPr>
            </w:pPr>
            <w:r>
              <w:rPr>
                <w:i/>
                <w:sz w:val="24"/>
              </w:rPr>
              <w:t>Felipe, ROMERO-BALAM, Raúl</w:t>
            </w:r>
          </w:p>
        </w:tc>
        <w:tc>
          <w:tcPr>
            <w:tcW w:w="1219" w:type="dxa"/>
          </w:tcPr>
          <w:p>
            <w:pPr>
              <w:pStyle w:val="TableParagraph"/>
              <w:spacing w:line="240" w:lineRule="auto" w:before="122"/>
              <w:ind w:left="336"/>
              <w:rPr>
                <w:sz w:val="24"/>
              </w:rPr>
            </w:pPr>
            <w:r>
              <w:rPr>
                <w:sz w:val="24"/>
              </w:rPr>
              <w:t>39-51</w:t>
            </w:r>
          </w:p>
        </w:tc>
      </w:tr>
      <w:tr>
        <w:trPr>
          <w:trHeight w:val="1104" w:hRule="exact"/>
        </w:trPr>
        <w:tc>
          <w:tcPr>
            <w:tcW w:w="9019" w:type="dxa"/>
          </w:tcPr>
          <w:p>
            <w:pPr>
              <w:pStyle w:val="TableParagraph"/>
              <w:spacing w:line="240" w:lineRule="auto" w:before="126"/>
              <w:ind w:left="200" w:right="67"/>
              <w:rPr>
                <w:b/>
                <w:sz w:val="24"/>
              </w:rPr>
            </w:pPr>
            <w:r>
              <w:rPr>
                <w:b/>
                <w:sz w:val="24"/>
              </w:rPr>
              <w:t>5 Comercio estratégico en el TLCAN: El Estado en la política agrícola de biocombustibles</w:t>
            </w:r>
          </w:p>
          <w:p>
            <w:pPr>
              <w:pStyle w:val="TableParagraph"/>
              <w:spacing w:line="271" w:lineRule="exact"/>
              <w:ind w:left="200" w:right="67"/>
              <w:rPr>
                <w:i/>
                <w:sz w:val="24"/>
              </w:rPr>
            </w:pPr>
            <w:r>
              <w:rPr>
                <w:i/>
                <w:sz w:val="24"/>
              </w:rPr>
              <w:t>MACIAS-URIBE, Carlos y PERALES-SALVADOR, Arturo</w:t>
            </w:r>
          </w:p>
        </w:tc>
        <w:tc>
          <w:tcPr>
            <w:tcW w:w="1219" w:type="dxa"/>
          </w:tcPr>
          <w:p>
            <w:pPr>
              <w:pStyle w:val="TableParagraph"/>
              <w:spacing w:line="240" w:lineRule="auto" w:before="121"/>
              <w:ind w:left="336"/>
              <w:rPr>
                <w:sz w:val="24"/>
              </w:rPr>
            </w:pPr>
            <w:r>
              <w:rPr>
                <w:sz w:val="24"/>
              </w:rPr>
              <w:t>52-63</w:t>
            </w:r>
          </w:p>
        </w:tc>
      </w:tr>
      <w:tr>
        <w:trPr>
          <w:trHeight w:val="1104" w:hRule="exact"/>
        </w:trPr>
        <w:tc>
          <w:tcPr>
            <w:tcW w:w="9019" w:type="dxa"/>
          </w:tcPr>
          <w:p>
            <w:pPr>
              <w:pStyle w:val="TableParagraph"/>
              <w:spacing w:line="274" w:lineRule="exact" w:before="126"/>
              <w:ind w:left="200" w:right="67"/>
              <w:rPr>
                <w:b/>
                <w:sz w:val="24"/>
              </w:rPr>
            </w:pPr>
            <w:r>
              <w:rPr>
                <w:b/>
                <w:sz w:val="24"/>
              </w:rPr>
              <w:t>6 Importancia de la comercialización del café en México</w:t>
            </w:r>
          </w:p>
          <w:p>
            <w:pPr>
              <w:pStyle w:val="TableParagraph"/>
              <w:spacing w:line="274" w:lineRule="exact"/>
              <w:ind w:left="200" w:right="67"/>
              <w:rPr>
                <w:i/>
                <w:sz w:val="24"/>
              </w:rPr>
            </w:pPr>
            <w:r>
              <w:rPr>
                <w:i/>
                <w:sz w:val="24"/>
              </w:rPr>
              <w:t>FIGUEROA-HERNÁNDEZ, Esther, PÉREZ-SOTO, Francisco y   GODÍNEZ-MONTOYA,</w:t>
            </w:r>
          </w:p>
          <w:p>
            <w:pPr>
              <w:pStyle w:val="TableParagraph"/>
              <w:spacing w:line="240" w:lineRule="auto"/>
              <w:ind w:left="200" w:right="67"/>
              <w:rPr>
                <w:i/>
                <w:sz w:val="24"/>
              </w:rPr>
            </w:pPr>
            <w:r>
              <w:rPr>
                <w:i/>
                <w:sz w:val="24"/>
              </w:rPr>
              <w:t>Lucila</w:t>
            </w:r>
          </w:p>
        </w:tc>
        <w:tc>
          <w:tcPr>
            <w:tcW w:w="1219" w:type="dxa"/>
          </w:tcPr>
          <w:p>
            <w:pPr>
              <w:pStyle w:val="TableParagraph"/>
              <w:spacing w:line="240" w:lineRule="auto" w:before="121"/>
              <w:ind w:left="336"/>
              <w:rPr>
                <w:sz w:val="24"/>
              </w:rPr>
            </w:pPr>
            <w:r>
              <w:rPr>
                <w:sz w:val="24"/>
              </w:rPr>
              <w:t>64-82</w:t>
            </w:r>
          </w:p>
        </w:tc>
      </w:tr>
      <w:tr>
        <w:trPr>
          <w:trHeight w:val="1104" w:hRule="exact"/>
        </w:trPr>
        <w:tc>
          <w:tcPr>
            <w:tcW w:w="9019" w:type="dxa"/>
          </w:tcPr>
          <w:p>
            <w:pPr>
              <w:pStyle w:val="TableParagraph"/>
              <w:spacing w:line="274" w:lineRule="exact" w:before="126"/>
              <w:ind w:left="200" w:right="67"/>
              <w:rPr>
                <w:b/>
                <w:sz w:val="24"/>
              </w:rPr>
            </w:pPr>
            <w:r>
              <w:rPr>
                <w:b/>
                <w:sz w:val="24"/>
              </w:rPr>
              <w:t>7 Diagnóstico, retos del comercio electrónico en el Sector Agroindustrial Mexicano</w:t>
            </w:r>
          </w:p>
          <w:p>
            <w:pPr>
              <w:pStyle w:val="TableParagraph"/>
              <w:spacing w:line="274" w:lineRule="exact"/>
              <w:ind w:left="200" w:right="67"/>
              <w:rPr>
                <w:i/>
                <w:sz w:val="24"/>
              </w:rPr>
            </w:pPr>
            <w:r>
              <w:rPr>
                <w:i/>
                <w:sz w:val="24"/>
              </w:rPr>
              <w:t>SEPULVEDA-ROBLES,   Daniel,   SEPÚLVEDA-JIMENEZ,   Daniel   y  </w:t>
            </w:r>
            <w:r>
              <w:rPr>
                <w:i/>
                <w:spacing w:val="51"/>
                <w:sz w:val="24"/>
              </w:rPr>
              <w:t> </w:t>
            </w:r>
            <w:r>
              <w:rPr>
                <w:i/>
                <w:sz w:val="24"/>
              </w:rPr>
              <w:t>PÉREZ-SOTO,</w:t>
            </w:r>
          </w:p>
          <w:p>
            <w:pPr>
              <w:pStyle w:val="TableParagraph"/>
              <w:spacing w:line="240" w:lineRule="auto"/>
              <w:ind w:left="200" w:right="67"/>
              <w:rPr>
                <w:i/>
                <w:sz w:val="24"/>
              </w:rPr>
            </w:pPr>
            <w:r>
              <w:rPr>
                <w:i/>
                <w:sz w:val="24"/>
              </w:rPr>
              <w:t>Francisco</w:t>
            </w:r>
          </w:p>
        </w:tc>
        <w:tc>
          <w:tcPr>
            <w:tcW w:w="1219" w:type="dxa"/>
          </w:tcPr>
          <w:p>
            <w:pPr>
              <w:pStyle w:val="TableParagraph"/>
              <w:spacing w:line="240" w:lineRule="auto" w:before="122"/>
              <w:ind w:left="336"/>
              <w:rPr>
                <w:sz w:val="24"/>
              </w:rPr>
            </w:pPr>
            <w:r>
              <w:rPr>
                <w:sz w:val="24"/>
              </w:rPr>
              <w:t>83-93</w:t>
            </w:r>
          </w:p>
        </w:tc>
      </w:tr>
      <w:tr>
        <w:trPr>
          <w:trHeight w:val="1104" w:hRule="exact"/>
        </w:trPr>
        <w:tc>
          <w:tcPr>
            <w:tcW w:w="9019" w:type="dxa"/>
          </w:tcPr>
          <w:p>
            <w:pPr>
              <w:pStyle w:val="TableParagraph"/>
              <w:spacing w:line="240" w:lineRule="auto" w:before="126"/>
              <w:ind w:left="200" w:right="67"/>
              <w:rPr>
                <w:b/>
                <w:sz w:val="24"/>
              </w:rPr>
            </w:pPr>
            <w:r>
              <w:rPr>
                <w:b/>
                <w:sz w:val="24"/>
              </w:rPr>
              <w:t>8 Inversión extranjera directa y su impacto en crecimiento de México, un análisis en prospectiva: 1999-2010</w:t>
            </w:r>
          </w:p>
          <w:p>
            <w:pPr>
              <w:pStyle w:val="TableParagraph"/>
              <w:spacing w:line="271" w:lineRule="exact"/>
              <w:ind w:left="200" w:right="67"/>
              <w:rPr>
                <w:i/>
                <w:sz w:val="24"/>
              </w:rPr>
            </w:pPr>
            <w:r>
              <w:rPr>
                <w:i/>
                <w:sz w:val="24"/>
              </w:rPr>
              <w:t>DUANA-AVILA, Danae</w:t>
            </w:r>
          </w:p>
        </w:tc>
        <w:tc>
          <w:tcPr>
            <w:tcW w:w="1219" w:type="dxa"/>
          </w:tcPr>
          <w:p>
            <w:pPr>
              <w:pStyle w:val="TableParagraph"/>
              <w:spacing w:line="240" w:lineRule="auto" w:before="121"/>
              <w:ind w:left="276"/>
              <w:rPr>
                <w:sz w:val="24"/>
              </w:rPr>
            </w:pPr>
            <w:r>
              <w:rPr>
                <w:sz w:val="24"/>
              </w:rPr>
              <w:t>94-108</w:t>
            </w:r>
          </w:p>
        </w:tc>
      </w:tr>
      <w:tr>
        <w:trPr>
          <w:trHeight w:val="1104" w:hRule="exact"/>
        </w:trPr>
        <w:tc>
          <w:tcPr>
            <w:tcW w:w="9019" w:type="dxa"/>
          </w:tcPr>
          <w:p>
            <w:pPr>
              <w:pStyle w:val="TableParagraph"/>
              <w:spacing w:line="274" w:lineRule="exact" w:before="126"/>
              <w:ind w:left="200" w:right="67"/>
              <w:rPr>
                <w:b/>
                <w:sz w:val="24"/>
              </w:rPr>
            </w:pPr>
            <w:r>
              <w:rPr>
                <w:b/>
                <w:sz w:val="24"/>
              </w:rPr>
              <w:t>9 Importancia de la Banca en México</w:t>
            </w:r>
          </w:p>
          <w:p>
            <w:pPr>
              <w:pStyle w:val="TableParagraph"/>
              <w:spacing w:line="274" w:lineRule="exact"/>
              <w:ind w:left="200" w:right="67"/>
              <w:rPr>
                <w:i/>
                <w:sz w:val="24"/>
              </w:rPr>
            </w:pPr>
            <w:r>
              <w:rPr>
                <w:i/>
                <w:sz w:val="24"/>
              </w:rPr>
              <w:t>FIGUEROA-HERNÁNDEZ,  Esther,  PÉREZ-SOTO,  Francisco  y   RAMÍREZ-ABARCA,</w:t>
            </w:r>
          </w:p>
          <w:p>
            <w:pPr>
              <w:pStyle w:val="TableParagraph"/>
              <w:spacing w:line="240" w:lineRule="auto"/>
              <w:ind w:left="200" w:right="67"/>
              <w:rPr>
                <w:i/>
                <w:sz w:val="24"/>
              </w:rPr>
            </w:pPr>
            <w:r>
              <w:rPr>
                <w:i/>
                <w:sz w:val="24"/>
              </w:rPr>
              <w:t>Orsohe</w:t>
            </w:r>
          </w:p>
        </w:tc>
        <w:tc>
          <w:tcPr>
            <w:tcW w:w="1219" w:type="dxa"/>
          </w:tcPr>
          <w:p>
            <w:pPr>
              <w:pStyle w:val="TableParagraph"/>
              <w:spacing w:line="240" w:lineRule="auto" w:before="121"/>
              <w:ind w:left="0" w:right="201"/>
              <w:jc w:val="right"/>
              <w:rPr>
                <w:sz w:val="24"/>
              </w:rPr>
            </w:pPr>
            <w:r>
              <w:rPr>
                <w:sz w:val="24"/>
              </w:rPr>
              <w:t>109-127</w:t>
            </w:r>
          </w:p>
        </w:tc>
      </w:tr>
      <w:tr>
        <w:trPr>
          <w:trHeight w:val="1107" w:hRule="exact"/>
        </w:trPr>
        <w:tc>
          <w:tcPr>
            <w:tcW w:w="9019" w:type="dxa"/>
          </w:tcPr>
          <w:p>
            <w:pPr>
              <w:pStyle w:val="TableParagraph"/>
              <w:spacing w:line="274" w:lineRule="exact" w:before="127"/>
              <w:ind w:left="200" w:right="67"/>
              <w:rPr>
                <w:b/>
                <w:sz w:val="24"/>
              </w:rPr>
            </w:pPr>
            <w:r>
              <w:rPr>
                <w:b/>
                <w:sz w:val="24"/>
              </w:rPr>
              <w:t>10 La competitividad de la producción agrícola en México, un análisis regional</w:t>
            </w:r>
          </w:p>
          <w:p>
            <w:pPr>
              <w:pStyle w:val="TableParagraph"/>
              <w:spacing w:line="274" w:lineRule="exact"/>
              <w:ind w:left="200" w:right="67"/>
              <w:rPr>
                <w:i/>
                <w:sz w:val="24"/>
              </w:rPr>
            </w:pPr>
            <w:r>
              <w:rPr>
                <w:i/>
                <w:sz w:val="24"/>
              </w:rPr>
              <w:t>PÉREZ-SOTO,  Francisco,  FIGUEROA-HERNÁNDEZ,  Esther,</w:t>
            </w:r>
            <w:r>
              <w:rPr>
                <w:i/>
                <w:spacing w:val="56"/>
                <w:sz w:val="24"/>
              </w:rPr>
              <w:t> </w:t>
            </w:r>
            <w:r>
              <w:rPr>
                <w:i/>
                <w:sz w:val="24"/>
              </w:rPr>
              <w:t>GODÍNEZ-MONTOYA,</w:t>
            </w:r>
          </w:p>
          <w:p>
            <w:pPr>
              <w:pStyle w:val="TableParagraph"/>
              <w:spacing w:line="240" w:lineRule="auto"/>
              <w:ind w:left="200" w:right="67"/>
              <w:rPr>
                <w:i/>
                <w:sz w:val="24"/>
              </w:rPr>
            </w:pPr>
            <w:r>
              <w:rPr>
                <w:i/>
                <w:sz w:val="24"/>
              </w:rPr>
              <w:t>Lucila y PEREZ-FIGUEROA, Rebeca</w:t>
            </w:r>
          </w:p>
        </w:tc>
        <w:tc>
          <w:tcPr>
            <w:tcW w:w="1219" w:type="dxa"/>
          </w:tcPr>
          <w:p>
            <w:pPr>
              <w:pStyle w:val="TableParagraph"/>
              <w:spacing w:line="240" w:lineRule="auto" w:before="122"/>
              <w:ind w:left="0" w:right="201"/>
              <w:jc w:val="right"/>
              <w:rPr>
                <w:sz w:val="24"/>
              </w:rPr>
            </w:pPr>
            <w:r>
              <w:rPr>
                <w:sz w:val="24"/>
              </w:rPr>
              <w:t>128-138</w:t>
            </w:r>
          </w:p>
        </w:tc>
      </w:tr>
      <w:tr>
        <w:trPr>
          <w:trHeight w:val="946" w:hRule="exact"/>
        </w:trPr>
        <w:tc>
          <w:tcPr>
            <w:tcW w:w="9019" w:type="dxa"/>
          </w:tcPr>
          <w:p>
            <w:pPr>
              <w:pStyle w:val="TableParagraph"/>
              <w:spacing w:line="274" w:lineRule="exact" w:before="124"/>
              <w:ind w:left="200" w:right="67"/>
              <w:rPr>
                <w:b/>
                <w:sz w:val="24"/>
              </w:rPr>
            </w:pPr>
            <w:r>
              <w:rPr>
                <w:b/>
                <w:sz w:val="24"/>
              </w:rPr>
              <w:t>11 El SIAL productor de quesos en Poxtla, competividad y territorio</w:t>
            </w:r>
          </w:p>
          <w:p>
            <w:pPr>
              <w:pStyle w:val="TableParagraph"/>
              <w:tabs>
                <w:tab w:pos="2935" w:val="left" w:leader="none"/>
                <w:tab w:pos="4112" w:val="left" w:leader="none"/>
                <w:tab w:pos="6303" w:val="left" w:leader="none"/>
                <w:tab w:pos="7325" w:val="left" w:leader="none"/>
                <w:tab w:pos="7678" w:val="left" w:leader="none"/>
              </w:tabs>
              <w:spacing w:line="274" w:lineRule="exact"/>
              <w:ind w:left="200" w:right="67"/>
              <w:rPr>
                <w:i/>
                <w:sz w:val="24"/>
              </w:rPr>
            </w:pPr>
            <w:r>
              <w:rPr>
                <w:i/>
                <w:sz w:val="24"/>
              </w:rPr>
              <w:t>RODRÍGUEZ-AGUILAR,</w:t>
              <w:tab/>
              <w:t>Gabriela,</w:t>
              <w:tab/>
              <w:t>ESPINOSA-AYALA,</w:t>
              <w:tab/>
              <w:t>Enrique</w:t>
              <w:tab/>
              <w:t>y</w:t>
              <w:tab/>
              <w:t>MÁRQUEZ-</w:t>
            </w:r>
          </w:p>
          <w:p>
            <w:pPr>
              <w:pStyle w:val="TableParagraph"/>
              <w:spacing w:line="240" w:lineRule="auto"/>
              <w:ind w:left="200" w:right="67"/>
              <w:rPr>
                <w:i/>
                <w:sz w:val="24"/>
              </w:rPr>
            </w:pPr>
            <w:r>
              <w:rPr>
                <w:i/>
                <w:sz w:val="24"/>
              </w:rPr>
              <w:t>MOLINA, Ofelia</w:t>
            </w:r>
          </w:p>
        </w:tc>
        <w:tc>
          <w:tcPr>
            <w:tcW w:w="1219" w:type="dxa"/>
          </w:tcPr>
          <w:p>
            <w:pPr>
              <w:pStyle w:val="TableParagraph"/>
              <w:spacing w:line="240" w:lineRule="auto" w:before="4"/>
              <w:ind w:left="0"/>
              <w:rPr>
                <w:i/>
                <w:sz w:val="34"/>
              </w:rPr>
            </w:pPr>
          </w:p>
          <w:p>
            <w:pPr>
              <w:pStyle w:val="TableParagraph"/>
              <w:spacing w:line="240" w:lineRule="auto"/>
              <w:ind w:left="137"/>
              <w:rPr>
                <w:sz w:val="24"/>
              </w:rPr>
            </w:pPr>
            <w:r>
              <w:rPr>
                <w:sz w:val="24"/>
              </w:rPr>
              <w:t>139-151</w:t>
            </w:r>
          </w:p>
        </w:tc>
      </w:tr>
    </w:tbl>
    <w:p>
      <w:pPr>
        <w:spacing w:after="0" w:line="240" w:lineRule="auto"/>
        <w:rPr>
          <w:sz w:val="24"/>
        </w:rPr>
        <w:sectPr>
          <w:pgSz w:w="12240" w:h="15840"/>
          <w:pgMar w:top="1180" w:bottom="280" w:left="820" w:right="96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58"/>
        <w:gridCol w:w="1177"/>
      </w:tblGrid>
      <w:tr>
        <w:trPr>
          <w:trHeight w:val="948" w:hRule="exact"/>
        </w:trPr>
        <w:tc>
          <w:tcPr>
            <w:tcW w:w="9058" w:type="dxa"/>
          </w:tcPr>
          <w:p>
            <w:pPr>
              <w:pStyle w:val="TableParagraph"/>
              <w:spacing w:line="246" w:lineRule="exact"/>
              <w:ind w:left="200"/>
              <w:rPr>
                <w:b/>
                <w:sz w:val="24"/>
              </w:rPr>
            </w:pPr>
            <w:r>
              <w:rPr>
                <w:b/>
                <w:sz w:val="24"/>
              </w:rPr>
              <w:t>12  La  intermediación  financiera  al  servicio  de  la  comunidad  indígena:  el fondo</w:t>
            </w:r>
          </w:p>
          <w:p>
            <w:pPr>
              <w:pStyle w:val="TableParagraph"/>
              <w:spacing w:line="274" w:lineRule="exact"/>
              <w:ind w:left="200"/>
              <w:rPr>
                <w:b/>
                <w:sz w:val="24"/>
              </w:rPr>
            </w:pPr>
            <w:r>
              <w:rPr>
                <w:b/>
                <w:sz w:val="24"/>
              </w:rPr>
              <w:t>regional indígena Tarhiata Keri</w:t>
            </w:r>
          </w:p>
          <w:p>
            <w:pPr>
              <w:pStyle w:val="TableParagraph"/>
              <w:spacing w:line="274" w:lineRule="exact"/>
              <w:ind w:left="200"/>
              <w:rPr>
                <w:i/>
                <w:sz w:val="24"/>
              </w:rPr>
            </w:pPr>
            <w:r>
              <w:rPr>
                <w:i/>
                <w:sz w:val="24"/>
              </w:rPr>
              <w:t>GARZA-BUENO, Laura</w:t>
            </w:r>
          </w:p>
        </w:tc>
        <w:tc>
          <w:tcPr>
            <w:tcW w:w="1177" w:type="dxa"/>
          </w:tcPr>
          <w:p>
            <w:pPr>
              <w:pStyle w:val="TableParagraph"/>
              <w:spacing w:line="241" w:lineRule="exact"/>
              <w:ind w:left="177"/>
              <w:rPr>
                <w:sz w:val="24"/>
              </w:rPr>
            </w:pPr>
            <w:r>
              <w:rPr>
                <w:sz w:val="24"/>
              </w:rPr>
              <w:t>152-166</w:t>
            </w:r>
          </w:p>
        </w:tc>
      </w:tr>
      <w:tr>
        <w:trPr>
          <w:trHeight w:val="2208" w:hRule="exact"/>
        </w:trPr>
        <w:tc>
          <w:tcPr>
            <w:tcW w:w="9058" w:type="dxa"/>
          </w:tcPr>
          <w:p>
            <w:pPr>
              <w:pStyle w:val="TableParagraph"/>
              <w:numPr>
                <w:ilvl w:val="0"/>
                <w:numId w:val="1"/>
              </w:numPr>
              <w:tabs>
                <w:tab w:pos="549" w:val="left" w:leader="none"/>
              </w:tabs>
              <w:spacing w:line="240" w:lineRule="auto" w:before="125" w:after="0"/>
              <w:ind w:left="200" w:right="176" w:firstLine="0"/>
              <w:jc w:val="left"/>
              <w:rPr>
                <w:b/>
                <w:sz w:val="24"/>
              </w:rPr>
            </w:pPr>
            <w:r>
              <w:rPr>
                <w:b/>
                <w:sz w:val="24"/>
              </w:rPr>
              <w:t>Demanda de importaciones de durazno </w:t>
            </w:r>
            <w:r>
              <w:rPr>
                <w:b/>
                <w:i/>
                <w:sz w:val="24"/>
              </w:rPr>
              <w:t>(Prunus pérsica L. Batsch) </w:t>
            </w:r>
            <w:r>
              <w:rPr>
                <w:b/>
                <w:sz w:val="24"/>
              </w:rPr>
              <w:t>en México procedentes de Estados Unidos de América</w:t>
            </w:r>
            <w:r>
              <w:rPr>
                <w:b/>
                <w:spacing w:val="-9"/>
                <w:sz w:val="24"/>
              </w:rPr>
              <w:t> </w:t>
            </w:r>
            <w:r>
              <w:rPr>
                <w:b/>
                <w:sz w:val="24"/>
              </w:rPr>
              <w:t>(1982-2011)</w:t>
            </w:r>
          </w:p>
          <w:p>
            <w:pPr>
              <w:pStyle w:val="TableParagraph"/>
              <w:spacing w:line="271" w:lineRule="exact"/>
              <w:ind w:left="200"/>
              <w:rPr>
                <w:i/>
                <w:sz w:val="24"/>
              </w:rPr>
            </w:pPr>
            <w:r>
              <w:rPr>
                <w:i/>
                <w:sz w:val="24"/>
              </w:rPr>
              <w:t>ARROYO-POZOS,  María,   AGUILAR-AVILA,   Jorge,   SANTOYO-CORTES,  Vinicio  y</w:t>
            </w:r>
          </w:p>
          <w:p>
            <w:pPr>
              <w:pStyle w:val="TableParagraph"/>
              <w:spacing w:line="240" w:lineRule="auto"/>
              <w:ind w:left="200"/>
              <w:rPr>
                <w:i/>
                <w:sz w:val="24"/>
              </w:rPr>
            </w:pPr>
            <w:r>
              <w:rPr>
                <w:i/>
                <w:sz w:val="24"/>
              </w:rPr>
              <w:t>MUÑOZ-RODRÍGUEZ, Manrrubio</w:t>
            </w:r>
          </w:p>
          <w:p>
            <w:pPr>
              <w:pStyle w:val="TableParagraph"/>
              <w:spacing w:line="240" w:lineRule="auto" w:before="4"/>
              <w:ind w:left="0"/>
              <w:rPr>
                <w:i/>
                <w:sz w:val="24"/>
              </w:rPr>
            </w:pPr>
          </w:p>
          <w:p>
            <w:pPr>
              <w:pStyle w:val="TableParagraph"/>
              <w:numPr>
                <w:ilvl w:val="0"/>
                <w:numId w:val="1"/>
              </w:numPr>
              <w:tabs>
                <w:tab w:pos="501" w:val="left" w:leader="none"/>
              </w:tabs>
              <w:spacing w:line="274" w:lineRule="exact" w:before="1" w:after="0"/>
              <w:ind w:left="500" w:right="0" w:hanging="300"/>
              <w:jc w:val="left"/>
              <w:rPr>
                <w:b/>
                <w:sz w:val="24"/>
              </w:rPr>
            </w:pPr>
            <w:r>
              <w:rPr>
                <w:b/>
                <w:sz w:val="24"/>
              </w:rPr>
              <w:t>Parámetros de la productividad forestal en la producción de madera en</w:t>
            </w:r>
            <w:r>
              <w:rPr>
                <w:b/>
                <w:spacing w:val="-16"/>
                <w:sz w:val="24"/>
              </w:rPr>
              <w:t> </w:t>
            </w:r>
            <w:r>
              <w:rPr>
                <w:b/>
                <w:sz w:val="24"/>
              </w:rPr>
              <w:t>rollo</w:t>
            </w:r>
          </w:p>
          <w:p>
            <w:pPr>
              <w:pStyle w:val="TableParagraph"/>
              <w:spacing w:line="274" w:lineRule="exact"/>
              <w:ind w:left="200"/>
              <w:rPr>
                <w:i/>
                <w:sz w:val="24"/>
              </w:rPr>
            </w:pPr>
            <w:r>
              <w:rPr>
                <w:i/>
                <w:sz w:val="24"/>
              </w:rPr>
              <w:t>LOERA-MARTÍNEZ, Jesús y SEPÚLVEDA-JIMENEZ, Daniel</w:t>
            </w:r>
          </w:p>
        </w:tc>
        <w:tc>
          <w:tcPr>
            <w:tcW w:w="1177" w:type="dxa"/>
          </w:tcPr>
          <w:p>
            <w:pPr>
              <w:pStyle w:val="TableParagraph"/>
              <w:spacing w:line="240" w:lineRule="auto" w:before="120"/>
              <w:ind w:left="177"/>
              <w:rPr>
                <w:sz w:val="24"/>
              </w:rPr>
            </w:pPr>
            <w:r>
              <w:rPr>
                <w:sz w:val="24"/>
              </w:rPr>
              <w:t>167-176</w:t>
            </w:r>
          </w:p>
          <w:p>
            <w:pPr>
              <w:pStyle w:val="TableParagraph"/>
              <w:spacing w:line="240" w:lineRule="auto"/>
              <w:ind w:left="0"/>
              <w:rPr>
                <w:i/>
                <w:sz w:val="24"/>
              </w:rPr>
            </w:pPr>
          </w:p>
          <w:p>
            <w:pPr>
              <w:pStyle w:val="TableParagraph"/>
              <w:spacing w:line="240" w:lineRule="auto"/>
              <w:ind w:left="0"/>
              <w:rPr>
                <w:i/>
                <w:sz w:val="24"/>
              </w:rPr>
            </w:pPr>
          </w:p>
          <w:p>
            <w:pPr>
              <w:pStyle w:val="TableParagraph"/>
              <w:spacing w:line="240" w:lineRule="auto"/>
              <w:ind w:left="0"/>
              <w:rPr>
                <w:i/>
                <w:sz w:val="24"/>
              </w:rPr>
            </w:pPr>
          </w:p>
          <w:p>
            <w:pPr>
              <w:pStyle w:val="TableParagraph"/>
              <w:spacing w:line="240" w:lineRule="auto"/>
              <w:ind w:left="0"/>
              <w:rPr>
                <w:i/>
                <w:sz w:val="24"/>
              </w:rPr>
            </w:pPr>
          </w:p>
          <w:p>
            <w:pPr>
              <w:pStyle w:val="TableParagraph"/>
              <w:spacing w:line="240" w:lineRule="auto"/>
              <w:ind w:left="177"/>
              <w:rPr>
                <w:sz w:val="24"/>
              </w:rPr>
            </w:pPr>
            <w:r>
              <w:rPr>
                <w:sz w:val="24"/>
              </w:rPr>
              <w:t>177-186</w:t>
            </w:r>
          </w:p>
        </w:tc>
      </w:tr>
      <w:tr>
        <w:trPr>
          <w:trHeight w:val="1105" w:hRule="exact"/>
        </w:trPr>
        <w:tc>
          <w:tcPr>
            <w:tcW w:w="9058" w:type="dxa"/>
          </w:tcPr>
          <w:p>
            <w:pPr>
              <w:pStyle w:val="TableParagraph"/>
              <w:spacing w:line="240" w:lineRule="auto" w:before="125"/>
              <w:ind w:left="200" w:right="199"/>
              <w:rPr>
                <w:b/>
                <w:sz w:val="24"/>
              </w:rPr>
            </w:pPr>
            <w:r>
              <w:rPr>
                <w:b/>
                <w:sz w:val="24"/>
              </w:rPr>
              <w:t>15 Análisis de factores sociales, ambientales y económicos del territorio rural cercano a la ciudad de</w:t>
            </w:r>
            <w:r>
              <w:rPr>
                <w:b/>
                <w:spacing w:val="-9"/>
                <w:sz w:val="24"/>
              </w:rPr>
              <w:t> </w:t>
            </w:r>
            <w:r>
              <w:rPr>
                <w:b/>
                <w:sz w:val="24"/>
              </w:rPr>
              <w:t>México</w:t>
            </w:r>
          </w:p>
          <w:p>
            <w:pPr>
              <w:pStyle w:val="TableParagraph"/>
              <w:spacing w:line="272" w:lineRule="exact"/>
              <w:ind w:left="200"/>
              <w:rPr>
                <w:i/>
                <w:sz w:val="24"/>
              </w:rPr>
            </w:pPr>
            <w:r>
              <w:rPr>
                <w:i/>
                <w:sz w:val="24"/>
              </w:rPr>
              <w:t>PÉREZ-ROBLES, Karina, MORETT-SÁNCHEZ, Jorge y TECPAN-SEDANO, Sara</w:t>
            </w:r>
          </w:p>
        </w:tc>
        <w:tc>
          <w:tcPr>
            <w:tcW w:w="1177" w:type="dxa"/>
          </w:tcPr>
          <w:p>
            <w:pPr>
              <w:pStyle w:val="TableParagraph"/>
              <w:spacing w:line="240" w:lineRule="auto" w:before="120"/>
              <w:ind w:left="177"/>
              <w:rPr>
                <w:sz w:val="24"/>
              </w:rPr>
            </w:pPr>
            <w:r>
              <w:rPr>
                <w:sz w:val="24"/>
              </w:rPr>
              <w:t>187-202</w:t>
            </w:r>
          </w:p>
        </w:tc>
      </w:tr>
      <w:tr>
        <w:trPr>
          <w:trHeight w:val="1380" w:hRule="exact"/>
        </w:trPr>
        <w:tc>
          <w:tcPr>
            <w:tcW w:w="9058" w:type="dxa"/>
          </w:tcPr>
          <w:p>
            <w:pPr>
              <w:pStyle w:val="TableParagraph"/>
              <w:spacing w:line="240" w:lineRule="auto" w:before="125"/>
              <w:ind w:left="200"/>
              <w:rPr>
                <w:b/>
                <w:sz w:val="24"/>
              </w:rPr>
            </w:pPr>
            <w:r>
              <w:rPr>
                <w:b/>
                <w:sz w:val="24"/>
              </w:rPr>
              <w:t>16 La crisis económica mundial y su efecto sobre los flujos migratorios de América Latina</w:t>
            </w:r>
          </w:p>
          <w:p>
            <w:pPr>
              <w:pStyle w:val="TableParagraph"/>
              <w:spacing w:line="271" w:lineRule="exact"/>
              <w:ind w:left="200"/>
              <w:rPr>
                <w:i/>
                <w:sz w:val="24"/>
              </w:rPr>
            </w:pPr>
            <w:r>
              <w:rPr>
                <w:i/>
                <w:sz w:val="24"/>
              </w:rPr>
              <w:t>GODINEZ-MONTOYA,   Lucila,   FIGUEROA-HERNÁNDEZ,   Esther   y PÉREZ-SOTO,</w:t>
            </w:r>
          </w:p>
          <w:p>
            <w:pPr>
              <w:pStyle w:val="TableParagraph"/>
              <w:spacing w:line="240" w:lineRule="auto"/>
              <w:ind w:left="200"/>
              <w:rPr>
                <w:i/>
                <w:sz w:val="24"/>
              </w:rPr>
            </w:pPr>
            <w:r>
              <w:rPr>
                <w:i/>
                <w:sz w:val="24"/>
              </w:rPr>
              <w:t>Francisco</w:t>
            </w:r>
          </w:p>
        </w:tc>
        <w:tc>
          <w:tcPr>
            <w:tcW w:w="1177" w:type="dxa"/>
          </w:tcPr>
          <w:p>
            <w:pPr>
              <w:pStyle w:val="TableParagraph"/>
              <w:spacing w:line="240" w:lineRule="auto" w:before="120"/>
              <w:ind w:left="177"/>
              <w:rPr>
                <w:sz w:val="24"/>
              </w:rPr>
            </w:pPr>
            <w:r>
              <w:rPr>
                <w:sz w:val="24"/>
              </w:rPr>
              <w:t>203-217</w:t>
            </w:r>
          </w:p>
        </w:tc>
      </w:tr>
      <w:tr>
        <w:trPr>
          <w:trHeight w:val="1380" w:hRule="exact"/>
        </w:trPr>
        <w:tc>
          <w:tcPr>
            <w:tcW w:w="9058" w:type="dxa"/>
          </w:tcPr>
          <w:p>
            <w:pPr>
              <w:pStyle w:val="TableParagraph"/>
              <w:spacing w:line="240" w:lineRule="auto" w:before="125"/>
              <w:ind w:left="200"/>
              <w:rPr>
                <w:b/>
                <w:sz w:val="24"/>
              </w:rPr>
            </w:pPr>
            <w:r>
              <w:rPr>
                <w:b/>
                <w:sz w:val="24"/>
              </w:rPr>
              <w:t>17 Tipología de los sujetos sociales que intervienen en el mercado campesino de Ocotlán Oaxaca</w:t>
            </w:r>
          </w:p>
          <w:p>
            <w:pPr>
              <w:pStyle w:val="TableParagraph"/>
              <w:spacing w:line="271" w:lineRule="exact"/>
              <w:ind w:left="200"/>
              <w:rPr>
                <w:i/>
                <w:sz w:val="24"/>
              </w:rPr>
            </w:pPr>
            <w:r>
              <w:rPr>
                <w:i/>
                <w:sz w:val="24"/>
              </w:rPr>
              <w:t>MAGADAN-REVELO, Luis, HERNÁNDEZ-GARCÍA, Miguel y   ESCALONA-MAURICE,</w:t>
            </w:r>
          </w:p>
          <w:p>
            <w:pPr>
              <w:pStyle w:val="TableParagraph"/>
              <w:spacing w:line="240" w:lineRule="auto"/>
              <w:ind w:left="200"/>
              <w:rPr>
                <w:i/>
                <w:sz w:val="24"/>
              </w:rPr>
            </w:pPr>
            <w:r>
              <w:rPr>
                <w:i/>
                <w:sz w:val="24"/>
              </w:rPr>
              <w:t>Miguel</w:t>
            </w:r>
          </w:p>
        </w:tc>
        <w:tc>
          <w:tcPr>
            <w:tcW w:w="1177" w:type="dxa"/>
          </w:tcPr>
          <w:p>
            <w:pPr>
              <w:pStyle w:val="TableParagraph"/>
              <w:spacing w:line="240" w:lineRule="auto" w:before="120"/>
              <w:ind w:left="177"/>
              <w:rPr>
                <w:sz w:val="24"/>
              </w:rPr>
            </w:pPr>
            <w:r>
              <w:rPr>
                <w:sz w:val="24"/>
              </w:rPr>
              <w:t>218-233</w:t>
            </w:r>
          </w:p>
        </w:tc>
      </w:tr>
      <w:tr>
        <w:trPr>
          <w:trHeight w:val="1104" w:hRule="exact"/>
        </w:trPr>
        <w:tc>
          <w:tcPr>
            <w:tcW w:w="9058" w:type="dxa"/>
          </w:tcPr>
          <w:p>
            <w:pPr>
              <w:pStyle w:val="TableParagraph"/>
              <w:spacing w:line="240" w:lineRule="auto" w:before="125"/>
              <w:ind w:left="200" w:right="199"/>
              <w:rPr>
                <w:b/>
                <w:sz w:val="24"/>
              </w:rPr>
            </w:pPr>
            <w:r>
              <w:rPr>
                <w:b/>
                <w:sz w:val="24"/>
              </w:rPr>
              <w:t>18 Normalización del proceso de compostaje: una opción para desarrollar el mercado de la composta</w:t>
            </w:r>
          </w:p>
          <w:p>
            <w:pPr>
              <w:pStyle w:val="TableParagraph"/>
              <w:spacing w:line="271" w:lineRule="exact"/>
              <w:ind w:left="200"/>
              <w:rPr>
                <w:i/>
                <w:sz w:val="24"/>
              </w:rPr>
            </w:pPr>
            <w:r>
              <w:rPr>
                <w:i/>
                <w:sz w:val="24"/>
              </w:rPr>
              <w:t>TAVERA, María Elena y COBOS, Victoria</w:t>
            </w:r>
          </w:p>
        </w:tc>
        <w:tc>
          <w:tcPr>
            <w:tcW w:w="1177" w:type="dxa"/>
          </w:tcPr>
          <w:p>
            <w:pPr>
              <w:pStyle w:val="TableParagraph"/>
              <w:spacing w:line="240" w:lineRule="auto" w:before="121"/>
              <w:ind w:left="177"/>
              <w:rPr>
                <w:sz w:val="24"/>
              </w:rPr>
            </w:pPr>
            <w:r>
              <w:rPr>
                <w:sz w:val="24"/>
              </w:rPr>
              <w:t>234-249</w:t>
            </w:r>
          </w:p>
        </w:tc>
      </w:tr>
      <w:tr>
        <w:trPr>
          <w:trHeight w:val="828" w:hRule="exact"/>
        </w:trPr>
        <w:tc>
          <w:tcPr>
            <w:tcW w:w="9058" w:type="dxa"/>
          </w:tcPr>
          <w:p>
            <w:pPr>
              <w:pStyle w:val="TableParagraph"/>
              <w:spacing w:line="274" w:lineRule="exact" w:before="125"/>
              <w:ind w:left="200"/>
              <w:rPr>
                <w:b/>
                <w:sz w:val="24"/>
              </w:rPr>
            </w:pPr>
            <w:r>
              <w:rPr>
                <w:b/>
                <w:sz w:val="24"/>
              </w:rPr>
              <w:t>19 Reestructuración del capitalismo y crisis política en México</w:t>
            </w:r>
          </w:p>
          <w:p>
            <w:pPr>
              <w:pStyle w:val="TableParagraph"/>
              <w:spacing w:line="274" w:lineRule="exact"/>
              <w:ind w:left="200"/>
              <w:rPr>
                <w:i/>
                <w:sz w:val="24"/>
              </w:rPr>
            </w:pPr>
            <w:r>
              <w:rPr>
                <w:i/>
                <w:sz w:val="24"/>
              </w:rPr>
              <w:t>PIÑA-CANO, Mario y PÉREZ-SÁNCHEZ, Sandra</w:t>
            </w:r>
          </w:p>
        </w:tc>
        <w:tc>
          <w:tcPr>
            <w:tcW w:w="1177" w:type="dxa"/>
          </w:tcPr>
          <w:p>
            <w:pPr>
              <w:pStyle w:val="TableParagraph"/>
              <w:spacing w:line="240" w:lineRule="auto" w:before="120"/>
              <w:ind w:left="177"/>
              <w:rPr>
                <w:sz w:val="24"/>
              </w:rPr>
            </w:pPr>
            <w:r>
              <w:rPr>
                <w:sz w:val="24"/>
              </w:rPr>
              <w:t>250-260</w:t>
            </w:r>
          </w:p>
        </w:tc>
      </w:tr>
      <w:tr>
        <w:trPr>
          <w:trHeight w:val="1380" w:hRule="exact"/>
        </w:trPr>
        <w:tc>
          <w:tcPr>
            <w:tcW w:w="9058" w:type="dxa"/>
          </w:tcPr>
          <w:p>
            <w:pPr>
              <w:pStyle w:val="TableParagraph"/>
              <w:spacing w:line="240" w:lineRule="auto" w:before="125"/>
              <w:ind w:left="200"/>
              <w:rPr>
                <w:b/>
                <w:sz w:val="24"/>
              </w:rPr>
            </w:pPr>
            <w:r>
              <w:rPr>
                <w:b/>
                <w:sz w:val="24"/>
              </w:rPr>
              <w:t>20 Estudio de la rentabilidad de la producción de miel en el municipio de León, Guanajuato</w:t>
            </w:r>
          </w:p>
          <w:p>
            <w:pPr>
              <w:pStyle w:val="TableParagraph"/>
              <w:spacing w:line="271" w:lineRule="exact"/>
              <w:ind w:left="200"/>
              <w:rPr>
                <w:i/>
                <w:sz w:val="24"/>
              </w:rPr>
            </w:pPr>
            <w:r>
              <w:rPr>
                <w:i/>
                <w:sz w:val="24"/>
              </w:rPr>
              <w:t>GONZÁLES-ELIAS,  J.  Martín,  RUCOBA-GARCÁA,  Armando  y </w:t>
            </w:r>
            <w:r>
              <w:rPr>
                <w:i/>
                <w:spacing w:val="54"/>
                <w:sz w:val="24"/>
              </w:rPr>
              <w:t> </w:t>
            </w:r>
            <w:r>
              <w:rPr>
                <w:i/>
                <w:sz w:val="24"/>
              </w:rPr>
              <w:t>RAMÍREZ-ABARCA,</w:t>
            </w:r>
          </w:p>
          <w:p>
            <w:pPr>
              <w:pStyle w:val="TableParagraph"/>
              <w:spacing w:line="240" w:lineRule="auto"/>
              <w:ind w:left="200"/>
              <w:rPr>
                <w:i/>
                <w:sz w:val="24"/>
              </w:rPr>
            </w:pPr>
            <w:r>
              <w:rPr>
                <w:i/>
                <w:sz w:val="24"/>
              </w:rPr>
              <w:t>Orsohe</w:t>
            </w:r>
          </w:p>
        </w:tc>
        <w:tc>
          <w:tcPr>
            <w:tcW w:w="1177" w:type="dxa"/>
          </w:tcPr>
          <w:p>
            <w:pPr>
              <w:pStyle w:val="TableParagraph"/>
              <w:spacing w:line="240" w:lineRule="auto" w:before="120"/>
              <w:ind w:left="177"/>
              <w:rPr>
                <w:sz w:val="24"/>
              </w:rPr>
            </w:pPr>
            <w:r>
              <w:rPr>
                <w:sz w:val="24"/>
              </w:rPr>
              <w:t>261-273</w:t>
            </w:r>
          </w:p>
        </w:tc>
      </w:tr>
      <w:tr>
        <w:trPr>
          <w:trHeight w:val="1104" w:hRule="exact"/>
        </w:trPr>
        <w:tc>
          <w:tcPr>
            <w:tcW w:w="9058" w:type="dxa"/>
          </w:tcPr>
          <w:p>
            <w:pPr>
              <w:pStyle w:val="TableParagraph"/>
              <w:spacing w:line="274" w:lineRule="exact" w:before="126"/>
              <w:ind w:left="200"/>
              <w:rPr>
                <w:b/>
                <w:sz w:val="24"/>
              </w:rPr>
            </w:pPr>
            <w:r>
              <w:rPr>
                <w:b/>
                <w:sz w:val="24"/>
              </w:rPr>
              <w:t>21 Economía del maíz en la región metropolitana, Chiapas, 2014</w:t>
            </w:r>
          </w:p>
          <w:p>
            <w:pPr>
              <w:pStyle w:val="TableParagraph"/>
              <w:tabs>
                <w:tab w:pos="2494" w:val="left" w:leader="none"/>
                <w:tab w:pos="3522" w:val="left" w:leader="none"/>
                <w:tab w:pos="6219" w:val="left" w:leader="none"/>
                <w:tab w:pos="7243" w:val="left" w:leader="none"/>
                <w:tab w:pos="7610" w:val="left" w:leader="none"/>
              </w:tabs>
              <w:spacing w:line="274" w:lineRule="exact"/>
              <w:ind w:left="200"/>
              <w:rPr>
                <w:i/>
                <w:sz w:val="24"/>
              </w:rPr>
            </w:pPr>
            <w:r>
              <w:rPr>
                <w:i/>
                <w:sz w:val="24"/>
              </w:rPr>
              <w:t>RAMÍREZ-ABARCA,</w:t>
              <w:tab/>
              <w:t>Orsohe,</w:t>
              <w:tab/>
              <w:t>GUTÍERREZ-ESTRADA,</w:t>
              <w:tab/>
              <w:t>Arcenio</w:t>
              <w:tab/>
              <w:t>y</w:t>
              <w:tab/>
              <w:t>FIGUEROA-</w:t>
            </w:r>
          </w:p>
          <w:p>
            <w:pPr>
              <w:pStyle w:val="TableParagraph"/>
              <w:spacing w:line="240" w:lineRule="auto"/>
              <w:ind w:left="200"/>
              <w:rPr>
                <w:i/>
                <w:sz w:val="24"/>
              </w:rPr>
            </w:pPr>
            <w:r>
              <w:rPr>
                <w:i/>
                <w:sz w:val="24"/>
              </w:rPr>
              <w:t>HERNÁNDEZ, Esther</w:t>
            </w:r>
          </w:p>
        </w:tc>
        <w:tc>
          <w:tcPr>
            <w:tcW w:w="1177" w:type="dxa"/>
          </w:tcPr>
          <w:p>
            <w:pPr>
              <w:pStyle w:val="TableParagraph"/>
              <w:spacing w:line="240" w:lineRule="auto" w:before="121"/>
              <w:ind w:left="177"/>
              <w:rPr>
                <w:sz w:val="24"/>
              </w:rPr>
            </w:pPr>
            <w:r>
              <w:rPr>
                <w:sz w:val="24"/>
              </w:rPr>
              <w:t>274-285</w:t>
            </w:r>
          </w:p>
        </w:tc>
      </w:tr>
      <w:tr>
        <w:trPr>
          <w:trHeight w:val="948" w:hRule="exact"/>
        </w:trPr>
        <w:tc>
          <w:tcPr>
            <w:tcW w:w="9058" w:type="dxa"/>
          </w:tcPr>
          <w:p>
            <w:pPr>
              <w:pStyle w:val="TableParagraph"/>
              <w:spacing w:line="240" w:lineRule="auto" w:before="125"/>
              <w:ind w:left="200"/>
              <w:rPr>
                <w:b/>
                <w:sz w:val="24"/>
              </w:rPr>
            </w:pPr>
            <w:r>
              <w:rPr>
                <w:b/>
                <w:sz w:val="24"/>
              </w:rPr>
              <w:t>22 Centros de educación y cultura ambiental, necesidad de profesionalización pedagógica de facilitadores ambientales</w:t>
            </w:r>
          </w:p>
          <w:p>
            <w:pPr>
              <w:pStyle w:val="TableParagraph"/>
              <w:spacing w:line="271" w:lineRule="exact"/>
              <w:ind w:left="200"/>
              <w:rPr>
                <w:i/>
                <w:sz w:val="24"/>
              </w:rPr>
            </w:pPr>
            <w:r>
              <w:rPr>
                <w:i/>
                <w:sz w:val="24"/>
              </w:rPr>
              <w:t>BUENO-RUÍZ, Paola, MÉNDEZ-CADENA, Esther y CRUZ-VARGAS, Alejandro</w:t>
            </w:r>
          </w:p>
        </w:tc>
        <w:tc>
          <w:tcPr>
            <w:tcW w:w="1177" w:type="dxa"/>
          </w:tcPr>
          <w:p>
            <w:pPr>
              <w:pStyle w:val="TableParagraph"/>
              <w:spacing w:line="240" w:lineRule="auto" w:before="120"/>
              <w:ind w:left="177"/>
              <w:rPr>
                <w:sz w:val="24"/>
              </w:rPr>
            </w:pPr>
            <w:r>
              <w:rPr>
                <w:sz w:val="24"/>
              </w:rPr>
              <w:t>286-294</w:t>
            </w:r>
          </w:p>
        </w:tc>
      </w:tr>
    </w:tbl>
    <w:p>
      <w:pPr>
        <w:spacing w:after="0" w:line="240" w:lineRule="auto"/>
        <w:rPr>
          <w:sz w:val="24"/>
        </w:rPr>
        <w:sectPr>
          <w:pgSz w:w="12240" w:h="15840"/>
          <w:pgMar w:top="1160" w:bottom="280" w:left="820" w:right="96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43"/>
        <w:gridCol w:w="1220"/>
      </w:tblGrid>
      <w:tr>
        <w:trPr>
          <w:trHeight w:val="1224" w:hRule="exact"/>
        </w:trPr>
        <w:tc>
          <w:tcPr>
            <w:tcW w:w="9043" w:type="dxa"/>
          </w:tcPr>
          <w:p>
            <w:pPr>
              <w:pStyle w:val="TableParagraph"/>
              <w:spacing w:line="246" w:lineRule="exact"/>
              <w:ind w:left="200"/>
              <w:rPr>
                <w:b/>
                <w:sz w:val="24"/>
              </w:rPr>
            </w:pPr>
            <w:r>
              <w:rPr>
                <w:b/>
                <w:sz w:val="24"/>
              </w:rPr>
              <w:t>23 Costos y competitividad de la producción del limón persa en el municipio de</w:t>
            </w:r>
          </w:p>
          <w:p>
            <w:pPr>
              <w:pStyle w:val="TableParagraph"/>
              <w:spacing w:line="274" w:lineRule="exact"/>
              <w:ind w:left="200"/>
              <w:rPr>
                <w:b/>
                <w:sz w:val="24"/>
              </w:rPr>
            </w:pPr>
            <w:r>
              <w:rPr>
                <w:b/>
                <w:sz w:val="24"/>
              </w:rPr>
              <w:t>Martínez de la Torre, Veracruz</w:t>
            </w:r>
          </w:p>
          <w:p>
            <w:pPr>
              <w:pStyle w:val="TableParagraph"/>
              <w:tabs>
                <w:tab w:pos="2345" w:val="left" w:leader="none"/>
                <w:tab w:pos="3209" w:val="left" w:leader="none"/>
                <w:tab w:pos="5394" w:val="left" w:leader="none"/>
                <w:tab w:pos="6404" w:val="left" w:leader="none"/>
              </w:tabs>
              <w:spacing w:line="274" w:lineRule="exact"/>
              <w:ind w:left="200"/>
              <w:rPr>
                <w:i/>
                <w:sz w:val="24"/>
              </w:rPr>
            </w:pPr>
            <w:r>
              <w:rPr>
                <w:i/>
                <w:sz w:val="24"/>
              </w:rPr>
              <w:t>PAT-FERNÁNDEZ,</w:t>
              <w:tab/>
              <w:t>Verna,</w:t>
              <w:tab/>
              <w:t>CAAMAL-CAUICH,</w:t>
              <w:tab/>
              <w:t>Ignacio,</w:t>
              <w:tab/>
              <w:t>JERÓNIMO-ASCENCIO,</w:t>
            </w:r>
          </w:p>
          <w:p>
            <w:pPr>
              <w:pStyle w:val="TableParagraph"/>
              <w:spacing w:line="240" w:lineRule="auto"/>
              <w:ind w:left="200"/>
              <w:rPr>
                <w:i/>
                <w:sz w:val="24"/>
              </w:rPr>
            </w:pPr>
            <w:r>
              <w:rPr>
                <w:i/>
                <w:sz w:val="24"/>
              </w:rPr>
              <w:t>Felipe y MENDOZA-TORNEZ, Ramiro</w:t>
            </w:r>
          </w:p>
        </w:tc>
        <w:tc>
          <w:tcPr>
            <w:tcW w:w="1220" w:type="dxa"/>
          </w:tcPr>
          <w:p>
            <w:pPr>
              <w:pStyle w:val="TableParagraph"/>
              <w:spacing w:line="241" w:lineRule="exact"/>
              <w:ind w:left="192"/>
              <w:rPr>
                <w:sz w:val="24"/>
              </w:rPr>
            </w:pPr>
            <w:r>
              <w:rPr>
                <w:sz w:val="24"/>
              </w:rPr>
              <w:t>295-308</w:t>
            </w:r>
          </w:p>
        </w:tc>
      </w:tr>
      <w:tr>
        <w:trPr>
          <w:trHeight w:val="828" w:hRule="exact"/>
        </w:trPr>
        <w:tc>
          <w:tcPr>
            <w:tcW w:w="9043" w:type="dxa"/>
          </w:tcPr>
          <w:p>
            <w:pPr>
              <w:pStyle w:val="TableParagraph"/>
              <w:spacing w:line="274" w:lineRule="exact" w:before="125"/>
              <w:ind w:left="200"/>
              <w:rPr>
                <w:b/>
                <w:sz w:val="24"/>
              </w:rPr>
            </w:pPr>
            <w:r>
              <w:rPr>
                <w:b/>
                <w:sz w:val="24"/>
              </w:rPr>
              <w:t>24 La construcción polisémica e histórica del concepto de la pobreza</w:t>
            </w:r>
          </w:p>
          <w:p>
            <w:pPr>
              <w:pStyle w:val="TableParagraph"/>
              <w:spacing w:line="274" w:lineRule="exact"/>
              <w:ind w:left="200"/>
              <w:rPr>
                <w:i/>
                <w:sz w:val="24"/>
              </w:rPr>
            </w:pPr>
            <w:r>
              <w:rPr>
                <w:i/>
                <w:sz w:val="24"/>
              </w:rPr>
              <w:t>VIZUET-LÓPEZ, José</w:t>
            </w:r>
          </w:p>
        </w:tc>
        <w:tc>
          <w:tcPr>
            <w:tcW w:w="1220" w:type="dxa"/>
          </w:tcPr>
          <w:p>
            <w:pPr>
              <w:pStyle w:val="TableParagraph"/>
              <w:spacing w:line="240" w:lineRule="auto" w:before="120"/>
              <w:ind w:left="192"/>
              <w:rPr>
                <w:sz w:val="24"/>
              </w:rPr>
            </w:pPr>
            <w:r>
              <w:rPr>
                <w:sz w:val="24"/>
              </w:rPr>
              <w:t>309-322</w:t>
            </w:r>
          </w:p>
        </w:tc>
      </w:tr>
      <w:tr>
        <w:trPr>
          <w:trHeight w:val="1380" w:hRule="exact"/>
        </w:trPr>
        <w:tc>
          <w:tcPr>
            <w:tcW w:w="9043" w:type="dxa"/>
          </w:tcPr>
          <w:p>
            <w:pPr>
              <w:pStyle w:val="TableParagraph"/>
              <w:spacing w:line="240" w:lineRule="auto" w:before="125"/>
              <w:ind w:left="200" w:right="210"/>
              <w:rPr>
                <w:b/>
                <w:sz w:val="24"/>
              </w:rPr>
            </w:pPr>
            <w:r>
              <w:rPr>
                <w:b/>
                <w:sz w:val="24"/>
              </w:rPr>
              <w:t>25 La producción ejidal de tomate rojo </w:t>
            </w:r>
            <w:r>
              <w:rPr>
                <w:b/>
                <w:i/>
                <w:sz w:val="24"/>
              </w:rPr>
              <w:t>(Lycopersicum esculentum) </w:t>
            </w:r>
            <w:r>
              <w:rPr>
                <w:b/>
                <w:sz w:val="24"/>
              </w:rPr>
              <w:t>en el DR-017, y  su huella</w:t>
            </w:r>
            <w:r>
              <w:rPr>
                <w:b/>
                <w:spacing w:val="-4"/>
                <w:sz w:val="24"/>
              </w:rPr>
              <w:t> </w:t>
            </w:r>
            <w:r>
              <w:rPr>
                <w:b/>
                <w:sz w:val="24"/>
              </w:rPr>
              <w:t>Hídrica</w:t>
            </w:r>
          </w:p>
          <w:p>
            <w:pPr>
              <w:pStyle w:val="TableParagraph"/>
              <w:spacing w:line="271" w:lineRule="exact"/>
              <w:ind w:left="200"/>
              <w:rPr>
                <w:i/>
                <w:sz w:val="24"/>
              </w:rPr>
            </w:pPr>
            <w:r>
              <w:rPr>
                <w:i/>
                <w:sz w:val="24"/>
              </w:rPr>
              <w:t>NAVARRETE-MOLINA,   Cayetano,   RÍOS-FLORES,  José   y AREVALO-RODRÍGUEZ,</w:t>
            </w:r>
          </w:p>
          <w:p>
            <w:pPr>
              <w:pStyle w:val="TableParagraph"/>
              <w:spacing w:line="240" w:lineRule="auto"/>
              <w:ind w:left="200"/>
              <w:rPr>
                <w:i/>
                <w:sz w:val="24"/>
              </w:rPr>
            </w:pPr>
            <w:r>
              <w:rPr>
                <w:i/>
                <w:sz w:val="24"/>
              </w:rPr>
              <w:t>Mayra</w:t>
            </w:r>
          </w:p>
        </w:tc>
        <w:tc>
          <w:tcPr>
            <w:tcW w:w="1220" w:type="dxa"/>
          </w:tcPr>
          <w:p>
            <w:pPr>
              <w:pStyle w:val="TableParagraph"/>
              <w:spacing w:line="240" w:lineRule="auto" w:before="120"/>
              <w:ind w:left="192"/>
              <w:rPr>
                <w:sz w:val="24"/>
              </w:rPr>
            </w:pPr>
            <w:r>
              <w:rPr>
                <w:sz w:val="24"/>
              </w:rPr>
              <w:t>323-331</w:t>
            </w:r>
          </w:p>
        </w:tc>
      </w:tr>
      <w:tr>
        <w:trPr>
          <w:trHeight w:val="829" w:hRule="exact"/>
        </w:trPr>
        <w:tc>
          <w:tcPr>
            <w:tcW w:w="9043" w:type="dxa"/>
          </w:tcPr>
          <w:p>
            <w:pPr>
              <w:pStyle w:val="TableParagraph"/>
              <w:spacing w:line="274" w:lineRule="exact" w:before="125"/>
              <w:ind w:left="200"/>
              <w:rPr>
                <w:b/>
                <w:sz w:val="24"/>
              </w:rPr>
            </w:pPr>
            <w:r>
              <w:rPr>
                <w:b/>
                <w:sz w:val="24"/>
              </w:rPr>
              <w:t>26 Productividad e inversión extranjera: La Industria de Alimentos</w:t>
            </w:r>
          </w:p>
          <w:p>
            <w:pPr>
              <w:pStyle w:val="TableParagraph"/>
              <w:spacing w:line="274" w:lineRule="exact"/>
              <w:ind w:left="200"/>
              <w:rPr>
                <w:i/>
                <w:sz w:val="24"/>
              </w:rPr>
            </w:pPr>
            <w:r>
              <w:rPr>
                <w:i/>
                <w:sz w:val="24"/>
              </w:rPr>
              <w:t>PÉREZ-SÁNCHEZ, Sandra y PIÑA-CANO, Mario</w:t>
            </w:r>
          </w:p>
        </w:tc>
        <w:tc>
          <w:tcPr>
            <w:tcW w:w="1220" w:type="dxa"/>
          </w:tcPr>
          <w:p>
            <w:pPr>
              <w:pStyle w:val="TableParagraph"/>
              <w:spacing w:line="240" w:lineRule="auto" w:before="120"/>
              <w:ind w:left="161"/>
              <w:rPr>
                <w:sz w:val="24"/>
              </w:rPr>
            </w:pPr>
            <w:r>
              <w:rPr>
                <w:sz w:val="24"/>
              </w:rPr>
              <w:t>332- 347</w:t>
            </w:r>
          </w:p>
        </w:tc>
      </w:tr>
      <w:tr>
        <w:trPr>
          <w:trHeight w:val="1106" w:hRule="exact"/>
        </w:trPr>
        <w:tc>
          <w:tcPr>
            <w:tcW w:w="9043" w:type="dxa"/>
          </w:tcPr>
          <w:p>
            <w:pPr>
              <w:pStyle w:val="TableParagraph"/>
              <w:spacing w:line="274" w:lineRule="exact" w:before="125"/>
              <w:ind w:left="200"/>
              <w:rPr>
                <w:b/>
                <w:sz w:val="24"/>
              </w:rPr>
            </w:pPr>
            <w:r>
              <w:rPr>
                <w:b/>
                <w:sz w:val="24"/>
              </w:rPr>
              <w:t>27 El sector primario en México</w:t>
            </w:r>
          </w:p>
          <w:p>
            <w:pPr>
              <w:pStyle w:val="TableParagraph"/>
              <w:spacing w:line="274" w:lineRule="exact"/>
              <w:ind w:left="200"/>
              <w:rPr>
                <w:i/>
                <w:sz w:val="24"/>
              </w:rPr>
            </w:pPr>
            <w:r>
              <w:rPr>
                <w:i/>
                <w:sz w:val="24"/>
              </w:rPr>
              <w:t>PÉREZ-SOTO,  Francisco,  FIGUEROA-HERNÁNDEZ,  Esther,</w:t>
            </w:r>
            <w:r>
              <w:rPr>
                <w:i/>
                <w:spacing w:val="55"/>
                <w:sz w:val="24"/>
              </w:rPr>
              <w:t> </w:t>
            </w:r>
            <w:r>
              <w:rPr>
                <w:i/>
                <w:sz w:val="24"/>
              </w:rPr>
              <w:t>GODÍNEZ-MONTOYA,</w:t>
            </w:r>
          </w:p>
          <w:p>
            <w:pPr>
              <w:pStyle w:val="TableParagraph"/>
              <w:spacing w:line="240" w:lineRule="auto"/>
              <w:ind w:left="200"/>
              <w:rPr>
                <w:i/>
                <w:sz w:val="24"/>
              </w:rPr>
            </w:pPr>
            <w:r>
              <w:rPr>
                <w:i/>
                <w:sz w:val="24"/>
              </w:rPr>
              <w:t>Lucila y GÓMEZ-GÓMEZ, Alma</w:t>
            </w:r>
          </w:p>
        </w:tc>
        <w:tc>
          <w:tcPr>
            <w:tcW w:w="1220" w:type="dxa"/>
          </w:tcPr>
          <w:p>
            <w:pPr>
              <w:pStyle w:val="TableParagraph"/>
              <w:spacing w:line="240" w:lineRule="auto" w:before="120"/>
              <w:ind w:left="173"/>
              <w:rPr>
                <w:sz w:val="24"/>
              </w:rPr>
            </w:pPr>
            <w:r>
              <w:rPr>
                <w:sz w:val="24"/>
              </w:rPr>
              <w:t>348-367</w:t>
            </w:r>
          </w:p>
        </w:tc>
      </w:tr>
      <w:tr>
        <w:trPr>
          <w:trHeight w:val="1102" w:hRule="exact"/>
        </w:trPr>
        <w:tc>
          <w:tcPr>
            <w:tcW w:w="9043" w:type="dxa"/>
          </w:tcPr>
          <w:p>
            <w:pPr>
              <w:pStyle w:val="TableParagraph"/>
              <w:spacing w:line="274" w:lineRule="exact" w:before="123"/>
              <w:ind w:left="200"/>
              <w:rPr>
                <w:b/>
                <w:sz w:val="24"/>
              </w:rPr>
            </w:pPr>
            <w:r>
              <w:rPr>
                <w:b/>
                <w:sz w:val="24"/>
              </w:rPr>
              <w:t>28 Subsidios al campo como instrumento de política económica en México</w:t>
            </w:r>
          </w:p>
          <w:p>
            <w:pPr>
              <w:pStyle w:val="TableParagraph"/>
              <w:spacing w:line="274" w:lineRule="exact"/>
              <w:ind w:left="200"/>
              <w:rPr>
                <w:i/>
                <w:sz w:val="24"/>
              </w:rPr>
            </w:pPr>
            <w:r>
              <w:rPr>
                <w:i/>
                <w:sz w:val="24"/>
              </w:rPr>
              <w:t>PÉREZ-SOTO,  Francisco,  FIGUEROA-HERNÁNDEZ,  Esther,</w:t>
            </w:r>
            <w:r>
              <w:rPr>
                <w:i/>
                <w:spacing w:val="56"/>
                <w:sz w:val="24"/>
              </w:rPr>
              <w:t> </w:t>
            </w:r>
            <w:r>
              <w:rPr>
                <w:i/>
                <w:sz w:val="24"/>
              </w:rPr>
              <w:t>GODÍNEZ-MONTOYA,</w:t>
            </w:r>
          </w:p>
          <w:p>
            <w:pPr>
              <w:pStyle w:val="TableParagraph"/>
              <w:spacing w:line="240" w:lineRule="auto"/>
              <w:ind w:left="200"/>
              <w:rPr>
                <w:i/>
                <w:sz w:val="24"/>
              </w:rPr>
            </w:pPr>
            <w:r>
              <w:rPr>
                <w:i/>
                <w:sz w:val="24"/>
              </w:rPr>
              <w:t>Lucila y GÓMEZ-GÓMEZ, Alma</w:t>
            </w:r>
          </w:p>
        </w:tc>
        <w:tc>
          <w:tcPr>
            <w:tcW w:w="1220" w:type="dxa"/>
          </w:tcPr>
          <w:p>
            <w:pPr>
              <w:pStyle w:val="TableParagraph"/>
              <w:spacing w:line="240" w:lineRule="auto" w:before="3"/>
              <w:ind w:left="0"/>
              <w:rPr>
                <w:i/>
                <w:sz w:val="34"/>
              </w:rPr>
            </w:pPr>
          </w:p>
          <w:p>
            <w:pPr>
              <w:pStyle w:val="TableParagraph"/>
              <w:spacing w:line="240" w:lineRule="auto"/>
              <w:ind w:left="192"/>
              <w:rPr>
                <w:sz w:val="24"/>
              </w:rPr>
            </w:pPr>
            <w:r>
              <w:rPr>
                <w:sz w:val="24"/>
              </w:rPr>
              <w:t>368-385</w:t>
            </w:r>
          </w:p>
        </w:tc>
      </w:tr>
      <w:tr>
        <w:trPr>
          <w:trHeight w:val="1380" w:hRule="exact"/>
        </w:trPr>
        <w:tc>
          <w:tcPr>
            <w:tcW w:w="9043" w:type="dxa"/>
          </w:tcPr>
          <w:p>
            <w:pPr>
              <w:pStyle w:val="TableParagraph"/>
              <w:spacing w:line="240" w:lineRule="auto" w:before="125"/>
              <w:ind w:left="200"/>
              <w:rPr>
                <w:b/>
                <w:sz w:val="24"/>
              </w:rPr>
            </w:pPr>
            <w:r>
              <w:rPr>
                <w:b/>
                <w:sz w:val="24"/>
              </w:rPr>
              <w:t>29 Rentabilidad de biodigestores y motogeneradores para diferentes tamaños de granjas porcinas en Michoacán</w:t>
            </w:r>
          </w:p>
          <w:p>
            <w:pPr>
              <w:pStyle w:val="TableParagraph"/>
              <w:spacing w:line="272" w:lineRule="exact"/>
              <w:ind w:left="200"/>
              <w:rPr>
                <w:i/>
                <w:sz w:val="24"/>
              </w:rPr>
            </w:pPr>
            <w:r>
              <w:rPr>
                <w:i/>
                <w:sz w:val="24"/>
              </w:rPr>
              <w:t>VENEGAS-VENEGAS, José, PERALES-SALVADOR, Arturo y DEL    VALLE-SÁNCHEZ,</w:t>
            </w:r>
          </w:p>
          <w:p>
            <w:pPr>
              <w:pStyle w:val="TableParagraph"/>
              <w:spacing w:line="240" w:lineRule="auto"/>
              <w:ind w:left="200"/>
              <w:rPr>
                <w:i/>
                <w:sz w:val="24"/>
              </w:rPr>
            </w:pPr>
            <w:r>
              <w:rPr>
                <w:i/>
                <w:sz w:val="24"/>
              </w:rPr>
              <w:t>Manuel</w:t>
            </w:r>
          </w:p>
        </w:tc>
        <w:tc>
          <w:tcPr>
            <w:tcW w:w="1220" w:type="dxa"/>
          </w:tcPr>
          <w:p>
            <w:pPr>
              <w:pStyle w:val="TableParagraph"/>
              <w:spacing w:line="240" w:lineRule="auto" w:before="120"/>
              <w:ind w:left="192"/>
              <w:rPr>
                <w:sz w:val="24"/>
              </w:rPr>
            </w:pPr>
            <w:r>
              <w:rPr>
                <w:sz w:val="24"/>
              </w:rPr>
              <w:t>386-394</w:t>
            </w:r>
          </w:p>
        </w:tc>
      </w:tr>
      <w:tr>
        <w:trPr>
          <w:trHeight w:val="552" w:hRule="exact"/>
        </w:trPr>
        <w:tc>
          <w:tcPr>
            <w:tcW w:w="9043" w:type="dxa"/>
          </w:tcPr>
          <w:p>
            <w:pPr>
              <w:pStyle w:val="TableParagraph"/>
              <w:spacing w:line="240" w:lineRule="auto" w:before="120"/>
              <w:ind w:left="200"/>
              <w:rPr>
                <w:i/>
                <w:sz w:val="24"/>
              </w:rPr>
            </w:pPr>
            <w:r>
              <w:rPr>
                <w:i/>
                <w:sz w:val="24"/>
              </w:rPr>
              <w:t>Apéndice A . Consejo Editor Universidad Autónoma Chapingo</w:t>
            </w:r>
          </w:p>
        </w:tc>
        <w:tc>
          <w:tcPr>
            <w:tcW w:w="1220" w:type="dxa"/>
          </w:tcPr>
          <w:p>
            <w:pPr>
              <w:pStyle w:val="TableParagraph"/>
              <w:spacing w:line="240" w:lineRule="auto" w:before="120"/>
              <w:ind w:left="173"/>
              <w:rPr>
                <w:sz w:val="24"/>
              </w:rPr>
            </w:pPr>
            <w:r>
              <w:rPr>
                <w:sz w:val="24"/>
              </w:rPr>
              <w:t>395</w:t>
            </w:r>
          </w:p>
        </w:tc>
      </w:tr>
      <w:tr>
        <w:trPr>
          <w:trHeight w:val="552" w:hRule="exact"/>
        </w:trPr>
        <w:tc>
          <w:tcPr>
            <w:tcW w:w="9043" w:type="dxa"/>
          </w:tcPr>
          <w:p>
            <w:pPr>
              <w:pStyle w:val="TableParagraph"/>
              <w:spacing w:line="240" w:lineRule="auto" w:before="120"/>
              <w:ind w:left="200"/>
              <w:rPr>
                <w:i/>
                <w:sz w:val="24"/>
              </w:rPr>
            </w:pPr>
            <w:r>
              <w:rPr>
                <w:i/>
                <w:sz w:val="24"/>
              </w:rPr>
              <w:t>Apéndice B . Consejo Editor ECORFAN</w:t>
            </w:r>
          </w:p>
        </w:tc>
        <w:tc>
          <w:tcPr>
            <w:tcW w:w="1220" w:type="dxa"/>
          </w:tcPr>
          <w:p>
            <w:pPr>
              <w:pStyle w:val="TableParagraph"/>
              <w:spacing w:line="240" w:lineRule="auto" w:before="120"/>
              <w:ind w:left="221"/>
              <w:rPr>
                <w:sz w:val="24"/>
              </w:rPr>
            </w:pPr>
            <w:r>
              <w:rPr>
                <w:sz w:val="24"/>
              </w:rPr>
              <w:t>396-397</w:t>
            </w:r>
          </w:p>
        </w:tc>
      </w:tr>
      <w:tr>
        <w:trPr>
          <w:trHeight w:val="396" w:hRule="exact"/>
        </w:trPr>
        <w:tc>
          <w:tcPr>
            <w:tcW w:w="9043" w:type="dxa"/>
          </w:tcPr>
          <w:p>
            <w:pPr>
              <w:pStyle w:val="TableParagraph"/>
              <w:spacing w:line="240" w:lineRule="auto" w:before="120"/>
              <w:ind w:left="200"/>
              <w:rPr>
                <w:i/>
                <w:sz w:val="24"/>
              </w:rPr>
            </w:pPr>
            <w:r>
              <w:rPr>
                <w:i/>
                <w:sz w:val="24"/>
              </w:rPr>
              <w:t>Apéndice C. Comité Arbitral ECORFAN</w:t>
            </w:r>
          </w:p>
        </w:tc>
        <w:tc>
          <w:tcPr>
            <w:tcW w:w="1220" w:type="dxa"/>
          </w:tcPr>
          <w:p>
            <w:pPr>
              <w:pStyle w:val="TableParagraph"/>
              <w:spacing w:line="240" w:lineRule="auto" w:before="120"/>
              <w:ind w:left="173"/>
              <w:rPr>
                <w:sz w:val="24"/>
              </w:rPr>
            </w:pPr>
            <w:r>
              <w:rPr>
                <w:sz w:val="24"/>
              </w:rPr>
              <w:t>398-400</w:t>
            </w:r>
          </w:p>
        </w:tc>
      </w:tr>
    </w:tbl>
    <w:p>
      <w:pPr>
        <w:spacing w:after="0" w:line="240" w:lineRule="auto"/>
        <w:rPr>
          <w:sz w:val="24"/>
        </w:rPr>
        <w:sectPr>
          <w:pgSz w:w="12240" w:h="15840"/>
          <w:pgMar w:top="1160" w:bottom="280" w:left="820" w:right="940"/>
        </w:sectPr>
      </w:pPr>
    </w:p>
    <w:p>
      <w:pPr>
        <w:pStyle w:val="Heading3"/>
        <w:spacing w:before="157"/>
        <w:ind w:right="6551"/>
      </w:pPr>
      <w:r>
        <w:rPr/>
        <w:t>El sector primario en México</w:t>
      </w:r>
    </w:p>
    <w:p>
      <w:pPr>
        <w:pStyle w:val="BodyText"/>
        <w:spacing w:before="11"/>
        <w:rPr>
          <w:b/>
          <w:sz w:val="39"/>
        </w:rPr>
      </w:pPr>
    </w:p>
    <w:p>
      <w:pPr>
        <w:pStyle w:val="BodyText"/>
        <w:ind w:left="112" w:right="110"/>
      </w:pPr>
      <w:r>
        <w:rPr/>
        <w:t>PÉREZ-SOTO, Francisco, FIGUEROA-HERNÁNDEZ, Esther, GODÍNEZ-MONTOYA, Lucila y GÓMEZ-GÓMEZ, Alma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pPr>
    </w:p>
    <w:p>
      <w:pPr>
        <w:spacing w:before="0"/>
        <w:ind w:left="112" w:right="110" w:firstLine="0"/>
        <w:jc w:val="left"/>
        <w:rPr>
          <w:sz w:val="20"/>
        </w:rPr>
      </w:pPr>
      <w:r>
        <w:rPr>
          <w:sz w:val="20"/>
        </w:rPr>
        <w:t>F. Pérez, E. Figueroa, L. Godínez y A. Gómez</w:t>
      </w:r>
    </w:p>
    <w:p>
      <w:pPr>
        <w:pStyle w:val="BodyText"/>
        <w:spacing w:before="9"/>
        <w:rPr>
          <w:sz w:val="19"/>
        </w:rPr>
      </w:pPr>
    </w:p>
    <w:p>
      <w:pPr>
        <w:spacing w:before="1"/>
        <w:ind w:left="112" w:right="110" w:firstLine="0"/>
        <w:jc w:val="left"/>
        <w:rPr>
          <w:sz w:val="20"/>
        </w:rPr>
      </w:pPr>
      <w:r>
        <w:rPr>
          <w:sz w:val="20"/>
        </w:rPr>
        <w:t>División de Ciencias Económico-Administrativas, Universidad Autónoma Chapingo, km 38.5 Carretera México-Texcoco. Chapingo, México. C.P. 56230.</w:t>
      </w:r>
    </w:p>
    <w:p>
      <w:pPr>
        <w:spacing w:before="0"/>
        <w:ind w:left="112" w:right="7378" w:firstLine="0"/>
        <w:jc w:val="left"/>
        <w:rPr>
          <w:sz w:val="20"/>
        </w:rPr>
      </w:pPr>
      <w:hyperlink r:id="rId7">
        <w:r>
          <w:rPr>
            <w:sz w:val="20"/>
          </w:rPr>
          <w:t>perezsotofco@gmail.com</w:t>
        </w:r>
      </w:hyperlink>
    </w:p>
    <w:p>
      <w:pPr>
        <w:spacing w:before="0"/>
        <w:ind w:left="112" w:right="110" w:firstLine="0"/>
        <w:jc w:val="left"/>
        <w:rPr>
          <w:sz w:val="20"/>
        </w:rPr>
      </w:pPr>
      <w:r>
        <w:rPr>
          <w:sz w:val="20"/>
        </w:rPr>
        <w:t>Centro Universitario UAEM Texcoco. Universidad Autónoma del Estado de México, Av. Jardín Zumpango S/N, Fraccionamiento el Tejocote. Texcoco, Estado de México. C.P. 56259.</w:t>
      </w:r>
    </w:p>
    <w:p>
      <w:pPr>
        <w:pStyle w:val="BodyText"/>
        <w:spacing w:before="9"/>
        <w:rPr>
          <w:sz w:val="19"/>
        </w:rPr>
      </w:pPr>
    </w:p>
    <w:p>
      <w:pPr>
        <w:spacing w:line="261" w:lineRule="auto" w:before="1"/>
        <w:ind w:left="112" w:right="110" w:firstLine="0"/>
        <w:jc w:val="left"/>
        <w:rPr>
          <w:sz w:val="20"/>
        </w:rPr>
      </w:pPr>
      <w:r>
        <w:rPr>
          <w:sz w:val="20"/>
        </w:rPr>
        <w:t>F. Pérez, E. Figueroa, L. Godínez (eds.). Ciencias Sociales: Economía y Humanidades. Handbook T-I. - ©ECORFAN, Texcoco de Mora, México, 2015.</w:t>
      </w:r>
    </w:p>
    <w:p>
      <w:pPr>
        <w:spacing w:after="0" w:line="261" w:lineRule="auto"/>
        <w:jc w:val="left"/>
        <w:rPr>
          <w:sz w:val="20"/>
        </w:rPr>
        <w:sectPr>
          <w:headerReference w:type="default" r:id="rId6"/>
          <w:pgSz w:w="12240" w:h="15840"/>
          <w:pgMar w:header="731" w:footer="0" w:top="960" w:bottom="280" w:left="1020" w:right="1020"/>
          <w:pgNumType w:start="348"/>
        </w:sectPr>
      </w:pPr>
    </w:p>
    <w:p>
      <w:pPr>
        <w:pStyle w:val="Heading5"/>
        <w:spacing w:before="158"/>
        <w:ind w:left="112" w:firstLine="0"/>
      </w:pPr>
      <w:r>
        <w:rPr/>
        <w:t>Abstract</w:t>
      </w:r>
    </w:p>
    <w:p>
      <w:pPr>
        <w:pStyle w:val="BodyText"/>
        <w:spacing w:line="259" w:lineRule="auto" w:before="180"/>
        <w:ind w:left="112" w:right="113"/>
        <w:jc w:val="both"/>
      </w:pPr>
      <w:r>
        <w:rPr/>
        <w:t>Government subsidies directed to particular groups of farmers, selected producers or selected geographical areas have their particular effect on those areas but really do not change tendencies on a complete sector. That is, sectorial programs have a systemic effect and particular programs have a non systemic effect affecting only products or regions but never the complete sector. The main variable that captures this effect is the per capita Gross National Product, which is an approximation to aggregated product over economical active population. It was found that the main support program to producers in Mexico has changed the structure in the use of production resources such as labour, capital, technology, land and water particularly among producers of medium and high incomes and with a moderate or low impact among those producers with low incomes.</w:t>
      </w:r>
    </w:p>
    <w:p>
      <w:pPr>
        <w:pStyle w:val="Heading5"/>
        <w:numPr>
          <w:ilvl w:val="0"/>
          <w:numId w:val="2"/>
        </w:numPr>
        <w:tabs>
          <w:tab w:pos="414" w:val="left" w:leader="none"/>
        </w:tabs>
        <w:spacing w:line="240" w:lineRule="auto" w:before="166" w:after="0"/>
        <w:ind w:left="413" w:right="0" w:hanging="301"/>
        <w:jc w:val="both"/>
      </w:pPr>
      <w:r>
        <w:rPr/>
        <w:t>Introducción</w:t>
      </w:r>
    </w:p>
    <w:p>
      <w:pPr>
        <w:pStyle w:val="BodyText"/>
        <w:spacing w:line="259" w:lineRule="auto" w:before="180"/>
        <w:ind w:left="112" w:right="112"/>
        <w:jc w:val="both"/>
      </w:pPr>
      <w:r>
        <w:rPr/>
        <w:t>Este trabajo analiza desde principios de la década de los ochenta cuando hubo una transferencia de recursos importantes al sector agropecuario y rural, mediante el Sistema Alimentario Mexicano (SAM) el cual prácticamente termina al finalizar el período presidencial de 1976 a 1982. Desde entonces hasta la puesta en operación del PROCAMPO en 1994 y posteriormente de Alianza para el Campo, no se habían tenido programas de apoyo de magnitud suficiente para impactar y cambiar las tendencias del sector con respecto a productividad, conversión productiva, igualdad del ingreso y eficiencia económica.</w:t>
      </w:r>
    </w:p>
    <w:p>
      <w:pPr>
        <w:pStyle w:val="BodyText"/>
        <w:spacing w:line="259" w:lineRule="auto" w:before="163"/>
        <w:ind w:left="112" w:right="113" w:firstLine="708"/>
        <w:jc w:val="both"/>
      </w:pPr>
      <w:r>
        <w:rPr/>
        <w:t>Los programas dirigidos a productos particulares, grupos seleccionados de productores o regiones específicas, tienen su impacto a ese nivel particular, pero difícilmente cambian las tendencias sectoriales. Esto es, los programas generales y grandes tienen un efecto sistémico y los particulares tienen un efecto no sistémico. La variable que concentra y resume todo lo que afecta al sector agropecuario y forestal es el producto per cápita, que se mide como el PIB Agropecuario (que es una aproximación del valor agregado), entre la Población Económicamente Activa (que son las personas que pueden trabajar en el sector, la mano de obra disponible). A esta variable se le llamará “y”.</w:t>
      </w:r>
    </w:p>
    <w:p>
      <w:pPr>
        <w:pStyle w:val="BodyText"/>
        <w:spacing w:line="259" w:lineRule="auto" w:before="163"/>
        <w:ind w:left="112" w:right="111" w:firstLine="708"/>
        <w:jc w:val="both"/>
      </w:pPr>
      <w:r>
        <w:rPr/>
        <w:t>De 1980 a 1986, se observa en el Producto Interno Bruto Agropecuario per cápita los efectos  del SAM (1980-1982) y de otros programas, los cuales tuvieron un efecto positivo en el sector, sin embargo, este efecto se fue diluyendo a lo largo de los años subsiguientes, provocando una tendencia negativa en el Producto Interno Bruto Agropecuario per cápita (“y”), es hasta 1995 cuando se frenó dicha tendencia negativa y empezó una recuperación, es decir una tendencia positiva lenta. Es posible que el Producto Interno Bruto Agropecuario per cápita del 2014, haya alcanzado el nivel que tuvo en 1980. La tendencia positiva se ha ido consolidando poco a poco, lo que se considera una tendencia positiva de lago</w:t>
      </w:r>
      <w:r>
        <w:rPr>
          <w:spacing w:val="-5"/>
        </w:rPr>
        <w:t> </w:t>
      </w:r>
      <w:r>
        <w:rPr/>
        <w:t>plazo.</w:t>
      </w:r>
    </w:p>
    <w:p>
      <w:pPr>
        <w:pStyle w:val="BodyText"/>
        <w:spacing w:line="259" w:lineRule="auto" w:before="164"/>
        <w:ind w:left="112" w:right="114" w:firstLine="708"/>
        <w:jc w:val="both"/>
      </w:pPr>
      <w:r>
        <w:rPr/>
        <w:t>Si se considera a la Población Económicamente Activa Agropecuaria (PEAA) para el periodo 1980-2014, se puede observar que las personas en posibilidades de trabajar en el sector han aumentado. Sin embargo, la medida de la PEAA es una de las menos consistentes que hay en los datos del  gobierno. Algunos autores han preferido usar la población ocupada, que desde los años cincuenta parece no cambiar y se ha mantenido en 5.5 millones de personas. Usando personas ocupadas, el Producto Interno Bruto Agropecuario per cápita parece crecer</w:t>
      </w:r>
      <w:r>
        <w:rPr>
          <w:spacing w:val="-17"/>
        </w:rPr>
        <w:t> </w:t>
      </w:r>
      <w:r>
        <w:rPr/>
        <w:t>constantemente.</w:t>
      </w:r>
    </w:p>
    <w:p>
      <w:pPr>
        <w:spacing w:after="0" w:line="259" w:lineRule="auto"/>
        <w:jc w:val="both"/>
        <w:sectPr>
          <w:pgSz w:w="12240" w:h="15840"/>
          <w:pgMar w:header="731" w:footer="0" w:top="960" w:bottom="280" w:left="1020" w:right="1020"/>
        </w:sectPr>
      </w:pPr>
    </w:p>
    <w:p>
      <w:pPr>
        <w:pStyle w:val="BodyText"/>
        <w:spacing w:line="259" w:lineRule="auto" w:before="156"/>
        <w:ind w:left="112" w:right="111" w:firstLine="708"/>
        <w:jc w:val="both"/>
      </w:pPr>
      <w:r>
        <w:rPr/>
        <w:t>Las estadísticas de la PEAA tienen altibajos que sería difícil tratar de explicar, por lo que se “adecuó” este dato a una serie histórica, lo cual arroja una PEAA con tendencia creciente. Si la PEAA tiene una tendencia a crecer y el PIB agropecuario a partir de 1995 cambia de una tendencia negativa a una positiva, entonces esto sólo se puede deber a un aumento de la superficie cosechada per cápita (cosa que no se ha dado), por lo que la tendencia positiva del PIB agropecuario se debe al aumento en el rendimiento y al aumento en la conversión</w:t>
      </w:r>
      <w:r>
        <w:rPr>
          <w:spacing w:val="-8"/>
        </w:rPr>
        <w:t> </w:t>
      </w:r>
      <w:r>
        <w:rPr/>
        <w:t>productiva.</w:t>
      </w:r>
    </w:p>
    <w:p>
      <w:pPr>
        <w:pStyle w:val="Heading5"/>
        <w:numPr>
          <w:ilvl w:val="1"/>
          <w:numId w:val="2"/>
        </w:numPr>
        <w:tabs>
          <w:tab w:pos="594" w:val="left" w:leader="none"/>
        </w:tabs>
        <w:spacing w:line="240" w:lineRule="auto" w:before="166" w:after="0"/>
        <w:ind w:left="112" w:right="0" w:firstLine="0"/>
        <w:jc w:val="both"/>
      </w:pPr>
      <w:r>
        <w:rPr/>
        <w:t>Metodología</w:t>
      </w:r>
    </w:p>
    <w:p>
      <w:pPr>
        <w:pStyle w:val="BodyText"/>
        <w:spacing w:line="259" w:lineRule="auto" w:before="177"/>
        <w:ind w:left="112" w:right="116"/>
        <w:jc w:val="both"/>
      </w:pPr>
      <w:r>
        <w:rPr/>
        <w:t>El indicador que permite conocer si el sector está actuando más eficientemente en la asignación de sus recursos, que consiste en medir si se produce más de lo que más vale y menos de lo que menos vale, se mide por el efecto composición, que se denominará Ω. En la actualidad se refiere a como la conversión productiva se da. También, es cierto que si se aumenta el rendimiento por hectárea, ceteris paribus, el producto per cápita debe crecer. Por lo que se medirá la tendencia del rendimiento “ψ”, como tercer indicador.</w:t>
      </w:r>
    </w:p>
    <w:p>
      <w:pPr>
        <w:pStyle w:val="BodyText"/>
        <w:spacing w:line="259" w:lineRule="auto" w:before="163"/>
        <w:ind w:left="112" w:right="118" w:firstLine="708"/>
        <w:jc w:val="both"/>
      </w:pPr>
      <w:r>
        <w:rPr/>
        <w:t>El cuarto indicador consiste en medir si los diferentes productores o regiones tienen una tendencia a cerrar sus brechas productivas (su desigualdad), y de ser así el tiempo que llevará cerrarla en forma aproximada. En la literatura especializada se mide esta tendencia comparando el producto per cápita de diferentes años y de diferentes regiones. En este trabajo se medirá esta tendencia a cerrar brechas, comparando los productos per cápita por estado, la variable se denominará “d”.</w:t>
      </w:r>
    </w:p>
    <w:p>
      <w:pPr>
        <w:pStyle w:val="BodyText"/>
        <w:spacing w:line="259" w:lineRule="auto" w:before="163"/>
        <w:ind w:left="112" w:right="117" w:firstLine="708"/>
        <w:jc w:val="both"/>
      </w:pPr>
      <w:r>
        <w:rPr/>
        <w:t>Así, el quinto indicador a nivel nacional para el sector mide el efecto multiplicador de los  apoyos otorgados. Esto se puede hacer usando progresiones y calculando los multiplicadores y la participación porcentual de los apoyos en la producción per cápita. Lo importante de este indicador es que mide por peso que se aporta, cuántos pesos aumentan el producto per cápita y otras variables.</w:t>
      </w:r>
    </w:p>
    <w:p>
      <w:pPr>
        <w:pStyle w:val="BodyText"/>
        <w:spacing w:line="259" w:lineRule="auto" w:before="164"/>
        <w:ind w:left="112" w:right="115" w:firstLine="708"/>
        <w:jc w:val="both"/>
      </w:pPr>
      <w:r>
        <w:rPr/>
        <w:t>Como un punto adicional se puede agregar un sexto indicador, que consiste en medir la diferencia actual entre el producto marginal del trabajo y el capital con respecto al salario “w” y la tasa de crecimiento del rendimiento “ψ”. Lo anterior solo es para determinar qué tan lejos puede estar el sector de ser un mercado económicamente eficiente.</w:t>
      </w:r>
    </w:p>
    <w:p>
      <w:pPr>
        <w:pStyle w:val="Heading5"/>
        <w:numPr>
          <w:ilvl w:val="1"/>
          <w:numId w:val="2"/>
        </w:numPr>
        <w:tabs>
          <w:tab w:pos="594" w:val="left" w:leader="none"/>
        </w:tabs>
        <w:spacing w:line="240" w:lineRule="auto" w:before="166" w:after="0"/>
        <w:ind w:left="593" w:right="0" w:hanging="481"/>
        <w:jc w:val="both"/>
      </w:pPr>
      <w:r>
        <w:rPr/>
        <w:t>Resultados</w:t>
      </w:r>
    </w:p>
    <w:p>
      <w:pPr>
        <w:pStyle w:val="ListParagraph"/>
        <w:numPr>
          <w:ilvl w:val="1"/>
          <w:numId w:val="2"/>
        </w:numPr>
        <w:tabs>
          <w:tab w:pos="594" w:val="left" w:leader="none"/>
        </w:tabs>
        <w:spacing w:line="240" w:lineRule="auto" w:before="182" w:after="0"/>
        <w:ind w:left="593" w:right="0" w:hanging="481"/>
        <w:jc w:val="both"/>
        <w:rPr>
          <w:b/>
          <w:sz w:val="24"/>
        </w:rPr>
      </w:pPr>
      <w:r>
        <w:rPr>
          <w:b/>
          <w:sz w:val="24"/>
        </w:rPr>
        <w:t>Indicador de la conversión</w:t>
      </w:r>
      <w:r>
        <w:rPr>
          <w:b/>
          <w:spacing w:val="-6"/>
          <w:sz w:val="24"/>
        </w:rPr>
        <w:t> </w:t>
      </w:r>
      <w:r>
        <w:rPr>
          <w:b/>
          <w:sz w:val="24"/>
        </w:rPr>
        <w:t>productiva</w:t>
      </w:r>
    </w:p>
    <w:p>
      <w:pPr>
        <w:pStyle w:val="BodyText"/>
        <w:spacing w:before="175"/>
        <w:ind w:left="112"/>
        <w:jc w:val="both"/>
      </w:pPr>
      <w:r>
        <w:rPr/>
        <w:t>El valor de la producción de cualquier producto es igual a:</w:t>
      </w:r>
    </w:p>
    <w:p>
      <w:pPr>
        <w:pStyle w:val="ListParagraph"/>
        <w:numPr>
          <w:ilvl w:val="2"/>
          <w:numId w:val="2"/>
        </w:numPr>
        <w:tabs>
          <w:tab w:pos="1076" w:val="left" w:leader="none"/>
        </w:tabs>
        <w:spacing w:line="240" w:lineRule="auto" w:before="160" w:after="0"/>
        <w:ind w:left="1075" w:right="0" w:hanging="254"/>
        <w:jc w:val="left"/>
        <w:rPr>
          <w:rFonts w:ascii="Arial" w:hAnsi="Arial"/>
          <w:i/>
          <w:sz w:val="25"/>
        </w:rPr>
      </w:pPr>
      <w:r>
        <w:rPr>
          <w:rFonts w:ascii="Arial" w:hAnsi="Arial"/>
          <w:i/>
          <w:spacing w:val="-9"/>
          <w:w w:val="105"/>
          <w:sz w:val="25"/>
        </w:rPr>
        <w:t>VP </w:t>
      </w:r>
      <w:r>
        <w:rPr>
          <w:rFonts w:ascii="Symbol" w:hAnsi="Symbol"/>
          <w:w w:val="105"/>
          <w:sz w:val="25"/>
        </w:rPr>
        <w:t></w:t>
      </w:r>
      <w:r>
        <w:rPr>
          <w:w w:val="105"/>
          <w:sz w:val="25"/>
        </w:rPr>
        <w:t> </w:t>
      </w:r>
      <w:r>
        <w:rPr>
          <w:rFonts w:ascii="Arial" w:hAnsi="Arial"/>
          <w:i/>
          <w:w w:val="105"/>
          <w:sz w:val="25"/>
        </w:rPr>
        <w:t>P x</w:t>
      </w:r>
      <w:r>
        <w:rPr>
          <w:rFonts w:ascii="Arial" w:hAnsi="Arial"/>
          <w:i/>
          <w:spacing w:val="-19"/>
          <w:w w:val="105"/>
          <w:sz w:val="25"/>
        </w:rPr>
        <w:t> </w:t>
      </w:r>
      <w:r>
        <w:rPr>
          <w:rFonts w:ascii="Arial" w:hAnsi="Arial"/>
          <w:i/>
          <w:w w:val="105"/>
          <w:sz w:val="25"/>
        </w:rPr>
        <w:t>Q</w:t>
      </w:r>
    </w:p>
    <w:p>
      <w:pPr>
        <w:pStyle w:val="BodyText"/>
        <w:spacing w:before="184"/>
        <w:ind w:left="821" w:right="7378"/>
      </w:pPr>
      <w:r>
        <w:rPr/>
        <w:t>Donde:</w:t>
      </w:r>
    </w:p>
    <w:p>
      <w:pPr>
        <w:pStyle w:val="BodyText"/>
        <w:spacing w:line="398" w:lineRule="auto" w:before="182"/>
        <w:ind w:left="821" w:right="6577"/>
      </w:pPr>
      <w:r>
        <w:rPr/>
        <w:t>VP = Valor de la Producción P= Precio.</w:t>
      </w:r>
    </w:p>
    <w:p>
      <w:pPr>
        <w:pStyle w:val="BodyText"/>
        <w:spacing w:before="4"/>
        <w:ind w:left="821" w:right="6551"/>
      </w:pPr>
      <w:r>
        <w:rPr/>
        <w:t>Q= Cantidad producida.</w:t>
      </w:r>
    </w:p>
    <w:p>
      <w:pPr>
        <w:pStyle w:val="ListParagraph"/>
        <w:numPr>
          <w:ilvl w:val="2"/>
          <w:numId w:val="2"/>
        </w:numPr>
        <w:tabs>
          <w:tab w:pos="1099" w:val="left" w:leader="none"/>
        </w:tabs>
        <w:spacing w:line="240" w:lineRule="auto" w:before="159" w:after="0"/>
        <w:ind w:left="1098" w:right="0" w:hanging="277"/>
        <w:jc w:val="left"/>
        <w:rPr>
          <w:rFonts w:ascii="Arial" w:hAnsi="Arial"/>
          <w:i/>
          <w:sz w:val="25"/>
        </w:rPr>
      </w:pPr>
      <w:r>
        <w:rPr>
          <w:rFonts w:ascii="Arial" w:hAnsi="Arial"/>
          <w:i/>
          <w:sz w:val="25"/>
        </w:rPr>
        <w:t>Q </w:t>
      </w:r>
      <w:r>
        <w:rPr>
          <w:rFonts w:ascii="Symbol" w:hAnsi="Symbol"/>
          <w:sz w:val="25"/>
        </w:rPr>
        <w:t></w:t>
      </w:r>
      <w:r>
        <w:rPr>
          <w:sz w:val="25"/>
        </w:rPr>
        <w:t> </w:t>
      </w:r>
      <w:r>
        <w:rPr>
          <w:rFonts w:ascii="Arial" w:hAnsi="Arial"/>
          <w:i/>
          <w:sz w:val="25"/>
        </w:rPr>
        <w:t>S x</w:t>
      </w:r>
      <w:r>
        <w:rPr>
          <w:rFonts w:ascii="Arial" w:hAnsi="Arial"/>
          <w:i/>
          <w:spacing w:val="1"/>
          <w:sz w:val="25"/>
        </w:rPr>
        <w:t> </w:t>
      </w:r>
      <w:r>
        <w:rPr>
          <w:rFonts w:ascii="Arial" w:hAnsi="Arial"/>
          <w:i/>
          <w:sz w:val="25"/>
        </w:rPr>
        <w:t>R</w:t>
      </w:r>
    </w:p>
    <w:p>
      <w:pPr>
        <w:pStyle w:val="BodyText"/>
        <w:spacing w:before="184"/>
        <w:ind w:left="821" w:right="7378"/>
      </w:pPr>
      <w:r>
        <w:rPr/>
        <w:t>Donde:</w:t>
      </w:r>
    </w:p>
    <w:p>
      <w:pPr>
        <w:spacing w:after="0"/>
        <w:sectPr>
          <w:pgSz w:w="12240" w:h="15840"/>
          <w:pgMar w:header="731" w:footer="0" w:top="960" w:bottom="280" w:left="1020" w:right="1020"/>
        </w:sectPr>
      </w:pPr>
    </w:p>
    <w:p>
      <w:pPr>
        <w:pStyle w:val="BodyText"/>
        <w:spacing w:before="3"/>
        <w:rPr>
          <w:sz w:val="10"/>
        </w:rPr>
      </w:pPr>
    </w:p>
    <w:p>
      <w:pPr>
        <w:pStyle w:val="BodyText"/>
        <w:spacing w:before="70"/>
        <w:ind w:left="821"/>
      </w:pPr>
      <w:r>
        <w:rPr/>
        <w:t>R = Rendimiento</w:t>
      </w:r>
    </w:p>
    <w:p>
      <w:pPr>
        <w:pStyle w:val="BodyText"/>
        <w:spacing w:before="182"/>
        <w:ind w:left="821"/>
      </w:pPr>
      <w:r>
        <w:rPr/>
        <w:t>Así, agregando varios o todos los productos, el valor de la producción total será:</w:t>
      </w:r>
    </w:p>
    <w:p>
      <w:pPr>
        <w:pStyle w:val="BodyText"/>
        <w:spacing w:before="7"/>
        <w:rPr>
          <w:sz w:val="11"/>
        </w:rPr>
      </w:pPr>
    </w:p>
    <w:p>
      <w:pPr>
        <w:spacing w:after="0"/>
        <w:rPr>
          <w:sz w:val="11"/>
        </w:rPr>
        <w:sectPr>
          <w:headerReference w:type="default" r:id="rId8"/>
          <w:pgSz w:w="12240" w:h="15840"/>
          <w:pgMar w:header="731" w:footer="0" w:top="1380" w:bottom="280" w:left="1020" w:right="860"/>
          <w:pgNumType w:start="351"/>
        </w:sectPr>
      </w:pPr>
    </w:p>
    <w:p>
      <w:pPr>
        <w:spacing w:before="196"/>
        <w:ind w:left="827" w:right="0" w:firstLine="0"/>
        <w:jc w:val="left"/>
        <w:rPr>
          <w:rFonts w:ascii="Arial"/>
          <w:i/>
          <w:sz w:val="23"/>
        </w:rPr>
      </w:pPr>
      <w:r>
        <w:rPr>
          <w:rFonts w:ascii="Arial"/>
          <w:i/>
          <w:spacing w:val="-8"/>
          <w:sz w:val="23"/>
        </w:rPr>
        <w:t>VPT</w:t>
      </w:r>
    </w:p>
    <w:p>
      <w:pPr>
        <w:spacing w:line="132" w:lineRule="exact" w:before="81"/>
        <w:ind w:left="339" w:right="7762" w:firstLine="0"/>
        <w:jc w:val="left"/>
        <w:rPr>
          <w:rFonts w:ascii="Arial"/>
          <w:i/>
          <w:sz w:val="14"/>
        </w:rPr>
      </w:pPr>
      <w:r>
        <w:rPr/>
        <w:br w:type="column"/>
      </w:r>
      <w:r>
        <w:rPr>
          <w:rFonts w:ascii="Arial"/>
          <w:i/>
          <w:sz w:val="14"/>
        </w:rPr>
        <w:t>n</w:t>
      </w:r>
    </w:p>
    <w:p>
      <w:pPr>
        <w:spacing w:line="199" w:lineRule="auto" w:before="14"/>
        <w:ind w:left="290" w:right="7762" w:hanging="204"/>
        <w:jc w:val="left"/>
        <w:rPr>
          <w:rFonts w:ascii="Arial" w:hAnsi="Arial"/>
          <w:sz w:val="14"/>
        </w:rPr>
      </w:pPr>
      <w:r>
        <w:rPr>
          <w:rFonts w:ascii="Symbol" w:hAnsi="Symbol"/>
          <w:position w:val="5"/>
          <w:sz w:val="23"/>
        </w:rPr>
        <w:t></w:t>
      </w:r>
      <w:r>
        <w:rPr>
          <w:position w:val="5"/>
          <w:sz w:val="23"/>
        </w:rPr>
        <w:t> </w:t>
      </w:r>
      <w:r>
        <w:rPr>
          <w:rFonts w:ascii="Symbol" w:hAnsi="Symbol"/>
          <w:position w:val="3"/>
          <w:sz w:val="25"/>
        </w:rPr>
        <w:t></w:t>
      </w:r>
      <w:r>
        <w:rPr>
          <w:position w:val="3"/>
          <w:sz w:val="25"/>
        </w:rPr>
        <w:t> </w:t>
      </w:r>
      <w:r>
        <w:rPr>
          <w:rFonts w:ascii="Arial" w:hAnsi="Arial"/>
          <w:i/>
          <w:position w:val="1"/>
          <w:sz w:val="25"/>
        </w:rPr>
        <w:t>P</w:t>
      </w:r>
      <w:r>
        <w:rPr>
          <w:rFonts w:ascii="Arial" w:hAnsi="Arial"/>
          <w:i/>
          <w:sz w:val="14"/>
        </w:rPr>
        <w:t>i </w:t>
      </w:r>
      <w:r>
        <w:rPr>
          <w:rFonts w:ascii="Arial" w:hAnsi="Arial"/>
          <w:i/>
          <w:position w:val="1"/>
          <w:sz w:val="25"/>
        </w:rPr>
        <w:t>S</w:t>
      </w:r>
      <w:r>
        <w:rPr>
          <w:rFonts w:ascii="Arial" w:hAnsi="Arial"/>
          <w:i/>
          <w:sz w:val="14"/>
        </w:rPr>
        <w:t>i </w:t>
      </w:r>
      <w:r>
        <w:rPr>
          <w:rFonts w:ascii="Arial" w:hAnsi="Arial"/>
          <w:i/>
          <w:position w:val="1"/>
          <w:sz w:val="25"/>
        </w:rPr>
        <w:t>R</w:t>
      </w:r>
      <w:r>
        <w:rPr>
          <w:rFonts w:ascii="Arial" w:hAnsi="Arial"/>
          <w:i/>
          <w:sz w:val="14"/>
        </w:rPr>
        <w:t>i </w:t>
      </w:r>
      <w:r>
        <w:rPr>
          <w:rFonts w:ascii="Arial" w:hAnsi="Arial"/>
          <w:i/>
          <w:sz w:val="14"/>
        </w:rPr>
        <w:t>i </w:t>
      </w:r>
      <w:r>
        <w:rPr>
          <w:rFonts w:ascii="Symbol" w:hAnsi="Symbol"/>
          <w:sz w:val="14"/>
        </w:rPr>
        <w:t></w:t>
      </w:r>
      <w:r>
        <w:rPr>
          <w:rFonts w:ascii="Arial" w:hAnsi="Arial"/>
          <w:sz w:val="14"/>
        </w:rPr>
        <w:t>1</w:t>
      </w:r>
    </w:p>
    <w:p>
      <w:pPr>
        <w:spacing w:after="0" w:line="199" w:lineRule="auto"/>
        <w:jc w:val="left"/>
        <w:rPr>
          <w:rFonts w:ascii="Arial" w:hAnsi="Arial"/>
          <w:sz w:val="14"/>
        </w:rPr>
        <w:sectPr>
          <w:type w:val="continuous"/>
          <w:pgSz w:w="12240" w:h="15840"/>
          <w:pgMar w:top="0" w:bottom="0" w:left="1020" w:right="860"/>
          <w:cols w:num="2" w:equalWidth="0">
            <w:col w:w="1272" w:space="40"/>
            <w:col w:w="9048"/>
          </w:cols>
        </w:sectPr>
      </w:pPr>
    </w:p>
    <w:p>
      <w:pPr>
        <w:pStyle w:val="BodyText"/>
        <w:spacing w:before="11"/>
        <w:rPr>
          <w:rFonts w:ascii="Arial"/>
          <w:sz w:val="11"/>
        </w:rPr>
      </w:pPr>
    </w:p>
    <w:p>
      <w:pPr>
        <w:pStyle w:val="BodyText"/>
        <w:spacing w:before="69"/>
        <w:ind w:left="821"/>
      </w:pPr>
      <w:r>
        <w:rPr/>
        <w:t>Así, agregando varios o todos los productos, el valor de la producción total será:</w:t>
      </w:r>
    </w:p>
    <w:p>
      <w:pPr>
        <w:pStyle w:val="BodyText"/>
        <w:spacing w:before="4"/>
        <w:rPr>
          <w:sz w:val="11"/>
        </w:rPr>
      </w:pPr>
    </w:p>
    <w:p>
      <w:pPr>
        <w:spacing w:after="0"/>
        <w:rPr>
          <w:sz w:val="11"/>
        </w:rPr>
        <w:sectPr>
          <w:type w:val="continuous"/>
          <w:pgSz w:w="12240" w:h="15840"/>
          <w:pgMar w:top="0" w:bottom="0" w:left="1020" w:right="860"/>
        </w:sectPr>
      </w:pPr>
    </w:p>
    <w:p>
      <w:pPr>
        <w:spacing w:before="188"/>
        <w:ind w:left="887" w:right="-18" w:firstLine="0"/>
        <w:jc w:val="left"/>
        <w:rPr>
          <w:rFonts w:ascii="Arial"/>
          <w:i/>
          <w:sz w:val="24"/>
        </w:rPr>
      </w:pPr>
      <w:r>
        <w:rPr>
          <w:rFonts w:ascii="Arial"/>
          <w:i/>
          <w:spacing w:val="-8"/>
          <w:sz w:val="24"/>
        </w:rPr>
        <w:t>VPT</w:t>
      </w:r>
    </w:p>
    <w:p>
      <w:pPr>
        <w:spacing w:line="128" w:lineRule="exact" w:before="82"/>
        <w:ind w:left="339" w:right="0" w:firstLine="0"/>
        <w:jc w:val="left"/>
        <w:rPr>
          <w:rFonts w:ascii="Arial"/>
          <w:i/>
          <w:sz w:val="14"/>
        </w:rPr>
      </w:pPr>
      <w:r>
        <w:rPr/>
        <w:br w:type="column"/>
      </w:r>
      <w:r>
        <w:rPr>
          <w:rFonts w:ascii="Arial"/>
          <w:i/>
          <w:sz w:val="14"/>
        </w:rPr>
        <w:t>n</w:t>
      </w:r>
    </w:p>
    <w:p>
      <w:pPr>
        <w:spacing w:line="199" w:lineRule="auto" w:before="11"/>
        <w:ind w:left="290" w:right="7714" w:hanging="204"/>
        <w:jc w:val="left"/>
        <w:rPr>
          <w:rFonts w:ascii="Arial" w:hAnsi="Arial"/>
          <w:sz w:val="14"/>
        </w:rPr>
      </w:pPr>
      <w:r>
        <w:rPr>
          <w:rFonts w:ascii="Symbol" w:hAnsi="Symbol"/>
          <w:position w:val="5"/>
          <w:sz w:val="24"/>
        </w:rPr>
        <w:t></w:t>
      </w:r>
      <w:r>
        <w:rPr>
          <w:position w:val="5"/>
          <w:sz w:val="24"/>
        </w:rPr>
        <w:t> </w:t>
      </w:r>
      <w:r>
        <w:rPr>
          <w:rFonts w:ascii="Symbol" w:hAnsi="Symbol"/>
          <w:position w:val="3"/>
          <w:sz w:val="26"/>
        </w:rPr>
        <w:t></w:t>
      </w:r>
      <w:r>
        <w:rPr>
          <w:position w:val="3"/>
          <w:sz w:val="26"/>
        </w:rPr>
        <w:t> </w:t>
      </w:r>
      <w:r>
        <w:rPr>
          <w:rFonts w:ascii="Arial" w:hAnsi="Arial"/>
          <w:i/>
          <w:position w:val="1"/>
          <w:sz w:val="26"/>
        </w:rPr>
        <w:t>P</w:t>
      </w:r>
      <w:r>
        <w:rPr>
          <w:rFonts w:ascii="Arial" w:hAnsi="Arial"/>
          <w:i/>
          <w:sz w:val="14"/>
        </w:rPr>
        <w:t>i </w:t>
      </w:r>
      <w:r>
        <w:rPr>
          <w:rFonts w:ascii="Arial" w:hAnsi="Arial"/>
          <w:i/>
          <w:position w:val="1"/>
          <w:sz w:val="26"/>
        </w:rPr>
        <w:t>S</w:t>
      </w:r>
      <w:r>
        <w:rPr>
          <w:rFonts w:ascii="Arial" w:hAnsi="Arial"/>
          <w:i/>
          <w:sz w:val="14"/>
        </w:rPr>
        <w:t>i </w:t>
      </w:r>
      <w:r>
        <w:rPr>
          <w:rFonts w:ascii="Arial" w:hAnsi="Arial"/>
          <w:i/>
          <w:position w:val="1"/>
          <w:sz w:val="26"/>
        </w:rPr>
        <w:t>R</w:t>
      </w:r>
      <w:r>
        <w:rPr>
          <w:rFonts w:ascii="Arial" w:hAnsi="Arial"/>
          <w:i/>
          <w:sz w:val="14"/>
        </w:rPr>
        <w:t>i </w:t>
      </w:r>
      <w:r>
        <w:rPr>
          <w:rFonts w:ascii="Arial" w:hAnsi="Arial"/>
          <w:i/>
          <w:sz w:val="14"/>
        </w:rPr>
        <w:t>i </w:t>
      </w:r>
      <w:r>
        <w:rPr>
          <w:rFonts w:ascii="Symbol" w:hAnsi="Symbol"/>
          <w:sz w:val="14"/>
        </w:rPr>
        <w:t></w:t>
      </w:r>
      <w:r>
        <w:rPr>
          <w:rFonts w:ascii="Arial" w:hAnsi="Arial"/>
          <w:sz w:val="14"/>
        </w:rPr>
        <w:t>1</w:t>
      </w:r>
    </w:p>
    <w:p>
      <w:pPr>
        <w:spacing w:after="0" w:line="199" w:lineRule="auto"/>
        <w:jc w:val="left"/>
        <w:rPr>
          <w:rFonts w:ascii="Arial" w:hAnsi="Arial"/>
          <w:sz w:val="14"/>
        </w:rPr>
        <w:sectPr>
          <w:type w:val="continuous"/>
          <w:pgSz w:w="12240" w:h="15840"/>
          <w:pgMar w:top="0" w:bottom="0" w:left="1020" w:right="860"/>
          <w:cols w:num="2" w:equalWidth="0">
            <w:col w:w="1332" w:space="40"/>
            <w:col w:w="8988"/>
          </w:cols>
        </w:sectPr>
      </w:pPr>
    </w:p>
    <w:p>
      <w:pPr>
        <w:pStyle w:val="BodyText"/>
        <w:spacing w:before="144"/>
        <w:ind w:left="821"/>
      </w:pPr>
      <w:r>
        <w:rPr/>
        <w:t>En tasas de crecimiento será:</w:t>
      </w:r>
    </w:p>
    <w:p>
      <w:pPr>
        <w:pStyle w:val="BodyText"/>
        <w:spacing w:before="8"/>
        <w:rPr>
          <w:sz w:val="10"/>
        </w:rPr>
      </w:pPr>
    </w:p>
    <w:p>
      <w:pPr>
        <w:spacing w:after="0"/>
        <w:rPr>
          <w:sz w:val="10"/>
        </w:rPr>
        <w:sectPr>
          <w:type w:val="continuous"/>
          <w:pgSz w:w="12240" w:h="15840"/>
          <w:pgMar w:top="0" w:bottom="0" w:left="1020" w:right="860"/>
        </w:sectPr>
      </w:pPr>
    </w:p>
    <w:p>
      <w:pPr>
        <w:spacing w:line="109" w:lineRule="exact" w:before="87"/>
        <w:ind w:left="0" w:right="274" w:firstLine="0"/>
        <w:jc w:val="right"/>
        <w:rPr>
          <w:rFonts w:ascii="Arial"/>
          <w:i/>
          <w:sz w:val="12"/>
        </w:rPr>
      </w:pPr>
      <w:r>
        <w:rPr>
          <w:rFonts w:ascii="Arial"/>
          <w:i/>
          <w:w w:val="102"/>
          <w:sz w:val="12"/>
        </w:rPr>
        <w:t>n</w:t>
      </w:r>
    </w:p>
    <w:p>
      <w:pPr>
        <w:tabs>
          <w:tab w:pos="1817" w:val="left" w:leader="none"/>
        </w:tabs>
        <w:spacing w:line="381" w:lineRule="exact" w:before="0"/>
        <w:ind w:left="902" w:right="0" w:firstLine="0"/>
        <w:jc w:val="left"/>
        <w:rPr>
          <w:rFonts w:ascii="Arial" w:hAnsi="Arial"/>
          <w:i/>
          <w:sz w:val="12"/>
        </w:rPr>
      </w:pPr>
      <w:r>
        <w:rPr/>
        <w:pict>
          <v:line style="position:absolute;mso-position-horizontal-relative:page;mso-position-vertical-relative:paragraph;z-index:-46096" from="141.550201pt,19.129875pt" to="206.586034pt,19.129875pt" stroked="true" strokeweight=".121895pt" strokecolor="#000000">
            <w10:wrap type="none"/>
          </v:line>
        </w:pict>
      </w:r>
      <w:r>
        <w:rPr/>
        <w:pict>
          <v:shape style="position:absolute;margin-left:119.862289pt;margin-top:12.139719pt;width:30.9pt;height:11.15pt;mso-position-horizontal-relative:page;mso-position-vertical-relative:paragraph;z-index:-46024" type="#_x0000_t202" filled="false" stroked="false">
            <v:textbox inset="0,0,0,0">
              <w:txbxContent>
                <w:p>
                  <w:pPr>
                    <w:spacing w:line="223" w:lineRule="exact" w:before="0"/>
                    <w:ind w:left="0" w:right="-16" w:firstLine="0"/>
                    <w:jc w:val="left"/>
                    <w:rPr>
                      <w:rFonts w:ascii="Arial" w:hAnsi="Arial"/>
                      <w:sz w:val="12"/>
                    </w:rPr>
                  </w:pPr>
                  <w:r>
                    <w:rPr>
                      <w:rFonts w:ascii="Arial" w:hAnsi="Arial"/>
                      <w:i/>
                      <w:sz w:val="12"/>
                      <w:u w:val="single"/>
                    </w:rPr>
                    <w:t>t  </w:t>
                  </w:r>
                  <w:r>
                    <w:rPr>
                      <w:rFonts w:ascii="Arial" w:hAnsi="Arial"/>
                      <w:sz w:val="12"/>
                      <w:u w:val="single"/>
                    </w:rPr>
                    <w:t>1  </w:t>
                  </w:r>
                  <w:r>
                    <w:rPr>
                      <w:rFonts w:ascii="Symbol" w:hAnsi="Symbol"/>
                      <w:position w:val="-7"/>
                      <w:sz w:val="21"/>
                    </w:rPr>
                    <w:t></w:t>
                  </w:r>
                  <w:r>
                    <w:rPr>
                      <w:position w:val="-7"/>
                      <w:sz w:val="21"/>
                    </w:rPr>
                    <w:t>  </w:t>
                  </w:r>
                  <w:r>
                    <w:rPr>
                      <w:rFonts w:ascii="Arial" w:hAnsi="Arial"/>
                      <w:i/>
                      <w:sz w:val="12"/>
                    </w:rPr>
                    <w:t>i</w:t>
                  </w:r>
                  <w:r>
                    <w:rPr>
                      <w:rFonts w:ascii="Arial" w:hAnsi="Arial"/>
                      <w:i/>
                      <w:spacing w:val="-27"/>
                      <w:sz w:val="12"/>
                    </w:rPr>
                    <w:t> </w:t>
                  </w:r>
                  <w:r>
                    <w:rPr>
                      <w:rFonts w:ascii="Symbol" w:hAnsi="Symbol"/>
                      <w:spacing w:val="-3"/>
                      <w:sz w:val="12"/>
                    </w:rPr>
                    <w:t></w:t>
                  </w:r>
                  <w:r>
                    <w:rPr>
                      <w:rFonts w:ascii="Arial" w:hAnsi="Arial"/>
                      <w:spacing w:val="-3"/>
                      <w:sz w:val="12"/>
                    </w:rPr>
                    <w:t>1</w:t>
                  </w:r>
                </w:p>
              </w:txbxContent>
            </v:textbox>
            <w10:wrap type="none"/>
          </v:shape>
        </w:pict>
      </w:r>
      <w:r>
        <w:rPr>
          <w:rFonts w:ascii="Arial" w:hAnsi="Arial"/>
          <w:i/>
          <w:spacing w:val="-3"/>
          <w:position w:val="1"/>
          <w:sz w:val="23"/>
          <w:u w:val="single"/>
        </w:rPr>
        <w:t>VPT</w:t>
      </w:r>
      <w:r>
        <w:rPr>
          <w:rFonts w:ascii="Arial" w:hAnsi="Arial"/>
          <w:i/>
          <w:spacing w:val="22"/>
          <w:position w:val="1"/>
          <w:sz w:val="23"/>
          <w:u w:val="single"/>
        </w:rPr>
        <w:t> </w:t>
      </w:r>
      <w:r>
        <w:rPr>
          <w:rFonts w:ascii="Symbol" w:hAnsi="Symbol"/>
          <w:sz w:val="12"/>
          <w:u w:val="single"/>
        </w:rPr>
        <w:t></w:t>
      </w:r>
      <w:r>
        <w:rPr>
          <w:sz w:val="12"/>
        </w:rPr>
        <w:tab/>
      </w:r>
      <w:r>
        <w:rPr>
          <w:rFonts w:ascii="Symbol" w:hAnsi="Symbol"/>
          <w:position w:val="14"/>
          <w:sz w:val="23"/>
        </w:rPr>
        <w:t></w:t>
      </w:r>
      <w:r>
        <w:rPr>
          <w:spacing w:val="-28"/>
          <w:position w:val="14"/>
          <w:sz w:val="23"/>
        </w:rPr>
        <w:t> </w:t>
      </w:r>
      <w:r>
        <w:rPr>
          <w:rFonts w:ascii="Arial" w:hAnsi="Arial"/>
          <w:i/>
          <w:spacing w:val="7"/>
          <w:position w:val="12"/>
          <w:sz w:val="23"/>
        </w:rPr>
        <w:t>P</w:t>
      </w:r>
      <w:r>
        <w:rPr>
          <w:rFonts w:ascii="Arial" w:hAnsi="Arial"/>
          <w:i/>
          <w:spacing w:val="7"/>
          <w:position w:val="11"/>
          <w:sz w:val="12"/>
        </w:rPr>
        <w:t>i</w:t>
      </w:r>
    </w:p>
    <w:p>
      <w:pPr>
        <w:spacing w:line="54" w:lineRule="exact" w:before="7"/>
        <w:ind w:left="0" w:right="134" w:firstLine="0"/>
        <w:jc w:val="right"/>
        <w:rPr>
          <w:rFonts w:ascii="Arial"/>
          <w:i/>
          <w:sz w:val="12"/>
        </w:rPr>
      </w:pPr>
      <w:r>
        <w:rPr>
          <w:rFonts w:ascii="Arial"/>
          <w:i/>
          <w:w w:val="102"/>
          <w:sz w:val="12"/>
        </w:rPr>
        <w:t>n</w:t>
      </w:r>
    </w:p>
    <w:p>
      <w:pPr>
        <w:pStyle w:val="BodyText"/>
        <w:rPr>
          <w:rFonts w:ascii="Arial"/>
          <w:i/>
          <w:sz w:val="8"/>
        </w:rPr>
      </w:pPr>
      <w:r>
        <w:rPr/>
        <w:br w:type="column"/>
      </w:r>
      <w:r>
        <w:rPr>
          <w:rFonts w:ascii="Arial"/>
          <w:i/>
          <w:sz w:val="8"/>
        </w:rPr>
      </w:r>
    </w:p>
    <w:p>
      <w:pPr>
        <w:pStyle w:val="BodyText"/>
        <w:rPr>
          <w:rFonts w:ascii="Arial"/>
          <w:i/>
          <w:sz w:val="8"/>
        </w:rPr>
      </w:pPr>
    </w:p>
    <w:p>
      <w:pPr>
        <w:pStyle w:val="BodyText"/>
        <w:rPr>
          <w:rFonts w:ascii="Arial"/>
          <w:i/>
          <w:sz w:val="8"/>
        </w:rPr>
      </w:pPr>
    </w:p>
    <w:p>
      <w:pPr>
        <w:pStyle w:val="BodyText"/>
        <w:spacing w:before="6"/>
        <w:rPr>
          <w:rFonts w:ascii="Arial"/>
          <w:i/>
          <w:sz w:val="8"/>
        </w:rPr>
      </w:pPr>
    </w:p>
    <w:p>
      <w:pPr>
        <w:spacing w:before="0"/>
        <w:ind w:left="-35" w:right="-18" w:firstLine="0"/>
        <w:jc w:val="left"/>
        <w:rPr>
          <w:rFonts w:ascii="Arial" w:hAnsi="Arial"/>
          <w:sz w:val="8"/>
        </w:rPr>
      </w:pPr>
      <w:r>
        <w:rPr>
          <w:rFonts w:ascii="Arial" w:hAnsi="Arial"/>
          <w:i/>
          <w:w w:val="110"/>
          <w:sz w:val="8"/>
        </w:rPr>
        <w:t>t</w:t>
      </w:r>
      <w:r>
        <w:rPr>
          <w:rFonts w:ascii="Arial" w:hAnsi="Arial"/>
          <w:i/>
          <w:spacing w:val="-10"/>
          <w:w w:val="110"/>
          <w:sz w:val="8"/>
        </w:rPr>
        <w:t> </w:t>
      </w:r>
      <w:r>
        <w:rPr>
          <w:rFonts w:ascii="Symbol" w:hAnsi="Symbol"/>
          <w:w w:val="110"/>
          <w:sz w:val="8"/>
        </w:rPr>
        <w:t></w:t>
      </w:r>
      <w:r>
        <w:rPr>
          <w:rFonts w:ascii="Arial" w:hAnsi="Arial"/>
          <w:w w:val="110"/>
          <w:sz w:val="8"/>
        </w:rPr>
        <w:t>1</w:t>
      </w:r>
    </w:p>
    <w:p>
      <w:pPr>
        <w:pStyle w:val="BodyText"/>
        <w:rPr>
          <w:rFonts w:ascii="Arial"/>
          <w:sz w:val="8"/>
        </w:rPr>
      </w:pPr>
      <w:r>
        <w:rPr/>
        <w:br w:type="column"/>
      </w:r>
      <w:r>
        <w:rPr>
          <w:rFonts w:ascii="Arial"/>
          <w:sz w:val="8"/>
        </w:rPr>
      </w:r>
    </w:p>
    <w:p>
      <w:pPr>
        <w:pStyle w:val="BodyText"/>
        <w:rPr>
          <w:rFonts w:ascii="Arial"/>
          <w:sz w:val="8"/>
        </w:rPr>
      </w:pPr>
    </w:p>
    <w:p>
      <w:pPr>
        <w:pStyle w:val="BodyText"/>
        <w:rPr>
          <w:rFonts w:ascii="Arial"/>
          <w:sz w:val="8"/>
        </w:rPr>
      </w:pPr>
    </w:p>
    <w:p>
      <w:pPr>
        <w:pStyle w:val="BodyText"/>
        <w:spacing w:before="7"/>
        <w:rPr>
          <w:rFonts w:ascii="Arial"/>
          <w:sz w:val="8"/>
        </w:rPr>
      </w:pPr>
    </w:p>
    <w:p>
      <w:pPr>
        <w:spacing w:before="1"/>
        <w:ind w:left="183" w:right="-18" w:firstLine="0"/>
        <w:jc w:val="left"/>
        <w:rPr>
          <w:rFonts w:ascii="Arial" w:hAnsi="Arial"/>
          <w:sz w:val="8"/>
        </w:rPr>
      </w:pPr>
      <w:r>
        <w:rPr/>
        <w:pict>
          <v:shape style="position:absolute;margin-left:170.025635pt;margin-top:-7.368164pt;width:9.4pt;height:11.45pt;mso-position-horizontal-relative:page;mso-position-vertical-relative:paragraph;z-index:1384" type="#_x0000_t202" filled="false" stroked="false">
            <v:textbox inset="0,0,0,0">
              <w:txbxContent>
                <w:p>
                  <w:pPr>
                    <w:spacing w:line="228" w:lineRule="exact" w:before="0"/>
                    <w:ind w:left="0" w:right="-13" w:firstLine="0"/>
                    <w:jc w:val="left"/>
                    <w:rPr>
                      <w:rFonts w:ascii="Arial"/>
                      <w:i/>
                      <w:sz w:val="12"/>
                    </w:rPr>
                  </w:pPr>
                  <w:r>
                    <w:rPr>
                      <w:rFonts w:ascii="Arial"/>
                      <w:i/>
                      <w:position w:val="1"/>
                      <w:sz w:val="23"/>
                    </w:rPr>
                    <w:t>S</w:t>
                  </w:r>
                  <w:r>
                    <w:rPr>
                      <w:rFonts w:ascii="Arial"/>
                      <w:i/>
                      <w:sz w:val="12"/>
                    </w:rPr>
                    <w:t>i</w:t>
                  </w:r>
                </w:p>
              </w:txbxContent>
            </v:textbox>
            <w10:wrap type="none"/>
          </v:shape>
        </w:pict>
      </w:r>
      <w:r>
        <w:rPr>
          <w:rFonts w:ascii="Arial" w:hAnsi="Arial"/>
          <w:i/>
          <w:w w:val="110"/>
          <w:sz w:val="8"/>
        </w:rPr>
        <w:t>t</w:t>
      </w:r>
      <w:r>
        <w:rPr>
          <w:rFonts w:ascii="Arial" w:hAnsi="Arial"/>
          <w:i/>
          <w:spacing w:val="-10"/>
          <w:w w:val="110"/>
          <w:sz w:val="8"/>
        </w:rPr>
        <w:t> </w:t>
      </w:r>
      <w:r>
        <w:rPr>
          <w:rFonts w:ascii="Symbol" w:hAnsi="Symbol"/>
          <w:w w:val="110"/>
          <w:sz w:val="8"/>
        </w:rPr>
        <w:t></w:t>
      </w:r>
      <w:r>
        <w:rPr>
          <w:rFonts w:ascii="Arial" w:hAnsi="Arial"/>
          <w:w w:val="110"/>
          <w:sz w:val="8"/>
        </w:rPr>
        <w:t>1</w:t>
      </w:r>
    </w:p>
    <w:p>
      <w:pPr>
        <w:pStyle w:val="BodyText"/>
        <w:rPr>
          <w:rFonts w:ascii="Arial"/>
          <w:sz w:val="8"/>
        </w:rPr>
      </w:pPr>
      <w:r>
        <w:rPr/>
        <w:br w:type="column"/>
      </w:r>
      <w:r>
        <w:rPr>
          <w:rFonts w:ascii="Arial"/>
          <w:sz w:val="8"/>
        </w:rPr>
      </w:r>
    </w:p>
    <w:p>
      <w:pPr>
        <w:pStyle w:val="BodyText"/>
        <w:rPr>
          <w:rFonts w:ascii="Arial"/>
          <w:sz w:val="8"/>
        </w:rPr>
      </w:pPr>
    </w:p>
    <w:p>
      <w:pPr>
        <w:pStyle w:val="BodyText"/>
        <w:rPr>
          <w:rFonts w:ascii="Arial"/>
          <w:sz w:val="8"/>
        </w:rPr>
      </w:pPr>
    </w:p>
    <w:p>
      <w:pPr>
        <w:pStyle w:val="BodyText"/>
        <w:spacing w:before="6"/>
        <w:rPr>
          <w:rFonts w:ascii="Arial"/>
          <w:sz w:val="8"/>
        </w:rPr>
      </w:pPr>
    </w:p>
    <w:p>
      <w:pPr>
        <w:spacing w:line="68" w:lineRule="exact" w:before="0"/>
        <w:ind w:left="201" w:right="0" w:firstLine="0"/>
        <w:jc w:val="left"/>
        <w:rPr>
          <w:rFonts w:ascii="Arial" w:hAnsi="Arial"/>
          <w:sz w:val="8"/>
        </w:rPr>
      </w:pPr>
      <w:r>
        <w:rPr>
          <w:rFonts w:ascii="Arial" w:hAnsi="Arial"/>
          <w:i/>
          <w:w w:val="110"/>
          <w:sz w:val="8"/>
        </w:rPr>
        <w:t>t </w:t>
      </w:r>
      <w:r>
        <w:rPr>
          <w:rFonts w:ascii="Symbol" w:hAnsi="Symbol"/>
          <w:w w:val="110"/>
          <w:sz w:val="8"/>
        </w:rPr>
        <w:t></w:t>
      </w:r>
      <w:r>
        <w:rPr>
          <w:rFonts w:ascii="Arial" w:hAnsi="Arial"/>
          <w:w w:val="110"/>
          <w:sz w:val="8"/>
        </w:rPr>
        <w:t>1</w:t>
      </w:r>
    </w:p>
    <w:p>
      <w:pPr>
        <w:spacing w:line="197" w:lineRule="exact" w:before="0"/>
        <w:ind w:left="421" w:right="0" w:firstLine="0"/>
        <w:jc w:val="left"/>
        <w:rPr>
          <w:rFonts w:ascii="Arial" w:hAnsi="Arial"/>
          <w:i/>
          <w:sz w:val="21"/>
        </w:rPr>
      </w:pPr>
      <w:r>
        <w:rPr/>
        <w:pict>
          <v:shape style="position:absolute;margin-left:188.26265pt;margin-top:-10.666533pt;width:10.15pt;height:11.45pt;mso-position-horizontal-relative:page;mso-position-vertical-relative:paragraph;z-index:1408" type="#_x0000_t202" filled="false" stroked="false">
            <v:textbox inset="0,0,0,0">
              <w:txbxContent>
                <w:p>
                  <w:pPr>
                    <w:spacing w:line="228" w:lineRule="exact" w:before="0"/>
                    <w:ind w:left="0" w:right="-10" w:firstLine="0"/>
                    <w:jc w:val="left"/>
                    <w:rPr>
                      <w:rFonts w:ascii="Arial"/>
                      <w:i/>
                      <w:sz w:val="12"/>
                    </w:rPr>
                  </w:pPr>
                  <w:r>
                    <w:rPr>
                      <w:rFonts w:ascii="Arial"/>
                      <w:i/>
                      <w:position w:val="1"/>
                      <w:sz w:val="23"/>
                    </w:rPr>
                    <w:t>R</w:t>
                  </w:r>
                  <w:r>
                    <w:rPr>
                      <w:rFonts w:ascii="Arial"/>
                      <w:i/>
                      <w:sz w:val="12"/>
                    </w:rPr>
                    <w:t>i</w:t>
                  </w:r>
                </w:p>
              </w:txbxContent>
            </v:textbox>
            <w10:wrap type="none"/>
          </v:shape>
        </w:pict>
      </w:r>
      <w:r>
        <w:rPr>
          <w:rFonts w:ascii="Symbol" w:hAnsi="Symbol"/>
          <w:sz w:val="21"/>
        </w:rPr>
        <w:t></w:t>
      </w:r>
      <w:r>
        <w:rPr>
          <w:sz w:val="21"/>
        </w:rPr>
        <w:t> </w:t>
      </w:r>
      <w:r>
        <w:rPr>
          <w:rFonts w:ascii="Arial" w:hAnsi="Arial"/>
          <w:sz w:val="21"/>
        </w:rPr>
        <w:t>1</w:t>
      </w:r>
      <w:r>
        <w:rPr>
          <w:rFonts w:ascii="Symbol" w:hAnsi="Symbol"/>
          <w:sz w:val="21"/>
        </w:rPr>
        <w:t></w:t>
      </w:r>
      <w:r>
        <w:rPr>
          <w:sz w:val="21"/>
        </w:rPr>
        <w:t> </w:t>
      </w:r>
      <w:r>
        <w:rPr>
          <w:rFonts w:ascii="Arial" w:hAnsi="Arial"/>
          <w:i/>
          <w:sz w:val="21"/>
        </w:rPr>
        <w:t>g</w:t>
      </w:r>
    </w:p>
    <w:p>
      <w:pPr>
        <w:spacing w:after="0" w:line="197" w:lineRule="exact"/>
        <w:jc w:val="left"/>
        <w:rPr>
          <w:rFonts w:ascii="Arial" w:hAnsi="Arial"/>
          <w:sz w:val="21"/>
        </w:rPr>
        <w:sectPr>
          <w:type w:val="continuous"/>
          <w:pgSz w:w="12240" w:h="15840"/>
          <w:pgMar w:top="0" w:bottom="0" w:left="1020" w:right="860"/>
          <w:cols w:num="4" w:equalWidth="0">
            <w:col w:w="2208" w:space="40"/>
            <w:col w:w="104" w:space="40"/>
            <w:col w:w="322" w:space="40"/>
            <w:col w:w="7606"/>
          </w:cols>
        </w:sectPr>
      </w:pPr>
    </w:p>
    <w:p>
      <w:pPr>
        <w:spacing w:line="234" w:lineRule="exact" w:before="0"/>
        <w:ind w:left="963" w:right="-18" w:firstLine="0"/>
        <w:jc w:val="left"/>
        <w:rPr>
          <w:rFonts w:ascii="Arial"/>
          <w:i/>
          <w:sz w:val="12"/>
        </w:rPr>
      </w:pPr>
      <w:r>
        <w:rPr>
          <w:rFonts w:ascii="Arial"/>
          <w:i/>
          <w:spacing w:val="-3"/>
          <w:position w:val="1"/>
          <w:sz w:val="23"/>
        </w:rPr>
        <w:t>VPT</w:t>
      </w:r>
      <w:r>
        <w:rPr>
          <w:rFonts w:ascii="Arial"/>
          <w:i/>
          <w:spacing w:val="-29"/>
          <w:position w:val="1"/>
          <w:sz w:val="23"/>
        </w:rPr>
        <w:t> </w:t>
      </w:r>
      <w:r>
        <w:rPr>
          <w:rFonts w:ascii="Arial"/>
          <w:i/>
          <w:sz w:val="12"/>
        </w:rPr>
        <w:t>t</w:t>
      </w:r>
    </w:p>
    <w:p>
      <w:pPr>
        <w:spacing w:line="219" w:lineRule="exact" w:before="22"/>
        <w:ind w:left="445" w:right="0" w:firstLine="0"/>
        <w:jc w:val="left"/>
        <w:rPr>
          <w:rFonts w:ascii="Arial" w:hAnsi="Arial"/>
          <w:i/>
          <w:sz w:val="12"/>
        </w:rPr>
      </w:pPr>
      <w:r>
        <w:rPr/>
        <w:br w:type="column"/>
      </w:r>
      <w:r>
        <w:rPr>
          <w:rFonts w:ascii="Symbol" w:hAnsi="Symbol"/>
          <w:position w:val="3"/>
          <w:sz w:val="23"/>
        </w:rPr>
        <w:t></w:t>
      </w:r>
      <w:r>
        <w:rPr>
          <w:position w:val="3"/>
          <w:sz w:val="23"/>
        </w:rPr>
        <w:t> </w:t>
      </w:r>
      <w:r>
        <w:rPr>
          <w:rFonts w:ascii="Arial" w:hAnsi="Arial"/>
          <w:i/>
          <w:position w:val="1"/>
          <w:sz w:val="23"/>
        </w:rPr>
        <w:t>P</w:t>
      </w:r>
      <w:r>
        <w:rPr>
          <w:rFonts w:ascii="Arial" w:hAnsi="Arial"/>
          <w:i/>
          <w:sz w:val="12"/>
        </w:rPr>
        <w:t>i  </w:t>
      </w:r>
      <w:r>
        <w:rPr>
          <w:rFonts w:ascii="Arial" w:hAnsi="Arial"/>
          <w:i/>
          <w:position w:val="1"/>
          <w:sz w:val="23"/>
        </w:rPr>
        <w:t>S</w:t>
      </w:r>
      <w:r>
        <w:rPr>
          <w:rFonts w:ascii="Arial" w:hAnsi="Arial"/>
          <w:i/>
          <w:sz w:val="12"/>
        </w:rPr>
        <w:t>i </w:t>
      </w:r>
      <w:r>
        <w:rPr>
          <w:rFonts w:ascii="Arial" w:hAnsi="Arial"/>
          <w:i/>
          <w:position w:val="1"/>
          <w:sz w:val="23"/>
        </w:rPr>
        <w:t>R</w:t>
      </w:r>
      <w:r>
        <w:rPr>
          <w:rFonts w:ascii="Arial" w:hAnsi="Arial"/>
          <w:i/>
          <w:sz w:val="12"/>
        </w:rPr>
        <w:t>i</w:t>
      </w:r>
    </w:p>
    <w:p>
      <w:pPr>
        <w:spacing w:after="0" w:line="219" w:lineRule="exact"/>
        <w:jc w:val="left"/>
        <w:rPr>
          <w:rFonts w:ascii="Arial" w:hAnsi="Arial"/>
          <w:sz w:val="12"/>
        </w:rPr>
        <w:sectPr>
          <w:type w:val="continuous"/>
          <w:pgSz w:w="12240" w:h="15840"/>
          <w:pgMar w:top="0" w:bottom="0" w:left="1020" w:right="860"/>
          <w:cols w:num="2" w:equalWidth="0">
            <w:col w:w="1472" w:space="40"/>
            <w:col w:w="8848"/>
          </w:cols>
        </w:sectPr>
      </w:pPr>
    </w:p>
    <w:p>
      <w:pPr>
        <w:pStyle w:val="BodyText"/>
        <w:spacing w:before="11"/>
        <w:rPr>
          <w:rFonts w:ascii="Arial"/>
          <w:i/>
          <w:sz w:val="32"/>
        </w:rPr>
      </w:pPr>
    </w:p>
    <w:p>
      <w:pPr>
        <w:pStyle w:val="BodyText"/>
        <w:ind w:left="821" w:right="-15"/>
      </w:pPr>
      <w:r>
        <w:rPr>
          <w:spacing w:val="-1"/>
        </w:rPr>
        <w:t>Donde:</w:t>
      </w:r>
    </w:p>
    <w:p>
      <w:pPr>
        <w:tabs>
          <w:tab w:pos="1054" w:val="left" w:leader="none"/>
          <w:tab w:pos="1341" w:val="left" w:leader="none"/>
        </w:tabs>
        <w:spacing w:line="64" w:lineRule="exact" w:before="0"/>
        <w:ind w:left="786" w:right="0" w:firstLine="0"/>
        <w:jc w:val="left"/>
        <w:rPr>
          <w:rFonts w:ascii="Arial"/>
          <w:i/>
          <w:sz w:val="8"/>
        </w:rPr>
      </w:pPr>
      <w:r>
        <w:rPr/>
        <w:br w:type="column"/>
      </w:r>
      <w:r>
        <w:rPr>
          <w:rFonts w:ascii="Arial"/>
          <w:i/>
          <w:w w:val="110"/>
          <w:sz w:val="8"/>
        </w:rPr>
        <w:t>t</w:t>
        <w:tab/>
        <w:t>t</w:t>
        <w:tab/>
        <w:t>t</w:t>
      </w:r>
    </w:p>
    <w:p>
      <w:pPr>
        <w:spacing w:line="121" w:lineRule="exact" w:before="0"/>
        <w:ind w:left="392" w:right="0" w:firstLine="0"/>
        <w:jc w:val="left"/>
        <w:rPr>
          <w:rFonts w:ascii="Arial" w:hAnsi="Arial"/>
          <w:sz w:val="12"/>
        </w:rPr>
      </w:pPr>
      <w:r>
        <w:rPr>
          <w:rFonts w:ascii="Arial" w:hAnsi="Arial"/>
          <w:i/>
          <w:sz w:val="12"/>
        </w:rPr>
        <w:t>i </w:t>
      </w:r>
      <w:r>
        <w:rPr>
          <w:rFonts w:ascii="Symbol" w:hAnsi="Symbol"/>
          <w:sz w:val="12"/>
        </w:rPr>
        <w:t></w:t>
      </w:r>
      <w:r>
        <w:rPr>
          <w:rFonts w:ascii="Arial" w:hAnsi="Arial"/>
          <w:sz w:val="12"/>
        </w:rPr>
        <w:t>1</w:t>
      </w:r>
    </w:p>
    <w:p>
      <w:pPr>
        <w:spacing w:after="0" w:line="121" w:lineRule="exact"/>
        <w:jc w:val="left"/>
        <w:rPr>
          <w:rFonts w:ascii="Arial" w:hAnsi="Arial"/>
          <w:sz w:val="12"/>
        </w:rPr>
        <w:sectPr>
          <w:type w:val="continuous"/>
          <w:pgSz w:w="12240" w:h="15840"/>
          <w:pgMar w:top="0" w:bottom="0" w:left="1020" w:right="860"/>
          <w:cols w:num="2" w:equalWidth="0">
            <w:col w:w="1527" w:space="40"/>
            <w:col w:w="8793"/>
          </w:cols>
        </w:sectPr>
      </w:pPr>
    </w:p>
    <w:p>
      <w:pPr>
        <w:pStyle w:val="BodyText"/>
        <w:spacing w:before="9"/>
        <w:rPr>
          <w:rFonts w:ascii="Arial"/>
          <w:sz w:val="9"/>
        </w:rPr>
      </w:pPr>
    </w:p>
    <w:p>
      <w:pPr>
        <w:pStyle w:val="BodyText"/>
        <w:spacing w:before="70"/>
        <w:ind w:left="821"/>
      </w:pPr>
      <w:r>
        <w:rPr/>
        <w:t>g = Tasa de crecimiento nominal.</w:t>
      </w:r>
    </w:p>
    <w:p>
      <w:pPr>
        <w:pStyle w:val="BodyText"/>
        <w:spacing w:line="256" w:lineRule="auto" w:before="185"/>
        <w:ind w:left="112" w:right="278" w:firstLine="708"/>
        <w:jc w:val="both"/>
      </w:pPr>
      <w:r>
        <w:rPr/>
        <w:t>Con algo de álgebra y dejando todo a valores reales deflactados con el Índice de Precios Implícitos para el sector agropecuario, la tasa de crecimiento del valor real de la producción queda explicada de la manera siguiente:</w:t>
      </w:r>
    </w:p>
    <w:p>
      <w:pPr>
        <w:spacing w:before="131"/>
        <w:ind w:left="821" w:right="0" w:firstLine="0"/>
        <w:jc w:val="left"/>
        <w:rPr>
          <w:sz w:val="25"/>
        </w:rPr>
      </w:pPr>
      <w:r>
        <w:rPr>
          <w:position w:val="-9"/>
          <w:sz w:val="24"/>
        </w:rPr>
        <w:t>d) </w:t>
      </w:r>
      <w:r>
        <w:rPr>
          <w:sz w:val="25"/>
        </w:rPr>
        <w:t>(1</w:t>
      </w:r>
      <w:r>
        <w:rPr>
          <w:rFonts w:ascii="Symbol" w:hAnsi="Symbol"/>
          <w:sz w:val="25"/>
        </w:rPr>
        <w:t></w:t>
      </w:r>
      <w:r>
        <w:rPr>
          <w:sz w:val="25"/>
        </w:rPr>
        <w:t> </w:t>
      </w:r>
      <w:r>
        <w:rPr>
          <w:i/>
          <w:sz w:val="25"/>
        </w:rPr>
        <w:t>g</w:t>
      </w:r>
      <w:r>
        <w:rPr>
          <w:sz w:val="25"/>
        </w:rPr>
        <w:t>) </w:t>
      </w:r>
      <w:r>
        <w:rPr>
          <w:rFonts w:ascii="Symbol" w:hAnsi="Symbol"/>
          <w:sz w:val="25"/>
        </w:rPr>
        <w:t></w:t>
      </w:r>
      <w:r>
        <w:rPr>
          <w:sz w:val="25"/>
        </w:rPr>
        <w:t> (1</w:t>
      </w:r>
      <w:r>
        <w:rPr>
          <w:rFonts w:ascii="Symbol" w:hAnsi="Symbol"/>
          <w:sz w:val="25"/>
        </w:rPr>
        <w:t></w:t>
      </w:r>
      <w:r>
        <w:rPr>
          <w:rFonts w:ascii="Symbol" w:hAnsi="Symbol"/>
          <w:i/>
          <w:sz w:val="26"/>
        </w:rPr>
        <w:t></w:t>
      </w:r>
      <w:r>
        <w:rPr>
          <w:i/>
          <w:sz w:val="26"/>
        </w:rPr>
        <w:t> </w:t>
      </w:r>
      <w:r>
        <w:rPr>
          <w:sz w:val="25"/>
        </w:rPr>
        <w:t>)(1</w:t>
      </w:r>
      <w:r>
        <w:rPr>
          <w:rFonts w:ascii="Symbol" w:hAnsi="Symbol"/>
          <w:sz w:val="25"/>
        </w:rPr>
        <w:t></w:t>
      </w:r>
      <w:r>
        <w:rPr>
          <w:sz w:val="25"/>
        </w:rPr>
        <w:t> </w:t>
      </w:r>
      <w:r>
        <w:rPr>
          <w:rFonts w:ascii="Symbol" w:hAnsi="Symbol"/>
          <w:i/>
          <w:sz w:val="26"/>
        </w:rPr>
        <w:t></w:t>
      </w:r>
      <w:r>
        <w:rPr>
          <w:sz w:val="25"/>
        </w:rPr>
        <w:t>)(1</w:t>
      </w:r>
      <w:r>
        <w:rPr>
          <w:rFonts w:ascii="Symbol" w:hAnsi="Symbol"/>
          <w:sz w:val="25"/>
        </w:rPr>
        <w:t></w:t>
      </w:r>
      <w:r>
        <w:rPr>
          <w:sz w:val="25"/>
        </w:rPr>
        <w:t> </w:t>
      </w:r>
      <w:r>
        <w:rPr>
          <w:rFonts w:ascii="Symbol" w:hAnsi="Symbol"/>
          <w:sz w:val="25"/>
        </w:rPr>
        <w:t></w:t>
      </w:r>
      <w:r>
        <w:rPr>
          <w:sz w:val="25"/>
        </w:rPr>
        <w:t>)</w:t>
      </w:r>
    </w:p>
    <w:p>
      <w:pPr>
        <w:pStyle w:val="BodyText"/>
        <w:spacing w:before="181"/>
        <w:ind w:left="821"/>
      </w:pPr>
      <w:r>
        <w:rPr/>
        <w:t>g = Tasa de crecimiento real del valor de la producción.</w:t>
      </w:r>
    </w:p>
    <w:p>
      <w:pPr>
        <w:pStyle w:val="BodyText"/>
        <w:tabs>
          <w:tab w:pos="3742" w:val="left" w:leader="none"/>
        </w:tabs>
        <w:spacing w:before="96"/>
        <w:ind w:left="820"/>
      </w:pPr>
      <w:r>
        <w:rPr/>
        <w:drawing>
          <wp:anchor distT="0" distB="0" distL="0" distR="0" allowOverlap="1" layoutInCell="1" locked="0" behindDoc="1" simplePos="0" relativeHeight="268389383">
            <wp:simplePos x="0" y="0"/>
            <wp:positionH relativeFrom="page">
              <wp:posOffset>1330705</wp:posOffset>
            </wp:positionH>
            <wp:positionV relativeFrom="paragraph">
              <wp:posOffset>140518</wp:posOffset>
            </wp:positionV>
            <wp:extent cx="1758569" cy="169163"/>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9" cstate="print"/>
                    <a:stretch>
                      <a:fillRect/>
                    </a:stretch>
                  </pic:blipFill>
                  <pic:spPr>
                    <a:xfrm>
                      <a:off x="0" y="0"/>
                      <a:ext cx="1758569" cy="169163"/>
                    </a:xfrm>
                    <a:prstGeom prst="rect">
                      <a:avLst/>
                    </a:prstGeom>
                  </pic:spPr>
                </pic:pic>
              </a:graphicData>
            </a:graphic>
          </wp:anchor>
        </w:drawing>
      </w:r>
      <w:r>
        <w:rPr>
          <w:rFonts w:ascii="Symbol" w:hAnsi="Symbol"/>
          <w:i/>
          <w:position w:val="10"/>
        </w:rPr>
        <w:t></w:t>
      </w:r>
      <w:r>
        <w:rPr>
          <w:position w:val="10"/>
        </w:rPr>
        <w:tab/>
      </w:r>
      <w:r>
        <w:rPr/>
        <w:t>rendimiento por</w:t>
      </w:r>
      <w:r>
        <w:rPr>
          <w:spacing w:val="-5"/>
        </w:rPr>
        <w:t> </w:t>
      </w:r>
      <w:r>
        <w:rPr/>
        <w:t>hectárea.</w:t>
      </w:r>
    </w:p>
    <w:p>
      <w:pPr>
        <w:spacing w:before="150"/>
        <w:ind w:left="839" w:right="0" w:firstLine="0"/>
        <w:jc w:val="left"/>
        <w:rPr>
          <w:rFonts w:ascii="Symbol" w:hAnsi="Symbol"/>
          <w:i/>
          <w:sz w:val="26"/>
        </w:rPr>
      </w:pPr>
      <w:r>
        <w:rPr/>
        <w:drawing>
          <wp:anchor distT="0" distB="0" distL="0" distR="0" allowOverlap="1" layoutInCell="1" locked="0" behindDoc="1" simplePos="0" relativeHeight="268389407">
            <wp:simplePos x="0" y="0"/>
            <wp:positionH relativeFrom="page">
              <wp:posOffset>1292605</wp:posOffset>
            </wp:positionH>
            <wp:positionV relativeFrom="paragraph">
              <wp:posOffset>188071</wp:posOffset>
            </wp:positionV>
            <wp:extent cx="2501519" cy="169163"/>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10" cstate="print"/>
                    <a:stretch>
                      <a:fillRect/>
                    </a:stretch>
                  </pic:blipFill>
                  <pic:spPr>
                    <a:xfrm>
                      <a:off x="0" y="0"/>
                      <a:ext cx="2501519" cy="169163"/>
                    </a:xfrm>
                    <a:prstGeom prst="rect">
                      <a:avLst/>
                    </a:prstGeom>
                  </pic:spPr>
                </pic:pic>
              </a:graphicData>
            </a:graphic>
          </wp:anchor>
        </w:drawing>
      </w:r>
      <w:r>
        <w:rPr>
          <w:rFonts w:ascii="Symbol" w:hAnsi="Symbol"/>
          <w:i/>
          <w:w w:val="87"/>
          <w:sz w:val="26"/>
        </w:rPr>
        <w:t></w:t>
      </w:r>
    </w:p>
    <w:p>
      <w:pPr>
        <w:pStyle w:val="BodyText"/>
        <w:spacing w:before="4"/>
        <w:rPr>
          <w:rFonts w:ascii="Symbol" w:hAnsi="Symbol"/>
          <w:i/>
          <w:sz w:val="20"/>
        </w:rPr>
      </w:pPr>
      <w:r>
        <w:rPr/>
        <w:drawing>
          <wp:anchor distT="0" distB="0" distL="0" distR="0" allowOverlap="1" layoutInCell="1" locked="0" behindDoc="0" simplePos="0" relativeHeight="1264">
            <wp:simplePos x="0" y="0"/>
            <wp:positionH relativeFrom="page">
              <wp:posOffset>1169212</wp:posOffset>
            </wp:positionH>
            <wp:positionV relativeFrom="paragraph">
              <wp:posOffset>183165</wp:posOffset>
            </wp:positionV>
            <wp:extent cx="5992368" cy="169163"/>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11" cstate="print"/>
                    <a:stretch>
                      <a:fillRect/>
                    </a:stretch>
                  </pic:blipFill>
                  <pic:spPr>
                    <a:xfrm>
                      <a:off x="0" y="0"/>
                      <a:ext cx="5992368" cy="169163"/>
                    </a:xfrm>
                    <a:prstGeom prst="rect">
                      <a:avLst/>
                    </a:prstGeom>
                  </pic:spPr>
                </pic:pic>
              </a:graphicData>
            </a:graphic>
          </wp:anchor>
        </w:drawing>
      </w:r>
    </w:p>
    <w:p>
      <w:pPr>
        <w:pStyle w:val="BodyText"/>
        <w:ind w:left="112"/>
      </w:pPr>
      <w:r>
        <w:rPr/>
        <w:t>productiva.</w:t>
      </w:r>
    </w:p>
    <w:p>
      <w:pPr>
        <w:pStyle w:val="BodyText"/>
        <w:spacing w:line="256" w:lineRule="auto" w:before="185"/>
        <w:ind w:left="112" w:right="271" w:firstLine="708"/>
        <w:jc w:val="both"/>
      </w:pPr>
      <w:r>
        <w:rPr/>
        <w:t>A partir de la identidad anterior se puede explicar la tasa de crecimiento del valor de la producción por hectárea, como resultado del crecimiento del rendimiento por hectárea y el crecimiento del efecto composición o conversión productiva.</w:t>
      </w:r>
    </w:p>
    <w:p>
      <w:pPr>
        <w:spacing w:before="128"/>
        <w:ind w:left="821" w:right="0" w:firstLine="0"/>
        <w:jc w:val="left"/>
        <w:rPr>
          <w:rFonts w:ascii="Arial" w:hAnsi="Arial"/>
          <w:sz w:val="25"/>
        </w:rPr>
      </w:pPr>
      <w:r>
        <w:rPr>
          <w:position w:val="-9"/>
          <w:sz w:val="24"/>
        </w:rPr>
        <w:t>e) </w:t>
      </w:r>
      <w:r>
        <w:rPr>
          <w:rFonts w:ascii="Arial" w:hAnsi="Arial"/>
          <w:sz w:val="25"/>
        </w:rPr>
        <w:t>1</w:t>
      </w:r>
      <w:r>
        <w:rPr>
          <w:rFonts w:ascii="Symbol" w:hAnsi="Symbol"/>
          <w:sz w:val="25"/>
        </w:rPr>
        <w:t></w:t>
      </w:r>
      <w:r>
        <w:rPr>
          <w:sz w:val="25"/>
        </w:rPr>
        <w:t> </w:t>
      </w:r>
      <w:r>
        <w:rPr>
          <w:rFonts w:ascii="Arial" w:hAnsi="Arial"/>
          <w:i/>
          <w:sz w:val="25"/>
        </w:rPr>
        <w:t>h </w:t>
      </w:r>
      <w:r>
        <w:rPr>
          <w:rFonts w:ascii="Symbol" w:hAnsi="Symbol"/>
          <w:sz w:val="25"/>
        </w:rPr>
        <w:t></w:t>
      </w:r>
      <w:r>
        <w:rPr>
          <w:sz w:val="25"/>
        </w:rPr>
        <w:t> </w:t>
      </w:r>
      <w:r>
        <w:rPr>
          <w:rFonts w:ascii="Arial" w:hAnsi="Arial"/>
          <w:sz w:val="25"/>
        </w:rPr>
        <w:t>(1</w:t>
      </w:r>
      <w:r>
        <w:rPr>
          <w:rFonts w:ascii="Symbol" w:hAnsi="Symbol"/>
          <w:sz w:val="25"/>
        </w:rPr>
        <w:t></w:t>
      </w:r>
      <w:r>
        <w:rPr>
          <w:rFonts w:ascii="Symbol" w:hAnsi="Symbol"/>
          <w:i/>
          <w:sz w:val="26"/>
        </w:rPr>
        <w:t></w:t>
      </w:r>
      <w:r>
        <w:rPr>
          <w:i/>
          <w:sz w:val="26"/>
        </w:rPr>
        <w:t> </w:t>
      </w:r>
      <w:r>
        <w:rPr>
          <w:rFonts w:ascii="Arial" w:hAnsi="Arial"/>
          <w:sz w:val="25"/>
        </w:rPr>
        <w:t>)(1</w:t>
      </w:r>
      <w:r>
        <w:rPr>
          <w:rFonts w:ascii="Symbol" w:hAnsi="Symbol"/>
          <w:sz w:val="25"/>
        </w:rPr>
        <w:t></w:t>
      </w:r>
      <w:r>
        <w:rPr>
          <w:sz w:val="25"/>
        </w:rPr>
        <w:t> </w:t>
      </w:r>
      <w:r>
        <w:rPr>
          <w:rFonts w:ascii="Symbol" w:hAnsi="Symbol"/>
          <w:sz w:val="25"/>
        </w:rPr>
        <w:t></w:t>
      </w:r>
      <w:r>
        <w:rPr>
          <w:rFonts w:ascii="Arial" w:hAnsi="Arial"/>
          <w:sz w:val="25"/>
        </w:rPr>
        <w:t>)</w:t>
      </w:r>
    </w:p>
    <w:p>
      <w:pPr>
        <w:pStyle w:val="BodyText"/>
        <w:spacing w:before="184"/>
        <w:ind w:left="821"/>
      </w:pPr>
      <w:r>
        <w:rPr/>
        <w:t>Donde:</w:t>
      </w:r>
    </w:p>
    <w:p>
      <w:pPr>
        <w:pStyle w:val="BodyText"/>
        <w:spacing w:before="182"/>
        <w:ind w:left="821"/>
      </w:pPr>
      <w:r>
        <w:rPr/>
        <w:t>h = tasa de crecimiento real del valor de la producción por hectárea.</w:t>
      </w:r>
    </w:p>
    <w:p>
      <w:pPr>
        <w:spacing w:after="0"/>
        <w:sectPr>
          <w:type w:val="continuous"/>
          <w:pgSz w:w="12240" w:h="15840"/>
          <w:pgMar w:top="0" w:bottom="0" w:left="1020" w:right="860"/>
        </w:sectPr>
      </w:pPr>
    </w:p>
    <w:p>
      <w:pPr>
        <w:pStyle w:val="BodyText"/>
        <w:spacing w:line="259" w:lineRule="auto" w:before="156"/>
        <w:ind w:left="112" w:right="115" w:firstLine="708"/>
        <w:jc w:val="both"/>
      </w:pPr>
      <w:r>
        <w:rPr/>
        <w:t>El crecimiento del valor de la producción por hectárea se explica en el primer período 1980 a 1994 por el crecimiento de los rendimientos. En el segundo período de 1994 a 2014 el crecimiento lo explica principalmente la conversión productiva. Esto es, en los últimos 25 años en el sector agropecuario hubo un cambio de tendencia, el principal motor del valor de la producción es la conversión productiva, con una tasa anual de 6.41 %, a diferencia del primer período que tuvo una tasa de 0.53 %.</w:t>
      </w:r>
    </w:p>
    <w:p>
      <w:pPr>
        <w:pStyle w:val="BodyText"/>
        <w:spacing w:line="259" w:lineRule="auto" w:before="163"/>
        <w:ind w:left="112" w:right="114" w:firstLine="708"/>
        <w:jc w:val="both"/>
      </w:pPr>
      <w:r>
        <w:rPr/>
        <w:t>También es de resaltar el aumento en los rendimientos. En el primer período se tenía una tasa de crecimiento por rendimiento de 1.07% anual y en el segundo período aumentó a 2.77%. La aceleración de la conversión productiva se puede ver claramente en la estructura de producción. La forma piramidal permite observar el fenómeno con más claridad.</w:t>
      </w:r>
    </w:p>
    <w:p>
      <w:pPr>
        <w:pStyle w:val="BodyText"/>
        <w:spacing w:line="259" w:lineRule="auto" w:before="163"/>
        <w:ind w:left="112" w:right="110" w:firstLine="708"/>
        <w:jc w:val="both"/>
      </w:pPr>
      <w:r>
        <w:rPr/>
        <w:t>Los datos permiten observar que en el segundo período, de 1995 a 2014, la conversión productiva es la que explica el aumento del valor de la producción por hectárea, a diferencia del  período anterior, de 1980 a 1994, cuya explicación se debió al aumento de los rendimientos. Así, se puede señalar que en el segundo período hubo políticas, programas y fenómenos económicos que cambiaron las tendencias para impulsar la conversión productiva y el aumento del rendimiento por hectárea. Por lo que el producto per cápita “y” y la formación bruta de capital “K” tienen tasas de crecimiento</w:t>
      </w:r>
      <w:r>
        <w:rPr>
          <w:spacing w:val="-6"/>
        </w:rPr>
        <w:t> </w:t>
      </w:r>
      <w:r>
        <w:rPr/>
        <w:t>positivas.</w:t>
      </w:r>
    </w:p>
    <w:p>
      <w:pPr>
        <w:pStyle w:val="Heading5"/>
        <w:numPr>
          <w:ilvl w:val="1"/>
          <w:numId w:val="2"/>
        </w:numPr>
        <w:tabs>
          <w:tab w:pos="596" w:val="left" w:leader="none"/>
        </w:tabs>
        <w:spacing w:line="256" w:lineRule="auto" w:before="168" w:after="0"/>
        <w:ind w:left="112" w:right="109" w:firstLine="0"/>
        <w:jc w:val="both"/>
      </w:pPr>
      <w:r>
        <w:rPr/>
        <w:t>Indicador del multiplicador del PROCAMPO en el producto per cápita y la formación bruta de</w:t>
      </w:r>
      <w:r>
        <w:rPr>
          <w:spacing w:val="-3"/>
        </w:rPr>
        <w:t> </w:t>
      </w:r>
      <w:r>
        <w:rPr/>
        <w:t>capital</w:t>
      </w:r>
    </w:p>
    <w:p>
      <w:pPr>
        <w:pStyle w:val="BodyText"/>
        <w:spacing w:line="259" w:lineRule="auto" w:before="161"/>
        <w:ind w:left="112" w:right="112"/>
        <w:jc w:val="both"/>
      </w:pPr>
      <w:r>
        <w:rPr/>
        <w:t>Es necesario aclarar que PROCAMPO inició actividades tan sólo hace 22 años y los datos son anuales. Así, el modelo que se utilizará para estimar los multiplicadores del PROCAMPO en relación a su impacto en el producto per cápita y en la formación bruta de capital per cápita, puede resultar muy sensible a la nueva información. Esto es, los multiplicadores pueden variar en forma importante con adición de la información de los años futuros.</w:t>
      </w:r>
    </w:p>
    <w:p>
      <w:pPr>
        <w:pStyle w:val="BodyText"/>
        <w:spacing w:before="161"/>
        <w:ind w:left="821" w:right="110"/>
      </w:pPr>
      <w:r>
        <w:rPr/>
        <w:t>I. El modelo estructural usado es:</w:t>
      </w:r>
    </w:p>
    <w:p>
      <w:pPr>
        <w:pStyle w:val="BodyText"/>
        <w:spacing w:before="3"/>
        <w:rPr>
          <w:sz w:val="12"/>
        </w:rPr>
      </w:pPr>
    </w:p>
    <w:p>
      <w:pPr>
        <w:spacing w:after="0"/>
        <w:rPr>
          <w:sz w:val="12"/>
        </w:rPr>
        <w:sectPr>
          <w:headerReference w:type="default" r:id="rId12"/>
          <w:pgSz w:w="12240" w:h="15840"/>
          <w:pgMar w:header="731" w:footer="0" w:top="960" w:bottom="280" w:left="1020" w:right="1020"/>
          <w:pgNumType w:start="352"/>
        </w:sectPr>
      </w:pPr>
    </w:p>
    <w:p>
      <w:pPr>
        <w:spacing w:line="363" w:lineRule="exact" w:before="74"/>
        <w:ind w:left="1096" w:right="-4" w:firstLine="0"/>
        <w:jc w:val="left"/>
        <w:rPr>
          <w:rFonts w:ascii="Arial" w:hAnsi="Arial"/>
          <w:sz w:val="24"/>
        </w:rPr>
      </w:pPr>
      <w:r>
        <w:rPr>
          <w:rFonts w:ascii="Arial" w:hAnsi="Arial"/>
          <w:i/>
          <w:spacing w:val="14"/>
          <w:w w:val="105"/>
          <w:position w:val="11"/>
          <w:sz w:val="25"/>
          <w:u w:val="single"/>
        </w:rPr>
        <w:t>Y</w:t>
      </w:r>
      <w:r>
        <w:rPr>
          <w:rFonts w:ascii="Arial" w:hAnsi="Arial"/>
          <w:i/>
          <w:spacing w:val="14"/>
          <w:w w:val="105"/>
          <w:position w:val="10"/>
          <w:sz w:val="14"/>
          <w:u w:val="single"/>
        </w:rPr>
        <w:t>t</w:t>
      </w:r>
      <w:r>
        <w:rPr>
          <w:rFonts w:ascii="Arial" w:hAnsi="Arial"/>
          <w:i/>
          <w:spacing w:val="35"/>
          <w:w w:val="105"/>
          <w:position w:val="10"/>
          <w:sz w:val="14"/>
          <w:u w:val="single"/>
        </w:rPr>
        <w:t> </w:t>
      </w:r>
      <w:r>
        <w:rPr>
          <w:rFonts w:ascii="Symbol" w:hAnsi="Symbol"/>
          <w:w w:val="105"/>
          <w:sz w:val="24"/>
        </w:rPr>
        <w:t></w:t>
      </w:r>
      <w:r>
        <w:rPr>
          <w:spacing w:val="-34"/>
          <w:w w:val="105"/>
          <w:sz w:val="24"/>
        </w:rPr>
        <w:t> </w:t>
      </w:r>
      <w:r>
        <w:rPr>
          <w:rFonts w:ascii="Arial" w:hAnsi="Arial"/>
          <w:w w:val="105"/>
          <w:sz w:val="24"/>
        </w:rPr>
        <w:t>14.1675</w:t>
      </w:r>
      <w:r>
        <w:rPr>
          <w:rFonts w:ascii="Arial" w:hAnsi="Arial"/>
          <w:spacing w:val="-39"/>
          <w:w w:val="105"/>
          <w:sz w:val="24"/>
        </w:rPr>
        <w:t> </w:t>
      </w:r>
      <w:r>
        <w:rPr>
          <w:rFonts w:ascii="Symbol" w:hAnsi="Symbol"/>
          <w:w w:val="105"/>
          <w:sz w:val="24"/>
        </w:rPr>
        <w:t></w:t>
      </w:r>
      <w:r>
        <w:rPr>
          <w:spacing w:val="-43"/>
          <w:w w:val="105"/>
          <w:sz w:val="24"/>
        </w:rPr>
        <w:t> </w:t>
      </w:r>
      <w:r>
        <w:rPr>
          <w:rFonts w:ascii="Arial" w:hAnsi="Arial"/>
          <w:w w:val="105"/>
          <w:sz w:val="24"/>
        </w:rPr>
        <w:t>14.7102</w:t>
      </w:r>
      <w:r>
        <w:rPr>
          <w:rFonts w:ascii="Arial" w:hAnsi="Arial"/>
          <w:spacing w:val="-45"/>
          <w:w w:val="105"/>
          <w:sz w:val="24"/>
        </w:rPr>
        <w:t> </w:t>
      </w:r>
      <w:r>
        <w:rPr>
          <w:rFonts w:ascii="Arial" w:hAnsi="Arial"/>
          <w:i/>
          <w:spacing w:val="10"/>
          <w:w w:val="105"/>
          <w:position w:val="11"/>
          <w:sz w:val="25"/>
          <w:u w:val="single"/>
        </w:rPr>
        <w:t>K</w:t>
      </w:r>
      <w:r>
        <w:rPr>
          <w:rFonts w:ascii="Arial" w:hAnsi="Arial"/>
          <w:i/>
          <w:spacing w:val="10"/>
          <w:w w:val="105"/>
          <w:position w:val="10"/>
          <w:sz w:val="14"/>
          <w:u w:val="single"/>
        </w:rPr>
        <w:t>t</w:t>
      </w:r>
      <w:r>
        <w:rPr>
          <w:rFonts w:ascii="Arial" w:hAnsi="Arial"/>
          <w:i/>
          <w:spacing w:val="23"/>
          <w:w w:val="105"/>
          <w:position w:val="10"/>
          <w:sz w:val="14"/>
          <w:u w:val="single"/>
        </w:rPr>
        <w:t> </w:t>
      </w:r>
      <w:r>
        <w:rPr>
          <w:rFonts w:ascii="Symbol" w:hAnsi="Symbol"/>
          <w:w w:val="105"/>
          <w:sz w:val="24"/>
        </w:rPr>
        <w:t></w:t>
      </w:r>
      <w:r>
        <w:rPr>
          <w:spacing w:val="-31"/>
          <w:w w:val="105"/>
          <w:sz w:val="24"/>
        </w:rPr>
        <w:t> </w:t>
      </w:r>
      <w:r>
        <w:rPr>
          <w:rFonts w:ascii="Arial" w:hAnsi="Arial"/>
          <w:spacing w:val="-3"/>
          <w:w w:val="105"/>
          <w:sz w:val="24"/>
        </w:rPr>
        <w:t>0.3383</w:t>
      </w:r>
      <w:r>
        <w:rPr>
          <w:rFonts w:ascii="Arial" w:hAnsi="Arial"/>
          <w:i/>
          <w:spacing w:val="-3"/>
          <w:w w:val="105"/>
          <w:sz w:val="24"/>
        </w:rPr>
        <w:t>t</w:t>
      </w:r>
      <w:r>
        <w:rPr>
          <w:rFonts w:ascii="Arial" w:hAnsi="Arial"/>
          <w:i/>
          <w:spacing w:val="-21"/>
          <w:w w:val="105"/>
          <w:sz w:val="24"/>
        </w:rPr>
        <w:t> </w:t>
      </w:r>
      <w:r>
        <w:rPr>
          <w:rFonts w:ascii="Arial" w:hAnsi="Arial"/>
          <w:w w:val="105"/>
          <w:sz w:val="24"/>
        </w:rPr>
        <w:t>;</w:t>
      </w:r>
    </w:p>
    <w:p>
      <w:pPr>
        <w:spacing w:line="260" w:lineRule="exact" w:before="177"/>
        <w:ind w:left="1096" w:right="0" w:firstLine="0"/>
        <w:jc w:val="left"/>
        <w:rPr>
          <w:rFonts w:ascii="Arial" w:hAnsi="Arial"/>
          <w:sz w:val="24"/>
        </w:rPr>
      </w:pPr>
      <w:r>
        <w:rPr/>
        <w:br w:type="column"/>
      </w:r>
      <w:r>
        <w:rPr>
          <w:rFonts w:ascii="Arial" w:hAnsi="Arial"/>
          <w:i/>
          <w:w w:val="105"/>
          <w:position w:val="-3"/>
          <w:sz w:val="25"/>
        </w:rPr>
        <w:t>R</w:t>
      </w:r>
      <w:r>
        <w:rPr>
          <w:rFonts w:ascii="Arial" w:hAnsi="Arial"/>
          <w:w w:val="105"/>
          <w:position w:val="10"/>
          <w:sz w:val="14"/>
        </w:rPr>
        <w:t>2 </w:t>
      </w:r>
      <w:r>
        <w:rPr>
          <w:rFonts w:ascii="Symbol" w:hAnsi="Symbol"/>
          <w:w w:val="105"/>
          <w:sz w:val="24"/>
        </w:rPr>
        <w:t></w:t>
      </w:r>
      <w:r>
        <w:rPr>
          <w:w w:val="105"/>
          <w:sz w:val="24"/>
        </w:rPr>
        <w:t> </w:t>
      </w:r>
      <w:r>
        <w:rPr>
          <w:rFonts w:ascii="Arial" w:hAnsi="Arial"/>
          <w:w w:val="105"/>
          <w:sz w:val="24"/>
        </w:rPr>
        <w:t>0.7300</w:t>
      </w:r>
    </w:p>
    <w:p>
      <w:pPr>
        <w:spacing w:after="0" w:line="260" w:lineRule="exact"/>
        <w:jc w:val="left"/>
        <w:rPr>
          <w:rFonts w:ascii="Arial" w:hAnsi="Arial"/>
          <w:sz w:val="24"/>
        </w:rPr>
        <w:sectPr>
          <w:type w:val="continuous"/>
          <w:pgSz w:w="12240" w:h="15840"/>
          <w:pgMar w:top="0" w:bottom="0" w:left="1020" w:right="1020"/>
          <w:cols w:num="2" w:equalWidth="0">
            <w:col w:w="5045" w:space="515"/>
            <w:col w:w="4640"/>
          </w:cols>
        </w:sectPr>
      </w:pPr>
    </w:p>
    <w:p>
      <w:pPr>
        <w:pStyle w:val="ListParagraph"/>
        <w:numPr>
          <w:ilvl w:val="0"/>
          <w:numId w:val="3"/>
        </w:numPr>
        <w:tabs>
          <w:tab w:pos="1138" w:val="left" w:leader="none"/>
          <w:tab w:pos="3636" w:val="left" w:leader="none"/>
        </w:tabs>
        <w:spacing w:line="332" w:lineRule="exact" w:before="0" w:after="0"/>
        <w:ind w:left="1137" w:right="0" w:hanging="316"/>
        <w:jc w:val="left"/>
        <w:rPr>
          <w:rFonts w:ascii="Arial"/>
          <w:i/>
          <w:sz w:val="14"/>
        </w:rPr>
      </w:pPr>
      <w:r>
        <w:rPr>
          <w:rFonts w:ascii="Arial"/>
          <w:i/>
          <w:w w:val="105"/>
          <w:position w:val="1"/>
          <w:sz w:val="25"/>
        </w:rPr>
        <w:t>L</w:t>
      </w:r>
      <w:r>
        <w:rPr>
          <w:rFonts w:ascii="Arial"/>
          <w:i/>
          <w:w w:val="105"/>
          <w:sz w:val="14"/>
        </w:rPr>
        <w:t>t</w:t>
        <w:tab/>
      </w:r>
      <w:r>
        <w:rPr>
          <w:rFonts w:ascii="Arial"/>
          <w:i/>
          <w:w w:val="105"/>
          <w:position w:val="1"/>
          <w:sz w:val="25"/>
        </w:rPr>
        <w:t>L</w:t>
      </w:r>
      <w:r>
        <w:rPr>
          <w:rFonts w:ascii="Arial"/>
          <w:i/>
          <w:w w:val="105"/>
          <w:sz w:val="14"/>
        </w:rPr>
        <w:t>t</w:t>
      </w:r>
    </w:p>
    <w:p>
      <w:pPr>
        <w:spacing w:after="0" w:line="332" w:lineRule="exact"/>
        <w:jc w:val="left"/>
        <w:rPr>
          <w:rFonts w:ascii="Arial"/>
          <w:sz w:val="14"/>
        </w:rPr>
        <w:sectPr>
          <w:type w:val="continuous"/>
          <w:pgSz w:w="12240" w:h="15840"/>
          <w:pgMar w:top="0" w:bottom="0" w:left="1020" w:right="1020"/>
        </w:sectPr>
      </w:pPr>
    </w:p>
    <w:p>
      <w:pPr>
        <w:spacing w:before="95"/>
        <w:ind w:left="882" w:right="-6" w:firstLine="0"/>
        <w:jc w:val="left"/>
        <w:rPr>
          <w:rFonts w:ascii="Symbol" w:hAnsi="Symbol"/>
          <w:sz w:val="33"/>
        </w:rPr>
      </w:pPr>
      <w:r>
        <w:rPr>
          <w:rFonts w:ascii="Symbol" w:hAnsi="Symbol"/>
          <w:w w:val="95"/>
          <w:sz w:val="33"/>
        </w:rPr>
        <w:t></w:t>
      </w:r>
      <w:r>
        <w:rPr>
          <w:rFonts w:ascii="Arial" w:hAnsi="Arial"/>
          <w:w w:val="95"/>
          <w:sz w:val="24"/>
        </w:rPr>
        <w:t>9.6440</w:t>
      </w:r>
      <w:r>
        <w:rPr>
          <w:rFonts w:ascii="Symbol" w:hAnsi="Symbol"/>
          <w:w w:val="95"/>
          <w:sz w:val="33"/>
        </w:rPr>
        <w:t></w:t>
      </w:r>
      <w:r>
        <w:rPr>
          <w:rFonts w:ascii="Symbol" w:hAnsi="Symbol"/>
          <w:w w:val="95"/>
          <w:sz w:val="24"/>
        </w:rPr>
        <w:t></w:t>
      </w:r>
      <w:r>
        <w:rPr>
          <w:w w:val="95"/>
          <w:sz w:val="24"/>
        </w:rPr>
        <w:t> </w:t>
      </w:r>
      <w:r>
        <w:rPr>
          <w:rFonts w:ascii="Symbol" w:hAnsi="Symbol"/>
          <w:w w:val="95"/>
          <w:sz w:val="33"/>
        </w:rPr>
        <w:t></w:t>
      </w:r>
      <w:r>
        <w:rPr>
          <w:rFonts w:ascii="Arial" w:hAnsi="Arial"/>
          <w:w w:val="95"/>
          <w:sz w:val="24"/>
        </w:rPr>
        <w:t>0.6773</w:t>
      </w:r>
      <w:r>
        <w:rPr>
          <w:rFonts w:ascii="Symbol" w:hAnsi="Symbol"/>
          <w:w w:val="95"/>
          <w:sz w:val="33"/>
        </w:rPr>
        <w:t></w:t>
      </w:r>
      <w:r>
        <w:rPr>
          <w:rFonts w:ascii="Symbol" w:hAnsi="Symbol"/>
          <w:w w:val="95"/>
          <w:sz w:val="24"/>
        </w:rPr>
        <w:t></w:t>
      </w:r>
      <w:r>
        <w:rPr>
          <w:spacing w:val="53"/>
          <w:w w:val="95"/>
          <w:sz w:val="24"/>
        </w:rPr>
        <w:t> </w:t>
      </w:r>
      <w:r>
        <w:rPr>
          <w:rFonts w:ascii="Symbol" w:hAnsi="Symbol"/>
          <w:spacing w:val="-5"/>
          <w:w w:val="95"/>
          <w:sz w:val="33"/>
        </w:rPr>
        <w:t></w:t>
      </w:r>
      <w:r>
        <w:rPr>
          <w:rFonts w:ascii="Arial" w:hAnsi="Arial"/>
          <w:spacing w:val="-5"/>
          <w:w w:val="95"/>
          <w:sz w:val="24"/>
        </w:rPr>
        <w:t>0.1119</w:t>
      </w:r>
      <w:r>
        <w:rPr>
          <w:rFonts w:ascii="Symbol" w:hAnsi="Symbol"/>
          <w:spacing w:val="-5"/>
          <w:w w:val="95"/>
          <w:sz w:val="33"/>
        </w:rPr>
        <w:t></w:t>
      </w:r>
    </w:p>
    <w:p>
      <w:pPr>
        <w:pStyle w:val="BodyText"/>
        <w:spacing w:before="10"/>
        <w:rPr>
          <w:rFonts w:ascii="Symbol" w:hAnsi="Symbol"/>
        </w:rPr>
      </w:pPr>
      <w:r>
        <w:rPr/>
        <w:br w:type="column"/>
      </w:r>
      <w:r>
        <w:rPr>
          <w:rFonts w:ascii="Symbol" w:hAnsi="Symbol"/>
        </w:rPr>
      </w:r>
    </w:p>
    <w:p>
      <w:pPr>
        <w:pStyle w:val="BodyText"/>
        <w:ind w:left="882"/>
      </w:pPr>
      <w:r>
        <w:rPr/>
        <w:t>(error estándar)</w:t>
      </w:r>
    </w:p>
    <w:p>
      <w:pPr>
        <w:spacing w:after="0"/>
        <w:sectPr>
          <w:type w:val="continuous"/>
          <w:pgSz w:w="12240" w:h="15840"/>
          <w:pgMar w:top="0" w:bottom="0" w:left="1020" w:right="1020"/>
          <w:cols w:num="2" w:equalWidth="0">
            <w:col w:w="3992" w:space="489"/>
            <w:col w:w="5719"/>
          </w:cols>
        </w:sectPr>
      </w:pPr>
    </w:p>
    <w:p>
      <w:pPr>
        <w:pStyle w:val="BodyText"/>
        <w:spacing w:before="10"/>
        <w:rPr>
          <w:sz w:val="11"/>
        </w:rPr>
      </w:pPr>
    </w:p>
    <w:p>
      <w:pPr>
        <w:spacing w:after="0"/>
        <w:rPr>
          <w:sz w:val="11"/>
        </w:rPr>
        <w:sectPr>
          <w:type w:val="continuous"/>
          <w:pgSz w:w="12240" w:h="15840"/>
          <w:pgMar w:top="0" w:bottom="0" w:left="1020" w:right="1020"/>
        </w:sectPr>
      </w:pPr>
    </w:p>
    <w:p>
      <w:pPr>
        <w:spacing w:line="373" w:lineRule="exact" w:before="73"/>
        <w:ind w:left="1126" w:right="0" w:firstLine="0"/>
        <w:jc w:val="left"/>
        <w:rPr>
          <w:rFonts w:ascii="Arial" w:hAnsi="Arial"/>
          <w:sz w:val="24"/>
        </w:rPr>
      </w:pPr>
      <w:r>
        <w:rPr>
          <w:rFonts w:ascii="Arial" w:hAnsi="Arial"/>
          <w:i/>
          <w:spacing w:val="10"/>
          <w:position w:val="11"/>
          <w:sz w:val="26"/>
          <w:u w:val="single"/>
        </w:rPr>
        <w:t>K</w:t>
      </w:r>
      <w:r>
        <w:rPr>
          <w:rFonts w:ascii="Arial" w:hAnsi="Arial"/>
          <w:i/>
          <w:spacing w:val="10"/>
          <w:position w:val="10"/>
          <w:sz w:val="14"/>
          <w:u w:val="single"/>
        </w:rPr>
        <w:t>t</w:t>
      </w:r>
      <w:r>
        <w:rPr>
          <w:rFonts w:ascii="Arial" w:hAnsi="Arial"/>
          <w:i/>
          <w:spacing w:val="33"/>
          <w:position w:val="10"/>
          <w:sz w:val="14"/>
          <w:u w:val="single"/>
        </w:rPr>
        <w:t> </w:t>
      </w:r>
      <w:r>
        <w:rPr>
          <w:rFonts w:ascii="Symbol" w:hAnsi="Symbol"/>
          <w:sz w:val="24"/>
        </w:rPr>
        <w:t></w:t>
      </w:r>
      <w:r>
        <w:rPr>
          <w:spacing w:val="-16"/>
          <w:sz w:val="24"/>
        </w:rPr>
        <w:t> </w:t>
      </w:r>
      <w:r>
        <w:rPr>
          <w:rFonts w:ascii="Symbol" w:hAnsi="Symbol"/>
          <w:sz w:val="24"/>
        </w:rPr>
        <w:t></w:t>
      </w:r>
      <w:r>
        <w:rPr>
          <w:rFonts w:ascii="Arial" w:hAnsi="Arial"/>
          <w:sz w:val="24"/>
        </w:rPr>
        <w:t>0.9646</w:t>
      </w:r>
      <w:r>
        <w:rPr>
          <w:rFonts w:ascii="Arial" w:hAnsi="Arial"/>
          <w:spacing w:val="-38"/>
          <w:sz w:val="24"/>
        </w:rPr>
        <w:t> </w:t>
      </w:r>
      <w:r>
        <w:rPr>
          <w:rFonts w:ascii="Symbol" w:hAnsi="Symbol"/>
          <w:sz w:val="24"/>
        </w:rPr>
        <w:t></w:t>
      </w:r>
      <w:r>
        <w:rPr>
          <w:spacing w:val="-33"/>
          <w:sz w:val="24"/>
        </w:rPr>
        <w:t> </w:t>
      </w:r>
      <w:r>
        <w:rPr>
          <w:rFonts w:ascii="Arial" w:hAnsi="Arial"/>
          <w:sz w:val="24"/>
        </w:rPr>
        <w:t>0.7056</w:t>
      </w:r>
      <w:r>
        <w:rPr>
          <w:rFonts w:ascii="Arial" w:hAnsi="Arial"/>
          <w:spacing w:val="-40"/>
          <w:sz w:val="24"/>
        </w:rPr>
        <w:t> </w:t>
      </w:r>
      <w:r>
        <w:rPr>
          <w:rFonts w:ascii="Arial" w:hAnsi="Arial"/>
          <w:i/>
          <w:spacing w:val="6"/>
          <w:position w:val="11"/>
          <w:sz w:val="26"/>
          <w:u w:val="single"/>
        </w:rPr>
        <w:t>P</w:t>
      </w:r>
      <w:r>
        <w:rPr>
          <w:rFonts w:ascii="Arial" w:hAnsi="Arial"/>
          <w:i/>
          <w:spacing w:val="6"/>
          <w:position w:val="10"/>
          <w:sz w:val="14"/>
          <w:u w:val="single"/>
        </w:rPr>
        <w:t>t</w:t>
      </w:r>
      <w:r>
        <w:rPr>
          <w:rFonts w:ascii="Arial" w:hAnsi="Arial"/>
          <w:i/>
          <w:spacing w:val="22"/>
          <w:position w:val="10"/>
          <w:sz w:val="14"/>
          <w:u w:val="single"/>
        </w:rPr>
        <w:t> </w:t>
      </w:r>
      <w:r>
        <w:rPr>
          <w:rFonts w:ascii="Symbol" w:hAnsi="Symbol"/>
          <w:sz w:val="24"/>
        </w:rPr>
        <w:t></w:t>
      </w:r>
      <w:r>
        <w:rPr>
          <w:spacing w:val="-31"/>
          <w:sz w:val="24"/>
        </w:rPr>
        <w:t> </w:t>
      </w:r>
      <w:r>
        <w:rPr>
          <w:rFonts w:ascii="Arial" w:hAnsi="Arial"/>
          <w:sz w:val="24"/>
        </w:rPr>
        <w:t>0.7335</w:t>
      </w:r>
      <w:r>
        <w:rPr>
          <w:rFonts w:ascii="Arial" w:hAnsi="Arial"/>
          <w:spacing w:val="-29"/>
          <w:sz w:val="24"/>
        </w:rPr>
        <w:t> </w:t>
      </w:r>
      <w:r>
        <w:rPr>
          <w:rFonts w:ascii="Arial" w:hAnsi="Arial"/>
          <w:i/>
          <w:spacing w:val="-4"/>
          <w:position w:val="11"/>
          <w:sz w:val="26"/>
          <w:u w:val="single"/>
        </w:rPr>
        <w:t>A</w:t>
      </w:r>
      <w:r>
        <w:rPr>
          <w:rFonts w:ascii="Arial" w:hAnsi="Arial"/>
          <w:i/>
          <w:spacing w:val="-4"/>
          <w:position w:val="10"/>
          <w:sz w:val="14"/>
          <w:u w:val="single"/>
        </w:rPr>
        <w:t>t</w:t>
      </w:r>
      <w:r>
        <w:rPr>
          <w:rFonts w:ascii="Arial" w:hAnsi="Arial"/>
          <w:i/>
          <w:spacing w:val="22"/>
          <w:position w:val="10"/>
          <w:sz w:val="14"/>
          <w:u w:val="single"/>
        </w:rPr>
        <w:t> </w:t>
      </w:r>
      <w:r>
        <w:rPr>
          <w:rFonts w:ascii="Symbol" w:hAnsi="Symbol"/>
          <w:sz w:val="24"/>
        </w:rPr>
        <w:t></w:t>
      </w:r>
      <w:r>
        <w:rPr>
          <w:spacing w:val="-30"/>
          <w:sz w:val="24"/>
        </w:rPr>
        <w:t> </w:t>
      </w:r>
      <w:r>
        <w:rPr>
          <w:rFonts w:ascii="Arial" w:hAnsi="Arial"/>
          <w:sz w:val="24"/>
        </w:rPr>
        <w:t>0.0340</w:t>
      </w:r>
      <w:r>
        <w:rPr>
          <w:rFonts w:ascii="Arial" w:hAnsi="Arial"/>
          <w:i/>
          <w:position w:val="11"/>
          <w:sz w:val="26"/>
          <w:u w:val="single"/>
        </w:rPr>
        <w:t>Y</w:t>
      </w:r>
      <w:r>
        <w:rPr>
          <w:rFonts w:ascii="Arial" w:hAnsi="Arial"/>
          <w:i/>
          <w:spacing w:val="-50"/>
          <w:position w:val="11"/>
          <w:sz w:val="26"/>
          <w:u w:val="single"/>
        </w:rPr>
        <w:t> </w:t>
      </w:r>
      <w:r>
        <w:rPr>
          <w:rFonts w:ascii="Arial" w:hAnsi="Arial"/>
          <w:i/>
          <w:position w:val="10"/>
          <w:sz w:val="14"/>
          <w:u w:val="single"/>
        </w:rPr>
        <w:t>t</w:t>
      </w:r>
      <w:r>
        <w:rPr>
          <w:rFonts w:ascii="Arial" w:hAnsi="Arial"/>
          <w:i/>
          <w:spacing w:val="-25"/>
          <w:position w:val="10"/>
          <w:sz w:val="14"/>
          <w:u w:val="single"/>
        </w:rPr>
        <w:t> </w:t>
      </w:r>
      <w:r>
        <w:rPr>
          <w:rFonts w:ascii="Symbol" w:hAnsi="Symbol"/>
          <w:spacing w:val="-4"/>
          <w:position w:val="10"/>
          <w:sz w:val="14"/>
          <w:u w:val="single"/>
        </w:rPr>
        <w:t></w:t>
      </w:r>
      <w:r>
        <w:rPr>
          <w:rFonts w:ascii="Arial" w:hAnsi="Arial"/>
          <w:spacing w:val="-4"/>
          <w:position w:val="10"/>
          <w:sz w:val="14"/>
          <w:u w:val="single"/>
        </w:rPr>
        <w:t>1</w:t>
      </w:r>
      <w:r>
        <w:rPr>
          <w:rFonts w:ascii="Arial" w:hAnsi="Arial"/>
          <w:spacing w:val="-3"/>
          <w:position w:val="10"/>
          <w:sz w:val="14"/>
          <w:u w:val="single"/>
        </w:rPr>
        <w:t> </w:t>
      </w:r>
      <w:r>
        <w:rPr>
          <w:rFonts w:ascii="Symbol" w:hAnsi="Symbol"/>
          <w:sz w:val="24"/>
        </w:rPr>
        <w:t></w:t>
      </w:r>
      <w:r>
        <w:rPr>
          <w:spacing w:val="-33"/>
          <w:sz w:val="24"/>
        </w:rPr>
        <w:t> </w:t>
      </w:r>
      <w:r>
        <w:rPr>
          <w:rFonts w:ascii="Arial" w:hAnsi="Arial"/>
          <w:spacing w:val="-3"/>
          <w:sz w:val="24"/>
        </w:rPr>
        <w:t>0.0673</w:t>
      </w:r>
      <w:r>
        <w:rPr>
          <w:rFonts w:ascii="Arial" w:hAnsi="Arial"/>
          <w:i/>
          <w:spacing w:val="-3"/>
          <w:sz w:val="24"/>
        </w:rPr>
        <w:t>t</w:t>
      </w:r>
      <w:r>
        <w:rPr>
          <w:rFonts w:ascii="Arial" w:hAnsi="Arial"/>
          <w:i/>
          <w:spacing w:val="-20"/>
          <w:sz w:val="24"/>
        </w:rPr>
        <w:t> </w:t>
      </w:r>
      <w:r>
        <w:rPr>
          <w:rFonts w:ascii="Arial" w:hAnsi="Arial"/>
          <w:sz w:val="24"/>
        </w:rPr>
        <w:t>;</w:t>
      </w:r>
    </w:p>
    <w:p>
      <w:pPr>
        <w:spacing w:line="260" w:lineRule="exact" w:before="186"/>
        <w:ind w:left="781" w:right="0" w:firstLine="0"/>
        <w:jc w:val="left"/>
        <w:rPr>
          <w:rFonts w:ascii="Arial" w:hAnsi="Arial"/>
          <w:sz w:val="24"/>
        </w:rPr>
      </w:pPr>
      <w:r>
        <w:rPr/>
        <w:br w:type="column"/>
      </w:r>
      <w:r>
        <w:rPr>
          <w:rFonts w:ascii="Arial" w:hAnsi="Arial"/>
          <w:i/>
          <w:position w:val="-3"/>
          <w:sz w:val="26"/>
        </w:rPr>
        <w:t>R</w:t>
      </w:r>
      <w:r>
        <w:rPr>
          <w:rFonts w:ascii="Arial" w:hAnsi="Arial"/>
          <w:position w:val="10"/>
          <w:sz w:val="14"/>
        </w:rPr>
        <w:t>2 </w:t>
      </w:r>
      <w:r>
        <w:rPr>
          <w:rFonts w:ascii="Symbol" w:hAnsi="Symbol"/>
          <w:sz w:val="24"/>
        </w:rPr>
        <w:t></w:t>
      </w:r>
      <w:r>
        <w:rPr>
          <w:sz w:val="24"/>
        </w:rPr>
        <w:t> </w:t>
      </w:r>
      <w:r>
        <w:rPr>
          <w:rFonts w:ascii="Arial" w:hAnsi="Arial"/>
          <w:sz w:val="24"/>
        </w:rPr>
        <w:t>0.4142</w:t>
      </w:r>
    </w:p>
    <w:p>
      <w:pPr>
        <w:spacing w:after="0" w:line="260" w:lineRule="exact"/>
        <w:jc w:val="left"/>
        <w:rPr>
          <w:rFonts w:ascii="Arial" w:hAnsi="Arial"/>
          <w:sz w:val="24"/>
        </w:rPr>
        <w:sectPr>
          <w:type w:val="continuous"/>
          <w:pgSz w:w="12240" w:h="15840"/>
          <w:pgMar w:top="0" w:bottom="0" w:left="1020" w:right="1020"/>
          <w:cols w:num="2" w:equalWidth="0">
            <w:col w:w="7310" w:space="40"/>
            <w:col w:w="2850"/>
          </w:cols>
        </w:sectPr>
      </w:pPr>
    </w:p>
    <w:p>
      <w:pPr>
        <w:pStyle w:val="ListParagraph"/>
        <w:numPr>
          <w:ilvl w:val="0"/>
          <w:numId w:val="3"/>
        </w:numPr>
        <w:tabs>
          <w:tab w:pos="1152" w:val="left" w:leader="none"/>
        </w:tabs>
        <w:spacing w:line="339" w:lineRule="exact" w:before="0" w:after="0"/>
        <w:ind w:left="1151" w:right="0" w:hanging="330"/>
        <w:jc w:val="left"/>
        <w:rPr>
          <w:rFonts w:ascii="Arial"/>
          <w:i/>
          <w:sz w:val="14"/>
        </w:rPr>
      </w:pPr>
      <w:r>
        <w:rPr>
          <w:rFonts w:ascii="Arial"/>
          <w:i/>
          <w:spacing w:val="-1"/>
          <w:w w:val="95"/>
          <w:position w:val="7"/>
          <w:sz w:val="26"/>
        </w:rPr>
        <w:t>L</w:t>
      </w:r>
      <w:r>
        <w:rPr>
          <w:rFonts w:ascii="Arial"/>
          <w:i/>
          <w:spacing w:val="-1"/>
          <w:w w:val="95"/>
          <w:position w:val="6"/>
          <w:sz w:val="14"/>
        </w:rPr>
        <w:t>t</w:t>
      </w:r>
    </w:p>
    <w:p>
      <w:pPr>
        <w:tabs>
          <w:tab w:pos="2028" w:val="left" w:leader="none"/>
        </w:tabs>
        <w:spacing w:line="271" w:lineRule="exact" w:before="0"/>
        <w:ind w:left="821" w:right="0" w:firstLine="0"/>
        <w:jc w:val="left"/>
        <w:rPr>
          <w:rFonts w:ascii="Arial"/>
          <w:i/>
          <w:sz w:val="14"/>
        </w:rPr>
      </w:pPr>
      <w:r>
        <w:rPr/>
        <w:br w:type="column"/>
      </w:r>
      <w:r>
        <w:rPr>
          <w:rFonts w:ascii="Arial"/>
          <w:i/>
          <w:position w:val="1"/>
          <w:sz w:val="26"/>
        </w:rPr>
        <w:t>L</w:t>
      </w:r>
      <w:r>
        <w:rPr>
          <w:rFonts w:ascii="Arial"/>
          <w:i/>
          <w:sz w:val="14"/>
        </w:rPr>
        <w:t>t</w:t>
        <w:tab/>
      </w:r>
      <w:r>
        <w:rPr>
          <w:rFonts w:ascii="Arial"/>
          <w:i/>
          <w:spacing w:val="-1"/>
          <w:w w:val="95"/>
          <w:position w:val="1"/>
          <w:sz w:val="26"/>
        </w:rPr>
        <w:t>L</w:t>
      </w:r>
      <w:r>
        <w:rPr>
          <w:rFonts w:ascii="Arial"/>
          <w:i/>
          <w:spacing w:val="-1"/>
          <w:w w:val="95"/>
          <w:sz w:val="14"/>
        </w:rPr>
        <w:t>t</w:t>
      </w:r>
    </w:p>
    <w:p>
      <w:pPr>
        <w:spacing w:line="271" w:lineRule="exact" w:before="0"/>
        <w:ind w:left="821" w:right="0" w:firstLine="0"/>
        <w:jc w:val="left"/>
        <w:rPr>
          <w:rFonts w:ascii="Arial" w:hAnsi="Arial"/>
          <w:sz w:val="14"/>
        </w:rPr>
      </w:pPr>
      <w:r>
        <w:rPr/>
        <w:br w:type="column"/>
      </w:r>
      <w:r>
        <w:rPr>
          <w:rFonts w:ascii="Arial" w:hAnsi="Arial"/>
          <w:i/>
          <w:position w:val="1"/>
          <w:sz w:val="26"/>
        </w:rPr>
        <w:t>L</w:t>
      </w:r>
      <w:r>
        <w:rPr>
          <w:rFonts w:ascii="Arial" w:hAnsi="Arial"/>
          <w:i/>
          <w:sz w:val="14"/>
        </w:rPr>
        <w:t>t </w:t>
      </w:r>
      <w:r>
        <w:rPr>
          <w:rFonts w:ascii="Symbol" w:hAnsi="Symbol"/>
          <w:sz w:val="14"/>
        </w:rPr>
        <w:t></w:t>
      </w:r>
      <w:r>
        <w:rPr>
          <w:rFonts w:ascii="Arial" w:hAnsi="Arial"/>
          <w:sz w:val="14"/>
        </w:rPr>
        <w:t>1</w:t>
      </w:r>
    </w:p>
    <w:p>
      <w:pPr>
        <w:spacing w:after="0" w:line="271" w:lineRule="exact"/>
        <w:jc w:val="left"/>
        <w:rPr>
          <w:rFonts w:ascii="Arial" w:hAnsi="Arial"/>
          <w:sz w:val="14"/>
        </w:rPr>
        <w:sectPr>
          <w:type w:val="continuous"/>
          <w:pgSz w:w="12240" w:h="15840"/>
          <w:pgMar w:top="0" w:bottom="0" w:left="1020" w:right="1020"/>
          <w:cols w:num="3" w:equalWidth="0">
            <w:col w:w="1330" w:space="1284"/>
            <w:col w:w="2207" w:space="207"/>
            <w:col w:w="5172"/>
          </w:cols>
        </w:sectPr>
      </w:pPr>
    </w:p>
    <w:p>
      <w:pPr>
        <w:pStyle w:val="BodyText"/>
        <w:spacing w:before="5"/>
        <w:rPr>
          <w:rFonts w:ascii="Arial"/>
          <w:sz w:val="9"/>
        </w:rPr>
      </w:pPr>
    </w:p>
    <w:p>
      <w:pPr>
        <w:spacing w:after="0"/>
        <w:rPr>
          <w:rFonts w:ascii="Arial"/>
          <w:sz w:val="9"/>
        </w:rPr>
        <w:sectPr>
          <w:type w:val="continuous"/>
          <w:pgSz w:w="12240" w:h="15840"/>
          <w:pgMar w:top="0" w:bottom="0" w:left="1020" w:right="1020"/>
        </w:sectPr>
      </w:pPr>
    </w:p>
    <w:p>
      <w:pPr>
        <w:spacing w:before="68"/>
        <w:ind w:left="513" w:right="-15" w:firstLine="0"/>
        <w:jc w:val="left"/>
        <w:rPr>
          <w:rFonts w:ascii="Arial"/>
          <w:sz w:val="25"/>
        </w:rPr>
      </w:pPr>
      <w:r>
        <w:rPr>
          <w:rFonts w:ascii="Arial"/>
          <w:spacing w:val="-7"/>
          <w:w w:val="105"/>
          <w:sz w:val="25"/>
        </w:rPr>
        <w:t>(3.6818)</w:t>
      </w:r>
    </w:p>
    <w:p>
      <w:pPr>
        <w:pStyle w:val="BodyText"/>
        <w:spacing w:before="6"/>
        <w:rPr>
          <w:rFonts w:ascii="Arial"/>
        </w:rPr>
      </w:pPr>
    </w:p>
    <w:p>
      <w:pPr>
        <w:pStyle w:val="BodyText"/>
        <w:ind w:left="821" w:right="-15"/>
      </w:pPr>
      <w:r>
        <w:rPr>
          <w:spacing w:val="-1"/>
        </w:rPr>
        <w:t>donde:</w:t>
      </w:r>
    </w:p>
    <w:p>
      <w:pPr>
        <w:pStyle w:val="Heading4"/>
        <w:ind w:left="326"/>
      </w:pPr>
      <w:r>
        <w:rPr/>
        <w:br w:type="column"/>
      </w:r>
      <w:r>
        <w:rPr>
          <w:spacing w:val="-7"/>
        </w:rPr>
        <w:t>(0.9485)</w:t>
      </w:r>
    </w:p>
    <w:p>
      <w:pPr>
        <w:spacing w:before="68"/>
        <w:ind w:left="447" w:right="0" w:firstLine="0"/>
        <w:jc w:val="left"/>
        <w:rPr>
          <w:rFonts w:ascii="Arial"/>
          <w:sz w:val="25"/>
        </w:rPr>
      </w:pPr>
      <w:r>
        <w:rPr/>
        <w:br w:type="column"/>
      </w:r>
      <w:r>
        <w:rPr>
          <w:rFonts w:ascii="Arial"/>
          <w:spacing w:val="-7"/>
          <w:sz w:val="25"/>
        </w:rPr>
        <w:t>(0.9159)</w:t>
      </w:r>
    </w:p>
    <w:p>
      <w:pPr>
        <w:spacing w:before="68"/>
        <w:ind w:left="298" w:right="0" w:firstLine="0"/>
        <w:jc w:val="left"/>
        <w:rPr>
          <w:rFonts w:ascii="Arial"/>
          <w:sz w:val="25"/>
        </w:rPr>
      </w:pPr>
      <w:r>
        <w:rPr/>
        <w:br w:type="column"/>
      </w:r>
      <w:r>
        <w:rPr>
          <w:rFonts w:ascii="Arial"/>
          <w:spacing w:val="-7"/>
          <w:sz w:val="25"/>
        </w:rPr>
        <w:t>(0.0757)</w:t>
      </w:r>
    </w:p>
    <w:p>
      <w:pPr>
        <w:spacing w:before="68"/>
        <w:ind w:left="372" w:right="0" w:firstLine="0"/>
        <w:jc w:val="left"/>
        <w:rPr>
          <w:rFonts w:ascii="Arial"/>
          <w:sz w:val="25"/>
        </w:rPr>
      </w:pPr>
      <w:r>
        <w:rPr/>
        <w:br w:type="column"/>
      </w:r>
      <w:r>
        <w:rPr>
          <w:rFonts w:ascii="Arial"/>
          <w:spacing w:val="-7"/>
          <w:sz w:val="25"/>
        </w:rPr>
        <w:t>(0.0665)</w:t>
      </w:r>
    </w:p>
    <w:p>
      <w:pPr>
        <w:pStyle w:val="BodyText"/>
        <w:spacing w:before="180"/>
        <w:ind w:left="62"/>
      </w:pPr>
      <w:r>
        <w:rPr/>
        <w:br w:type="column"/>
      </w:r>
      <w:r>
        <w:rPr/>
        <w:t>(error estándar)</w:t>
      </w:r>
    </w:p>
    <w:p>
      <w:pPr>
        <w:spacing w:after="0"/>
        <w:sectPr>
          <w:type w:val="continuous"/>
          <w:pgSz w:w="12240" w:h="15840"/>
          <w:pgMar w:top="0" w:bottom="0" w:left="1020" w:right="1020"/>
          <w:cols w:num="6" w:equalWidth="0">
            <w:col w:w="1474" w:space="40"/>
            <w:col w:w="1241" w:space="40"/>
            <w:col w:w="1361" w:space="40"/>
            <w:col w:w="1212" w:space="40"/>
            <w:col w:w="1287" w:space="40"/>
            <w:col w:w="3425"/>
          </w:cols>
        </w:sectPr>
      </w:pPr>
    </w:p>
    <w:p>
      <w:pPr>
        <w:pStyle w:val="BodyText"/>
        <w:spacing w:before="9"/>
        <w:rPr>
          <w:sz w:val="9"/>
        </w:rPr>
      </w:pPr>
    </w:p>
    <w:p>
      <w:pPr>
        <w:spacing w:line="459" w:lineRule="exact" w:before="60"/>
        <w:ind w:left="837" w:right="110" w:firstLine="0"/>
        <w:jc w:val="left"/>
        <w:rPr>
          <w:rFonts w:ascii="Arial" w:hAnsi="Arial"/>
          <w:i/>
          <w:sz w:val="24"/>
        </w:rPr>
      </w:pPr>
      <w:r>
        <w:rPr>
          <w:rFonts w:ascii="Arial" w:hAnsi="Arial"/>
          <w:i/>
          <w:position w:val="13"/>
          <w:sz w:val="36"/>
          <w:u w:val="single"/>
        </w:rPr>
        <w:t>Y  </w:t>
      </w:r>
      <w:r>
        <w:rPr>
          <w:rFonts w:ascii="Symbol" w:hAnsi="Symbol"/>
          <w:sz w:val="24"/>
        </w:rPr>
        <w:t></w:t>
      </w:r>
      <w:r>
        <w:rPr>
          <w:sz w:val="24"/>
        </w:rPr>
        <w:t> </w:t>
      </w:r>
      <w:r>
        <w:rPr>
          <w:rFonts w:ascii="Arial" w:hAnsi="Arial"/>
          <w:i/>
          <w:sz w:val="24"/>
        </w:rPr>
        <w:t>y </w:t>
      </w:r>
      <w:r>
        <w:rPr>
          <w:rFonts w:ascii="Symbol" w:hAnsi="Symbol"/>
          <w:sz w:val="24"/>
        </w:rPr>
        <w:t></w:t>
      </w:r>
      <w:r>
        <w:rPr>
          <w:sz w:val="24"/>
        </w:rPr>
        <w:t> </w:t>
      </w:r>
      <w:r>
        <w:rPr>
          <w:rFonts w:ascii="Arial" w:hAnsi="Arial"/>
          <w:sz w:val="24"/>
        </w:rPr>
        <w:t>Pr </w:t>
      </w:r>
      <w:r>
        <w:rPr>
          <w:rFonts w:ascii="Arial" w:hAnsi="Arial"/>
          <w:i/>
          <w:sz w:val="24"/>
        </w:rPr>
        <w:t>oducto per cápita</w:t>
      </w:r>
    </w:p>
    <w:p>
      <w:pPr>
        <w:tabs>
          <w:tab w:pos="4078" w:val="left" w:leader="none"/>
        </w:tabs>
        <w:spacing w:line="428" w:lineRule="exact" w:before="0"/>
        <w:ind w:left="893" w:right="110" w:firstLine="0"/>
        <w:jc w:val="left"/>
        <w:rPr>
          <w:sz w:val="24"/>
        </w:rPr>
      </w:pPr>
      <w:r>
        <w:rPr>
          <w:rFonts w:ascii="Arial"/>
          <w:i/>
          <w:sz w:val="36"/>
        </w:rPr>
        <w:t>L</w:t>
        <w:tab/>
      </w:r>
      <w:r>
        <w:rPr>
          <w:position w:val="-9"/>
          <w:sz w:val="24"/>
        </w:rPr>
        <w:t>.</w:t>
      </w:r>
    </w:p>
    <w:p>
      <w:pPr>
        <w:spacing w:after="0" w:line="428" w:lineRule="exact"/>
        <w:jc w:val="left"/>
        <w:rPr>
          <w:sz w:val="24"/>
        </w:rPr>
        <w:sectPr>
          <w:type w:val="continuous"/>
          <w:pgSz w:w="12240" w:h="15840"/>
          <w:pgMar w:top="0" w:bottom="0" w:left="1020" w:right="1020"/>
        </w:sectPr>
      </w:pPr>
    </w:p>
    <w:p>
      <w:pPr>
        <w:tabs>
          <w:tab w:pos="5982" w:val="left" w:leader="none"/>
        </w:tabs>
        <w:spacing w:line="192" w:lineRule="auto" w:before="212"/>
        <w:ind w:left="969" w:right="4155" w:hanging="105"/>
        <w:jc w:val="left"/>
        <w:rPr>
          <w:sz w:val="24"/>
        </w:rPr>
      </w:pPr>
      <w:r>
        <w:rPr>
          <w:rFonts w:ascii="Arial" w:hAnsi="Arial"/>
          <w:i/>
          <w:w w:val="105"/>
          <w:position w:val="13"/>
          <w:sz w:val="35"/>
          <w:u w:val="single"/>
        </w:rPr>
        <w:t>K  </w:t>
      </w:r>
      <w:r>
        <w:rPr>
          <w:rFonts w:ascii="Symbol" w:hAnsi="Symbol"/>
          <w:w w:val="105"/>
          <w:sz w:val="23"/>
        </w:rPr>
        <w:t></w:t>
      </w:r>
      <w:r>
        <w:rPr>
          <w:w w:val="105"/>
          <w:sz w:val="23"/>
        </w:rPr>
        <w:t> </w:t>
      </w:r>
      <w:r>
        <w:rPr>
          <w:rFonts w:ascii="Arial" w:hAnsi="Arial"/>
          <w:i/>
          <w:w w:val="105"/>
          <w:sz w:val="23"/>
        </w:rPr>
        <w:t>k </w:t>
      </w:r>
      <w:r>
        <w:rPr>
          <w:rFonts w:ascii="Symbol" w:hAnsi="Symbol"/>
          <w:w w:val="105"/>
          <w:sz w:val="23"/>
        </w:rPr>
        <w:t></w:t>
      </w:r>
      <w:r>
        <w:rPr>
          <w:w w:val="105"/>
          <w:sz w:val="23"/>
        </w:rPr>
        <w:t> </w:t>
      </w:r>
      <w:r>
        <w:rPr>
          <w:rFonts w:ascii="Arial" w:hAnsi="Arial"/>
          <w:i/>
          <w:w w:val="105"/>
          <w:sz w:val="23"/>
        </w:rPr>
        <w:t>Formación Bruta de Capital per cápita </w:t>
      </w:r>
      <w:r>
        <w:rPr>
          <w:rFonts w:ascii="Arial" w:hAnsi="Arial"/>
          <w:i/>
          <w:w w:val="105"/>
          <w:sz w:val="23"/>
        </w:rPr>
        <w:t>L</w:t>
        <w:tab/>
      </w:r>
      <w:r>
        <w:rPr>
          <w:position w:val="-5"/>
          <w:sz w:val="24"/>
        </w:rPr>
        <w:t>.</w:t>
      </w:r>
    </w:p>
    <w:p>
      <w:pPr>
        <w:pStyle w:val="BodyText"/>
        <w:spacing w:before="10"/>
        <w:rPr>
          <w:sz w:val="10"/>
        </w:rPr>
      </w:pPr>
    </w:p>
    <w:p>
      <w:pPr>
        <w:spacing w:line="365" w:lineRule="exact" w:before="79"/>
        <w:ind w:left="912" w:right="110" w:firstLine="0"/>
        <w:jc w:val="left"/>
        <w:rPr>
          <w:rFonts w:ascii="Arial" w:hAnsi="Arial"/>
          <w:i/>
          <w:sz w:val="24"/>
        </w:rPr>
      </w:pPr>
      <w:r>
        <w:rPr/>
        <w:pict>
          <v:line style="position:absolute;mso-position-horizontal-relative:page;mso-position-vertical-relative:paragraph;z-index:-45952" from="94.548462pt,20.046915pt" to="108.621277pt,20.046915pt" stroked="true" strokeweight=".137617pt" strokecolor="#000000">
            <w10:wrap type="none"/>
          </v:line>
        </w:pict>
      </w:r>
      <w:r>
        <w:rPr>
          <w:rFonts w:ascii="Arial" w:hAnsi="Arial"/>
          <w:i/>
          <w:w w:val="105"/>
          <w:position w:val="15"/>
          <w:sz w:val="24"/>
        </w:rPr>
        <w:t>P  </w:t>
      </w:r>
      <w:r>
        <w:rPr>
          <w:rFonts w:ascii="Symbol" w:hAnsi="Symbol"/>
          <w:w w:val="105"/>
          <w:sz w:val="24"/>
        </w:rPr>
        <w:t></w:t>
      </w:r>
      <w:r>
        <w:rPr>
          <w:w w:val="105"/>
          <w:sz w:val="24"/>
        </w:rPr>
        <w:t> </w:t>
      </w:r>
      <w:r>
        <w:rPr>
          <w:rFonts w:ascii="Arial" w:hAnsi="Arial"/>
          <w:i/>
          <w:w w:val="105"/>
          <w:sz w:val="24"/>
        </w:rPr>
        <w:t>p </w:t>
      </w:r>
      <w:r>
        <w:rPr>
          <w:rFonts w:ascii="Symbol" w:hAnsi="Symbol"/>
          <w:w w:val="105"/>
          <w:sz w:val="24"/>
        </w:rPr>
        <w:t></w:t>
      </w:r>
      <w:r>
        <w:rPr>
          <w:w w:val="105"/>
          <w:sz w:val="24"/>
        </w:rPr>
        <w:t> </w:t>
      </w:r>
      <w:r>
        <w:rPr>
          <w:rFonts w:ascii="Arial" w:hAnsi="Arial"/>
          <w:w w:val="105"/>
          <w:sz w:val="24"/>
        </w:rPr>
        <w:t>Pr </w:t>
      </w:r>
      <w:r>
        <w:rPr>
          <w:rFonts w:ascii="Arial" w:hAnsi="Arial"/>
          <w:i/>
          <w:w w:val="105"/>
          <w:sz w:val="24"/>
        </w:rPr>
        <w:t>ocampo per cápita</w:t>
      </w:r>
    </w:p>
    <w:p>
      <w:pPr>
        <w:tabs>
          <w:tab w:pos="4150" w:val="left" w:leader="none"/>
        </w:tabs>
        <w:spacing w:line="426" w:lineRule="exact" w:before="0"/>
        <w:ind w:left="865" w:right="110" w:firstLine="0"/>
        <w:jc w:val="left"/>
        <w:rPr>
          <w:sz w:val="24"/>
        </w:rPr>
      </w:pPr>
      <w:r>
        <w:rPr>
          <w:rFonts w:ascii="Arial"/>
          <w:i/>
          <w:sz w:val="37"/>
        </w:rPr>
        <w:t>L</w:t>
        <w:tab/>
      </w:r>
      <w:r>
        <w:rPr>
          <w:position w:val="-8"/>
          <w:sz w:val="24"/>
        </w:rPr>
        <w:t>.</w:t>
      </w:r>
    </w:p>
    <w:p>
      <w:pPr>
        <w:spacing w:line="365" w:lineRule="exact" w:before="194"/>
        <w:ind w:left="930" w:right="110" w:firstLine="0"/>
        <w:jc w:val="left"/>
        <w:rPr>
          <w:rFonts w:ascii="Arial" w:hAnsi="Arial"/>
          <w:i/>
          <w:sz w:val="24"/>
        </w:rPr>
      </w:pPr>
      <w:r>
        <w:rPr/>
        <w:pict>
          <v:line style="position:absolute;mso-position-horizontal-relative:page;mso-position-vertical-relative:paragraph;z-index:-45928" from="94.528038pt,25.796926pt" to="108.5995pt,25.796926pt" stroked="true" strokeweight=".137617pt" strokecolor="#000000">
            <w10:wrap type="none"/>
          </v:line>
        </w:pict>
      </w:r>
      <w:r>
        <w:rPr>
          <w:rFonts w:ascii="Arial" w:hAnsi="Arial"/>
          <w:i/>
          <w:w w:val="105"/>
          <w:position w:val="15"/>
          <w:sz w:val="24"/>
        </w:rPr>
        <w:t>A  </w:t>
      </w:r>
      <w:r>
        <w:rPr>
          <w:rFonts w:ascii="Symbol" w:hAnsi="Symbol"/>
          <w:w w:val="105"/>
          <w:sz w:val="24"/>
        </w:rPr>
        <w:t></w:t>
      </w:r>
      <w:r>
        <w:rPr>
          <w:w w:val="105"/>
          <w:sz w:val="24"/>
        </w:rPr>
        <w:t> </w:t>
      </w:r>
      <w:r>
        <w:rPr>
          <w:rFonts w:ascii="Arial" w:hAnsi="Arial"/>
          <w:i/>
          <w:w w:val="105"/>
          <w:sz w:val="24"/>
        </w:rPr>
        <w:t>l </w:t>
      </w:r>
      <w:r>
        <w:rPr>
          <w:rFonts w:ascii="Symbol" w:hAnsi="Symbol"/>
          <w:w w:val="105"/>
          <w:sz w:val="24"/>
        </w:rPr>
        <w:t></w:t>
      </w:r>
      <w:r>
        <w:rPr>
          <w:w w:val="105"/>
          <w:sz w:val="24"/>
        </w:rPr>
        <w:t> </w:t>
      </w:r>
      <w:r>
        <w:rPr>
          <w:rFonts w:ascii="Arial" w:hAnsi="Arial"/>
          <w:i/>
          <w:w w:val="105"/>
          <w:sz w:val="24"/>
        </w:rPr>
        <w:t>Alianza per cápita</w:t>
      </w:r>
    </w:p>
    <w:p>
      <w:pPr>
        <w:tabs>
          <w:tab w:pos="3730" w:val="left" w:leader="none"/>
        </w:tabs>
        <w:spacing w:line="426" w:lineRule="exact" w:before="0"/>
        <w:ind w:left="865" w:right="110" w:firstLine="0"/>
        <w:jc w:val="left"/>
        <w:rPr>
          <w:sz w:val="24"/>
        </w:rPr>
      </w:pPr>
      <w:r>
        <w:rPr>
          <w:rFonts w:ascii="Arial"/>
          <w:i/>
          <w:sz w:val="37"/>
        </w:rPr>
        <w:t>L</w:t>
        <w:tab/>
      </w:r>
      <w:r>
        <w:rPr>
          <w:position w:val="-8"/>
          <w:sz w:val="24"/>
        </w:rPr>
        <w:t>.</w:t>
      </w:r>
    </w:p>
    <w:p>
      <w:pPr>
        <w:pStyle w:val="BodyText"/>
        <w:spacing w:before="8"/>
        <w:rPr>
          <w:sz w:val="9"/>
        </w:rPr>
      </w:pPr>
    </w:p>
    <w:p>
      <w:pPr>
        <w:pStyle w:val="Heading5"/>
        <w:numPr>
          <w:ilvl w:val="1"/>
          <w:numId w:val="2"/>
        </w:numPr>
        <w:tabs>
          <w:tab w:pos="594" w:val="left" w:leader="none"/>
        </w:tabs>
        <w:spacing w:line="240" w:lineRule="auto" w:before="70" w:after="0"/>
        <w:ind w:left="593" w:right="0" w:hanging="481"/>
        <w:jc w:val="left"/>
      </w:pPr>
      <w:r>
        <w:rPr/>
        <w:t>Modelo de multiplicadores de</w:t>
      </w:r>
      <w:r>
        <w:rPr>
          <w:spacing w:val="-13"/>
        </w:rPr>
        <w:t> </w:t>
      </w:r>
      <w:r>
        <w:rPr/>
        <w:t>impacto</w:t>
      </w:r>
    </w:p>
    <w:p>
      <w:pPr>
        <w:pStyle w:val="BodyText"/>
        <w:spacing w:line="398" w:lineRule="auto" w:before="175"/>
        <w:ind w:left="821" w:right="6752" w:hanging="709"/>
      </w:pPr>
      <w:r>
        <w:rPr/>
        <w:t>Esto se lee de la manera siguiente: Datos del último año 2014.</w:t>
      </w:r>
    </w:p>
    <w:p>
      <w:pPr>
        <w:pStyle w:val="BodyText"/>
        <w:spacing w:line="398" w:lineRule="auto" w:before="7"/>
        <w:ind w:left="821" w:right="5518"/>
      </w:pPr>
      <w:r>
        <w:rPr/>
        <w:t>y = 38.3758 miles de pesos por</w:t>
      </w:r>
      <w:r>
        <w:rPr>
          <w:spacing w:val="-7"/>
        </w:rPr>
        <w:t> </w:t>
      </w:r>
      <w:r>
        <w:rPr/>
        <w:t>persona. k = 1.4804 miles de pesos por persona. p = 2.0115 miles de pesos por persona. l = 0.3434 miles de pesos por</w:t>
      </w:r>
      <w:r>
        <w:rPr>
          <w:spacing w:val="-6"/>
        </w:rPr>
        <w:t> </w:t>
      </w:r>
      <w:r>
        <w:rPr/>
        <w:t>persona.</w:t>
      </w:r>
    </w:p>
    <w:p>
      <w:pPr>
        <w:pStyle w:val="BodyText"/>
        <w:spacing w:line="259" w:lineRule="auto" w:before="9"/>
        <w:ind w:left="112" w:right="115" w:firstLine="708"/>
        <w:jc w:val="both"/>
      </w:pPr>
      <w:r>
        <w:rPr/>
        <w:t>Si PROCAMPO aumenta sus aportaciones en 1%, es decir 0.0201 pesos por persona, entonces es de esperarse que el producto per cápita aumente en 0.2086 pesos, que es el 0.54 % </w:t>
      </w:r>
      <w:r>
        <w:rPr>
          <w:spacing w:val="-3"/>
        </w:rPr>
        <w:t>y, </w:t>
      </w:r>
      <w:r>
        <w:rPr/>
        <w:t>en 0.0152  pesos en formación bruta de capital per cápita, que es el 0.96%. Estos incrementos se deben esperan en un tiempo</w:t>
      </w:r>
      <w:r>
        <w:rPr>
          <w:spacing w:val="-5"/>
        </w:rPr>
        <w:t> </w:t>
      </w:r>
      <w:r>
        <w:rPr/>
        <w:t>corto.</w:t>
      </w:r>
    </w:p>
    <w:p>
      <w:pPr>
        <w:pStyle w:val="Heading5"/>
        <w:numPr>
          <w:ilvl w:val="1"/>
          <w:numId w:val="2"/>
        </w:numPr>
        <w:tabs>
          <w:tab w:pos="654" w:val="left" w:leader="none"/>
        </w:tabs>
        <w:spacing w:line="240" w:lineRule="auto" w:before="166" w:after="0"/>
        <w:ind w:left="653" w:right="0" w:hanging="541"/>
        <w:jc w:val="left"/>
      </w:pPr>
      <w:r>
        <w:rPr/>
        <w:t>Modelo de multiplicadores de largo</w:t>
      </w:r>
      <w:r>
        <w:rPr>
          <w:spacing w:val="-11"/>
        </w:rPr>
        <w:t> </w:t>
      </w:r>
      <w:r>
        <w:rPr/>
        <w:t>plazo</w:t>
      </w:r>
    </w:p>
    <w:p>
      <w:pPr>
        <w:pStyle w:val="BodyText"/>
        <w:spacing w:before="8"/>
        <w:rPr>
          <w:b/>
          <w:sz w:val="11"/>
        </w:rPr>
      </w:pPr>
    </w:p>
    <w:p>
      <w:pPr>
        <w:spacing w:line="274" w:lineRule="exact" w:before="68"/>
        <w:ind w:left="3769" w:right="3295" w:firstLine="0"/>
        <w:jc w:val="center"/>
        <w:rPr>
          <w:rFonts w:ascii="Symbol" w:hAnsi="Symbol"/>
          <w:sz w:val="24"/>
        </w:rPr>
      </w:pPr>
      <w:r>
        <w:rPr>
          <w:rFonts w:ascii="Symbol" w:hAnsi="Symbol"/>
          <w:sz w:val="24"/>
        </w:rPr>
        <w:t></w:t>
      </w:r>
      <w:r>
        <w:rPr>
          <w:rFonts w:ascii="Arial" w:hAnsi="Arial"/>
          <w:i/>
          <w:position w:val="1"/>
          <w:sz w:val="24"/>
        </w:rPr>
        <w:t>z</w:t>
      </w:r>
      <w:r>
        <w:rPr>
          <w:rFonts w:ascii="Symbol" w:hAnsi="Symbol"/>
          <w:sz w:val="24"/>
        </w:rPr>
        <w:t></w:t>
      </w:r>
    </w:p>
    <w:p>
      <w:pPr>
        <w:pStyle w:val="BodyText"/>
        <w:spacing w:line="117" w:lineRule="exact"/>
        <w:ind w:left="3769" w:right="3295"/>
        <w:jc w:val="center"/>
        <w:rPr>
          <w:rFonts w:ascii="Symbol" w:hAnsi="Symbol"/>
        </w:rPr>
      </w:pPr>
      <w:r>
        <w:rPr>
          <w:rFonts w:ascii="Symbol" w:hAnsi="Symbol"/>
        </w:rPr>
        <w:t></w:t>
      </w:r>
      <w:r>
        <w:rPr/>
        <w:t>  </w:t>
      </w:r>
      <w:r>
        <w:rPr>
          <w:rFonts w:ascii="Symbol" w:hAnsi="Symbol"/>
        </w:rPr>
        <w:t></w:t>
      </w:r>
    </w:p>
    <w:p>
      <w:pPr>
        <w:spacing w:after="0" w:line="117" w:lineRule="exact"/>
        <w:jc w:val="center"/>
        <w:rPr>
          <w:rFonts w:ascii="Symbol" w:hAnsi="Symbol"/>
        </w:rPr>
        <w:sectPr>
          <w:pgSz w:w="12240" w:h="15840"/>
          <w:pgMar w:header="731" w:footer="0" w:top="960" w:bottom="280" w:left="1020" w:right="1020"/>
        </w:sectPr>
      </w:pPr>
    </w:p>
    <w:p>
      <w:pPr>
        <w:pStyle w:val="BodyText"/>
        <w:tabs>
          <w:tab w:pos="825" w:val="left" w:leader="none"/>
        </w:tabs>
        <w:spacing w:line="197" w:lineRule="exact"/>
        <w:ind w:left="213"/>
        <w:rPr>
          <w:rFonts w:ascii="Arial" w:hAnsi="Arial"/>
        </w:rPr>
      </w:pPr>
      <w:r>
        <w:rPr>
          <w:rFonts w:ascii="Symbol" w:hAnsi="Symbol"/>
          <w:spacing w:val="3"/>
        </w:rPr>
        <w:t></w:t>
      </w:r>
      <w:r>
        <w:rPr>
          <w:rFonts w:ascii="Arial" w:hAnsi="Arial"/>
          <w:i/>
          <w:spacing w:val="3"/>
          <w:position w:val="1"/>
        </w:rPr>
        <w:t>y</w:t>
      </w:r>
      <w:r>
        <w:rPr>
          <w:rFonts w:ascii="Arial" w:hAnsi="Arial"/>
          <w:i/>
          <w:spacing w:val="-39"/>
          <w:position w:val="1"/>
        </w:rPr>
        <w:t> </w:t>
      </w:r>
      <w:r>
        <w:rPr>
          <w:rFonts w:ascii="Symbol" w:hAnsi="Symbol"/>
        </w:rPr>
        <w:t></w:t>
      </w:r>
      <w:r>
        <w:rPr/>
        <w:tab/>
      </w:r>
      <w:r>
        <w:rPr>
          <w:rFonts w:ascii="Symbol" w:hAnsi="Symbol"/>
        </w:rPr>
        <w:t></w:t>
      </w:r>
      <w:r>
        <w:rPr>
          <w:rFonts w:ascii="Symbol" w:hAnsi="Symbol"/>
          <w:position w:val="1"/>
        </w:rPr>
        <w:t></w:t>
      </w:r>
      <w:r>
        <w:rPr>
          <w:spacing w:val="-5"/>
          <w:position w:val="1"/>
        </w:rPr>
        <w:t> </w:t>
      </w:r>
      <w:r>
        <w:rPr>
          <w:rFonts w:ascii="Arial" w:hAnsi="Arial"/>
          <w:position w:val="1"/>
        </w:rPr>
        <w:t>0.0590</w:t>
      </w:r>
    </w:p>
    <w:p>
      <w:pPr>
        <w:pStyle w:val="BodyText"/>
        <w:spacing w:line="47" w:lineRule="exact"/>
        <w:ind w:right="453"/>
        <w:jc w:val="center"/>
        <w:rPr>
          <w:rFonts w:ascii="Symbol" w:hAnsi="Symbol"/>
        </w:rPr>
      </w:pPr>
      <w:r>
        <w:rPr>
          <w:rFonts w:ascii="Symbol" w:hAnsi="Symbol"/>
          <w:w w:val="101"/>
        </w:rPr>
        <w:t></w:t>
      </w:r>
    </w:p>
    <w:p>
      <w:pPr>
        <w:pStyle w:val="BodyText"/>
        <w:spacing w:line="244" w:lineRule="exact"/>
        <w:ind w:left="176" w:right="-4"/>
        <w:rPr>
          <w:rFonts w:ascii="Arial"/>
        </w:rPr>
      </w:pPr>
      <w:r>
        <w:rPr/>
        <w:br w:type="column"/>
      </w:r>
      <w:r>
        <w:rPr>
          <w:rFonts w:ascii="Arial"/>
        </w:rPr>
        <w:t>20.7673</w:t>
      </w:r>
    </w:p>
    <w:p>
      <w:pPr>
        <w:pStyle w:val="BodyText"/>
        <w:spacing w:line="244" w:lineRule="exact"/>
        <w:ind w:left="175" w:right="-3"/>
        <w:rPr>
          <w:rFonts w:ascii="Arial"/>
        </w:rPr>
      </w:pPr>
      <w:r>
        <w:rPr/>
        <w:br w:type="column"/>
      </w:r>
      <w:r>
        <w:rPr>
          <w:rFonts w:ascii="Arial"/>
        </w:rPr>
        <w:t>21.5884</w:t>
      </w:r>
    </w:p>
    <w:p>
      <w:pPr>
        <w:pStyle w:val="BodyText"/>
        <w:spacing w:line="244" w:lineRule="exact"/>
        <w:ind w:left="164"/>
        <w:rPr>
          <w:rFonts w:ascii="Symbol" w:hAnsi="Symbol"/>
        </w:rPr>
      </w:pPr>
      <w:r>
        <w:rPr/>
        <w:br w:type="column"/>
      </w:r>
      <w:r>
        <w:rPr>
          <w:rFonts w:ascii="Arial" w:hAnsi="Arial"/>
          <w:position w:val="1"/>
        </w:rPr>
        <w:t>1.6777</w:t>
      </w:r>
      <w:r>
        <w:rPr>
          <w:rFonts w:ascii="Symbol" w:hAnsi="Symbol"/>
        </w:rPr>
        <w:t></w:t>
      </w:r>
      <w:r>
        <w:rPr/>
        <w:t> </w:t>
      </w:r>
      <w:r>
        <w:rPr>
          <w:rFonts w:ascii="Symbol" w:hAnsi="Symbol"/>
          <w:position w:val="-9"/>
        </w:rPr>
        <w:t></w:t>
      </w:r>
      <w:r>
        <w:rPr>
          <w:rFonts w:ascii="Arial" w:hAnsi="Arial"/>
          <w:i/>
          <w:position w:val="1"/>
        </w:rPr>
        <w:t>p</w:t>
      </w:r>
      <w:r>
        <w:rPr>
          <w:rFonts w:ascii="Symbol" w:hAnsi="Symbol"/>
          <w:position w:val="-9"/>
        </w:rPr>
        <w:t></w:t>
      </w:r>
    </w:p>
    <w:p>
      <w:pPr>
        <w:spacing w:after="0" w:line="244" w:lineRule="exact"/>
        <w:rPr>
          <w:rFonts w:ascii="Symbol" w:hAnsi="Symbol"/>
        </w:rPr>
        <w:sectPr>
          <w:type w:val="continuous"/>
          <w:pgSz w:w="12240" w:h="15840"/>
          <w:pgMar w:top="0" w:bottom="0" w:left="1020" w:right="1020"/>
          <w:cols w:num="4" w:equalWidth="0">
            <w:col w:w="1844" w:space="40"/>
            <w:col w:w="1060" w:space="40"/>
            <w:col w:w="1060" w:space="40"/>
            <w:col w:w="6116"/>
          </w:cols>
        </w:sectPr>
      </w:pPr>
    </w:p>
    <w:p>
      <w:pPr>
        <w:pStyle w:val="BodyText"/>
        <w:tabs>
          <w:tab w:pos="825" w:val="left" w:leader="none"/>
        </w:tabs>
        <w:spacing w:line="170" w:lineRule="exact"/>
        <w:ind w:left="213"/>
        <w:rPr>
          <w:rFonts w:ascii="Arial" w:hAnsi="Arial"/>
        </w:rPr>
      </w:pPr>
      <w:r>
        <w:rPr>
          <w:rFonts w:ascii="Symbol" w:hAnsi="Symbol"/>
          <w:spacing w:val="2"/>
          <w:position w:val="12"/>
        </w:rPr>
        <w:t></w:t>
      </w:r>
      <w:r>
        <w:rPr>
          <w:rFonts w:ascii="Arial" w:hAnsi="Arial"/>
          <w:i/>
          <w:spacing w:val="2"/>
        </w:rPr>
        <w:t>k</w:t>
      </w:r>
      <w:r>
        <w:rPr>
          <w:rFonts w:ascii="Arial" w:hAnsi="Arial"/>
          <w:i/>
          <w:spacing w:val="-37"/>
        </w:rPr>
        <w:t> </w:t>
      </w:r>
      <w:r>
        <w:rPr>
          <w:rFonts w:ascii="Symbol" w:hAnsi="Symbol"/>
          <w:position w:val="12"/>
        </w:rPr>
        <w:t></w:t>
      </w:r>
      <w:r>
        <w:rPr>
          <w:position w:val="12"/>
        </w:rPr>
        <w:tab/>
      </w:r>
      <w:r>
        <w:rPr>
          <w:rFonts w:ascii="Symbol" w:hAnsi="Symbol"/>
          <w:position w:val="12"/>
        </w:rPr>
        <w:t></w:t>
      </w:r>
      <w:r>
        <w:rPr>
          <w:rFonts w:ascii="Symbol" w:hAnsi="Symbol"/>
        </w:rPr>
        <w:t></w:t>
      </w:r>
      <w:r>
        <w:rPr>
          <w:spacing w:val="-5"/>
        </w:rPr>
        <w:t> </w:t>
      </w:r>
      <w:r>
        <w:rPr>
          <w:rFonts w:ascii="Arial" w:hAnsi="Arial"/>
        </w:rPr>
        <w:t>0.9666</w:t>
      </w:r>
    </w:p>
    <w:p>
      <w:pPr>
        <w:pStyle w:val="BodyText"/>
        <w:spacing w:line="81" w:lineRule="exact" w:before="89"/>
        <w:ind w:left="213" w:right="-5"/>
        <w:rPr>
          <w:rFonts w:ascii="Arial"/>
        </w:rPr>
      </w:pPr>
      <w:r>
        <w:rPr/>
        <w:br w:type="column"/>
      </w:r>
      <w:r>
        <w:rPr>
          <w:rFonts w:ascii="Arial"/>
        </w:rPr>
        <w:t>1.4114</w:t>
      </w:r>
    </w:p>
    <w:p>
      <w:pPr>
        <w:pStyle w:val="BodyText"/>
        <w:spacing w:line="81" w:lineRule="exact" w:before="89"/>
        <w:ind w:left="213" w:right="-5"/>
        <w:rPr>
          <w:rFonts w:ascii="Arial"/>
        </w:rPr>
      </w:pPr>
      <w:r>
        <w:rPr/>
        <w:br w:type="column"/>
      </w:r>
      <w:r>
        <w:rPr>
          <w:rFonts w:ascii="Arial"/>
        </w:rPr>
        <w:t>1.4672</w:t>
      </w:r>
    </w:p>
    <w:p>
      <w:pPr>
        <w:spacing w:line="170" w:lineRule="exact" w:before="0"/>
        <w:ind w:left="213" w:right="0" w:firstLine="0"/>
        <w:jc w:val="left"/>
        <w:rPr>
          <w:rFonts w:ascii="Symbol" w:hAnsi="Symbol"/>
          <w:sz w:val="24"/>
        </w:rPr>
      </w:pPr>
      <w:r>
        <w:rPr/>
        <w:br w:type="column"/>
      </w:r>
      <w:r>
        <w:rPr>
          <w:rFonts w:ascii="Arial" w:hAnsi="Arial"/>
          <w:sz w:val="24"/>
        </w:rPr>
        <w:t>0.0910</w:t>
      </w:r>
      <w:r>
        <w:rPr>
          <w:rFonts w:ascii="Symbol" w:hAnsi="Symbol"/>
          <w:position w:val="12"/>
          <w:sz w:val="24"/>
        </w:rPr>
        <w:t></w:t>
      </w:r>
      <w:r>
        <w:rPr>
          <w:position w:val="12"/>
          <w:sz w:val="24"/>
        </w:rPr>
        <w:t> </w:t>
      </w:r>
      <w:r>
        <w:rPr>
          <w:rFonts w:ascii="Symbol" w:hAnsi="Symbol"/>
          <w:position w:val="2"/>
          <w:sz w:val="24"/>
        </w:rPr>
        <w:t></w:t>
      </w:r>
      <w:r>
        <w:rPr>
          <w:position w:val="2"/>
          <w:sz w:val="24"/>
        </w:rPr>
        <w:t> </w:t>
      </w:r>
      <w:r>
        <w:rPr>
          <w:rFonts w:ascii="Arial" w:hAnsi="Arial"/>
          <w:i/>
          <w:sz w:val="24"/>
        </w:rPr>
        <w:t>l </w:t>
      </w:r>
      <w:r>
        <w:rPr>
          <w:rFonts w:ascii="Symbol" w:hAnsi="Symbol"/>
          <w:position w:val="2"/>
          <w:sz w:val="24"/>
        </w:rPr>
        <w:t></w:t>
      </w:r>
    </w:p>
    <w:p>
      <w:pPr>
        <w:spacing w:after="0" w:line="170" w:lineRule="exact"/>
        <w:jc w:val="left"/>
        <w:rPr>
          <w:rFonts w:ascii="Symbol" w:hAnsi="Symbol"/>
          <w:sz w:val="24"/>
        </w:rPr>
        <w:sectPr>
          <w:type w:val="continuous"/>
          <w:pgSz w:w="12240" w:h="15840"/>
          <w:pgMar w:top="0" w:bottom="0" w:left="1020" w:right="1020"/>
          <w:cols w:num="4" w:equalWidth="0">
            <w:col w:w="1844" w:space="60"/>
            <w:col w:w="963" w:space="138"/>
            <w:col w:w="963" w:space="73"/>
            <w:col w:w="6159"/>
          </w:cols>
        </w:sectPr>
      </w:pPr>
    </w:p>
    <w:p>
      <w:pPr>
        <w:pStyle w:val="BodyText"/>
        <w:tabs>
          <w:tab w:pos="825" w:val="left" w:leader="none"/>
        </w:tabs>
        <w:spacing w:line="251" w:lineRule="exact"/>
        <w:ind w:left="213"/>
        <w:rPr>
          <w:rFonts w:ascii="Symbol" w:hAnsi="Symbol"/>
        </w:rPr>
      </w:pPr>
      <w:r>
        <w:rPr>
          <w:rFonts w:ascii="Symbol" w:hAnsi="Symbol"/>
        </w:rPr>
        <w:t></w:t>
      </w:r>
      <w:r>
        <w:rPr/>
        <w:t> </w:t>
      </w:r>
      <w:r>
        <w:rPr>
          <w:spacing w:val="38"/>
        </w:rPr>
        <w:t> </w:t>
      </w:r>
      <w:r>
        <w:rPr>
          <w:rFonts w:ascii="Symbol" w:hAnsi="Symbol"/>
        </w:rPr>
        <w:t></w:t>
      </w:r>
      <w:r>
        <w:rPr/>
        <w:tab/>
      </w:r>
      <w:r>
        <w:rPr>
          <w:rFonts w:ascii="Symbol" w:hAnsi="Symbol"/>
        </w:rPr>
        <w:t></w:t>
      </w:r>
    </w:p>
    <w:p>
      <w:pPr>
        <w:pStyle w:val="BodyText"/>
        <w:spacing w:line="310" w:lineRule="exact"/>
        <w:ind w:left="213"/>
        <w:rPr>
          <w:rFonts w:ascii="Symbol" w:hAnsi="Symbol"/>
        </w:rPr>
      </w:pPr>
      <w:r>
        <w:rPr/>
        <w:br w:type="column"/>
      </w:r>
      <w:r>
        <w:rPr>
          <w:rFonts w:ascii="Symbol" w:hAnsi="Symbol"/>
          <w:position w:val="16"/>
        </w:rPr>
        <w:t></w:t>
      </w:r>
      <w:r>
        <w:rPr>
          <w:position w:val="16"/>
        </w:rPr>
        <w:t> </w:t>
      </w:r>
      <w:r>
        <w:rPr>
          <w:rFonts w:ascii="Symbol" w:hAnsi="Symbol"/>
        </w:rPr>
        <w:t></w:t>
      </w:r>
      <w:r>
        <w:rPr/>
        <w:t>  </w:t>
      </w:r>
      <w:r>
        <w:rPr>
          <w:rFonts w:ascii="Symbol" w:hAnsi="Symbol"/>
        </w:rPr>
        <w:t></w:t>
      </w:r>
    </w:p>
    <w:p>
      <w:pPr>
        <w:spacing w:after="0" w:line="310" w:lineRule="exact"/>
        <w:rPr>
          <w:rFonts w:ascii="Symbol" w:hAnsi="Symbol"/>
        </w:rPr>
        <w:sectPr>
          <w:type w:val="continuous"/>
          <w:pgSz w:w="12240" w:h="15840"/>
          <w:pgMar w:top="0" w:bottom="0" w:left="1020" w:right="1020"/>
          <w:cols w:num="2" w:equalWidth="0">
            <w:col w:w="920" w:space="3868"/>
            <w:col w:w="5412"/>
          </w:cols>
        </w:sectPr>
      </w:pPr>
    </w:p>
    <w:p>
      <w:pPr>
        <w:spacing w:line="302" w:lineRule="exact" w:before="0"/>
        <w:ind w:left="4649" w:right="110" w:firstLine="516"/>
        <w:jc w:val="left"/>
        <w:rPr>
          <w:rFonts w:ascii="Symbol" w:hAnsi="Symbol"/>
          <w:sz w:val="24"/>
        </w:rPr>
      </w:pPr>
      <w:r>
        <w:rPr>
          <w:rFonts w:ascii="Symbol" w:hAnsi="Symbol"/>
          <w:sz w:val="24"/>
        </w:rPr>
        <w:t></w:t>
      </w:r>
      <w:r>
        <w:rPr>
          <w:sz w:val="24"/>
        </w:rPr>
        <w:t> </w:t>
      </w:r>
      <w:r>
        <w:rPr>
          <w:rFonts w:ascii="Arial" w:hAnsi="Arial"/>
          <w:i/>
          <w:position w:val="5"/>
          <w:sz w:val="24"/>
        </w:rPr>
        <w:t>t </w:t>
      </w:r>
      <w:r>
        <w:rPr>
          <w:rFonts w:ascii="Symbol" w:hAnsi="Symbol"/>
          <w:sz w:val="24"/>
        </w:rPr>
        <w:t></w:t>
      </w:r>
    </w:p>
    <w:p>
      <w:pPr>
        <w:pStyle w:val="Heading5"/>
        <w:spacing w:before="182"/>
        <w:ind w:left="3769" w:right="3768" w:firstLine="0"/>
        <w:jc w:val="center"/>
      </w:pPr>
      <w:r>
        <w:rPr/>
        <w:t>Tabla 27</w:t>
      </w:r>
    </w:p>
    <w:p>
      <w:pPr>
        <w:pStyle w:val="BodyText"/>
        <w:spacing w:before="1"/>
        <w:rPr>
          <w:b/>
          <w:sz w:val="16"/>
        </w:rPr>
      </w:pPr>
    </w:p>
    <w:tbl>
      <w:tblPr>
        <w:tblW w:w="0" w:type="auto"/>
        <w:jc w:val="left"/>
        <w:tblInd w:w="2541"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1277"/>
        <w:gridCol w:w="1277"/>
        <w:gridCol w:w="1275"/>
        <w:gridCol w:w="1277"/>
      </w:tblGrid>
      <w:tr>
        <w:trPr>
          <w:trHeight w:val="468" w:hRule="exact"/>
        </w:trPr>
        <w:tc>
          <w:tcPr>
            <w:tcW w:w="1277" w:type="dxa"/>
          </w:tcPr>
          <w:p>
            <w:pPr/>
          </w:p>
        </w:tc>
        <w:tc>
          <w:tcPr>
            <w:tcW w:w="1277" w:type="dxa"/>
          </w:tcPr>
          <w:p>
            <w:pPr/>
          </w:p>
        </w:tc>
        <w:tc>
          <w:tcPr>
            <w:tcW w:w="1275" w:type="dxa"/>
          </w:tcPr>
          <w:p>
            <w:pPr>
              <w:pStyle w:val="TableParagraph"/>
              <w:rPr>
                <w:i/>
                <w:sz w:val="24"/>
              </w:rPr>
            </w:pPr>
            <w:r>
              <w:rPr>
                <w:i/>
                <w:sz w:val="24"/>
              </w:rPr>
              <w:t>y</w:t>
            </w:r>
          </w:p>
        </w:tc>
        <w:tc>
          <w:tcPr>
            <w:tcW w:w="1277" w:type="dxa"/>
          </w:tcPr>
          <w:p>
            <w:pPr>
              <w:pStyle w:val="TableParagraph"/>
              <w:ind w:left="105"/>
              <w:rPr>
                <w:i/>
                <w:sz w:val="24"/>
              </w:rPr>
            </w:pPr>
            <w:r>
              <w:rPr>
                <w:i/>
                <w:sz w:val="24"/>
              </w:rPr>
              <w:t>k</w:t>
            </w:r>
          </w:p>
        </w:tc>
      </w:tr>
      <w:tr>
        <w:trPr>
          <w:trHeight w:val="766" w:hRule="exact"/>
        </w:trPr>
        <w:tc>
          <w:tcPr>
            <w:tcW w:w="1277" w:type="dxa"/>
          </w:tcPr>
          <w:p>
            <w:pPr>
              <w:pStyle w:val="TableParagraph"/>
              <w:spacing w:line="256" w:lineRule="auto"/>
              <w:ind w:left="105" w:right="129"/>
              <w:rPr>
                <w:sz w:val="24"/>
              </w:rPr>
            </w:pPr>
            <w:r>
              <w:rPr>
                <w:sz w:val="24"/>
              </w:rPr>
              <w:t>PROCAM PO</w:t>
            </w:r>
          </w:p>
        </w:tc>
        <w:tc>
          <w:tcPr>
            <w:tcW w:w="1277" w:type="dxa"/>
          </w:tcPr>
          <w:p>
            <w:pPr>
              <w:pStyle w:val="TableParagraph"/>
              <w:spacing w:line="269" w:lineRule="exact"/>
              <w:rPr>
                <w:sz w:val="24"/>
              </w:rPr>
            </w:pPr>
            <w:r>
              <w:rPr>
                <w:sz w:val="24"/>
              </w:rPr>
              <w:t>1%</w:t>
            </w:r>
          </w:p>
        </w:tc>
        <w:tc>
          <w:tcPr>
            <w:tcW w:w="1275" w:type="dxa"/>
          </w:tcPr>
          <w:p>
            <w:pPr>
              <w:pStyle w:val="TableParagraph"/>
              <w:spacing w:line="269" w:lineRule="exact"/>
              <w:rPr>
                <w:sz w:val="24"/>
              </w:rPr>
            </w:pPr>
            <w:r>
              <w:rPr>
                <w:sz w:val="24"/>
              </w:rPr>
              <w:t>1.09%</w:t>
            </w:r>
          </w:p>
        </w:tc>
        <w:tc>
          <w:tcPr>
            <w:tcW w:w="1277" w:type="dxa"/>
          </w:tcPr>
          <w:p>
            <w:pPr>
              <w:pStyle w:val="TableParagraph"/>
              <w:spacing w:line="269" w:lineRule="exact"/>
              <w:ind w:left="105"/>
              <w:rPr>
                <w:sz w:val="24"/>
              </w:rPr>
            </w:pPr>
            <w:r>
              <w:rPr>
                <w:sz w:val="24"/>
              </w:rPr>
              <w:t>1.92%</w:t>
            </w:r>
          </w:p>
        </w:tc>
      </w:tr>
      <w:tr>
        <w:trPr>
          <w:trHeight w:val="468" w:hRule="exact"/>
        </w:trPr>
        <w:tc>
          <w:tcPr>
            <w:tcW w:w="1277" w:type="dxa"/>
          </w:tcPr>
          <w:p>
            <w:pPr>
              <w:pStyle w:val="TableParagraph"/>
              <w:ind w:left="105" w:right="129"/>
              <w:rPr>
                <w:sz w:val="24"/>
              </w:rPr>
            </w:pPr>
            <w:r>
              <w:rPr>
                <w:sz w:val="24"/>
              </w:rPr>
              <w:t>Alianza</w:t>
            </w:r>
          </w:p>
        </w:tc>
        <w:tc>
          <w:tcPr>
            <w:tcW w:w="1277" w:type="dxa"/>
          </w:tcPr>
          <w:p>
            <w:pPr>
              <w:pStyle w:val="TableParagraph"/>
              <w:rPr>
                <w:sz w:val="24"/>
              </w:rPr>
            </w:pPr>
            <w:r>
              <w:rPr>
                <w:sz w:val="24"/>
              </w:rPr>
              <w:t>1%</w:t>
            </w:r>
          </w:p>
        </w:tc>
        <w:tc>
          <w:tcPr>
            <w:tcW w:w="1275" w:type="dxa"/>
          </w:tcPr>
          <w:p>
            <w:pPr>
              <w:pStyle w:val="TableParagraph"/>
              <w:rPr>
                <w:sz w:val="24"/>
              </w:rPr>
            </w:pPr>
            <w:r>
              <w:rPr>
                <w:sz w:val="24"/>
              </w:rPr>
              <w:t>0.19%</w:t>
            </w:r>
          </w:p>
        </w:tc>
        <w:tc>
          <w:tcPr>
            <w:tcW w:w="1277" w:type="dxa"/>
          </w:tcPr>
          <w:p>
            <w:pPr>
              <w:pStyle w:val="TableParagraph"/>
              <w:ind w:left="105"/>
              <w:rPr>
                <w:sz w:val="24"/>
              </w:rPr>
            </w:pPr>
            <w:r>
              <w:rPr>
                <w:sz w:val="24"/>
              </w:rPr>
              <w:t>0.34%</w:t>
            </w:r>
          </w:p>
        </w:tc>
      </w:tr>
    </w:tbl>
    <w:p>
      <w:pPr>
        <w:pStyle w:val="BodyText"/>
        <w:rPr>
          <w:b/>
          <w:sz w:val="20"/>
        </w:rPr>
      </w:pPr>
    </w:p>
    <w:p>
      <w:pPr>
        <w:pStyle w:val="BodyText"/>
        <w:spacing w:before="4"/>
        <w:rPr>
          <w:b/>
          <w:sz w:val="19"/>
        </w:rPr>
      </w:pPr>
    </w:p>
    <w:p>
      <w:pPr>
        <w:pStyle w:val="BodyText"/>
        <w:spacing w:line="256" w:lineRule="auto"/>
        <w:ind w:left="112" w:right="111" w:firstLine="708"/>
        <w:jc w:val="both"/>
      </w:pPr>
      <w:r>
        <w:rPr/>
        <w:t>Si PROCAMPO aumenta sus aportaciones en 1%, entonces en el corto plazo el producto per cápita aumentará en 0.54% y, en el largo plazo en 1.09%. El efecto en la formación bruta de capital per cápita es de 0.96% en el corto plazo y 1.92% en el largo plazo.</w:t>
      </w:r>
    </w:p>
    <w:p>
      <w:pPr>
        <w:spacing w:after="0" w:line="256" w:lineRule="auto"/>
        <w:jc w:val="both"/>
        <w:sectPr>
          <w:type w:val="continuous"/>
          <w:pgSz w:w="12240" w:h="15840"/>
          <w:pgMar w:top="0" w:bottom="0" w:left="1020" w:right="1020"/>
        </w:sectPr>
      </w:pPr>
    </w:p>
    <w:p>
      <w:pPr>
        <w:pStyle w:val="Heading5"/>
        <w:numPr>
          <w:ilvl w:val="1"/>
          <w:numId w:val="2"/>
        </w:numPr>
        <w:tabs>
          <w:tab w:pos="594" w:val="left" w:leader="none"/>
        </w:tabs>
        <w:spacing w:line="240" w:lineRule="auto" w:before="158" w:after="0"/>
        <w:ind w:left="593" w:right="0" w:hanging="481"/>
        <w:jc w:val="both"/>
      </w:pPr>
      <w:r>
        <w:rPr/>
        <w:t>Primera conclusión a nivel</w:t>
      </w:r>
      <w:r>
        <w:rPr>
          <w:spacing w:val="-7"/>
        </w:rPr>
        <w:t> </w:t>
      </w:r>
      <w:r>
        <w:rPr/>
        <w:t>nacional</w:t>
      </w:r>
    </w:p>
    <w:p>
      <w:pPr>
        <w:pStyle w:val="BodyText"/>
        <w:spacing w:line="259" w:lineRule="auto" w:before="180"/>
        <w:ind w:left="112" w:right="114"/>
        <w:jc w:val="both"/>
      </w:pPr>
      <w:r>
        <w:rPr/>
        <w:t>El impacto del PROCAMPO y Alianza en variables sectoriales “y” y “k” tienen efecto positivo. Por cada incremento en 1% del apoyo del PROCAMPO, sus efectos de largo plazo en la producción per cápita “y” y en la formación bruta de capital per cápita “k” son 1.09% y 1.92%, respectivamente. Lo que explica en buena medida el cambio de tendencias del segundo periodo.</w:t>
      </w:r>
    </w:p>
    <w:p>
      <w:pPr>
        <w:pStyle w:val="BodyText"/>
        <w:spacing w:line="256" w:lineRule="auto" w:before="161"/>
        <w:ind w:left="112" w:right="112" w:firstLine="708"/>
        <w:jc w:val="both"/>
      </w:pPr>
      <w:r>
        <w:rPr/>
        <w:t>Los multiplicadores de largo plazo de Alianza per cápita son menores a los del PROCAMPO. Para la producción per cápita es de 0.19% y para la formación bruta de capital per cápita “k” de 0.34%. Así, en el periodo 1995 a 2014 PROCAMPO ha tenido un efecto mayor que Alianza.</w:t>
      </w:r>
    </w:p>
    <w:p>
      <w:pPr>
        <w:pStyle w:val="Heading5"/>
        <w:numPr>
          <w:ilvl w:val="1"/>
          <w:numId w:val="2"/>
        </w:numPr>
        <w:tabs>
          <w:tab w:pos="594" w:val="left" w:leader="none"/>
        </w:tabs>
        <w:spacing w:line="240" w:lineRule="auto" w:before="168" w:after="0"/>
        <w:ind w:left="593" w:right="0" w:hanging="481"/>
        <w:jc w:val="both"/>
      </w:pPr>
      <w:r>
        <w:rPr/>
        <w:t>Indicadores del excedente del producto para</w:t>
      </w:r>
      <w:r>
        <w:rPr>
          <w:spacing w:val="-18"/>
        </w:rPr>
        <w:t> </w:t>
      </w:r>
      <w:r>
        <w:rPr/>
        <w:t>consumo</w:t>
      </w:r>
    </w:p>
    <w:p>
      <w:pPr>
        <w:pStyle w:val="BodyText"/>
        <w:spacing w:line="259" w:lineRule="auto" w:before="180"/>
        <w:ind w:left="112" w:right="109"/>
        <w:jc w:val="both"/>
      </w:pPr>
      <w:r>
        <w:rPr/>
        <w:t>Es interesante poder medir aunque sea en forma gruesa, por la falta de datos, el excedente que hay en el sector para consumo. Esto es, si se usa la identidad macroeconómica clásica para medir el “Consumo per cápita”;</w:t>
      </w:r>
    </w:p>
    <w:p>
      <w:pPr>
        <w:spacing w:before="150"/>
        <w:ind w:left="214" w:right="7378" w:firstLine="0"/>
        <w:jc w:val="left"/>
        <w:rPr>
          <w:rFonts w:ascii="Arial" w:hAnsi="Arial"/>
          <w:i/>
          <w:sz w:val="22"/>
        </w:rPr>
      </w:pPr>
      <w:r>
        <w:rPr>
          <w:rFonts w:ascii="Arial" w:hAnsi="Arial"/>
          <w:i/>
          <w:w w:val="110"/>
          <w:sz w:val="22"/>
        </w:rPr>
        <w:t>y </w:t>
      </w:r>
      <w:r>
        <w:rPr>
          <w:rFonts w:ascii="Symbol" w:hAnsi="Symbol"/>
          <w:w w:val="110"/>
          <w:sz w:val="22"/>
        </w:rPr>
        <w:t></w:t>
      </w:r>
      <w:r>
        <w:rPr>
          <w:w w:val="110"/>
          <w:sz w:val="22"/>
        </w:rPr>
        <w:t> </w:t>
      </w:r>
      <w:r>
        <w:rPr>
          <w:rFonts w:ascii="Arial" w:hAnsi="Arial"/>
          <w:i/>
          <w:w w:val="110"/>
          <w:sz w:val="22"/>
        </w:rPr>
        <w:t>c </w:t>
      </w:r>
      <w:r>
        <w:rPr>
          <w:rFonts w:ascii="Symbol" w:hAnsi="Symbol"/>
          <w:w w:val="110"/>
          <w:sz w:val="22"/>
        </w:rPr>
        <w:t></w:t>
      </w:r>
      <w:r>
        <w:rPr>
          <w:w w:val="110"/>
          <w:sz w:val="22"/>
        </w:rPr>
        <w:t> </w:t>
      </w:r>
      <w:r>
        <w:rPr>
          <w:rFonts w:ascii="Arial" w:hAnsi="Arial"/>
          <w:i/>
          <w:w w:val="110"/>
          <w:sz w:val="22"/>
        </w:rPr>
        <w:t>k </w:t>
      </w:r>
      <w:r>
        <w:rPr>
          <w:rFonts w:ascii="Symbol" w:hAnsi="Symbol"/>
          <w:w w:val="110"/>
          <w:sz w:val="22"/>
        </w:rPr>
        <w:t></w:t>
      </w:r>
      <w:r>
        <w:rPr>
          <w:w w:val="110"/>
          <w:sz w:val="22"/>
        </w:rPr>
        <w:t> </w:t>
      </w:r>
      <w:r>
        <w:rPr>
          <w:rFonts w:ascii="Arial" w:hAnsi="Arial"/>
          <w:i/>
          <w:w w:val="110"/>
          <w:sz w:val="22"/>
        </w:rPr>
        <w:t>g </w:t>
      </w:r>
      <w:r>
        <w:rPr>
          <w:rFonts w:ascii="Symbol" w:hAnsi="Symbol"/>
          <w:w w:val="110"/>
          <w:sz w:val="22"/>
        </w:rPr>
        <w:t></w:t>
      </w:r>
      <w:r>
        <w:rPr>
          <w:w w:val="110"/>
          <w:sz w:val="22"/>
        </w:rPr>
        <w:t> </w:t>
      </w:r>
      <w:r>
        <w:rPr>
          <w:rFonts w:ascii="Arial" w:hAnsi="Arial"/>
          <w:i/>
          <w:w w:val="110"/>
          <w:sz w:val="22"/>
        </w:rPr>
        <w:t>x </w:t>
      </w:r>
      <w:r>
        <w:rPr>
          <w:rFonts w:ascii="Symbol" w:hAnsi="Symbol"/>
          <w:w w:val="110"/>
          <w:sz w:val="22"/>
        </w:rPr>
        <w:t></w:t>
      </w:r>
      <w:r>
        <w:rPr>
          <w:w w:val="110"/>
          <w:sz w:val="22"/>
        </w:rPr>
        <w:t> </w:t>
      </w:r>
      <w:r>
        <w:rPr>
          <w:rFonts w:ascii="Arial" w:hAnsi="Arial"/>
          <w:i/>
          <w:w w:val="110"/>
          <w:sz w:val="22"/>
        </w:rPr>
        <w:t>m</w:t>
      </w:r>
    </w:p>
    <w:p>
      <w:pPr>
        <w:pStyle w:val="BodyText"/>
        <w:spacing w:before="5"/>
        <w:rPr>
          <w:rFonts w:ascii="Arial"/>
          <w:i/>
          <w:sz w:val="13"/>
        </w:rPr>
      </w:pPr>
    </w:p>
    <w:p>
      <w:pPr>
        <w:pStyle w:val="BodyText"/>
        <w:spacing w:before="69"/>
        <w:ind w:left="821" w:right="7378"/>
      </w:pPr>
      <w:r>
        <w:rPr/>
        <w:t>Donde:</w:t>
      </w:r>
    </w:p>
    <w:p>
      <w:pPr>
        <w:pStyle w:val="BodyText"/>
        <w:spacing w:line="396" w:lineRule="auto" w:before="182"/>
        <w:ind w:left="821" w:right="7017"/>
        <w:rPr>
          <w:i/>
        </w:rPr>
      </w:pPr>
      <w:r>
        <w:rPr/>
        <w:t>y = Producto per cápita</w:t>
      </w:r>
      <w:r>
        <w:rPr>
          <w:i/>
        </w:rPr>
        <w:t>. </w:t>
      </w:r>
      <w:r>
        <w:rPr/>
        <w:t>c = Consumo per cápita</w:t>
      </w:r>
      <w:r>
        <w:rPr>
          <w:i/>
        </w:rPr>
        <w:t>.</w:t>
      </w:r>
    </w:p>
    <w:p>
      <w:pPr>
        <w:pStyle w:val="BodyText"/>
        <w:spacing w:before="9"/>
        <w:ind w:left="821" w:right="110"/>
        <w:rPr>
          <w:i/>
        </w:rPr>
      </w:pPr>
      <w:r>
        <w:rPr/>
        <w:t>k = Inversión bruta de capital per cápita</w:t>
      </w:r>
      <w:r>
        <w:rPr>
          <w:i/>
        </w:rPr>
        <w:t>.</w:t>
      </w:r>
    </w:p>
    <w:p>
      <w:pPr>
        <w:pStyle w:val="BodyText"/>
        <w:spacing w:line="398" w:lineRule="auto" w:before="182"/>
        <w:ind w:left="821" w:right="3844"/>
        <w:rPr>
          <w:i/>
        </w:rPr>
      </w:pPr>
      <w:r>
        <w:rPr/>
        <w:t>g = Consumo del gobierno por cada individuo de la PEA. x = Exportación per cápita</w:t>
      </w:r>
      <w:r>
        <w:rPr>
          <w:i/>
        </w:rPr>
        <w:t>.</w:t>
      </w:r>
    </w:p>
    <w:p>
      <w:pPr>
        <w:pStyle w:val="BodyText"/>
        <w:spacing w:before="4"/>
        <w:ind w:left="821" w:right="6551"/>
      </w:pPr>
      <w:r>
        <w:rPr/>
        <w:t>m= Importación per cápita.</w:t>
      </w:r>
    </w:p>
    <w:p>
      <w:pPr>
        <w:pStyle w:val="BodyText"/>
        <w:spacing w:before="182"/>
        <w:ind w:left="821" w:right="110"/>
      </w:pPr>
      <w:r>
        <w:rPr/>
        <w:t>El “excedente para consumo” (c + g)  será igual a;</w:t>
      </w:r>
    </w:p>
    <w:p>
      <w:pPr>
        <w:spacing w:before="170"/>
        <w:ind w:left="851" w:right="6551" w:firstLine="0"/>
        <w:jc w:val="left"/>
        <w:rPr>
          <w:rFonts w:ascii="Arial" w:hAnsi="Arial"/>
          <w:i/>
          <w:sz w:val="22"/>
        </w:rPr>
      </w:pPr>
      <w:r>
        <w:rPr>
          <w:rFonts w:ascii="Arial" w:hAnsi="Arial"/>
          <w:i/>
          <w:w w:val="110"/>
          <w:sz w:val="22"/>
        </w:rPr>
        <w:t>c </w:t>
      </w:r>
      <w:r>
        <w:rPr>
          <w:rFonts w:ascii="Symbol" w:hAnsi="Symbol"/>
          <w:w w:val="110"/>
          <w:sz w:val="22"/>
        </w:rPr>
        <w:t></w:t>
      </w:r>
      <w:r>
        <w:rPr>
          <w:w w:val="110"/>
          <w:sz w:val="22"/>
        </w:rPr>
        <w:t> </w:t>
      </w:r>
      <w:r>
        <w:rPr>
          <w:rFonts w:ascii="Arial" w:hAnsi="Arial"/>
          <w:i/>
          <w:w w:val="110"/>
          <w:sz w:val="22"/>
        </w:rPr>
        <w:t>g </w:t>
      </w:r>
      <w:r>
        <w:rPr>
          <w:rFonts w:ascii="Symbol" w:hAnsi="Symbol"/>
          <w:w w:val="110"/>
          <w:sz w:val="22"/>
        </w:rPr>
        <w:t></w:t>
      </w:r>
      <w:r>
        <w:rPr>
          <w:w w:val="110"/>
          <w:sz w:val="22"/>
        </w:rPr>
        <w:t> </w:t>
      </w:r>
      <w:r>
        <w:rPr>
          <w:rFonts w:ascii="Arial" w:hAnsi="Arial"/>
          <w:i/>
          <w:w w:val="110"/>
          <w:sz w:val="22"/>
        </w:rPr>
        <w:t>y </w:t>
      </w:r>
      <w:r>
        <w:rPr>
          <w:rFonts w:ascii="Symbol" w:hAnsi="Symbol"/>
          <w:w w:val="110"/>
          <w:sz w:val="22"/>
        </w:rPr>
        <w:t></w:t>
      </w:r>
      <w:r>
        <w:rPr>
          <w:w w:val="110"/>
          <w:sz w:val="22"/>
        </w:rPr>
        <w:t> </w:t>
      </w:r>
      <w:r>
        <w:rPr>
          <w:rFonts w:ascii="Arial" w:hAnsi="Arial"/>
          <w:i/>
          <w:w w:val="110"/>
          <w:sz w:val="22"/>
        </w:rPr>
        <w:t>k </w:t>
      </w:r>
      <w:r>
        <w:rPr>
          <w:rFonts w:ascii="Symbol" w:hAnsi="Symbol"/>
          <w:w w:val="110"/>
          <w:sz w:val="22"/>
        </w:rPr>
        <w:t></w:t>
      </w:r>
      <w:r>
        <w:rPr>
          <w:w w:val="110"/>
          <w:sz w:val="22"/>
        </w:rPr>
        <w:t> </w:t>
      </w:r>
      <w:r>
        <w:rPr>
          <w:rFonts w:ascii="Arial" w:hAnsi="Arial"/>
          <w:i/>
          <w:w w:val="110"/>
          <w:sz w:val="22"/>
        </w:rPr>
        <w:t>x </w:t>
      </w:r>
      <w:r>
        <w:rPr>
          <w:rFonts w:ascii="Symbol" w:hAnsi="Symbol"/>
          <w:w w:val="110"/>
          <w:sz w:val="22"/>
        </w:rPr>
        <w:t></w:t>
      </w:r>
      <w:r>
        <w:rPr>
          <w:w w:val="110"/>
          <w:sz w:val="22"/>
        </w:rPr>
        <w:t> </w:t>
      </w:r>
      <w:r>
        <w:rPr>
          <w:rFonts w:ascii="Arial" w:hAnsi="Arial"/>
          <w:i/>
          <w:w w:val="110"/>
          <w:sz w:val="22"/>
        </w:rPr>
        <w:t>m</w:t>
      </w:r>
    </w:p>
    <w:p>
      <w:pPr>
        <w:pStyle w:val="BodyText"/>
        <w:spacing w:before="8"/>
        <w:rPr>
          <w:rFonts w:ascii="Arial"/>
          <w:i/>
          <w:sz w:val="13"/>
        </w:rPr>
      </w:pPr>
    </w:p>
    <w:p>
      <w:pPr>
        <w:pStyle w:val="BodyText"/>
        <w:spacing w:line="259" w:lineRule="auto" w:before="70"/>
        <w:ind w:left="112" w:right="114" w:firstLine="708"/>
        <w:jc w:val="both"/>
      </w:pPr>
      <w:r>
        <w:rPr/>
        <w:t>De la expresión para el  “excedente para consumo”, se puede observar que la disponibilidad  para consumo del producto per cápita tuvo una tendencia a bajar en el periodo 1980 a 1994, con una alta volatilidad, en el segundo periodo, esta tendencia negativa se detuvo y empezó una muy lenta recuperación, con una volatilidad</w:t>
      </w:r>
      <w:r>
        <w:rPr>
          <w:spacing w:val="-7"/>
        </w:rPr>
        <w:t> </w:t>
      </w:r>
      <w:r>
        <w:rPr/>
        <w:t>baja.</w:t>
      </w:r>
    </w:p>
    <w:p>
      <w:pPr>
        <w:pStyle w:val="BodyText"/>
        <w:spacing w:line="259" w:lineRule="auto" w:before="163"/>
        <w:ind w:left="112" w:right="113" w:firstLine="708"/>
        <w:jc w:val="both"/>
      </w:pPr>
      <w:r>
        <w:rPr/>
        <w:t>Para la “volatilidad del consumo per cápita” se puede observar en el segundo periodo que la volatilidad es menor. Sin poder profundizar se puede estimar que el excedente para consumo que genera cada persona en disposición de trabajar en el sector tiene una tendencia a aumentar en el periodo 1995 a</w:t>
      </w:r>
      <w:r>
        <w:rPr>
          <w:spacing w:val="-1"/>
        </w:rPr>
        <w:t> </w:t>
      </w:r>
      <w:r>
        <w:rPr/>
        <w:t>2014.</w:t>
      </w:r>
    </w:p>
    <w:p>
      <w:pPr>
        <w:pStyle w:val="Heading5"/>
        <w:numPr>
          <w:ilvl w:val="1"/>
          <w:numId w:val="2"/>
        </w:numPr>
        <w:tabs>
          <w:tab w:pos="594" w:val="left" w:leader="none"/>
        </w:tabs>
        <w:spacing w:line="240" w:lineRule="auto" w:before="166" w:after="0"/>
        <w:ind w:left="593" w:right="0" w:hanging="481"/>
        <w:jc w:val="both"/>
      </w:pPr>
      <w:r>
        <w:rPr/>
        <w:t>Segunda conclusión a nivel</w:t>
      </w:r>
      <w:r>
        <w:rPr>
          <w:spacing w:val="-11"/>
        </w:rPr>
        <w:t> </w:t>
      </w:r>
      <w:r>
        <w:rPr/>
        <w:t>nacional</w:t>
      </w:r>
    </w:p>
    <w:p>
      <w:pPr>
        <w:pStyle w:val="BodyText"/>
        <w:spacing w:line="259" w:lineRule="auto" w:before="177"/>
        <w:ind w:left="112" w:right="115"/>
        <w:jc w:val="both"/>
      </w:pPr>
      <w:r>
        <w:rPr/>
        <w:t>De una manera general se puede observar que el excedente para consumo interno que produce cada persona económicamente activa en el sector va en aumento, en el periodo de 1995 a 2014. De hecho, en el 2014 se alcanzó el nivel de 1980.</w:t>
      </w:r>
    </w:p>
    <w:p>
      <w:pPr>
        <w:spacing w:after="0" w:line="259" w:lineRule="auto"/>
        <w:jc w:val="both"/>
        <w:sectPr>
          <w:pgSz w:w="12240" w:h="15840"/>
          <w:pgMar w:header="731" w:footer="0" w:top="960" w:bottom="280" w:left="1020" w:right="1020"/>
        </w:sectPr>
      </w:pPr>
    </w:p>
    <w:p>
      <w:pPr>
        <w:pStyle w:val="Heading5"/>
        <w:numPr>
          <w:ilvl w:val="1"/>
          <w:numId w:val="2"/>
        </w:numPr>
        <w:tabs>
          <w:tab w:pos="714" w:val="left" w:leader="none"/>
        </w:tabs>
        <w:spacing w:line="240" w:lineRule="auto" w:before="158" w:after="0"/>
        <w:ind w:left="713" w:right="0" w:hanging="601"/>
        <w:jc w:val="both"/>
      </w:pPr>
      <w:r>
        <w:rPr/>
        <w:t>Indicadores de la conversión productiva y rendimiento por</w:t>
      </w:r>
      <w:r>
        <w:rPr>
          <w:spacing w:val="-19"/>
        </w:rPr>
        <w:t> </w:t>
      </w:r>
      <w:r>
        <w:rPr/>
        <w:t>hectárea</w:t>
      </w:r>
    </w:p>
    <w:p>
      <w:pPr>
        <w:pStyle w:val="BodyText"/>
        <w:spacing w:line="259" w:lineRule="auto" w:before="180"/>
        <w:ind w:left="112" w:right="118"/>
        <w:jc w:val="both"/>
      </w:pPr>
      <w:r>
        <w:rPr/>
        <w:t>La conversión productiva (Ω), definida como producir más de los que más vale por hectárea, y el crecimiento del rendimiento por hectárea (Ψ), son dos fuerzas que pueden acelerar el crecimiento positivo del producto per cápita, o bien, cambiar de una tendencia negativa a positiva. Pero, también lo contrario puede suceder si estas fuerzas se vuelven negativas.</w:t>
      </w:r>
    </w:p>
    <w:p>
      <w:pPr>
        <w:pStyle w:val="BodyText"/>
        <w:spacing w:line="256" w:lineRule="auto" w:before="161"/>
        <w:ind w:left="112" w:right="120" w:firstLine="708"/>
        <w:jc w:val="both"/>
      </w:pPr>
      <w:r>
        <w:rPr/>
        <w:t>La tasa anual de la conversión productiva nacional es de 6.41% en 20 estados, esto es, la mayoría de los estados si están en un proceso de cambio de cultivos.</w:t>
      </w:r>
    </w:p>
    <w:p>
      <w:pPr>
        <w:pStyle w:val="BodyText"/>
        <w:spacing w:line="259" w:lineRule="auto" w:before="166"/>
        <w:ind w:left="112" w:right="120" w:firstLine="708"/>
        <w:jc w:val="both"/>
      </w:pPr>
      <w:r>
        <w:rPr/>
        <w:t>De los que se listan como estados de tendencia de conversión negativa y que también tienen tendencia negativa o positiva muy débil en su producto per cápita son: Hidalgo, Campeche, Chiapas, Puebla, Tlaxcala, San Luis Potosí y Coahuila. Resalta el hecho de que hay estados que tiene un indicador de conversión productiva muy alto.</w:t>
      </w:r>
    </w:p>
    <w:p>
      <w:pPr>
        <w:pStyle w:val="BodyText"/>
        <w:spacing w:line="259" w:lineRule="auto" w:before="164"/>
        <w:ind w:left="112" w:right="111" w:firstLine="708"/>
        <w:jc w:val="both"/>
      </w:pPr>
      <w:r>
        <w:rPr/>
        <w:t>El caso de Nuevo León, que tiene la mayor tasa de crecimiento en el producto per cápita (9.81%), pero muy baja en conversión productiva (-1.18%) y en rendimiento (-2.99%), se explica por un aumento en la superficie cosechada de 1980-1982, la cual pasó de 179 mil hectáreas a 317 mil hectáreas, en 2013-2014 el crecimiento se explica por superficie dedicada a pastos. Los 12 estados que se señalaron como foco rojo, sus indicadores de conversión productiva y rendimiento son extremadamente alarmantes y estos son los siguientes (Tabla</w:t>
      </w:r>
      <w:r>
        <w:rPr>
          <w:spacing w:val="-10"/>
        </w:rPr>
        <w:t> </w:t>
      </w:r>
      <w:r>
        <w:rPr/>
        <w:t>27.1)</w:t>
      </w:r>
    </w:p>
    <w:p>
      <w:pPr>
        <w:pStyle w:val="Heading5"/>
        <w:spacing w:before="163"/>
        <w:ind w:left="3769" w:right="3769" w:firstLine="0"/>
        <w:jc w:val="center"/>
      </w:pPr>
      <w:r>
        <w:rPr/>
        <w:t>Tabla 27.1</w:t>
      </w:r>
    </w:p>
    <w:p>
      <w:pPr>
        <w:pStyle w:val="BodyText"/>
        <w:spacing w:before="1"/>
        <w:rPr>
          <w:b/>
          <w:sz w:val="16"/>
        </w:rPr>
      </w:pPr>
    </w:p>
    <w:tbl>
      <w:tblPr>
        <w:tblW w:w="0" w:type="auto"/>
        <w:jc w:val="left"/>
        <w:tblInd w:w="2186"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2701"/>
        <w:gridCol w:w="3116"/>
      </w:tblGrid>
      <w:tr>
        <w:trPr>
          <w:trHeight w:val="766" w:hRule="exact"/>
        </w:trPr>
        <w:tc>
          <w:tcPr>
            <w:tcW w:w="2701" w:type="dxa"/>
          </w:tcPr>
          <w:p>
            <w:pPr>
              <w:pStyle w:val="TableParagraph"/>
              <w:rPr>
                <w:i/>
                <w:sz w:val="24"/>
              </w:rPr>
            </w:pPr>
            <w:r>
              <w:rPr>
                <w:i/>
                <w:sz w:val="24"/>
              </w:rPr>
              <w:t>Estados</w:t>
            </w:r>
          </w:p>
        </w:tc>
        <w:tc>
          <w:tcPr>
            <w:tcW w:w="3116" w:type="dxa"/>
          </w:tcPr>
          <w:p>
            <w:pPr>
              <w:pStyle w:val="TableParagraph"/>
              <w:spacing w:line="256" w:lineRule="auto"/>
              <w:rPr>
                <w:i/>
                <w:sz w:val="24"/>
              </w:rPr>
            </w:pPr>
            <w:r>
              <w:rPr>
                <w:i/>
                <w:sz w:val="24"/>
              </w:rPr>
              <w:t>Tasa de crecimiento anual </w:t>
            </w:r>
            <w:r>
              <w:rPr>
                <w:i/>
                <w:sz w:val="24"/>
              </w:rPr>
              <w:t>positivo de (</w:t>
            </w:r>
            <w:r>
              <w:rPr>
                <w:sz w:val="24"/>
              </w:rPr>
              <w:t>Ω</w:t>
            </w:r>
            <w:r>
              <w:rPr>
                <w:i/>
                <w:sz w:val="24"/>
              </w:rPr>
              <w:t>)</w:t>
            </w:r>
          </w:p>
        </w:tc>
      </w:tr>
      <w:tr>
        <w:trPr>
          <w:trHeight w:val="468" w:hRule="exact"/>
        </w:trPr>
        <w:tc>
          <w:tcPr>
            <w:tcW w:w="2701" w:type="dxa"/>
          </w:tcPr>
          <w:p>
            <w:pPr>
              <w:pStyle w:val="TableParagraph"/>
              <w:rPr>
                <w:sz w:val="24"/>
              </w:rPr>
            </w:pPr>
            <w:r>
              <w:rPr>
                <w:sz w:val="24"/>
              </w:rPr>
              <w:t>Jalisco</w:t>
            </w:r>
          </w:p>
        </w:tc>
        <w:tc>
          <w:tcPr>
            <w:tcW w:w="3116" w:type="dxa"/>
          </w:tcPr>
          <w:p>
            <w:pPr>
              <w:pStyle w:val="TableParagraph"/>
              <w:rPr>
                <w:sz w:val="24"/>
              </w:rPr>
            </w:pPr>
            <w:r>
              <w:rPr>
                <w:sz w:val="24"/>
              </w:rPr>
              <w:t>20.61%</w:t>
            </w:r>
          </w:p>
        </w:tc>
      </w:tr>
      <w:tr>
        <w:trPr>
          <w:trHeight w:val="468" w:hRule="exact"/>
        </w:trPr>
        <w:tc>
          <w:tcPr>
            <w:tcW w:w="2701" w:type="dxa"/>
          </w:tcPr>
          <w:p>
            <w:pPr>
              <w:pStyle w:val="TableParagraph"/>
              <w:rPr>
                <w:sz w:val="24"/>
              </w:rPr>
            </w:pPr>
            <w:r>
              <w:rPr>
                <w:sz w:val="24"/>
              </w:rPr>
              <w:t>Yucatán</w:t>
            </w:r>
          </w:p>
        </w:tc>
        <w:tc>
          <w:tcPr>
            <w:tcW w:w="3116" w:type="dxa"/>
          </w:tcPr>
          <w:p>
            <w:pPr>
              <w:pStyle w:val="TableParagraph"/>
              <w:rPr>
                <w:sz w:val="24"/>
              </w:rPr>
            </w:pPr>
            <w:r>
              <w:rPr>
                <w:sz w:val="24"/>
              </w:rPr>
              <w:t>14.73%</w:t>
            </w:r>
          </w:p>
        </w:tc>
      </w:tr>
      <w:tr>
        <w:trPr>
          <w:trHeight w:val="468" w:hRule="exact"/>
        </w:trPr>
        <w:tc>
          <w:tcPr>
            <w:tcW w:w="2701" w:type="dxa"/>
          </w:tcPr>
          <w:p>
            <w:pPr>
              <w:pStyle w:val="TableParagraph"/>
              <w:rPr>
                <w:sz w:val="24"/>
              </w:rPr>
            </w:pPr>
            <w:r>
              <w:rPr>
                <w:sz w:val="24"/>
              </w:rPr>
              <w:t>Querétaro</w:t>
            </w:r>
          </w:p>
        </w:tc>
        <w:tc>
          <w:tcPr>
            <w:tcW w:w="3116" w:type="dxa"/>
          </w:tcPr>
          <w:p>
            <w:pPr>
              <w:pStyle w:val="TableParagraph"/>
              <w:rPr>
                <w:sz w:val="24"/>
              </w:rPr>
            </w:pPr>
            <w:r>
              <w:rPr>
                <w:sz w:val="24"/>
              </w:rPr>
              <w:t>13.81%</w:t>
            </w:r>
          </w:p>
        </w:tc>
      </w:tr>
      <w:tr>
        <w:trPr>
          <w:trHeight w:val="468" w:hRule="exact"/>
        </w:trPr>
        <w:tc>
          <w:tcPr>
            <w:tcW w:w="2701" w:type="dxa"/>
          </w:tcPr>
          <w:p>
            <w:pPr>
              <w:pStyle w:val="TableParagraph"/>
              <w:rPr>
                <w:sz w:val="24"/>
              </w:rPr>
            </w:pPr>
            <w:r>
              <w:rPr>
                <w:sz w:val="24"/>
              </w:rPr>
              <w:t>Colima</w:t>
            </w:r>
          </w:p>
        </w:tc>
        <w:tc>
          <w:tcPr>
            <w:tcW w:w="3116" w:type="dxa"/>
          </w:tcPr>
          <w:p>
            <w:pPr>
              <w:pStyle w:val="TableParagraph"/>
              <w:rPr>
                <w:sz w:val="24"/>
              </w:rPr>
            </w:pPr>
            <w:r>
              <w:rPr>
                <w:sz w:val="24"/>
              </w:rPr>
              <w:t>11.34%</w:t>
            </w:r>
          </w:p>
        </w:tc>
      </w:tr>
      <w:tr>
        <w:trPr>
          <w:trHeight w:val="468" w:hRule="exact"/>
        </w:trPr>
        <w:tc>
          <w:tcPr>
            <w:tcW w:w="2701" w:type="dxa"/>
          </w:tcPr>
          <w:p>
            <w:pPr>
              <w:pStyle w:val="TableParagraph"/>
              <w:rPr>
                <w:sz w:val="24"/>
              </w:rPr>
            </w:pPr>
            <w:r>
              <w:rPr>
                <w:sz w:val="24"/>
              </w:rPr>
              <w:t>Zacatecas</w:t>
            </w:r>
          </w:p>
        </w:tc>
        <w:tc>
          <w:tcPr>
            <w:tcW w:w="3116" w:type="dxa"/>
          </w:tcPr>
          <w:p>
            <w:pPr>
              <w:pStyle w:val="TableParagraph"/>
              <w:rPr>
                <w:sz w:val="24"/>
              </w:rPr>
            </w:pPr>
            <w:r>
              <w:rPr>
                <w:sz w:val="24"/>
              </w:rPr>
              <w:t>10.70%</w:t>
            </w:r>
          </w:p>
        </w:tc>
      </w:tr>
    </w:tbl>
    <w:p>
      <w:pPr>
        <w:pStyle w:val="BodyText"/>
        <w:rPr>
          <w:b/>
          <w:sz w:val="20"/>
        </w:rPr>
      </w:pPr>
    </w:p>
    <w:p>
      <w:pPr>
        <w:pStyle w:val="BodyText"/>
        <w:spacing w:before="4"/>
        <w:rPr>
          <w:b/>
          <w:sz w:val="19"/>
        </w:rPr>
      </w:pPr>
    </w:p>
    <w:p>
      <w:pPr>
        <w:pStyle w:val="BodyText"/>
        <w:spacing w:line="256" w:lineRule="auto"/>
        <w:ind w:left="112" w:right="112" w:firstLine="708"/>
      </w:pPr>
      <w:r>
        <w:rPr/>
        <w:t>Estados con crecimiento negativo en el rendimiento por hectárea (Ψ) en el periodo 1992-1994 a 20131-2014 (Tabla 27.2)</w:t>
      </w:r>
    </w:p>
    <w:p>
      <w:pPr>
        <w:spacing w:after="0" w:line="256" w:lineRule="auto"/>
        <w:sectPr>
          <w:headerReference w:type="default" r:id="rId13"/>
          <w:pgSz w:w="12240" w:h="15840"/>
          <w:pgMar w:header="731" w:footer="0" w:top="960" w:bottom="280" w:left="1020" w:right="1020"/>
          <w:pgNumType w:start="355"/>
        </w:sectPr>
      </w:pPr>
    </w:p>
    <w:p>
      <w:pPr>
        <w:pStyle w:val="BodyText"/>
        <w:rPr>
          <w:sz w:val="20"/>
        </w:rPr>
      </w:pPr>
    </w:p>
    <w:p>
      <w:pPr>
        <w:pStyle w:val="BodyText"/>
        <w:spacing w:before="7"/>
        <w:rPr>
          <w:sz w:val="27"/>
        </w:rPr>
      </w:pPr>
    </w:p>
    <w:p>
      <w:pPr>
        <w:pStyle w:val="Heading5"/>
        <w:spacing w:before="70"/>
        <w:ind w:left="3769" w:right="3769" w:firstLine="0"/>
        <w:jc w:val="center"/>
      </w:pPr>
      <w:r>
        <w:rPr/>
        <w:t>Tabla 27.2</w:t>
      </w:r>
    </w:p>
    <w:p>
      <w:pPr>
        <w:pStyle w:val="BodyText"/>
        <w:spacing w:before="1"/>
        <w:rPr>
          <w:b/>
          <w:sz w:val="16"/>
        </w:rPr>
      </w:pPr>
    </w:p>
    <w:tbl>
      <w:tblPr>
        <w:tblW w:w="0" w:type="auto"/>
        <w:jc w:val="left"/>
        <w:tblInd w:w="1267"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2552"/>
        <w:gridCol w:w="2552"/>
        <w:gridCol w:w="2554"/>
      </w:tblGrid>
      <w:tr>
        <w:trPr>
          <w:trHeight w:val="766" w:hRule="exact"/>
        </w:trPr>
        <w:tc>
          <w:tcPr>
            <w:tcW w:w="2552" w:type="dxa"/>
          </w:tcPr>
          <w:p>
            <w:pPr>
              <w:pStyle w:val="TableParagraph"/>
              <w:rPr>
                <w:sz w:val="24"/>
              </w:rPr>
            </w:pPr>
            <w:r>
              <w:rPr>
                <w:sz w:val="24"/>
              </w:rPr>
              <w:t>Entidad federativa</w:t>
            </w:r>
          </w:p>
        </w:tc>
        <w:tc>
          <w:tcPr>
            <w:tcW w:w="2552" w:type="dxa"/>
          </w:tcPr>
          <w:p>
            <w:pPr>
              <w:pStyle w:val="TableParagraph"/>
              <w:tabs>
                <w:tab w:pos="815" w:val="left" w:leader="none"/>
                <w:tab w:pos="1305" w:val="left" w:leader="none"/>
              </w:tabs>
              <w:spacing w:line="270" w:lineRule="exact"/>
              <w:rPr>
                <w:sz w:val="24"/>
              </w:rPr>
            </w:pPr>
            <w:r>
              <w:rPr>
                <w:sz w:val="24"/>
              </w:rPr>
              <w:t>Tasa</w:t>
              <w:tab/>
              <w:t>de</w:t>
              <w:tab/>
              <w:t>crecimiento</w:t>
            </w:r>
          </w:p>
          <w:p>
            <w:pPr>
              <w:pStyle w:val="TableParagraph"/>
              <w:spacing w:line="240" w:lineRule="auto" w:before="4"/>
              <w:ind w:left="0"/>
              <w:rPr>
                <w:b/>
                <w:sz w:val="2"/>
              </w:rPr>
            </w:pPr>
          </w:p>
          <w:p>
            <w:pPr>
              <w:pStyle w:val="TableParagraph"/>
              <w:spacing w:line="240" w:lineRule="auto"/>
              <w:rPr>
                <w:sz w:val="20"/>
              </w:rPr>
            </w:pPr>
            <w:r>
              <w:rPr>
                <w:sz w:val="20"/>
              </w:rPr>
              <w:drawing>
                <wp:inline distT="0" distB="0" distL="0" distR="0">
                  <wp:extent cx="869848" cy="169164"/>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14" cstate="print"/>
                          <a:stretch>
                            <a:fillRect/>
                          </a:stretch>
                        </pic:blipFill>
                        <pic:spPr>
                          <a:xfrm>
                            <a:off x="0" y="0"/>
                            <a:ext cx="869848" cy="169164"/>
                          </a:xfrm>
                          <a:prstGeom prst="rect">
                            <a:avLst/>
                          </a:prstGeom>
                        </pic:spPr>
                      </pic:pic>
                    </a:graphicData>
                  </a:graphic>
                </wp:inline>
              </w:drawing>
            </w:r>
            <w:r>
              <w:rPr>
                <w:sz w:val="20"/>
              </w:rPr>
            </w:r>
          </w:p>
          <w:p>
            <w:pPr>
              <w:pStyle w:val="TableParagraph"/>
              <w:spacing w:line="240" w:lineRule="auto" w:before="7"/>
              <w:ind w:left="0"/>
              <w:rPr>
                <w:b/>
                <w:sz w:val="16"/>
              </w:rPr>
            </w:pPr>
          </w:p>
        </w:tc>
        <w:tc>
          <w:tcPr>
            <w:tcW w:w="2554" w:type="dxa"/>
          </w:tcPr>
          <w:p>
            <w:pPr>
              <w:pStyle w:val="TableParagraph"/>
              <w:tabs>
                <w:tab w:pos="818" w:val="left" w:leader="none"/>
                <w:tab w:pos="1307" w:val="left" w:leader="none"/>
              </w:tabs>
              <w:spacing w:line="270" w:lineRule="exact"/>
              <w:ind w:left="105"/>
              <w:rPr>
                <w:sz w:val="24"/>
              </w:rPr>
            </w:pPr>
            <w:r>
              <w:rPr>
                <w:sz w:val="24"/>
              </w:rPr>
              <w:t>Tasa</w:t>
              <w:tab/>
              <w:t>de</w:t>
              <w:tab/>
              <w:t>crecimiento</w:t>
            </w:r>
          </w:p>
          <w:p>
            <w:pPr>
              <w:pStyle w:val="TableParagraph"/>
              <w:spacing w:line="240" w:lineRule="auto" w:before="4"/>
              <w:ind w:left="0"/>
              <w:rPr>
                <w:b/>
                <w:sz w:val="2"/>
              </w:rPr>
            </w:pPr>
          </w:p>
          <w:p>
            <w:pPr>
              <w:pStyle w:val="TableParagraph"/>
              <w:spacing w:line="240" w:lineRule="auto"/>
              <w:ind w:left="105"/>
              <w:rPr>
                <w:sz w:val="20"/>
              </w:rPr>
            </w:pPr>
            <w:r>
              <w:rPr>
                <w:sz w:val="20"/>
              </w:rPr>
              <w:drawing>
                <wp:inline distT="0" distB="0" distL="0" distR="0">
                  <wp:extent cx="833754" cy="169164"/>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15" cstate="print"/>
                          <a:stretch>
                            <a:fillRect/>
                          </a:stretch>
                        </pic:blipFill>
                        <pic:spPr>
                          <a:xfrm>
                            <a:off x="0" y="0"/>
                            <a:ext cx="833754" cy="169164"/>
                          </a:xfrm>
                          <a:prstGeom prst="rect">
                            <a:avLst/>
                          </a:prstGeom>
                        </pic:spPr>
                      </pic:pic>
                    </a:graphicData>
                  </a:graphic>
                </wp:inline>
              </w:drawing>
            </w:r>
            <w:r>
              <w:rPr>
                <w:sz w:val="20"/>
              </w:rPr>
            </w:r>
          </w:p>
          <w:p>
            <w:pPr>
              <w:pStyle w:val="TableParagraph"/>
              <w:spacing w:line="240" w:lineRule="auto" w:before="7"/>
              <w:ind w:left="0"/>
              <w:rPr>
                <w:b/>
                <w:sz w:val="16"/>
              </w:rPr>
            </w:pPr>
          </w:p>
        </w:tc>
      </w:tr>
      <w:tr>
        <w:trPr>
          <w:trHeight w:val="468" w:hRule="exact"/>
        </w:trPr>
        <w:tc>
          <w:tcPr>
            <w:tcW w:w="2552" w:type="dxa"/>
          </w:tcPr>
          <w:p>
            <w:pPr>
              <w:pStyle w:val="TableParagraph"/>
              <w:rPr>
                <w:sz w:val="24"/>
              </w:rPr>
            </w:pPr>
            <w:r>
              <w:rPr>
                <w:sz w:val="24"/>
              </w:rPr>
              <w:t>Colima</w:t>
            </w:r>
          </w:p>
        </w:tc>
        <w:tc>
          <w:tcPr>
            <w:tcW w:w="2552" w:type="dxa"/>
          </w:tcPr>
          <w:p>
            <w:pPr>
              <w:pStyle w:val="TableParagraph"/>
              <w:rPr>
                <w:sz w:val="24"/>
              </w:rPr>
            </w:pPr>
            <w:r>
              <w:rPr>
                <w:sz w:val="24"/>
              </w:rPr>
              <w:t>-4.45%</w:t>
            </w:r>
          </w:p>
        </w:tc>
        <w:tc>
          <w:tcPr>
            <w:tcW w:w="2554" w:type="dxa"/>
          </w:tcPr>
          <w:p>
            <w:pPr>
              <w:pStyle w:val="TableParagraph"/>
              <w:ind w:left="105"/>
              <w:rPr>
                <w:sz w:val="24"/>
              </w:rPr>
            </w:pPr>
            <w:r>
              <w:rPr>
                <w:sz w:val="24"/>
              </w:rPr>
              <w:t>11.34%</w:t>
            </w:r>
          </w:p>
        </w:tc>
      </w:tr>
      <w:tr>
        <w:trPr>
          <w:trHeight w:val="468" w:hRule="exact"/>
        </w:trPr>
        <w:tc>
          <w:tcPr>
            <w:tcW w:w="2552" w:type="dxa"/>
          </w:tcPr>
          <w:p>
            <w:pPr>
              <w:pStyle w:val="TableParagraph"/>
              <w:rPr>
                <w:sz w:val="24"/>
              </w:rPr>
            </w:pPr>
            <w:r>
              <w:rPr>
                <w:sz w:val="24"/>
              </w:rPr>
              <w:t>Distrito Federal</w:t>
            </w:r>
          </w:p>
        </w:tc>
        <w:tc>
          <w:tcPr>
            <w:tcW w:w="2552" w:type="dxa"/>
          </w:tcPr>
          <w:p>
            <w:pPr>
              <w:pStyle w:val="TableParagraph"/>
              <w:rPr>
                <w:sz w:val="24"/>
              </w:rPr>
            </w:pPr>
            <w:r>
              <w:rPr>
                <w:sz w:val="24"/>
              </w:rPr>
              <w:t>-1.20%</w:t>
            </w:r>
          </w:p>
        </w:tc>
        <w:tc>
          <w:tcPr>
            <w:tcW w:w="2554" w:type="dxa"/>
          </w:tcPr>
          <w:p>
            <w:pPr>
              <w:pStyle w:val="TableParagraph"/>
              <w:ind w:left="105"/>
              <w:rPr>
                <w:sz w:val="24"/>
              </w:rPr>
            </w:pPr>
            <w:r>
              <w:rPr>
                <w:sz w:val="24"/>
              </w:rPr>
              <w:t>8.23%</w:t>
            </w:r>
          </w:p>
        </w:tc>
      </w:tr>
      <w:tr>
        <w:trPr>
          <w:trHeight w:val="468" w:hRule="exact"/>
        </w:trPr>
        <w:tc>
          <w:tcPr>
            <w:tcW w:w="2552" w:type="dxa"/>
          </w:tcPr>
          <w:p>
            <w:pPr>
              <w:pStyle w:val="TableParagraph"/>
              <w:rPr>
                <w:sz w:val="24"/>
              </w:rPr>
            </w:pPr>
            <w:r>
              <w:rPr>
                <w:sz w:val="24"/>
              </w:rPr>
              <w:t>Nuevo León</w:t>
            </w:r>
          </w:p>
        </w:tc>
        <w:tc>
          <w:tcPr>
            <w:tcW w:w="2552" w:type="dxa"/>
          </w:tcPr>
          <w:p>
            <w:pPr>
              <w:pStyle w:val="TableParagraph"/>
              <w:rPr>
                <w:sz w:val="24"/>
              </w:rPr>
            </w:pPr>
            <w:r>
              <w:rPr>
                <w:sz w:val="24"/>
              </w:rPr>
              <w:t>-1.18%</w:t>
            </w:r>
          </w:p>
        </w:tc>
        <w:tc>
          <w:tcPr>
            <w:tcW w:w="2554" w:type="dxa"/>
          </w:tcPr>
          <w:p>
            <w:pPr>
              <w:pStyle w:val="TableParagraph"/>
              <w:ind w:left="105"/>
              <w:rPr>
                <w:sz w:val="24"/>
              </w:rPr>
            </w:pPr>
            <w:r>
              <w:rPr>
                <w:sz w:val="24"/>
              </w:rPr>
              <w:t>-2.99%</w:t>
            </w:r>
          </w:p>
        </w:tc>
      </w:tr>
      <w:tr>
        <w:trPr>
          <w:trHeight w:val="468" w:hRule="exact"/>
        </w:trPr>
        <w:tc>
          <w:tcPr>
            <w:tcW w:w="2552" w:type="dxa"/>
          </w:tcPr>
          <w:p>
            <w:pPr>
              <w:pStyle w:val="TableParagraph"/>
              <w:rPr>
                <w:sz w:val="24"/>
              </w:rPr>
            </w:pPr>
            <w:r>
              <w:rPr>
                <w:sz w:val="24"/>
              </w:rPr>
              <w:t>Chiapas</w:t>
            </w:r>
          </w:p>
        </w:tc>
        <w:tc>
          <w:tcPr>
            <w:tcW w:w="2552" w:type="dxa"/>
          </w:tcPr>
          <w:p>
            <w:pPr>
              <w:pStyle w:val="TableParagraph"/>
              <w:rPr>
                <w:sz w:val="24"/>
              </w:rPr>
            </w:pPr>
            <w:r>
              <w:rPr>
                <w:sz w:val="24"/>
              </w:rPr>
              <w:t>-1.11%</w:t>
            </w:r>
          </w:p>
        </w:tc>
        <w:tc>
          <w:tcPr>
            <w:tcW w:w="2554" w:type="dxa"/>
          </w:tcPr>
          <w:p>
            <w:pPr>
              <w:pStyle w:val="TableParagraph"/>
              <w:ind w:left="105"/>
              <w:rPr>
                <w:sz w:val="24"/>
              </w:rPr>
            </w:pPr>
            <w:r>
              <w:rPr>
                <w:sz w:val="24"/>
              </w:rPr>
              <w:t>-0.60%</w:t>
            </w:r>
          </w:p>
        </w:tc>
      </w:tr>
      <w:tr>
        <w:trPr>
          <w:trHeight w:val="469" w:hRule="exact"/>
        </w:trPr>
        <w:tc>
          <w:tcPr>
            <w:tcW w:w="2552" w:type="dxa"/>
          </w:tcPr>
          <w:p>
            <w:pPr>
              <w:pStyle w:val="TableParagraph"/>
              <w:rPr>
                <w:sz w:val="24"/>
              </w:rPr>
            </w:pPr>
            <w:r>
              <w:rPr>
                <w:sz w:val="24"/>
              </w:rPr>
              <w:t>Aguascalientes</w:t>
            </w:r>
          </w:p>
        </w:tc>
        <w:tc>
          <w:tcPr>
            <w:tcW w:w="2552" w:type="dxa"/>
          </w:tcPr>
          <w:p>
            <w:pPr>
              <w:pStyle w:val="TableParagraph"/>
              <w:rPr>
                <w:sz w:val="24"/>
              </w:rPr>
            </w:pPr>
            <w:r>
              <w:rPr>
                <w:sz w:val="24"/>
              </w:rPr>
              <w:t>-1.99%</w:t>
            </w:r>
          </w:p>
        </w:tc>
        <w:tc>
          <w:tcPr>
            <w:tcW w:w="2554" w:type="dxa"/>
          </w:tcPr>
          <w:p>
            <w:pPr>
              <w:pStyle w:val="TableParagraph"/>
              <w:ind w:left="105"/>
              <w:rPr>
                <w:sz w:val="24"/>
              </w:rPr>
            </w:pPr>
            <w:r>
              <w:rPr>
                <w:sz w:val="24"/>
              </w:rPr>
              <w:t>1.37%</w:t>
            </w:r>
          </w:p>
        </w:tc>
      </w:tr>
      <w:tr>
        <w:trPr>
          <w:trHeight w:val="468" w:hRule="exact"/>
        </w:trPr>
        <w:tc>
          <w:tcPr>
            <w:tcW w:w="2552" w:type="dxa"/>
          </w:tcPr>
          <w:p>
            <w:pPr>
              <w:pStyle w:val="TableParagraph"/>
              <w:rPr>
                <w:sz w:val="24"/>
              </w:rPr>
            </w:pPr>
            <w:r>
              <w:rPr>
                <w:sz w:val="24"/>
              </w:rPr>
              <w:t>Tamaulipas</w:t>
            </w:r>
          </w:p>
        </w:tc>
        <w:tc>
          <w:tcPr>
            <w:tcW w:w="2552" w:type="dxa"/>
          </w:tcPr>
          <w:p>
            <w:pPr>
              <w:pStyle w:val="TableParagraph"/>
              <w:rPr>
                <w:sz w:val="24"/>
              </w:rPr>
            </w:pPr>
            <w:r>
              <w:rPr>
                <w:sz w:val="24"/>
              </w:rPr>
              <w:t>-0.99%</w:t>
            </w:r>
          </w:p>
        </w:tc>
        <w:tc>
          <w:tcPr>
            <w:tcW w:w="2554" w:type="dxa"/>
          </w:tcPr>
          <w:p>
            <w:pPr>
              <w:pStyle w:val="TableParagraph"/>
              <w:ind w:left="105"/>
              <w:rPr>
                <w:sz w:val="24"/>
              </w:rPr>
            </w:pPr>
            <w:r>
              <w:rPr>
                <w:sz w:val="24"/>
              </w:rPr>
              <w:t>5.91%</w:t>
            </w:r>
          </w:p>
        </w:tc>
      </w:tr>
      <w:tr>
        <w:trPr>
          <w:trHeight w:val="468" w:hRule="exact"/>
        </w:trPr>
        <w:tc>
          <w:tcPr>
            <w:tcW w:w="2552" w:type="dxa"/>
          </w:tcPr>
          <w:p>
            <w:pPr>
              <w:pStyle w:val="TableParagraph"/>
              <w:rPr>
                <w:sz w:val="24"/>
              </w:rPr>
            </w:pPr>
            <w:r>
              <w:rPr>
                <w:sz w:val="24"/>
              </w:rPr>
              <w:t>San Luis Potosí</w:t>
            </w:r>
          </w:p>
        </w:tc>
        <w:tc>
          <w:tcPr>
            <w:tcW w:w="2552" w:type="dxa"/>
          </w:tcPr>
          <w:p>
            <w:pPr>
              <w:pStyle w:val="TableParagraph"/>
              <w:rPr>
                <w:sz w:val="24"/>
              </w:rPr>
            </w:pPr>
            <w:r>
              <w:rPr>
                <w:sz w:val="24"/>
              </w:rPr>
              <w:t>-0.89%</w:t>
            </w:r>
          </w:p>
        </w:tc>
        <w:tc>
          <w:tcPr>
            <w:tcW w:w="2554" w:type="dxa"/>
          </w:tcPr>
          <w:p>
            <w:pPr>
              <w:pStyle w:val="TableParagraph"/>
              <w:ind w:left="105"/>
              <w:rPr>
                <w:sz w:val="24"/>
              </w:rPr>
            </w:pPr>
            <w:r>
              <w:rPr>
                <w:sz w:val="24"/>
              </w:rPr>
              <w:t>-0.13%</w:t>
            </w:r>
          </w:p>
        </w:tc>
      </w:tr>
      <w:tr>
        <w:trPr>
          <w:trHeight w:val="466" w:hRule="exact"/>
        </w:trPr>
        <w:tc>
          <w:tcPr>
            <w:tcW w:w="2552" w:type="dxa"/>
          </w:tcPr>
          <w:p>
            <w:pPr>
              <w:pStyle w:val="TableParagraph"/>
              <w:rPr>
                <w:sz w:val="24"/>
              </w:rPr>
            </w:pPr>
            <w:r>
              <w:rPr>
                <w:sz w:val="24"/>
              </w:rPr>
              <w:t>Coahuila</w:t>
            </w:r>
          </w:p>
        </w:tc>
        <w:tc>
          <w:tcPr>
            <w:tcW w:w="2552" w:type="dxa"/>
          </w:tcPr>
          <w:p>
            <w:pPr>
              <w:pStyle w:val="TableParagraph"/>
              <w:rPr>
                <w:sz w:val="24"/>
              </w:rPr>
            </w:pPr>
            <w:r>
              <w:rPr>
                <w:sz w:val="24"/>
              </w:rPr>
              <w:t>-0.53%</w:t>
            </w:r>
          </w:p>
        </w:tc>
        <w:tc>
          <w:tcPr>
            <w:tcW w:w="2554" w:type="dxa"/>
          </w:tcPr>
          <w:p>
            <w:pPr>
              <w:pStyle w:val="TableParagraph"/>
              <w:ind w:left="105"/>
              <w:rPr>
                <w:sz w:val="24"/>
              </w:rPr>
            </w:pPr>
            <w:r>
              <w:rPr>
                <w:sz w:val="24"/>
              </w:rPr>
              <w:t>-0.96%</w:t>
            </w:r>
          </w:p>
        </w:tc>
      </w:tr>
      <w:tr>
        <w:trPr>
          <w:trHeight w:val="468" w:hRule="exact"/>
        </w:trPr>
        <w:tc>
          <w:tcPr>
            <w:tcW w:w="2552" w:type="dxa"/>
          </w:tcPr>
          <w:p>
            <w:pPr>
              <w:pStyle w:val="TableParagraph"/>
              <w:spacing w:line="270" w:lineRule="exact"/>
              <w:rPr>
                <w:sz w:val="24"/>
              </w:rPr>
            </w:pPr>
            <w:r>
              <w:rPr>
                <w:sz w:val="24"/>
              </w:rPr>
              <w:t>Oaxaca</w:t>
            </w:r>
          </w:p>
        </w:tc>
        <w:tc>
          <w:tcPr>
            <w:tcW w:w="2552" w:type="dxa"/>
          </w:tcPr>
          <w:p>
            <w:pPr>
              <w:pStyle w:val="TableParagraph"/>
              <w:spacing w:line="270" w:lineRule="exact"/>
              <w:rPr>
                <w:sz w:val="24"/>
              </w:rPr>
            </w:pPr>
            <w:r>
              <w:rPr>
                <w:sz w:val="24"/>
              </w:rPr>
              <w:t>-0.52%</w:t>
            </w:r>
          </w:p>
        </w:tc>
        <w:tc>
          <w:tcPr>
            <w:tcW w:w="2554" w:type="dxa"/>
          </w:tcPr>
          <w:p>
            <w:pPr>
              <w:pStyle w:val="TableParagraph"/>
              <w:spacing w:line="270" w:lineRule="exact"/>
              <w:ind w:left="105"/>
              <w:rPr>
                <w:sz w:val="24"/>
              </w:rPr>
            </w:pPr>
            <w:r>
              <w:rPr>
                <w:sz w:val="24"/>
              </w:rPr>
              <w:t>0.45%</w:t>
            </w:r>
          </w:p>
        </w:tc>
      </w:tr>
      <w:tr>
        <w:trPr>
          <w:trHeight w:val="468" w:hRule="exact"/>
        </w:trPr>
        <w:tc>
          <w:tcPr>
            <w:tcW w:w="2552" w:type="dxa"/>
          </w:tcPr>
          <w:p>
            <w:pPr>
              <w:pStyle w:val="TableParagraph"/>
              <w:spacing w:line="270" w:lineRule="exact"/>
              <w:rPr>
                <w:sz w:val="24"/>
              </w:rPr>
            </w:pPr>
            <w:r>
              <w:rPr>
                <w:sz w:val="24"/>
              </w:rPr>
              <w:t>Yucatán</w:t>
            </w:r>
          </w:p>
        </w:tc>
        <w:tc>
          <w:tcPr>
            <w:tcW w:w="2552" w:type="dxa"/>
          </w:tcPr>
          <w:p>
            <w:pPr>
              <w:pStyle w:val="TableParagraph"/>
              <w:spacing w:line="270" w:lineRule="exact"/>
              <w:rPr>
                <w:sz w:val="24"/>
              </w:rPr>
            </w:pPr>
            <w:r>
              <w:rPr>
                <w:sz w:val="24"/>
              </w:rPr>
              <w:t>-0.35%</w:t>
            </w:r>
          </w:p>
        </w:tc>
        <w:tc>
          <w:tcPr>
            <w:tcW w:w="2554" w:type="dxa"/>
          </w:tcPr>
          <w:p>
            <w:pPr>
              <w:pStyle w:val="TableParagraph"/>
              <w:spacing w:line="270" w:lineRule="exact"/>
              <w:ind w:left="105"/>
              <w:rPr>
                <w:sz w:val="24"/>
              </w:rPr>
            </w:pPr>
            <w:r>
              <w:rPr>
                <w:sz w:val="24"/>
              </w:rPr>
              <w:t>14.73%</w:t>
            </w:r>
          </w:p>
        </w:tc>
      </w:tr>
    </w:tbl>
    <w:p>
      <w:pPr>
        <w:pStyle w:val="BodyText"/>
        <w:rPr>
          <w:b/>
          <w:sz w:val="20"/>
        </w:rPr>
      </w:pPr>
    </w:p>
    <w:p>
      <w:pPr>
        <w:pStyle w:val="BodyText"/>
        <w:spacing w:before="4"/>
        <w:rPr>
          <w:b/>
          <w:sz w:val="19"/>
        </w:rPr>
      </w:pPr>
    </w:p>
    <w:p>
      <w:pPr>
        <w:pStyle w:val="BodyText"/>
        <w:ind w:left="821" w:right="110"/>
      </w:pPr>
      <w:r>
        <w:rPr/>
        <w:t>Indicadores de conversión productiva (Ω) y rendimiento (ψ) de estados seleccionados (Tabla</w:t>
      </w:r>
    </w:p>
    <w:p>
      <w:pPr>
        <w:pStyle w:val="BodyText"/>
        <w:spacing w:before="19"/>
        <w:ind w:left="112" w:right="7378"/>
      </w:pPr>
      <w:r>
        <w:rPr/>
        <w:t>27.3)</w:t>
      </w:r>
    </w:p>
    <w:p>
      <w:pPr>
        <w:pStyle w:val="Heading5"/>
        <w:spacing w:before="187"/>
        <w:ind w:left="3769" w:right="3769" w:firstLine="0"/>
        <w:jc w:val="center"/>
      </w:pPr>
      <w:r>
        <w:rPr/>
        <w:t>Tabla 27.3</w:t>
      </w:r>
    </w:p>
    <w:p>
      <w:pPr>
        <w:pStyle w:val="BodyText"/>
        <w:spacing w:before="1"/>
        <w:rPr>
          <w:b/>
          <w:sz w:val="16"/>
        </w:rPr>
      </w:pPr>
    </w:p>
    <w:tbl>
      <w:tblPr>
        <w:tblW w:w="0" w:type="auto"/>
        <w:jc w:val="left"/>
        <w:tblInd w:w="1188"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1921"/>
        <w:gridCol w:w="2976"/>
        <w:gridCol w:w="2917"/>
      </w:tblGrid>
      <w:tr>
        <w:trPr>
          <w:trHeight w:val="418" w:hRule="exact"/>
        </w:trPr>
        <w:tc>
          <w:tcPr>
            <w:tcW w:w="1921" w:type="dxa"/>
          </w:tcPr>
          <w:p>
            <w:pPr>
              <w:pStyle w:val="TableParagraph"/>
              <w:spacing w:line="223" w:lineRule="exact"/>
              <w:rPr>
                <w:sz w:val="20"/>
              </w:rPr>
            </w:pPr>
            <w:r>
              <w:rPr>
                <w:sz w:val="20"/>
              </w:rPr>
              <w:t>Entidad federativa</w:t>
            </w:r>
          </w:p>
        </w:tc>
        <w:tc>
          <w:tcPr>
            <w:tcW w:w="2976" w:type="dxa"/>
          </w:tcPr>
          <w:p>
            <w:pPr>
              <w:pStyle w:val="TableParagraph"/>
              <w:spacing w:line="223" w:lineRule="exact"/>
              <w:rPr>
                <w:sz w:val="20"/>
              </w:rPr>
            </w:pPr>
            <w:r>
              <w:rPr>
                <w:sz w:val="20"/>
              </w:rPr>
              <w:t>Tasa de crecimiento anual de (</w:t>
            </w:r>
            <w:r>
              <w:rPr>
                <w:b/>
                <w:sz w:val="20"/>
              </w:rPr>
              <w:t>Ω</w:t>
            </w:r>
            <w:r>
              <w:rPr>
                <w:sz w:val="20"/>
              </w:rPr>
              <w:t>)</w:t>
            </w:r>
          </w:p>
        </w:tc>
        <w:tc>
          <w:tcPr>
            <w:tcW w:w="2917" w:type="dxa"/>
          </w:tcPr>
          <w:p>
            <w:pPr>
              <w:pStyle w:val="TableParagraph"/>
              <w:spacing w:line="223" w:lineRule="exact"/>
              <w:ind w:left="105"/>
              <w:rPr>
                <w:sz w:val="20"/>
              </w:rPr>
            </w:pPr>
            <w:r>
              <w:rPr>
                <w:sz w:val="20"/>
              </w:rPr>
              <w:t>Tasa de crecimiento anual de (</w:t>
            </w:r>
            <w:r>
              <w:rPr>
                <w:b/>
                <w:sz w:val="20"/>
              </w:rPr>
              <w:t>ψ</w:t>
            </w:r>
            <w:r>
              <w:rPr>
                <w:sz w:val="20"/>
              </w:rPr>
              <w:t>)</w:t>
            </w:r>
          </w:p>
        </w:tc>
      </w:tr>
      <w:tr>
        <w:trPr>
          <w:trHeight w:val="418" w:hRule="exact"/>
        </w:trPr>
        <w:tc>
          <w:tcPr>
            <w:tcW w:w="1921" w:type="dxa"/>
          </w:tcPr>
          <w:p>
            <w:pPr>
              <w:pStyle w:val="TableParagraph"/>
              <w:spacing w:line="223" w:lineRule="exact"/>
              <w:rPr>
                <w:sz w:val="20"/>
              </w:rPr>
            </w:pPr>
            <w:r>
              <w:rPr>
                <w:sz w:val="20"/>
              </w:rPr>
              <w:t>Tamaulipas</w:t>
            </w:r>
          </w:p>
        </w:tc>
        <w:tc>
          <w:tcPr>
            <w:tcW w:w="2976" w:type="dxa"/>
          </w:tcPr>
          <w:p>
            <w:pPr>
              <w:pStyle w:val="TableParagraph"/>
              <w:spacing w:line="223" w:lineRule="exact"/>
              <w:rPr>
                <w:sz w:val="20"/>
              </w:rPr>
            </w:pPr>
            <w:r>
              <w:rPr>
                <w:sz w:val="20"/>
              </w:rPr>
              <w:t>5.91%</w:t>
            </w:r>
          </w:p>
        </w:tc>
        <w:tc>
          <w:tcPr>
            <w:tcW w:w="2917" w:type="dxa"/>
          </w:tcPr>
          <w:p>
            <w:pPr>
              <w:pStyle w:val="TableParagraph"/>
              <w:spacing w:line="223" w:lineRule="exact"/>
              <w:ind w:left="105"/>
              <w:rPr>
                <w:sz w:val="20"/>
              </w:rPr>
            </w:pPr>
            <w:r>
              <w:rPr>
                <w:sz w:val="20"/>
              </w:rPr>
              <w:t>-0.89%</w:t>
            </w:r>
          </w:p>
        </w:tc>
      </w:tr>
      <w:tr>
        <w:trPr>
          <w:trHeight w:val="420" w:hRule="exact"/>
        </w:trPr>
        <w:tc>
          <w:tcPr>
            <w:tcW w:w="1921" w:type="dxa"/>
          </w:tcPr>
          <w:p>
            <w:pPr>
              <w:pStyle w:val="TableParagraph"/>
              <w:spacing w:line="226" w:lineRule="exact"/>
              <w:rPr>
                <w:sz w:val="20"/>
              </w:rPr>
            </w:pPr>
            <w:r>
              <w:rPr>
                <w:sz w:val="20"/>
              </w:rPr>
              <w:t>Tlaxcala</w:t>
            </w:r>
          </w:p>
        </w:tc>
        <w:tc>
          <w:tcPr>
            <w:tcW w:w="2976" w:type="dxa"/>
          </w:tcPr>
          <w:p>
            <w:pPr>
              <w:pStyle w:val="TableParagraph"/>
              <w:spacing w:line="226" w:lineRule="exact"/>
              <w:rPr>
                <w:sz w:val="20"/>
              </w:rPr>
            </w:pPr>
            <w:r>
              <w:rPr>
                <w:sz w:val="20"/>
              </w:rPr>
              <w:t>-3.11%</w:t>
            </w:r>
          </w:p>
        </w:tc>
        <w:tc>
          <w:tcPr>
            <w:tcW w:w="2917" w:type="dxa"/>
          </w:tcPr>
          <w:p>
            <w:pPr>
              <w:pStyle w:val="TableParagraph"/>
              <w:spacing w:line="226" w:lineRule="exact"/>
              <w:ind w:left="105"/>
              <w:rPr>
                <w:sz w:val="20"/>
              </w:rPr>
            </w:pPr>
            <w:r>
              <w:rPr>
                <w:sz w:val="20"/>
              </w:rPr>
              <w:t>0.71%</w:t>
            </w:r>
          </w:p>
        </w:tc>
      </w:tr>
      <w:tr>
        <w:trPr>
          <w:trHeight w:val="418" w:hRule="exact"/>
        </w:trPr>
        <w:tc>
          <w:tcPr>
            <w:tcW w:w="1921" w:type="dxa"/>
          </w:tcPr>
          <w:p>
            <w:pPr>
              <w:pStyle w:val="TableParagraph"/>
              <w:spacing w:line="223" w:lineRule="exact"/>
              <w:rPr>
                <w:sz w:val="20"/>
              </w:rPr>
            </w:pPr>
            <w:r>
              <w:rPr>
                <w:sz w:val="20"/>
              </w:rPr>
              <w:t>Campeche</w:t>
            </w:r>
          </w:p>
        </w:tc>
        <w:tc>
          <w:tcPr>
            <w:tcW w:w="2976" w:type="dxa"/>
          </w:tcPr>
          <w:p>
            <w:pPr>
              <w:pStyle w:val="TableParagraph"/>
              <w:spacing w:line="223" w:lineRule="exact"/>
              <w:rPr>
                <w:sz w:val="20"/>
              </w:rPr>
            </w:pPr>
            <w:r>
              <w:rPr>
                <w:sz w:val="20"/>
              </w:rPr>
              <w:t>-8.28%</w:t>
            </w:r>
          </w:p>
        </w:tc>
        <w:tc>
          <w:tcPr>
            <w:tcW w:w="2917" w:type="dxa"/>
          </w:tcPr>
          <w:p>
            <w:pPr>
              <w:pStyle w:val="TableParagraph"/>
              <w:spacing w:line="223" w:lineRule="exact"/>
              <w:ind w:left="105"/>
              <w:rPr>
                <w:sz w:val="20"/>
              </w:rPr>
            </w:pPr>
            <w:r>
              <w:rPr>
                <w:sz w:val="20"/>
              </w:rPr>
              <w:t>1.35%</w:t>
            </w:r>
          </w:p>
        </w:tc>
      </w:tr>
      <w:tr>
        <w:trPr>
          <w:trHeight w:val="418" w:hRule="exact"/>
        </w:trPr>
        <w:tc>
          <w:tcPr>
            <w:tcW w:w="1921" w:type="dxa"/>
          </w:tcPr>
          <w:p>
            <w:pPr>
              <w:pStyle w:val="TableParagraph"/>
              <w:spacing w:line="223" w:lineRule="exact"/>
              <w:rPr>
                <w:sz w:val="20"/>
              </w:rPr>
            </w:pPr>
            <w:r>
              <w:rPr>
                <w:sz w:val="20"/>
              </w:rPr>
              <w:t>Guanajuato</w:t>
            </w:r>
          </w:p>
        </w:tc>
        <w:tc>
          <w:tcPr>
            <w:tcW w:w="2976" w:type="dxa"/>
          </w:tcPr>
          <w:p>
            <w:pPr>
              <w:pStyle w:val="TableParagraph"/>
              <w:spacing w:line="223" w:lineRule="exact"/>
              <w:rPr>
                <w:sz w:val="20"/>
              </w:rPr>
            </w:pPr>
            <w:r>
              <w:rPr>
                <w:sz w:val="20"/>
              </w:rPr>
              <w:t>2.92%</w:t>
            </w:r>
          </w:p>
        </w:tc>
        <w:tc>
          <w:tcPr>
            <w:tcW w:w="2917" w:type="dxa"/>
          </w:tcPr>
          <w:p>
            <w:pPr>
              <w:pStyle w:val="TableParagraph"/>
              <w:spacing w:line="223" w:lineRule="exact"/>
              <w:ind w:left="105"/>
              <w:rPr>
                <w:sz w:val="20"/>
              </w:rPr>
            </w:pPr>
            <w:r>
              <w:rPr>
                <w:sz w:val="20"/>
              </w:rPr>
              <w:t>1.05%</w:t>
            </w:r>
          </w:p>
        </w:tc>
      </w:tr>
      <w:tr>
        <w:trPr>
          <w:trHeight w:val="418" w:hRule="exact"/>
        </w:trPr>
        <w:tc>
          <w:tcPr>
            <w:tcW w:w="1921" w:type="dxa"/>
          </w:tcPr>
          <w:p>
            <w:pPr>
              <w:pStyle w:val="TableParagraph"/>
              <w:spacing w:line="223" w:lineRule="exact"/>
              <w:rPr>
                <w:sz w:val="20"/>
              </w:rPr>
            </w:pPr>
            <w:r>
              <w:rPr>
                <w:sz w:val="20"/>
              </w:rPr>
              <w:t>Quintana Roo</w:t>
            </w:r>
          </w:p>
        </w:tc>
        <w:tc>
          <w:tcPr>
            <w:tcW w:w="2976" w:type="dxa"/>
          </w:tcPr>
          <w:p>
            <w:pPr>
              <w:pStyle w:val="TableParagraph"/>
              <w:spacing w:line="223" w:lineRule="exact"/>
              <w:rPr>
                <w:sz w:val="20"/>
              </w:rPr>
            </w:pPr>
            <w:r>
              <w:rPr>
                <w:sz w:val="20"/>
              </w:rPr>
              <w:t>1.68%</w:t>
            </w:r>
          </w:p>
        </w:tc>
        <w:tc>
          <w:tcPr>
            <w:tcW w:w="2917" w:type="dxa"/>
          </w:tcPr>
          <w:p>
            <w:pPr>
              <w:pStyle w:val="TableParagraph"/>
              <w:spacing w:line="223" w:lineRule="exact"/>
              <w:ind w:left="105"/>
              <w:rPr>
                <w:sz w:val="20"/>
              </w:rPr>
            </w:pPr>
            <w:r>
              <w:rPr>
                <w:sz w:val="20"/>
              </w:rPr>
              <w:t>0.95%</w:t>
            </w:r>
          </w:p>
        </w:tc>
      </w:tr>
      <w:tr>
        <w:trPr>
          <w:trHeight w:val="421" w:hRule="exact"/>
        </w:trPr>
        <w:tc>
          <w:tcPr>
            <w:tcW w:w="1921" w:type="dxa"/>
          </w:tcPr>
          <w:p>
            <w:pPr>
              <w:pStyle w:val="TableParagraph"/>
              <w:spacing w:line="226" w:lineRule="exact"/>
              <w:rPr>
                <w:sz w:val="20"/>
              </w:rPr>
            </w:pPr>
            <w:r>
              <w:rPr>
                <w:sz w:val="20"/>
              </w:rPr>
              <w:t>Baja California</w:t>
            </w:r>
          </w:p>
        </w:tc>
        <w:tc>
          <w:tcPr>
            <w:tcW w:w="2976" w:type="dxa"/>
          </w:tcPr>
          <w:p>
            <w:pPr>
              <w:pStyle w:val="TableParagraph"/>
              <w:spacing w:line="226" w:lineRule="exact"/>
              <w:rPr>
                <w:sz w:val="20"/>
              </w:rPr>
            </w:pPr>
            <w:r>
              <w:rPr>
                <w:sz w:val="20"/>
              </w:rPr>
              <w:t>8.79%</w:t>
            </w:r>
          </w:p>
        </w:tc>
        <w:tc>
          <w:tcPr>
            <w:tcW w:w="2917" w:type="dxa"/>
          </w:tcPr>
          <w:p>
            <w:pPr>
              <w:pStyle w:val="TableParagraph"/>
              <w:spacing w:line="226" w:lineRule="exact"/>
              <w:ind w:left="105"/>
              <w:rPr>
                <w:sz w:val="20"/>
              </w:rPr>
            </w:pPr>
            <w:r>
              <w:rPr>
                <w:sz w:val="20"/>
              </w:rPr>
              <w:t>1.82%</w:t>
            </w:r>
          </w:p>
        </w:tc>
      </w:tr>
      <w:tr>
        <w:trPr>
          <w:trHeight w:val="418" w:hRule="exact"/>
        </w:trPr>
        <w:tc>
          <w:tcPr>
            <w:tcW w:w="1921" w:type="dxa"/>
          </w:tcPr>
          <w:p>
            <w:pPr>
              <w:pStyle w:val="TableParagraph"/>
              <w:spacing w:line="223" w:lineRule="exact"/>
              <w:rPr>
                <w:sz w:val="20"/>
              </w:rPr>
            </w:pPr>
            <w:r>
              <w:rPr>
                <w:sz w:val="20"/>
              </w:rPr>
              <w:t>Baja California Sur</w:t>
            </w:r>
          </w:p>
        </w:tc>
        <w:tc>
          <w:tcPr>
            <w:tcW w:w="2976" w:type="dxa"/>
          </w:tcPr>
          <w:p>
            <w:pPr>
              <w:pStyle w:val="TableParagraph"/>
              <w:spacing w:line="223" w:lineRule="exact"/>
              <w:rPr>
                <w:sz w:val="20"/>
              </w:rPr>
            </w:pPr>
            <w:r>
              <w:rPr>
                <w:sz w:val="20"/>
              </w:rPr>
              <w:t>8.37%</w:t>
            </w:r>
          </w:p>
        </w:tc>
        <w:tc>
          <w:tcPr>
            <w:tcW w:w="2917" w:type="dxa"/>
          </w:tcPr>
          <w:p>
            <w:pPr>
              <w:pStyle w:val="TableParagraph"/>
              <w:spacing w:line="223" w:lineRule="exact"/>
              <w:ind w:left="105"/>
              <w:rPr>
                <w:sz w:val="20"/>
              </w:rPr>
            </w:pPr>
            <w:r>
              <w:rPr>
                <w:sz w:val="20"/>
              </w:rPr>
              <w:t>3.33%</w:t>
            </w:r>
          </w:p>
        </w:tc>
      </w:tr>
      <w:tr>
        <w:trPr>
          <w:trHeight w:val="418" w:hRule="exact"/>
        </w:trPr>
        <w:tc>
          <w:tcPr>
            <w:tcW w:w="1921" w:type="dxa"/>
          </w:tcPr>
          <w:p>
            <w:pPr>
              <w:pStyle w:val="TableParagraph"/>
              <w:spacing w:line="223" w:lineRule="exact"/>
              <w:rPr>
                <w:sz w:val="20"/>
              </w:rPr>
            </w:pPr>
            <w:r>
              <w:rPr>
                <w:sz w:val="20"/>
              </w:rPr>
              <w:t>Chiapas</w:t>
            </w:r>
          </w:p>
        </w:tc>
        <w:tc>
          <w:tcPr>
            <w:tcW w:w="2976" w:type="dxa"/>
          </w:tcPr>
          <w:p>
            <w:pPr>
              <w:pStyle w:val="TableParagraph"/>
              <w:spacing w:line="223" w:lineRule="exact"/>
              <w:rPr>
                <w:sz w:val="20"/>
              </w:rPr>
            </w:pPr>
            <w:r>
              <w:rPr>
                <w:sz w:val="20"/>
              </w:rPr>
              <w:t>-0.60%</w:t>
            </w:r>
          </w:p>
        </w:tc>
        <w:tc>
          <w:tcPr>
            <w:tcW w:w="2917" w:type="dxa"/>
          </w:tcPr>
          <w:p>
            <w:pPr>
              <w:pStyle w:val="TableParagraph"/>
              <w:spacing w:line="223" w:lineRule="exact"/>
              <w:ind w:left="105"/>
              <w:rPr>
                <w:sz w:val="20"/>
              </w:rPr>
            </w:pPr>
            <w:r>
              <w:rPr>
                <w:sz w:val="20"/>
              </w:rPr>
              <w:t>-1.11%</w:t>
            </w:r>
          </w:p>
        </w:tc>
      </w:tr>
      <w:tr>
        <w:trPr>
          <w:trHeight w:val="418" w:hRule="exact"/>
        </w:trPr>
        <w:tc>
          <w:tcPr>
            <w:tcW w:w="1921" w:type="dxa"/>
          </w:tcPr>
          <w:p>
            <w:pPr>
              <w:pStyle w:val="TableParagraph"/>
              <w:spacing w:line="223" w:lineRule="exact"/>
              <w:ind w:left="153"/>
              <w:rPr>
                <w:sz w:val="20"/>
              </w:rPr>
            </w:pPr>
            <w:r>
              <w:rPr>
                <w:sz w:val="20"/>
              </w:rPr>
              <w:t>Puebla</w:t>
            </w:r>
          </w:p>
        </w:tc>
        <w:tc>
          <w:tcPr>
            <w:tcW w:w="2976" w:type="dxa"/>
          </w:tcPr>
          <w:p>
            <w:pPr>
              <w:pStyle w:val="TableParagraph"/>
              <w:spacing w:line="223" w:lineRule="exact"/>
              <w:rPr>
                <w:sz w:val="20"/>
              </w:rPr>
            </w:pPr>
            <w:r>
              <w:rPr>
                <w:sz w:val="20"/>
              </w:rPr>
              <w:t>-3.39%</w:t>
            </w:r>
          </w:p>
        </w:tc>
        <w:tc>
          <w:tcPr>
            <w:tcW w:w="2917" w:type="dxa"/>
          </w:tcPr>
          <w:p>
            <w:pPr>
              <w:pStyle w:val="TableParagraph"/>
              <w:spacing w:line="223" w:lineRule="exact"/>
              <w:ind w:left="105"/>
              <w:rPr>
                <w:sz w:val="20"/>
              </w:rPr>
            </w:pPr>
            <w:r>
              <w:rPr>
                <w:sz w:val="20"/>
              </w:rPr>
              <w:t>1.55%</w:t>
            </w:r>
          </w:p>
        </w:tc>
      </w:tr>
      <w:tr>
        <w:trPr>
          <w:trHeight w:val="420" w:hRule="exact"/>
        </w:trPr>
        <w:tc>
          <w:tcPr>
            <w:tcW w:w="1921" w:type="dxa"/>
          </w:tcPr>
          <w:p>
            <w:pPr>
              <w:pStyle w:val="TableParagraph"/>
              <w:spacing w:line="223" w:lineRule="exact"/>
              <w:rPr>
                <w:sz w:val="20"/>
              </w:rPr>
            </w:pPr>
            <w:r>
              <w:rPr>
                <w:sz w:val="20"/>
              </w:rPr>
              <w:t>Hidalgo</w:t>
            </w:r>
          </w:p>
        </w:tc>
        <w:tc>
          <w:tcPr>
            <w:tcW w:w="2976" w:type="dxa"/>
          </w:tcPr>
          <w:p>
            <w:pPr>
              <w:pStyle w:val="TableParagraph"/>
              <w:spacing w:line="223" w:lineRule="exact"/>
              <w:rPr>
                <w:sz w:val="20"/>
              </w:rPr>
            </w:pPr>
            <w:r>
              <w:rPr>
                <w:sz w:val="20"/>
              </w:rPr>
              <w:t>-9.39%</w:t>
            </w:r>
          </w:p>
        </w:tc>
        <w:tc>
          <w:tcPr>
            <w:tcW w:w="2917" w:type="dxa"/>
          </w:tcPr>
          <w:p>
            <w:pPr>
              <w:pStyle w:val="TableParagraph"/>
              <w:spacing w:line="223" w:lineRule="exact"/>
              <w:ind w:left="105"/>
              <w:rPr>
                <w:sz w:val="20"/>
              </w:rPr>
            </w:pPr>
            <w:r>
              <w:rPr>
                <w:sz w:val="20"/>
              </w:rPr>
              <w:t>2.98%</w:t>
            </w:r>
          </w:p>
        </w:tc>
      </w:tr>
      <w:tr>
        <w:trPr>
          <w:trHeight w:val="418" w:hRule="exact"/>
        </w:trPr>
        <w:tc>
          <w:tcPr>
            <w:tcW w:w="1921" w:type="dxa"/>
          </w:tcPr>
          <w:p>
            <w:pPr>
              <w:pStyle w:val="TableParagraph"/>
              <w:spacing w:line="223" w:lineRule="exact"/>
              <w:rPr>
                <w:sz w:val="20"/>
              </w:rPr>
            </w:pPr>
            <w:r>
              <w:rPr>
                <w:sz w:val="20"/>
              </w:rPr>
              <w:t>Oaxaca</w:t>
            </w:r>
          </w:p>
        </w:tc>
        <w:tc>
          <w:tcPr>
            <w:tcW w:w="2976" w:type="dxa"/>
          </w:tcPr>
          <w:p>
            <w:pPr>
              <w:pStyle w:val="TableParagraph"/>
              <w:spacing w:line="223" w:lineRule="exact"/>
              <w:rPr>
                <w:sz w:val="20"/>
              </w:rPr>
            </w:pPr>
            <w:r>
              <w:rPr>
                <w:sz w:val="20"/>
              </w:rPr>
              <w:t>0.45%</w:t>
            </w:r>
          </w:p>
        </w:tc>
        <w:tc>
          <w:tcPr>
            <w:tcW w:w="2917" w:type="dxa"/>
          </w:tcPr>
          <w:p>
            <w:pPr>
              <w:pStyle w:val="TableParagraph"/>
              <w:spacing w:line="223" w:lineRule="exact"/>
              <w:ind w:left="105"/>
              <w:rPr>
                <w:sz w:val="20"/>
              </w:rPr>
            </w:pPr>
            <w:r>
              <w:rPr>
                <w:sz w:val="20"/>
              </w:rPr>
              <w:t>-0.52%</w:t>
            </w:r>
          </w:p>
        </w:tc>
      </w:tr>
      <w:tr>
        <w:trPr>
          <w:trHeight w:val="418" w:hRule="exact"/>
        </w:trPr>
        <w:tc>
          <w:tcPr>
            <w:tcW w:w="1921" w:type="dxa"/>
          </w:tcPr>
          <w:p>
            <w:pPr>
              <w:pStyle w:val="TableParagraph"/>
              <w:spacing w:line="223" w:lineRule="exact"/>
              <w:rPr>
                <w:sz w:val="20"/>
              </w:rPr>
            </w:pPr>
            <w:r>
              <w:rPr>
                <w:sz w:val="20"/>
              </w:rPr>
              <w:t>Guerrero</w:t>
            </w:r>
          </w:p>
        </w:tc>
        <w:tc>
          <w:tcPr>
            <w:tcW w:w="2976" w:type="dxa"/>
          </w:tcPr>
          <w:p>
            <w:pPr>
              <w:pStyle w:val="TableParagraph"/>
              <w:spacing w:line="223" w:lineRule="exact"/>
              <w:rPr>
                <w:sz w:val="20"/>
              </w:rPr>
            </w:pPr>
            <w:r>
              <w:rPr>
                <w:sz w:val="20"/>
              </w:rPr>
              <w:t>0.66%</w:t>
            </w:r>
          </w:p>
        </w:tc>
        <w:tc>
          <w:tcPr>
            <w:tcW w:w="2917" w:type="dxa"/>
          </w:tcPr>
          <w:p>
            <w:pPr>
              <w:pStyle w:val="TableParagraph"/>
              <w:spacing w:line="223" w:lineRule="exact"/>
              <w:ind w:left="105"/>
              <w:rPr>
                <w:sz w:val="20"/>
              </w:rPr>
            </w:pPr>
            <w:r>
              <w:rPr>
                <w:sz w:val="20"/>
              </w:rPr>
              <w:t>0.37%</w:t>
            </w:r>
          </w:p>
        </w:tc>
      </w:tr>
    </w:tbl>
    <w:p>
      <w:pPr>
        <w:spacing w:after="0" w:line="223" w:lineRule="exact"/>
        <w:rPr>
          <w:sz w:val="20"/>
        </w:rPr>
        <w:sectPr>
          <w:pgSz w:w="12240" w:h="15840"/>
          <w:pgMar w:header="731" w:footer="0" w:top="960" w:bottom="280" w:left="1020" w:right="1020"/>
        </w:sectPr>
      </w:pPr>
    </w:p>
    <w:p>
      <w:pPr>
        <w:pStyle w:val="BodyText"/>
        <w:rPr>
          <w:b/>
          <w:sz w:val="20"/>
        </w:rPr>
      </w:pPr>
    </w:p>
    <w:p>
      <w:pPr>
        <w:pStyle w:val="BodyText"/>
        <w:spacing w:before="5"/>
        <w:rPr>
          <w:b/>
          <w:sz w:val="27"/>
        </w:rPr>
      </w:pPr>
    </w:p>
    <w:p>
      <w:pPr>
        <w:pStyle w:val="BodyText"/>
        <w:spacing w:line="256" w:lineRule="auto" w:before="69"/>
        <w:ind w:left="112" w:right="115" w:firstLine="708"/>
        <w:jc w:val="both"/>
      </w:pPr>
      <w:r>
        <w:rPr/>
        <w:t>Lo primero que salta a la vista de los 12 estados es que Baja California y Baja California Sur están en un proceso de conversión productiva fuerte y que la baja en el producto per cápita se debe revertir en los próximos años.</w:t>
      </w:r>
    </w:p>
    <w:p>
      <w:pPr>
        <w:pStyle w:val="BodyText"/>
        <w:spacing w:line="259" w:lineRule="auto" w:before="166"/>
        <w:ind w:left="112" w:right="110" w:firstLine="708"/>
        <w:jc w:val="both"/>
      </w:pPr>
      <w:r>
        <w:rPr/>
        <w:t>El caso de Guanajuato también muestra una tendencia positiva a la conversión productiva, parecida a los estados vecinos, Michoacán (1.26%), Aguascalientes (1.37%), aunque muy por debajo  de Jalisco (20.61%) y Querétaro (13.81%) y por encima de San Luis Potosí (-0.13%). Al parecer, el problema de Guanajuato es que no está aumentando los rendimientos a la tasa que era de esperarse. Sus vecinos tienen tasas de incremento de rendimiento más altas, Querétaro (7.68%), Michoacán (2.31%), Jalisco (1.28%), aunque San Luis Potosí (-0.53%) y Aguascalientes (-0.99%) tienen el mismo problema que Guanajuato. Esto es, Guanajuato va en el camino correcto en conversión productiva pero a un paso lento.</w:t>
      </w:r>
    </w:p>
    <w:p>
      <w:pPr>
        <w:pStyle w:val="BodyText"/>
        <w:spacing w:line="259" w:lineRule="auto" w:before="164"/>
        <w:ind w:left="112" w:right="108" w:firstLine="708"/>
        <w:jc w:val="both"/>
      </w:pPr>
      <w:r>
        <w:rPr/>
        <w:t>El caso de Tamaulipas es singular, </w:t>
      </w:r>
      <w:r>
        <w:rPr>
          <w:spacing w:val="-3"/>
        </w:rPr>
        <w:t>ya </w:t>
      </w:r>
      <w:r>
        <w:rPr/>
        <w:t>que es el estado con mayor baja en el producto per cápita, a una tasa anual de -3.34%, y en el indicador de tecnología incorporada en la mano de obra (E),-2.51%. Pero tiene una alta tasa de conversión productiva. Lo que explica el comportamiento de Tamaulipas es que la superficie cosechada va en descenso en el largo plazo, casi 100,000 hectáreas. Pero también, se reportan cada vez más hectáreas de pastos y pradera. De lo anterior se deduce que los estados que tienen tendencias positivas muy débiles y que pueden volver a las tasas negativas de crecimiento en el producto per cápita son todos los estados del grupo IV, Chiapas, Puebla, Hidalgo, Oaxaca, Guerrero y Tlaxcala. Además, hay que incluir Campeche y Quintana Roo, que como se puede ver en el cuadro de grupos, estos dos estados son los últimos en el grupo III. De los doce estados que anteriormente se señalaron como foco rojo por una baja en el producto per cápita, cuatro de ellos tienen una tasa de conversión productiva positiva pero bajas tasas de crecimiento en el rendimiento, indicios de que van a revertir esa tendencia negativa, estos son: Tamaulipas, Guanajuato, Baja California y Baja California Sur, se quedan como estados con problemas fuertes a los siguientes: Chiapas, Guerrero, Puebla, Tlaxcala, Hidalgo, Campeche, Oaxaca y Quintana</w:t>
      </w:r>
      <w:r>
        <w:rPr>
          <w:spacing w:val="-8"/>
        </w:rPr>
        <w:t> </w:t>
      </w:r>
      <w:r>
        <w:rPr/>
        <w:t>Roo.</w:t>
      </w:r>
    </w:p>
    <w:p>
      <w:pPr>
        <w:pStyle w:val="Heading5"/>
        <w:numPr>
          <w:ilvl w:val="1"/>
          <w:numId w:val="2"/>
        </w:numPr>
        <w:tabs>
          <w:tab w:pos="714" w:val="left" w:leader="none"/>
        </w:tabs>
        <w:spacing w:line="240" w:lineRule="auto" w:before="166" w:after="0"/>
        <w:ind w:left="713" w:right="0" w:hanging="601"/>
        <w:jc w:val="both"/>
      </w:pPr>
      <w:r>
        <w:rPr/>
        <w:t>Primera conclusión a nivel</w:t>
      </w:r>
      <w:r>
        <w:rPr>
          <w:spacing w:val="-5"/>
        </w:rPr>
        <w:t> </w:t>
      </w:r>
      <w:r>
        <w:rPr/>
        <w:t>estados</w:t>
      </w:r>
    </w:p>
    <w:p>
      <w:pPr>
        <w:pStyle w:val="BodyText"/>
        <w:spacing w:line="259" w:lineRule="auto" w:before="177"/>
        <w:ind w:left="112" w:right="114"/>
        <w:jc w:val="both"/>
      </w:pPr>
      <w:r>
        <w:rPr/>
        <w:t>Tomando en cuenta la conversión productiva y el rendimiento por hectárea, los estados que presentan indicadores de tendencia negativa o positiva pero débil en su producto per cápita son: Chiapas, Puebla, Hidalgo, Oaxaca, Guerrero, Tlaxcala, Campeche, Quintana Roo. En el caso de Guanajuato, Baja California y Baja California Sur, presentan una tendencia positiva en conversión productiva, pero la  tasa de crecimiento en el rendimiento por hectárea es aún baja. El caso de Tamaulipas parece explicarse por una caída en la superficie cosechada como tendencia de largo plazo. Así, los estados listados son los que pueden tener mayores problemas a futuro, si no se toman medidas de política</w:t>
      </w:r>
      <w:r>
        <w:rPr>
          <w:spacing w:val="-15"/>
        </w:rPr>
        <w:t> </w:t>
      </w:r>
      <w:r>
        <w:rPr/>
        <w:t>regional.</w:t>
      </w:r>
    </w:p>
    <w:p>
      <w:pPr>
        <w:pStyle w:val="Heading5"/>
        <w:numPr>
          <w:ilvl w:val="1"/>
          <w:numId w:val="2"/>
        </w:numPr>
        <w:tabs>
          <w:tab w:pos="714" w:val="left" w:leader="none"/>
        </w:tabs>
        <w:spacing w:line="240" w:lineRule="auto" w:before="166" w:after="0"/>
        <w:ind w:left="713" w:right="0" w:hanging="601"/>
        <w:jc w:val="both"/>
      </w:pPr>
      <w:r>
        <w:rPr/>
        <w:t>Relación del PROCAMPO per cápita y el producto per cápita</w:t>
      </w:r>
      <w:r>
        <w:rPr>
          <w:spacing w:val="-21"/>
        </w:rPr>
        <w:t> </w:t>
      </w:r>
      <w:r>
        <w:rPr/>
        <w:t>agropecuario</w:t>
      </w:r>
    </w:p>
    <w:p>
      <w:pPr>
        <w:pStyle w:val="BodyText"/>
        <w:spacing w:line="259" w:lineRule="auto" w:before="177"/>
        <w:ind w:left="112" w:right="111"/>
        <w:jc w:val="both"/>
      </w:pPr>
      <w:r>
        <w:rPr/>
        <w:t>Si se divide PROCAMPO per cápita entre el producto per cápita, se obtendrá la proporción que representa PROCAMPO en relación al producto. A nivel nacional este coeficiente fue en el 2014 de 0.0524, esto es por peso de producto 5.24 centavos fueron repartidos como apoyos PROCAMPO.. A continuación se enlistan los coeficientes. Se forman dos grupos de estados tomando cinco centavos como punto de división (Tabla 27.4).</w:t>
      </w:r>
    </w:p>
    <w:p>
      <w:pPr>
        <w:spacing w:after="0" w:line="259" w:lineRule="auto"/>
        <w:jc w:val="both"/>
        <w:sectPr>
          <w:pgSz w:w="12240" w:h="15840"/>
          <w:pgMar w:header="731" w:footer="0" w:top="960" w:bottom="280" w:left="1020" w:right="1020"/>
        </w:sectPr>
      </w:pPr>
    </w:p>
    <w:p>
      <w:pPr>
        <w:pStyle w:val="Heading5"/>
        <w:numPr>
          <w:ilvl w:val="1"/>
          <w:numId w:val="2"/>
        </w:numPr>
        <w:tabs>
          <w:tab w:pos="714" w:val="left" w:leader="none"/>
        </w:tabs>
        <w:spacing w:line="240" w:lineRule="auto" w:before="158" w:after="0"/>
        <w:ind w:left="713" w:right="0" w:hanging="601"/>
        <w:jc w:val="left"/>
      </w:pPr>
      <w:r>
        <w:rPr/>
        <w:t>Proporción del PROCAMPO y producto a nivel</w:t>
      </w:r>
      <w:r>
        <w:rPr>
          <w:spacing w:val="-11"/>
        </w:rPr>
        <w:t> </w:t>
      </w:r>
      <w:r>
        <w:rPr/>
        <w:t>estatal</w:t>
      </w:r>
    </w:p>
    <w:p>
      <w:pPr>
        <w:spacing w:before="183"/>
        <w:ind w:left="3769" w:right="3769" w:firstLine="0"/>
        <w:jc w:val="center"/>
        <w:rPr>
          <w:b/>
          <w:sz w:val="24"/>
        </w:rPr>
      </w:pPr>
      <w:r>
        <w:rPr>
          <w:b/>
          <w:sz w:val="24"/>
        </w:rPr>
        <w:t>Tabla 27.4</w:t>
      </w:r>
    </w:p>
    <w:p>
      <w:pPr>
        <w:pStyle w:val="BodyText"/>
        <w:spacing w:before="1"/>
        <w:rPr>
          <w:b/>
          <w:sz w:val="16"/>
        </w:rPr>
      </w:pPr>
    </w:p>
    <w:tbl>
      <w:tblPr>
        <w:tblW w:w="0" w:type="auto"/>
        <w:jc w:val="left"/>
        <w:tblInd w:w="1327"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1474"/>
        <w:gridCol w:w="2276"/>
        <w:gridCol w:w="1508"/>
        <w:gridCol w:w="2276"/>
      </w:tblGrid>
      <w:tr>
        <w:trPr>
          <w:trHeight w:val="766" w:hRule="exact"/>
        </w:trPr>
        <w:tc>
          <w:tcPr>
            <w:tcW w:w="1474" w:type="dxa"/>
          </w:tcPr>
          <w:p>
            <w:pPr>
              <w:pStyle w:val="TableParagraph"/>
              <w:spacing w:line="256" w:lineRule="auto"/>
              <w:ind w:left="105" w:right="379"/>
              <w:rPr>
                <w:sz w:val="24"/>
              </w:rPr>
            </w:pPr>
            <w:r>
              <w:rPr>
                <w:sz w:val="24"/>
              </w:rPr>
              <w:t>Entidad federativa</w:t>
            </w:r>
          </w:p>
        </w:tc>
        <w:tc>
          <w:tcPr>
            <w:tcW w:w="2276" w:type="dxa"/>
          </w:tcPr>
          <w:p>
            <w:pPr>
              <w:pStyle w:val="TableParagraph"/>
              <w:spacing w:line="256" w:lineRule="auto"/>
              <w:ind w:left="106"/>
              <w:rPr>
                <w:sz w:val="24"/>
              </w:rPr>
            </w:pPr>
            <w:r>
              <w:rPr>
                <w:sz w:val="24"/>
              </w:rPr>
              <w:t>Coeficiente centavos por peso</w:t>
            </w:r>
          </w:p>
        </w:tc>
        <w:tc>
          <w:tcPr>
            <w:tcW w:w="1508" w:type="dxa"/>
          </w:tcPr>
          <w:p>
            <w:pPr>
              <w:pStyle w:val="TableParagraph"/>
              <w:spacing w:line="256" w:lineRule="auto"/>
              <w:ind w:left="105" w:right="413"/>
              <w:rPr>
                <w:sz w:val="24"/>
              </w:rPr>
            </w:pPr>
            <w:r>
              <w:rPr>
                <w:sz w:val="24"/>
              </w:rPr>
              <w:t>Entidad federativa</w:t>
            </w:r>
          </w:p>
        </w:tc>
        <w:tc>
          <w:tcPr>
            <w:tcW w:w="2276" w:type="dxa"/>
          </w:tcPr>
          <w:p>
            <w:pPr>
              <w:pStyle w:val="TableParagraph"/>
              <w:spacing w:line="256" w:lineRule="auto"/>
              <w:rPr>
                <w:sz w:val="24"/>
              </w:rPr>
            </w:pPr>
            <w:r>
              <w:rPr>
                <w:sz w:val="24"/>
              </w:rPr>
              <w:t>Coeficiente centavos por peso</w:t>
            </w:r>
          </w:p>
        </w:tc>
      </w:tr>
      <w:tr>
        <w:trPr>
          <w:trHeight w:val="468" w:hRule="exact"/>
        </w:trPr>
        <w:tc>
          <w:tcPr>
            <w:tcW w:w="1474" w:type="dxa"/>
          </w:tcPr>
          <w:p>
            <w:pPr>
              <w:pStyle w:val="TableParagraph"/>
              <w:ind w:left="105" w:right="102"/>
              <w:rPr>
                <w:sz w:val="24"/>
              </w:rPr>
            </w:pPr>
            <w:r>
              <w:rPr>
                <w:sz w:val="24"/>
              </w:rPr>
              <w:t>Tamaulipas</w:t>
            </w:r>
          </w:p>
        </w:tc>
        <w:tc>
          <w:tcPr>
            <w:tcW w:w="2276" w:type="dxa"/>
          </w:tcPr>
          <w:p>
            <w:pPr>
              <w:pStyle w:val="TableParagraph"/>
              <w:ind w:left="106"/>
              <w:rPr>
                <w:sz w:val="24"/>
              </w:rPr>
            </w:pPr>
            <w:r>
              <w:rPr>
                <w:sz w:val="24"/>
              </w:rPr>
              <w:t>23.96</w:t>
            </w:r>
          </w:p>
        </w:tc>
        <w:tc>
          <w:tcPr>
            <w:tcW w:w="1508" w:type="dxa"/>
          </w:tcPr>
          <w:p>
            <w:pPr>
              <w:pStyle w:val="TableParagraph"/>
              <w:ind w:left="105" w:right="413"/>
              <w:rPr>
                <w:sz w:val="24"/>
              </w:rPr>
            </w:pPr>
            <w:r>
              <w:rPr>
                <w:sz w:val="24"/>
              </w:rPr>
              <w:t>México</w:t>
            </w:r>
          </w:p>
        </w:tc>
        <w:tc>
          <w:tcPr>
            <w:tcW w:w="2276" w:type="dxa"/>
          </w:tcPr>
          <w:p>
            <w:pPr>
              <w:pStyle w:val="TableParagraph"/>
              <w:rPr>
                <w:sz w:val="24"/>
              </w:rPr>
            </w:pPr>
            <w:r>
              <w:rPr>
                <w:sz w:val="24"/>
              </w:rPr>
              <w:t>4.59</w:t>
            </w:r>
          </w:p>
        </w:tc>
      </w:tr>
      <w:tr>
        <w:trPr>
          <w:trHeight w:val="468" w:hRule="exact"/>
        </w:trPr>
        <w:tc>
          <w:tcPr>
            <w:tcW w:w="1474" w:type="dxa"/>
          </w:tcPr>
          <w:p>
            <w:pPr>
              <w:pStyle w:val="TableParagraph"/>
              <w:ind w:left="105" w:right="379"/>
              <w:rPr>
                <w:sz w:val="24"/>
              </w:rPr>
            </w:pPr>
            <w:r>
              <w:rPr>
                <w:sz w:val="24"/>
              </w:rPr>
              <w:t>Tlaxcala</w:t>
            </w:r>
          </w:p>
        </w:tc>
        <w:tc>
          <w:tcPr>
            <w:tcW w:w="2276" w:type="dxa"/>
          </w:tcPr>
          <w:p>
            <w:pPr>
              <w:pStyle w:val="TableParagraph"/>
              <w:ind w:left="106"/>
              <w:rPr>
                <w:sz w:val="24"/>
              </w:rPr>
            </w:pPr>
            <w:r>
              <w:rPr>
                <w:sz w:val="24"/>
              </w:rPr>
              <w:t>15.59</w:t>
            </w:r>
          </w:p>
        </w:tc>
        <w:tc>
          <w:tcPr>
            <w:tcW w:w="1508" w:type="dxa"/>
          </w:tcPr>
          <w:p>
            <w:pPr>
              <w:pStyle w:val="TableParagraph"/>
              <w:ind w:left="105"/>
              <w:rPr>
                <w:sz w:val="24"/>
              </w:rPr>
            </w:pPr>
            <w:r>
              <w:rPr>
                <w:sz w:val="24"/>
              </w:rPr>
              <w:t>Michoacán</w:t>
            </w:r>
          </w:p>
        </w:tc>
        <w:tc>
          <w:tcPr>
            <w:tcW w:w="2276" w:type="dxa"/>
          </w:tcPr>
          <w:p>
            <w:pPr>
              <w:pStyle w:val="TableParagraph"/>
              <w:rPr>
                <w:sz w:val="24"/>
              </w:rPr>
            </w:pPr>
            <w:r>
              <w:rPr>
                <w:sz w:val="24"/>
              </w:rPr>
              <w:t>4.33</w:t>
            </w:r>
          </w:p>
        </w:tc>
      </w:tr>
      <w:tr>
        <w:trPr>
          <w:trHeight w:val="766" w:hRule="exact"/>
        </w:trPr>
        <w:tc>
          <w:tcPr>
            <w:tcW w:w="1474" w:type="dxa"/>
          </w:tcPr>
          <w:p>
            <w:pPr>
              <w:pStyle w:val="TableParagraph"/>
              <w:ind w:left="105" w:right="102"/>
              <w:rPr>
                <w:sz w:val="24"/>
              </w:rPr>
            </w:pPr>
            <w:r>
              <w:rPr>
                <w:sz w:val="24"/>
              </w:rPr>
              <w:t>Zacatecas</w:t>
            </w:r>
          </w:p>
        </w:tc>
        <w:tc>
          <w:tcPr>
            <w:tcW w:w="2276" w:type="dxa"/>
          </w:tcPr>
          <w:p>
            <w:pPr>
              <w:pStyle w:val="TableParagraph"/>
              <w:ind w:left="106"/>
              <w:rPr>
                <w:sz w:val="24"/>
              </w:rPr>
            </w:pPr>
            <w:r>
              <w:rPr>
                <w:sz w:val="24"/>
              </w:rPr>
              <w:t>13.51</w:t>
            </w:r>
          </w:p>
        </w:tc>
        <w:tc>
          <w:tcPr>
            <w:tcW w:w="1508" w:type="dxa"/>
          </w:tcPr>
          <w:p>
            <w:pPr>
              <w:pStyle w:val="TableParagraph"/>
              <w:spacing w:line="256" w:lineRule="auto"/>
              <w:ind w:left="105" w:right="400"/>
              <w:rPr>
                <w:sz w:val="24"/>
              </w:rPr>
            </w:pPr>
            <w:r>
              <w:rPr>
                <w:sz w:val="24"/>
              </w:rPr>
              <w:t>Baja California</w:t>
            </w:r>
          </w:p>
        </w:tc>
        <w:tc>
          <w:tcPr>
            <w:tcW w:w="2276" w:type="dxa"/>
          </w:tcPr>
          <w:p>
            <w:pPr>
              <w:pStyle w:val="TableParagraph"/>
              <w:rPr>
                <w:sz w:val="24"/>
              </w:rPr>
            </w:pPr>
            <w:r>
              <w:rPr>
                <w:sz w:val="24"/>
              </w:rPr>
              <w:t>3.95</w:t>
            </w:r>
          </w:p>
        </w:tc>
      </w:tr>
      <w:tr>
        <w:trPr>
          <w:trHeight w:val="766" w:hRule="exact"/>
        </w:trPr>
        <w:tc>
          <w:tcPr>
            <w:tcW w:w="1474" w:type="dxa"/>
          </w:tcPr>
          <w:p>
            <w:pPr>
              <w:pStyle w:val="TableParagraph"/>
              <w:spacing w:line="256" w:lineRule="auto"/>
              <w:ind w:left="105" w:right="459"/>
              <w:rPr>
                <w:sz w:val="24"/>
              </w:rPr>
            </w:pPr>
            <w:r>
              <w:rPr>
                <w:sz w:val="24"/>
              </w:rPr>
              <w:t>Quintana Roo</w:t>
            </w:r>
          </w:p>
        </w:tc>
        <w:tc>
          <w:tcPr>
            <w:tcW w:w="2276" w:type="dxa"/>
          </w:tcPr>
          <w:p>
            <w:pPr>
              <w:pStyle w:val="TableParagraph"/>
              <w:ind w:left="106"/>
              <w:rPr>
                <w:sz w:val="24"/>
              </w:rPr>
            </w:pPr>
            <w:r>
              <w:rPr>
                <w:sz w:val="24"/>
              </w:rPr>
              <w:t>10.15</w:t>
            </w:r>
          </w:p>
        </w:tc>
        <w:tc>
          <w:tcPr>
            <w:tcW w:w="1508" w:type="dxa"/>
          </w:tcPr>
          <w:p>
            <w:pPr>
              <w:pStyle w:val="TableParagraph"/>
              <w:ind w:left="105" w:right="413"/>
              <w:rPr>
                <w:sz w:val="24"/>
              </w:rPr>
            </w:pPr>
            <w:r>
              <w:rPr>
                <w:sz w:val="24"/>
              </w:rPr>
              <w:t>Yucatán</w:t>
            </w:r>
          </w:p>
        </w:tc>
        <w:tc>
          <w:tcPr>
            <w:tcW w:w="2276" w:type="dxa"/>
          </w:tcPr>
          <w:p>
            <w:pPr>
              <w:pStyle w:val="TableParagraph"/>
              <w:rPr>
                <w:sz w:val="24"/>
              </w:rPr>
            </w:pPr>
            <w:r>
              <w:rPr>
                <w:sz w:val="24"/>
              </w:rPr>
              <w:t>3.51</w:t>
            </w:r>
          </w:p>
        </w:tc>
      </w:tr>
      <w:tr>
        <w:trPr>
          <w:trHeight w:val="468" w:hRule="exact"/>
        </w:trPr>
        <w:tc>
          <w:tcPr>
            <w:tcW w:w="1474" w:type="dxa"/>
          </w:tcPr>
          <w:p>
            <w:pPr>
              <w:pStyle w:val="TableParagraph"/>
              <w:ind w:left="105" w:right="379"/>
              <w:rPr>
                <w:sz w:val="24"/>
              </w:rPr>
            </w:pPr>
            <w:r>
              <w:rPr>
                <w:sz w:val="24"/>
              </w:rPr>
              <w:t>Chiapas</w:t>
            </w:r>
          </w:p>
        </w:tc>
        <w:tc>
          <w:tcPr>
            <w:tcW w:w="2276" w:type="dxa"/>
          </w:tcPr>
          <w:p>
            <w:pPr>
              <w:pStyle w:val="TableParagraph"/>
              <w:ind w:left="106"/>
              <w:rPr>
                <w:sz w:val="24"/>
              </w:rPr>
            </w:pPr>
            <w:r>
              <w:rPr>
                <w:sz w:val="24"/>
              </w:rPr>
              <w:t>9.67</w:t>
            </w:r>
          </w:p>
        </w:tc>
        <w:tc>
          <w:tcPr>
            <w:tcW w:w="1508" w:type="dxa"/>
          </w:tcPr>
          <w:p>
            <w:pPr>
              <w:pStyle w:val="TableParagraph"/>
              <w:ind w:left="105" w:right="413"/>
              <w:rPr>
                <w:sz w:val="24"/>
              </w:rPr>
            </w:pPr>
            <w:r>
              <w:rPr>
                <w:sz w:val="24"/>
              </w:rPr>
              <w:t>Jalisco</w:t>
            </w:r>
          </w:p>
        </w:tc>
        <w:tc>
          <w:tcPr>
            <w:tcW w:w="2276" w:type="dxa"/>
          </w:tcPr>
          <w:p>
            <w:pPr>
              <w:pStyle w:val="TableParagraph"/>
              <w:rPr>
                <w:sz w:val="24"/>
              </w:rPr>
            </w:pPr>
            <w:r>
              <w:rPr>
                <w:sz w:val="24"/>
              </w:rPr>
              <w:t>3.25</w:t>
            </w:r>
          </w:p>
        </w:tc>
      </w:tr>
      <w:tr>
        <w:trPr>
          <w:trHeight w:val="468" w:hRule="exact"/>
        </w:trPr>
        <w:tc>
          <w:tcPr>
            <w:tcW w:w="1474" w:type="dxa"/>
          </w:tcPr>
          <w:p>
            <w:pPr>
              <w:pStyle w:val="TableParagraph"/>
              <w:ind w:left="105" w:right="102"/>
              <w:rPr>
                <w:sz w:val="24"/>
              </w:rPr>
            </w:pPr>
            <w:r>
              <w:rPr>
                <w:sz w:val="24"/>
              </w:rPr>
              <w:t>Campeche</w:t>
            </w:r>
          </w:p>
        </w:tc>
        <w:tc>
          <w:tcPr>
            <w:tcW w:w="2276" w:type="dxa"/>
          </w:tcPr>
          <w:p>
            <w:pPr>
              <w:pStyle w:val="TableParagraph"/>
              <w:ind w:left="106"/>
              <w:rPr>
                <w:sz w:val="24"/>
              </w:rPr>
            </w:pPr>
            <w:r>
              <w:rPr>
                <w:sz w:val="24"/>
              </w:rPr>
              <w:t>7.99</w:t>
            </w:r>
          </w:p>
        </w:tc>
        <w:tc>
          <w:tcPr>
            <w:tcW w:w="1508" w:type="dxa"/>
          </w:tcPr>
          <w:p>
            <w:pPr>
              <w:pStyle w:val="TableParagraph"/>
              <w:ind w:left="105" w:right="413"/>
              <w:rPr>
                <w:sz w:val="24"/>
              </w:rPr>
            </w:pPr>
            <w:r>
              <w:rPr>
                <w:sz w:val="24"/>
              </w:rPr>
              <w:t>Nayarit</w:t>
            </w:r>
          </w:p>
        </w:tc>
        <w:tc>
          <w:tcPr>
            <w:tcW w:w="2276" w:type="dxa"/>
          </w:tcPr>
          <w:p>
            <w:pPr>
              <w:pStyle w:val="TableParagraph"/>
              <w:rPr>
                <w:sz w:val="24"/>
              </w:rPr>
            </w:pPr>
            <w:r>
              <w:rPr>
                <w:sz w:val="24"/>
              </w:rPr>
              <w:t>3.00</w:t>
            </w:r>
          </w:p>
        </w:tc>
      </w:tr>
      <w:tr>
        <w:trPr>
          <w:trHeight w:val="468" w:hRule="exact"/>
        </w:trPr>
        <w:tc>
          <w:tcPr>
            <w:tcW w:w="1474" w:type="dxa"/>
          </w:tcPr>
          <w:p>
            <w:pPr>
              <w:pStyle w:val="TableParagraph"/>
              <w:ind w:left="105" w:right="379"/>
              <w:rPr>
                <w:sz w:val="24"/>
              </w:rPr>
            </w:pPr>
            <w:r>
              <w:rPr>
                <w:sz w:val="24"/>
              </w:rPr>
              <w:t>Hidalgo</w:t>
            </w:r>
          </w:p>
        </w:tc>
        <w:tc>
          <w:tcPr>
            <w:tcW w:w="2276" w:type="dxa"/>
          </w:tcPr>
          <w:p>
            <w:pPr>
              <w:pStyle w:val="TableParagraph"/>
              <w:ind w:left="106"/>
              <w:rPr>
                <w:sz w:val="24"/>
              </w:rPr>
            </w:pPr>
            <w:r>
              <w:rPr>
                <w:sz w:val="24"/>
              </w:rPr>
              <w:t>7.03</w:t>
            </w:r>
          </w:p>
        </w:tc>
        <w:tc>
          <w:tcPr>
            <w:tcW w:w="1508" w:type="dxa"/>
          </w:tcPr>
          <w:p>
            <w:pPr>
              <w:pStyle w:val="TableParagraph"/>
              <w:ind w:left="105" w:right="413"/>
              <w:rPr>
                <w:sz w:val="24"/>
              </w:rPr>
            </w:pPr>
            <w:r>
              <w:rPr>
                <w:sz w:val="24"/>
              </w:rPr>
              <w:t>Sonora</w:t>
            </w:r>
          </w:p>
        </w:tc>
        <w:tc>
          <w:tcPr>
            <w:tcW w:w="2276" w:type="dxa"/>
          </w:tcPr>
          <w:p>
            <w:pPr>
              <w:pStyle w:val="TableParagraph"/>
              <w:rPr>
                <w:sz w:val="24"/>
              </w:rPr>
            </w:pPr>
            <w:r>
              <w:rPr>
                <w:sz w:val="24"/>
              </w:rPr>
              <w:t>2.91</w:t>
            </w:r>
          </w:p>
        </w:tc>
      </w:tr>
      <w:tr>
        <w:trPr>
          <w:trHeight w:val="468" w:hRule="exact"/>
        </w:trPr>
        <w:tc>
          <w:tcPr>
            <w:tcW w:w="1474" w:type="dxa"/>
          </w:tcPr>
          <w:p>
            <w:pPr>
              <w:pStyle w:val="TableParagraph"/>
              <w:ind w:left="105" w:right="102"/>
              <w:rPr>
                <w:sz w:val="24"/>
              </w:rPr>
            </w:pPr>
            <w:r>
              <w:rPr>
                <w:sz w:val="24"/>
              </w:rPr>
              <w:t>Guanajuato</w:t>
            </w:r>
          </w:p>
        </w:tc>
        <w:tc>
          <w:tcPr>
            <w:tcW w:w="2276" w:type="dxa"/>
          </w:tcPr>
          <w:p>
            <w:pPr>
              <w:pStyle w:val="TableParagraph"/>
              <w:ind w:left="106"/>
              <w:rPr>
                <w:sz w:val="24"/>
              </w:rPr>
            </w:pPr>
            <w:r>
              <w:rPr>
                <w:sz w:val="24"/>
              </w:rPr>
              <w:t>6.85</w:t>
            </w:r>
          </w:p>
        </w:tc>
        <w:tc>
          <w:tcPr>
            <w:tcW w:w="1508" w:type="dxa"/>
          </w:tcPr>
          <w:p>
            <w:pPr>
              <w:pStyle w:val="TableParagraph"/>
              <w:ind w:left="105"/>
              <w:rPr>
                <w:sz w:val="24"/>
              </w:rPr>
            </w:pPr>
            <w:r>
              <w:rPr>
                <w:sz w:val="24"/>
              </w:rPr>
              <w:t>Querétaro</w:t>
            </w:r>
          </w:p>
        </w:tc>
        <w:tc>
          <w:tcPr>
            <w:tcW w:w="2276" w:type="dxa"/>
          </w:tcPr>
          <w:p>
            <w:pPr>
              <w:pStyle w:val="TableParagraph"/>
              <w:rPr>
                <w:sz w:val="24"/>
              </w:rPr>
            </w:pPr>
            <w:r>
              <w:rPr>
                <w:sz w:val="24"/>
              </w:rPr>
              <w:t>2.90</w:t>
            </w:r>
          </w:p>
        </w:tc>
      </w:tr>
      <w:tr>
        <w:trPr>
          <w:trHeight w:val="766" w:hRule="exact"/>
        </w:trPr>
        <w:tc>
          <w:tcPr>
            <w:tcW w:w="1474" w:type="dxa"/>
          </w:tcPr>
          <w:p>
            <w:pPr>
              <w:pStyle w:val="TableParagraph"/>
              <w:ind w:left="105" w:right="102"/>
              <w:rPr>
                <w:sz w:val="24"/>
              </w:rPr>
            </w:pPr>
            <w:r>
              <w:rPr>
                <w:sz w:val="24"/>
              </w:rPr>
              <w:t>Chihuahua</w:t>
            </w:r>
          </w:p>
        </w:tc>
        <w:tc>
          <w:tcPr>
            <w:tcW w:w="2276" w:type="dxa"/>
          </w:tcPr>
          <w:p>
            <w:pPr>
              <w:pStyle w:val="TableParagraph"/>
              <w:ind w:left="106"/>
              <w:rPr>
                <w:sz w:val="24"/>
              </w:rPr>
            </w:pPr>
            <w:r>
              <w:rPr>
                <w:sz w:val="24"/>
              </w:rPr>
              <w:t>6.54</w:t>
            </w:r>
          </w:p>
        </w:tc>
        <w:tc>
          <w:tcPr>
            <w:tcW w:w="1508" w:type="dxa"/>
          </w:tcPr>
          <w:p>
            <w:pPr>
              <w:pStyle w:val="TableParagraph"/>
              <w:spacing w:line="256" w:lineRule="auto"/>
              <w:ind w:left="105"/>
              <w:rPr>
                <w:sz w:val="24"/>
              </w:rPr>
            </w:pPr>
            <w:r>
              <w:rPr>
                <w:sz w:val="24"/>
              </w:rPr>
              <w:t>Aguascalient es</w:t>
            </w:r>
          </w:p>
        </w:tc>
        <w:tc>
          <w:tcPr>
            <w:tcW w:w="2276" w:type="dxa"/>
          </w:tcPr>
          <w:p>
            <w:pPr>
              <w:pStyle w:val="TableParagraph"/>
              <w:rPr>
                <w:sz w:val="24"/>
              </w:rPr>
            </w:pPr>
            <w:r>
              <w:rPr>
                <w:sz w:val="24"/>
              </w:rPr>
              <w:t>2.83</w:t>
            </w:r>
          </w:p>
        </w:tc>
      </w:tr>
      <w:tr>
        <w:trPr>
          <w:trHeight w:val="766" w:hRule="exact"/>
        </w:trPr>
        <w:tc>
          <w:tcPr>
            <w:tcW w:w="1474" w:type="dxa"/>
          </w:tcPr>
          <w:p>
            <w:pPr>
              <w:pStyle w:val="TableParagraph"/>
              <w:tabs>
                <w:tab w:pos="937" w:val="left" w:leader="none"/>
              </w:tabs>
              <w:spacing w:line="256" w:lineRule="auto"/>
              <w:ind w:left="105" w:right="102"/>
              <w:rPr>
                <w:sz w:val="24"/>
              </w:rPr>
            </w:pPr>
            <w:r>
              <w:rPr>
                <w:sz w:val="24"/>
              </w:rPr>
              <w:t>San</w:t>
              <w:tab/>
            </w:r>
            <w:r>
              <w:rPr>
                <w:spacing w:val="-1"/>
                <w:sz w:val="24"/>
              </w:rPr>
              <w:t>Luis </w:t>
            </w:r>
            <w:r>
              <w:rPr>
                <w:sz w:val="24"/>
              </w:rPr>
              <w:t>Potosí</w:t>
            </w:r>
          </w:p>
        </w:tc>
        <w:tc>
          <w:tcPr>
            <w:tcW w:w="2276" w:type="dxa"/>
          </w:tcPr>
          <w:p>
            <w:pPr>
              <w:pStyle w:val="TableParagraph"/>
              <w:ind w:left="106"/>
              <w:rPr>
                <w:sz w:val="24"/>
              </w:rPr>
            </w:pPr>
            <w:r>
              <w:rPr>
                <w:sz w:val="24"/>
              </w:rPr>
              <w:t>6.26</w:t>
            </w:r>
          </w:p>
        </w:tc>
        <w:tc>
          <w:tcPr>
            <w:tcW w:w="1508" w:type="dxa"/>
          </w:tcPr>
          <w:p>
            <w:pPr>
              <w:pStyle w:val="TableParagraph"/>
              <w:ind w:left="105" w:right="413"/>
              <w:rPr>
                <w:sz w:val="24"/>
              </w:rPr>
            </w:pPr>
            <w:r>
              <w:rPr>
                <w:sz w:val="24"/>
              </w:rPr>
              <w:t>Veracruz</w:t>
            </w:r>
          </w:p>
        </w:tc>
        <w:tc>
          <w:tcPr>
            <w:tcW w:w="2276" w:type="dxa"/>
          </w:tcPr>
          <w:p>
            <w:pPr>
              <w:pStyle w:val="TableParagraph"/>
              <w:rPr>
                <w:sz w:val="24"/>
              </w:rPr>
            </w:pPr>
            <w:r>
              <w:rPr>
                <w:sz w:val="24"/>
              </w:rPr>
              <w:t>2.71</w:t>
            </w:r>
          </w:p>
        </w:tc>
      </w:tr>
      <w:tr>
        <w:trPr>
          <w:trHeight w:val="468" w:hRule="exact"/>
        </w:trPr>
        <w:tc>
          <w:tcPr>
            <w:tcW w:w="1474" w:type="dxa"/>
          </w:tcPr>
          <w:p>
            <w:pPr>
              <w:pStyle w:val="TableParagraph"/>
              <w:ind w:left="105" w:right="379"/>
              <w:rPr>
                <w:sz w:val="24"/>
              </w:rPr>
            </w:pPr>
            <w:r>
              <w:rPr>
                <w:sz w:val="24"/>
              </w:rPr>
              <w:t>Puebla</w:t>
            </w:r>
          </w:p>
        </w:tc>
        <w:tc>
          <w:tcPr>
            <w:tcW w:w="2276" w:type="dxa"/>
          </w:tcPr>
          <w:p>
            <w:pPr>
              <w:pStyle w:val="TableParagraph"/>
              <w:ind w:left="106"/>
              <w:rPr>
                <w:sz w:val="24"/>
              </w:rPr>
            </w:pPr>
            <w:r>
              <w:rPr>
                <w:sz w:val="24"/>
              </w:rPr>
              <w:t>5.49</w:t>
            </w:r>
          </w:p>
        </w:tc>
        <w:tc>
          <w:tcPr>
            <w:tcW w:w="1508" w:type="dxa"/>
          </w:tcPr>
          <w:p>
            <w:pPr>
              <w:pStyle w:val="TableParagraph"/>
              <w:ind w:left="105"/>
              <w:rPr>
                <w:sz w:val="24"/>
              </w:rPr>
            </w:pPr>
            <w:r>
              <w:rPr>
                <w:sz w:val="24"/>
              </w:rPr>
              <w:t>Nuevo León</w:t>
            </w:r>
          </w:p>
        </w:tc>
        <w:tc>
          <w:tcPr>
            <w:tcW w:w="2276" w:type="dxa"/>
          </w:tcPr>
          <w:p>
            <w:pPr>
              <w:pStyle w:val="TableParagraph"/>
              <w:rPr>
                <w:sz w:val="24"/>
              </w:rPr>
            </w:pPr>
            <w:r>
              <w:rPr>
                <w:sz w:val="24"/>
              </w:rPr>
              <w:t>2.42</w:t>
            </w:r>
          </w:p>
        </w:tc>
      </w:tr>
      <w:tr>
        <w:trPr>
          <w:trHeight w:val="468" w:hRule="exact"/>
        </w:trPr>
        <w:tc>
          <w:tcPr>
            <w:tcW w:w="1474" w:type="dxa"/>
          </w:tcPr>
          <w:p>
            <w:pPr>
              <w:pStyle w:val="TableParagraph"/>
              <w:ind w:left="105" w:right="379"/>
              <w:rPr>
                <w:sz w:val="24"/>
              </w:rPr>
            </w:pPr>
            <w:r>
              <w:rPr>
                <w:sz w:val="24"/>
              </w:rPr>
              <w:t>Guerrero</w:t>
            </w:r>
          </w:p>
        </w:tc>
        <w:tc>
          <w:tcPr>
            <w:tcW w:w="2276" w:type="dxa"/>
          </w:tcPr>
          <w:p>
            <w:pPr>
              <w:pStyle w:val="TableParagraph"/>
              <w:ind w:left="106"/>
              <w:rPr>
                <w:sz w:val="24"/>
              </w:rPr>
            </w:pPr>
            <w:r>
              <w:rPr>
                <w:sz w:val="24"/>
              </w:rPr>
              <w:t>5.42</w:t>
            </w:r>
          </w:p>
        </w:tc>
        <w:tc>
          <w:tcPr>
            <w:tcW w:w="1508" w:type="dxa"/>
          </w:tcPr>
          <w:p>
            <w:pPr>
              <w:pStyle w:val="TableParagraph"/>
              <w:ind w:left="105" w:right="413"/>
              <w:rPr>
                <w:sz w:val="24"/>
              </w:rPr>
            </w:pPr>
            <w:r>
              <w:rPr>
                <w:sz w:val="24"/>
              </w:rPr>
              <w:t>Tabasco</w:t>
            </w:r>
          </w:p>
        </w:tc>
        <w:tc>
          <w:tcPr>
            <w:tcW w:w="2276" w:type="dxa"/>
          </w:tcPr>
          <w:p>
            <w:pPr>
              <w:pStyle w:val="TableParagraph"/>
              <w:rPr>
                <w:sz w:val="24"/>
              </w:rPr>
            </w:pPr>
            <w:r>
              <w:rPr>
                <w:sz w:val="24"/>
              </w:rPr>
              <w:t>1.83</w:t>
            </w:r>
          </w:p>
        </w:tc>
      </w:tr>
      <w:tr>
        <w:trPr>
          <w:trHeight w:val="466" w:hRule="exact"/>
        </w:trPr>
        <w:tc>
          <w:tcPr>
            <w:tcW w:w="1474" w:type="dxa"/>
          </w:tcPr>
          <w:p>
            <w:pPr>
              <w:pStyle w:val="TableParagraph"/>
              <w:ind w:left="105" w:right="379"/>
              <w:rPr>
                <w:sz w:val="24"/>
              </w:rPr>
            </w:pPr>
            <w:r>
              <w:rPr>
                <w:sz w:val="24"/>
              </w:rPr>
              <w:t>Sinaloa</w:t>
            </w:r>
          </w:p>
        </w:tc>
        <w:tc>
          <w:tcPr>
            <w:tcW w:w="2276" w:type="dxa"/>
          </w:tcPr>
          <w:p>
            <w:pPr>
              <w:pStyle w:val="TableParagraph"/>
              <w:ind w:left="106"/>
              <w:rPr>
                <w:sz w:val="24"/>
              </w:rPr>
            </w:pPr>
            <w:r>
              <w:rPr>
                <w:sz w:val="24"/>
              </w:rPr>
              <w:t>5.31</w:t>
            </w:r>
          </w:p>
        </w:tc>
        <w:tc>
          <w:tcPr>
            <w:tcW w:w="1508" w:type="dxa"/>
          </w:tcPr>
          <w:p>
            <w:pPr>
              <w:pStyle w:val="TableParagraph"/>
              <w:ind w:left="105" w:right="413"/>
              <w:rPr>
                <w:sz w:val="24"/>
              </w:rPr>
            </w:pPr>
            <w:r>
              <w:rPr>
                <w:sz w:val="24"/>
              </w:rPr>
              <w:t>Colima</w:t>
            </w:r>
          </w:p>
        </w:tc>
        <w:tc>
          <w:tcPr>
            <w:tcW w:w="2276" w:type="dxa"/>
          </w:tcPr>
          <w:p>
            <w:pPr>
              <w:pStyle w:val="TableParagraph"/>
              <w:rPr>
                <w:sz w:val="24"/>
              </w:rPr>
            </w:pPr>
            <w:r>
              <w:rPr>
                <w:sz w:val="24"/>
              </w:rPr>
              <w:t>1.82</w:t>
            </w:r>
          </w:p>
        </w:tc>
      </w:tr>
      <w:tr>
        <w:trPr>
          <w:trHeight w:val="468" w:hRule="exact"/>
        </w:trPr>
        <w:tc>
          <w:tcPr>
            <w:tcW w:w="1474" w:type="dxa"/>
          </w:tcPr>
          <w:p>
            <w:pPr>
              <w:pStyle w:val="TableParagraph"/>
              <w:spacing w:line="270" w:lineRule="exact"/>
              <w:ind w:left="105" w:right="379"/>
              <w:rPr>
                <w:sz w:val="24"/>
              </w:rPr>
            </w:pPr>
            <w:r>
              <w:rPr>
                <w:sz w:val="24"/>
              </w:rPr>
              <w:t>Durango</w:t>
            </w:r>
          </w:p>
        </w:tc>
        <w:tc>
          <w:tcPr>
            <w:tcW w:w="2276" w:type="dxa"/>
          </w:tcPr>
          <w:p>
            <w:pPr>
              <w:pStyle w:val="TableParagraph"/>
              <w:spacing w:line="270" w:lineRule="exact"/>
              <w:ind w:left="106"/>
              <w:rPr>
                <w:sz w:val="24"/>
              </w:rPr>
            </w:pPr>
            <w:r>
              <w:rPr>
                <w:sz w:val="24"/>
              </w:rPr>
              <w:t>5.21</w:t>
            </w:r>
          </w:p>
        </w:tc>
        <w:tc>
          <w:tcPr>
            <w:tcW w:w="1508" w:type="dxa"/>
          </w:tcPr>
          <w:p>
            <w:pPr>
              <w:pStyle w:val="TableParagraph"/>
              <w:spacing w:line="270" w:lineRule="exact"/>
              <w:ind w:left="105" w:right="413"/>
              <w:rPr>
                <w:sz w:val="24"/>
              </w:rPr>
            </w:pPr>
            <w:r>
              <w:rPr>
                <w:sz w:val="24"/>
              </w:rPr>
              <w:t>Coahuila</w:t>
            </w:r>
          </w:p>
        </w:tc>
        <w:tc>
          <w:tcPr>
            <w:tcW w:w="2276" w:type="dxa"/>
          </w:tcPr>
          <w:p>
            <w:pPr>
              <w:pStyle w:val="TableParagraph"/>
              <w:spacing w:line="270" w:lineRule="exact"/>
              <w:rPr>
                <w:sz w:val="24"/>
              </w:rPr>
            </w:pPr>
            <w:r>
              <w:rPr>
                <w:sz w:val="24"/>
              </w:rPr>
              <w:t>1.73</w:t>
            </w:r>
          </w:p>
        </w:tc>
      </w:tr>
      <w:tr>
        <w:trPr>
          <w:trHeight w:val="468" w:hRule="exact"/>
        </w:trPr>
        <w:tc>
          <w:tcPr>
            <w:tcW w:w="1474" w:type="dxa"/>
          </w:tcPr>
          <w:p>
            <w:pPr>
              <w:pStyle w:val="TableParagraph"/>
              <w:spacing w:line="270" w:lineRule="exact"/>
              <w:ind w:left="105" w:right="379"/>
              <w:rPr>
                <w:sz w:val="24"/>
              </w:rPr>
            </w:pPr>
            <w:r>
              <w:rPr>
                <w:sz w:val="24"/>
              </w:rPr>
              <w:t>Oaxaca</w:t>
            </w:r>
          </w:p>
        </w:tc>
        <w:tc>
          <w:tcPr>
            <w:tcW w:w="2276" w:type="dxa"/>
          </w:tcPr>
          <w:p>
            <w:pPr>
              <w:pStyle w:val="TableParagraph"/>
              <w:spacing w:line="270" w:lineRule="exact"/>
              <w:ind w:left="106"/>
              <w:rPr>
                <w:sz w:val="24"/>
              </w:rPr>
            </w:pPr>
            <w:r>
              <w:rPr>
                <w:sz w:val="24"/>
              </w:rPr>
              <w:t>5.18</w:t>
            </w:r>
          </w:p>
        </w:tc>
        <w:tc>
          <w:tcPr>
            <w:tcW w:w="1508" w:type="dxa"/>
          </w:tcPr>
          <w:p>
            <w:pPr>
              <w:pStyle w:val="TableParagraph"/>
              <w:spacing w:line="270" w:lineRule="exact"/>
              <w:ind w:left="105" w:right="413"/>
              <w:rPr>
                <w:sz w:val="24"/>
              </w:rPr>
            </w:pPr>
            <w:r>
              <w:rPr>
                <w:sz w:val="24"/>
              </w:rPr>
              <w:t>Morelos</w:t>
            </w:r>
          </w:p>
        </w:tc>
        <w:tc>
          <w:tcPr>
            <w:tcW w:w="2276" w:type="dxa"/>
          </w:tcPr>
          <w:p>
            <w:pPr>
              <w:pStyle w:val="TableParagraph"/>
              <w:spacing w:line="270" w:lineRule="exact"/>
              <w:rPr>
                <w:sz w:val="24"/>
              </w:rPr>
            </w:pPr>
            <w:r>
              <w:rPr>
                <w:sz w:val="24"/>
              </w:rPr>
              <w:t>1.03</w:t>
            </w:r>
          </w:p>
        </w:tc>
      </w:tr>
      <w:tr>
        <w:trPr>
          <w:trHeight w:val="1064" w:hRule="exact"/>
        </w:trPr>
        <w:tc>
          <w:tcPr>
            <w:tcW w:w="1474" w:type="dxa"/>
          </w:tcPr>
          <w:p>
            <w:pPr/>
          </w:p>
        </w:tc>
        <w:tc>
          <w:tcPr>
            <w:tcW w:w="2276" w:type="dxa"/>
          </w:tcPr>
          <w:p>
            <w:pPr/>
          </w:p>
        </w:tc>
        <w:tc>
          <w:tcPr>
            <w:tcW w:w="1508" w:type="dxa"/>
          </w:tcPr>
          <w:p>
            <w:pPr>
              <w:pStyle w:val="TableParagraph"/>
              <w:spacing w:line="259" w:lineRule="auto"/>
              <w:ind w:left="105" w:right="400"/>
              <w:rPr>
                <w:sz w:val="24"/>
              </w:rPr>
            </w:pPr>
            <w:r>
              <w:rPr>
                <w:sz w:val="24"/>
              </w:rPr>
              <w:t>Baja California Sur</w:t>
            </w:r>
          </w:p>
        </w:tc>
        <w:tc>
          <w:tcPr>
            <w:tcW w:w="2276" w:type="dxa"/>
          </w:tcPr>
          <w:p>
            <w:pPr>
              <w:pStyle w:val="TableParagraph"/>
              <w:spacing w:line="270" w:lineRule="exact"/>
              <w:rPr>
                <w:sz w:val="24"/>
              </w:rPr>
            </w:pPr>
            <w:r>
              <w:rPr>
                <w:sz w:val="24"/>
              </w:rPr>
              <w:t>0.98</w:t>
            </w:r>
          </w:p>
        </w:tc>
      </w:tr>
      <w:tr>
        <w:trPr>
          <w:trHeight w:val="768" w:hRule="exact"/>
        </w:trPr>
        <w:tc>
          <w:tcPr>
            <w:tcW w:w="1474" w:type="dxa"/>
          </w:tcPr>
          <w:p>
            <w:pPr/>
          </w:p>
        </w:tc>
        <w:tc>
          <w:tcPr>
            <w:tcW w:w="2276" w:type="dxa"/>
          </w:tcPr>
          <w:p>
            <w:pPr/>
          </w:p>
        </w:tc>
        <w:tc>
          <w:tcPr>
            <w:tcW w:w="1508" w:type="dxa"/>
          </w:tcPr>
          <w:p>
            <w:pPr>
              <w:pStyle w:val="TableParagraph"/>
              <w:spacing w:line="256" w:lineRule="auto"/>
              <w:ind w:left="105" w:right="639"/>
              <w:rPr>
                <w:sz w:val="24"/>
              </w:rPr>
            </w:pPr>
            <w:r>
              <w:rPr>
                <w:sz w:val="24"/>
              </w:rPr>
              <w:t>Distrito Federal</w:t>
            </w:r>
          </w:p>
        </w:tc>
        <w:tc>
          <w:tcPr>
            <w:tcW w:w="2276" w:type="dxa"/>
          </w:tcPr>
          <w:p>
            <w:pPr>
              <w:pStyle w:val="TableParagraph"/>
              <w:spacing w:line="270" w:lineRule="exact"/>
              <w:rPr>
                <w:sz w:val="24"/>
              </w:rPr>
            </w:pPr>
            <w:r>
              <w:rPr>
                <w:sz w:val="24"/>
              </w:rPr>
              <w:t>0.36</w:t>
            </w:r>
          </w:p>
        </w:tc>
      </w:tr>
    </w:tbl>
    <w:p>
      <w:pPr>
        <w:spacing w:after="0" w:line="270" w:lineRule="exact"/>
        <w:rPr>
          <w:sz w:val="24"/>
        </w:rPr>
        <w:sectPr>
          <w:pgSz w:w="12240" w:h="15840"/>
          <w:pgMar w:header="731" w:footer="0" w:top="960" w:bottom="280" w:left="1020" w:right="1020"/>
        </w:sectPr>
      </w:pPr>
    </w:p>
    <w:p>
      <w:pPr>
        <w:pStyle w:val="BodyText"/>
        <w:spacing w:line="259" w:lineRule="auto" w:before="156"/>
        <w:ind w:left="112" w:right="117" w:firstLine="708"/>
        <w:jc w:val="both"/>
      </w:pPr>
      <w:r>
        <w:rPr/>
        <w:t>Los estados de menor producto per cápita reciben, en términos per cápita, apoyos por arriba de la media. Esto se puede interpretar como un indicador de que no ha bastado los recursos del PROCAMPO para cambiar y consolidar las tendencias del producto per cápita en estos estados. Por ello, es necesario diseñar programas regionales que permitan que estos estados adopten la conversión productiva y aumenten su rendimiento por hectárea.</w:t>
      </w:r>
    </w:p>
    <w:p>
      <w:pPr>
        <w:pStyle w:val="Heading5"/>
        <w:numPr>
          <w:ilvl w:val="1"/>
          <w:numId w:val="2"/>
        </w:numPr>
        <w:tabs>
          <w:tab w:pos="714" w:val="left" w:leader="none"/>
        </w:tabs>
        <w:spacing w:line="240" w:lineRule="auto" w:before="166" w:after="0"/>
        <w:ind w:left="713" w:right="0" w:hanging="601"/>
        <w:jc w:val="left"/>
      </w:pPr>
      <w:r>
        <w:rPr/>
        <w:t>Proporción del PROCAMPO en estados de menor producto per</w:t>
      </w:r>
      <w:r>
        <w:rPr>
          <w:spacing w:val="-11"/>
        </w:rPr>
        <w:t> </w:t>
      </w:r>
      <w:r>
        <w:rPr/>
        <w:t>cápita</w:t>
      </w:r>
    </w:p>
    <w:p>
      <w:pPr>
        <w:spacing w:before="180"/>
        <w:ind w:left="3769" w:right="3769" w:firstLine="0"/>
        <w:jc w:val="center"/>
        <w:rPr>
          <w:b/>
          <w:sz w:val="24"/>
        </w:rPr>
      </w:pPr>
      <w:r>
        <w:rPr>
          <w:b/>
          <w:sz w:val="24"/>
        </w:rPr>
        <w:t>Tabla 27.5</w:t>
      </w:r>
    </w:p>
    <w:p>
      <w:pPr>
        <w:pStyle w:val="BodyText"/>
        <w:spacing w:before="1"/>
        <w:rPr>
          <w:b/>
          <w:sz w:val="16"/>
        </w:rPr>
      </w:pPr>
    </w:p>
    <w:tbl>
      <w:tblPr>
        <w:tblW w:w="0" w:type="auto"/>
        <w:jc w:val="left"/>
        <w:tblInd w:w="799"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1750"/>
        <w:gridCol w:w="2139"/>
        <w:gridCol w:w="2381"/>
        <w:gridCol w:w="2321"/>
      </w:tblGrid>
      <w:tr>
        <w:trPr>
          <w:trHeight w:val="766" w:hRule="exact"/>
        </w:trPr>
        <w:tc>
          <w:tcPr>
            <w:tcW w:w="1750" w:type="dxa"/>
          </w:tcPr>
          <w:p>
            <w:pPr>
              <w:pStyle w:val="TableParagraph"/>
              <w:spacing w:line="256" w:lineRule="auto"/>
              <w:ind w:right="657"/>
              <w:rPr>
                <w:sz w:val="24"/>
              </w:rPr>
            </w:pPr>
            <w:r>
              <w:rPr>
                <w:sz w:val="24"/>
              </w:rPr>
              <w:t>Entidad federativa</w:t>
            </w:r>
          </w:p>
        </w:tc>
        <w:tc>
          <w:tcPr>
            <w:tcW w:w="2139" w:type="dxa"/>
          </w:tcPr>
          <w:p>
            <w:pPr>
              <w:pStyle w:val="TableParagraph"/>
              <w:spacing w:line="256" w:lineRule="auto"/>
              <w:ind w:right="286"/>
              <w:rPr>
                <w:sz w:val="24"/>
              </w:rPr>
            </w:pPr>
            <w:r>
              <w:rPr>
                <w:sz w:val="24"/>
              </w:rPr>
              <w:t>Coeficiente centavos por peso</w:t>
            </w:r>
          </w:p>
        </w:tc>
        <w:tc>
          <w:tcPr>
            <w:tcW w:w="2381" w:type="dxa"/>
          </w:tcPr>
          <w:p>
            <w:pPr>
              <w:pStyle w:val="TableParagraph"/>
              <w:spacing w:line="270" w:lineRule="exact"/>
              <w:ind w:left="105"/>
              <w:rPr>
                <w:sz w:val="24"/>
              </w:rPr>
            </w:pPr>
            <w:r>
              <w:rPr>
                <w:sz w:val="24"/>
              </w:rPr>
              <w:t>Tasa   de  crecimiento</w:t>
            </w:r>
          </w:p>
          <w:p>
            <w:pPr>
              <w:pStyle w:val="TableParagraph"/>
              <w:spacing w:line="240" w:lineRule="auto" w:before="4"/>
              <w:ind w:left="0"/>
              <w:rPr>
                <w:b/>
                <w:sz w:val="2"/>
              </w:rPr>
            </w:pPr>
          </w:p>
          <w:p>
            <w:pPr>
              <w:pStyle w:val="TableParagraph"/>
              <w:spacing w:line="240" w:lineRule="auto"/>
              <w:ind w:left="105"/>
              <w:rPr>
                <w:sz w:val="20"/>
              </w:rPr>
            </w:pPr>
            <w:r>
              <w:rPr>
                <w:sz w:val="20"/>
              </w:rPr>
              <w:drawing>
                <wp:inline distT="0" distB="0" distL="0" distR="0">
                  <wp:extent cx="833754" cy="169164"/>
                  <wp:effectExtent l="0" t="0" r="0" b="0"/>
                  <wp:docPr id="11" name="image5.png" descr=""/>
                  <wp:cNvGraphicFramePr>
                    <a:graphicFrameLocks noChangeAspect="1"/>
                  </wp:cNvGraphicFramePr>
                  <a:graphic>
                    <a:graphicData uri="http://schemas.openxmlformats.org/drawingml/2006/picture">
                      <pic:pic>
                        <pic:nvPicPr>
                          <pic:cNvPr id="12" name="image5.png"/>
                          <pic:cNvPicPr/>
                        </pic:nvPicPr>
                        <pic:blipFill>
                          <a:blip r:embed="rId15" cstate="print"/>
                          <a:stretch>
                            <a:fillRect/>
                          </a:stretch>
                        </pic:blipFill>
                        <pic:spPr>
                          <a:xfrm>
                            <a:off x="0" y="0"/>
                            <a:ext cx="833754" cy="169164"/>
                          </a:xfrm>
                          <a:prstGeom prst="rect">
                            <a:avLst/>
                          </a:prstGeom>
                        </pic:spPr>
                      </pic:pic>
                    </a:graphicData>
                  </a:graphic>
                </wp:inline>
              </w:drawing>
            </w:r>
            <w:r>
              <w:rPr>
                <w:sz w:val="20"/>
              </w:rPr>
            </w:r>
          </w:p>
          <w:p>
            <w:pPr>
              <w:pStyle w:val="TableParagraph"/>
              <w:spacing w:line="240" w:lineRule="auto" w:before="7"/>
              <w:ind w:left="0"/>
              <w:rPr>
                <w:b/>
                <w:sz w:val="16"/>
              </w:rPr>
            </w:pPr>
          </w:p>
        </w:tc>
        <w:tc>
          <w:tcPr>
            <w:tcW w:w="2321" w:type="dxa"/>
          </w:tcPr>
          <w:p>
            <w:pPr>
              <w:pStyle w:val="TableParagraph"/>
              <w:spacing w:line="270" w:lineRule="exact"/>
              <w:rPr>
                <w:sz w:val="24"/>
              </w:rPr>
            </w:pPr>
            <w:r>
              <w:rPr>
                <w:sz w:val="24"/>
              </w:rPr>
              <w:t>Tasa  de  crecimiento</w:t>
            </w:r>
          </w:p>
          <w:p>
            <w:pPr>
              <w:pStyle w:val="TableParagraph"/>
              <w:spacing w:line="240" w:lineRule="auto" w:before="4"/>
              <w:ind w:left="0"/>
              <w:rPr>
                <w:b/>
                <w:sz w:val="2"/>
              </w:rPr>
            </w:pPr>
          </w:p>
          <w:p>
            <w:pPr>
              <w:pStyle w:val="TableParagraph"/>
              <w:spacing w:line="240" w:lineRule="auto"/>
              <w:rPr>
                <w:sz w:val="20"/>
              </w:rPr>
            </w:pPr>
            <w:r>
              <w:rPr>
                <w:sz w:val="20"/>
              </w:rPr>
              <w:drawing>
                <wp:inline distT="0" distB="0" distL="0" distR="0">
                  <wp:extent cx="833754" cy="169164"/>
                  <wp:effectExtent l="0" t="0" r="0" b="0"/>
                  <wp:docPr id="13" name="image5.png" descr=""/>
                  <wp:cNvGraphicFramePr>
                    <a:graphicFrameLocks noChangeAspect="1"/>
                  </wp:cNvGraphicFramePr>
                  <a:graphic>
                    <a:graphicData uri="http://schemas.openxmlformats.org/drawingml/2006/picture">
                      <pic:pic>
                        <pic:nvPicPr>
                          <pic:cNvPr id="14" name="image5.png"/>
                          <pic:cNvPicPr/>
                        </pic:nvPicPr>
                        <pic:blipFill>
                          <a:blip r:embed="rId15" cstate="print"/>
                          <a:stretch>
                            <a:fillRect/>
                          </a:stretch>
                        </pic:blipFill>
                        <pic:spPr>
                          <a:xfrm>
                            <a:off x="0" y="0"/>
                            <a:ext cx="833754" cy="169164"/>
                          </a:xfrm>
                          <a:prstGeom prst="rect">
                            <a:avLst/>
                          </a:prstGeom>
                        </pic:spPr>
                      </pic:pic>
                    </a:graphicData>
                  </a:graphic>
                </wp:inline>
              </w:drawing>
            </w:r>
            <w:r>
              <w:rPr>
                <w:sz w:val="20"/>
              </w:rPr>
            </w:r>
          </w:p>
          <w:p>
            <w:pPr>
              <w:pStyle w:val="TableParagraph"/>
              <w:spacing w:line="240" w:lineRule="auto" w:before="7"/>
              <w:ind w:left="0"/>
              <w:rPr>
                <w:b/>
                <w:sz w:val="16"/>
              </w:rPr>
            </w:pPr>
          </w:p>
        </w:tc>
      </w:tr>
      <w:tr>
        <w:trPr>
          <w:trHeight w:val="468" w:hRule="exact"/>
        </w:trPr>
        <w:tc>
          <w:tcPr>
            <w:tcW w:w="1750" w:type="dxa"/>
          </w:tcPr>
          <w:p>
            <w:pPr>
              <w:pStyle w:val="TableParagraph"/>
              <w:ind w:right="657"/>
              <w:rPr>
                <w:sz w:val="24"/>
              </w:rPr>
            </w:pPr>
            <w:r>
              <w:rPr>
                <w:sz w:val="24"/>
              </w:rPr>
              <w:t>Chiapas</w:t>
            </w:r>
          </w:p>
        </w:tc>
        <w:tc>
          <w:tcPr>
            <w:tcW w:w="2139" w:type="dxa"/>
          </w:tcPr>
          <w:p>
            <w:pPr>
              <w:pStyle w:val="TableParagraph"/>
              <w:ind w:right="286"/>
              <w:rPr>
                <w:sz w:val="24"/>
              </w:rPr>
            </w:pPr>
            <w:r>
              <w:rPr>
                <w:sz w:val="24"/>
              </w:rPr>
              <w:t>9.67</w:t>
            </w:r>
          </w:p>
        </w:tc>
        <w:tc>
          <w:tcPr>
            <w:tcW w:w="2381" w:type="dxa"/>
          </w:tcPr>
          <w:p>
            <w:pPr>
              <w:pStyle w:val="TableParagraph"/>
              <w:ind w:left="105"/>
              <w:rPr>
                <w:sz w:val="24"/>
              </w:rPr>
            </w:pPr>
            <w:r>
              <w:rPr>
                <w:sz w:val="24"/>
              </w:rPr>
              <w:t>-0.60%</w:t>
            </w:r>
          </w:p>
        </w:tc>
        <w:tc>
          <w:tcPr>
            <w:tcW w:w="2321" w:type="dxa"/>
          </w:tcPr>
          <w:p>
            <w:pPr>
              <w:pStyle w:val="TableParagraph"/>
              <w:rPr>
                <w:sz w:val="24"/>
              </w:rPr>
            </w:pPr>
            <w:r>
              <w:rPr>
                <w:sz w:val="24"/>
              </w:rPr>
              <w:t>-1.11%</w:t>
            </w:r>
          </w:p>
        </w:tc>
      </w:tr>
      <w:tr>
        <w:trPr>
          <w:trHeight w:val="469" w:hRule="exact"/>
        </w:trPr>
        <w:tc>
          <w:tcPr>
            <w:tcW w:w="1750" w:type="dxa"/>
          </w:tcPr>
          <w:p>
            <w:pPr>
              <w:pStyle w:val="TableParagraph"/>
              <w:spacing w:line="269" w:lineRule="exact"/>
              <w:ind w:right="657"/>
              <w:rPr>
                <w:sz w:val="24"/>
              </w:rPr>
            </w:pPr>
            <w:r>
              <w:rPr>
                <w:sz w:val="24"/>
              </w:rPr>
              <w:t>Puebla</w:t>
            </w:r>
          </w:p>
        </w:tc>
        <w:tc>
          <w:tcPr>
            <w:tcW w:w="2139" w:type="dxa"/>
          </w:tcPr>
          <w:p>
            <w:pPr>
              <w:pStyle w:val="TableParagraph"/>
              <w:spacing w:line="269" w:lineRule="exact"/>
              <w:ind w:right="286"/>
              <w:rPr>
                <w:sz w:val="24"/>
              </w:rPr>
            </w:pPr>
            <w:r>
              <w:rPr>
                <w:sz w:val="24"/>
              </w:rPr>
              <w:t>5.49</w:t>
            </w:r>
          </w:p>
        </w:tc>
        <w:tc>
          <w:tcPr>
            <w:tcW w:w="2381" w:type="dxa"/>
          </w:tcPr>
          <w:p>
            <w:pPr>
              <w:pStyle w:val="TableParagraph"/>
              <w:spacing w:line="269" w:lineRule="exact"/>
              <w:ind w:left="105"/>
              <w:rPr>
                <w:sz w:val="24"/>
              </w:rPr>
            </w:pPr>
            <w:r>
              <w:rPr>
                <w:sz w:val="24"/>
              </w:rPr>
              <w:t>-3.39%</w:t>
            </w:r>
          </w:p>
        </w:tc>
        <w:tc>
          <w:tcPr>
            <w:tcW w:w="2321" w:type="dxa"/>
          </w:tcPr>
          <w:p>
            <w:pPr>
              <w:pStyle w:val="TableParagraph"/>
              <w:spacing w:line="269" w:lineRule="exact"/>
              <w:rPr>
                <w:sz w:val="24"/>
              </w:rPr>
            </w:pPr>
            <w:r>
              <w:rPr>
                <w:sz w:val="24"/>
              </w:rPr>
              <w:t>1.55%</w:t>
            </w:r>
          </w:p>
        </w:tc>
      </w:tr>
      <w:tr>
        <w:trPr>
          <w:trHeight w:val="468" w:hRule="exact"/>
        </w:trPr>
        <w:tc>
          <w:tcPr>
            <w:tcW w:w="1750" w:type="dxa"/>
          </w:tcPr>
          <w:p>
            <w:pPr>
              <w:pStyle w:val="TableParagraph"/>
              <w:ind w:right="657"/>
              <w:rPr>
                <w:sz w:val="24"/>
              </w:rPr>
            </w:pPr>
            <w:r>
              <w:rPr>
                <w:sz w:val="24"/>
              </w:rPr>
              <w:t>Tlaxcala</w:t>
            </w:r>
          </w:p>
        </w:tc>
        <w:tc>
          <w:tcPr>
            <w:tcW w:w="2139" w:type="dxa"/>
          </w:tcPr>
          <w:p>
            <w:pPr>
              <w:pStyle w:val="TableParagraph"/>
              <w:ind w:right="286"/>
              <w:rPr>
                <w:sz w:val="24"/>
              </w:rPr>
            </w:pPr>
            <w:r>
              <w:rPr>
                <w:sz w:val="24"/>
              </w:rPr>
              <w:t>15.59</w:t>
            </w:r>
          </w:p>
        </w:tc>
        <w:tc>
          <w:tcPr>
            <w:tcW w:w="2381" w:type="dxa"/>
          </w:tcPr>
          <w:p>
            <w:pPr>
              <w:pStyle w:val="TableParagraph"/>
              <w:ind w:left="105"/>
              <w:rPr>
                <w:sz w:val="24"/>
              </w:rPr>
            </w:pPr>
            <w:r>
              <w:rPr>
                <w:sz w:val="24"/>
              </w:rPr>
              <w:t>-3.11%</w:t>
            </w:r>
          </w:p>
        </w:tc>
        <w:tc>
          <w:tcPr>
            <w:tcW w:w="2321" w:type="dxa"/>
          </w:tcPr>
          <w:p>
            <w:pPr>
              <w:pStyle w:val="TableParagraph"/>
              <w:rPr>
                <w:sz w:val="24"/>
              </w:rPr>
            </w:pPr>
            <w:r>
              <w:rPr>
                <w:sz w:val="24"/>
              </w:rPr>
              <w:t>0.71%</w:t>
            </w:r>
          </w:p>
        </w:tc>
      </w:tr>
      <w:tr>
        <w:trPr>
          <w:trHeight w:val="468" w:hRule="exact"/>
        </w:trPr>
        <w:tc>
          <w:tcPr>
            <w:tcW w:w="1750" w:type="dxa"/>
          </w:tcPr>
          <w:p>
            <w:pPr>
              <w:pStyle w:val="TableParagraph"/>
              <w:ind w:right="657"/>
              <w:rPr>
                <w:sz w:val="24"/>
              </w:rPr>
            </w:pPr>
            <w:r>
              <w:rPr>
                <w:sz w:val="24"/>
              </w:rPr>
              <w:t>Guerrero</w:t>
            </w:r>
          </w:p>
        </w:tc>
        <w:tc>
          <w:tcPr>
            <w:tcW w:w="2139" w:type="dxa"/>
          </w:tcPr>
          <w:p>
            <w:pPr>
              <w:pStyle w:val="TableParagraph"/>
              <w:ind w:right="286"/>
              <w:rPr>
                <w:sz w:val="24"/>
              </w:rPr>
            </w:pPr>
            <w:r>
              <w:rPr>
                <w:sz w:val="24"/>
              </w:rPr>
              <w:t>5.42</w:t>
            </w:r>
          </w:p>
        </w:tc>
        <w:tc>
          <w:tcPr>
            <w:tcW w:w="2381" w:type="dxa"/>
          </w:tcPr>
          <w:p>
            <w:pPr>
              <w:pStyle w:val="TableParagraph"/>
              <w:ind w:left="105"/>
              <w:rPr>
                <w:sz w:val="24"/>
              </w:rPr>
            </w:pPr>
            <w:r>
              <w:rPr>
                <w:sz w:val="24"/>
              </w:rPr>
              <w:t>0.66%</w:t>
            </w:r>
          </w:p>
        </w:tc>
        <w:tc>
          <w:tcPr>
            <w:tcW w:w="2321" w:type="dxa"/>
          </w:tcPr>
          <w:p>
            <w:pPr>
              <w:pStyle w:val="TableParagraph"/>
              <w:rPr>
                <w:sz w:val="24"/>
              </w:rPr>
            </w:pPr>
            <w:r>
              <w:rPr>
                <w:sz w:val="24"/>
              </w:rPr>
              <w:t>0.37%</w:t>
            </w:r>
          </w:p>
        </w:tc>
      </w:tr>
      <w:tr>
        <w:trPr>
          <w:trHeight w:val="468" w:hRule="exact"/>
        </w:trPr>
        <w:tc>
          <w:tcPr>
            <w:tcW w:w="1750" w:type="dxa"/>
          </w:tcPr>
          <w:p>
            <w:pPr>
              <w:pStyle w:val="TableParagraph"/>
              <w:ind w:right="657"/>
              <w:rPr>
                <w:sz w:val="24"/>
              </w:rPr>
            </w:pPr>
            <w:r>
              <w:rPr>
                <w:sz w:val="24"/>
              </w:rPr>
              <w:t>Hidalgo</w:t>
            </w:r>
          </w:p>
        </w:tc>
        <w:tc>
          <w:tcPr>
            <w:tcW w:w="2139" w:type="dxa"/>
          </w:tcPr>
          <w:p>
            <w:pPr>
              <w:pStyle w:val="TableParagraph"/>
              <w:ind w:right="286"/>
              <w:rPr>
                <w:sz w:val="24"/>
              </w:rPr>
            </w:pPr>
            <w:r>
              <w:rPr>
                <w:sz w:val="24"/>
              </w:rPr>
              <w:t>7.03</w:t>
            </w:r>
          </w:p>
        </w:tc>
        <w:tc>
          <w:tcPr>
            <w:tcW w:w="2381" w:type="dxa"/>
          </w:tcPr>
          <w:p>
            <w:pPr>
              <w:pStyle w:val="TableParagraph"/>
              <w:ind w:left="105"/>
              <w:rPr>
                <w:sz w:val="24"/>
              </w:rPr>
            </w:pPr>
            <w:r>
              <w:rPr>
                <w:sz w:val="24"/>
              </w:rPr>
              <w:t>-9.39%</w:t>
            </w:r>
          </w:p>
        </w:tc>
        <w:tc>
          <w:tcPr>
            <w:tcW w:w="2321" w:type="dxa"/>
          </w:tcPr>
          <w:p>
            <w:pPr>
              <w:pStyle w:val="TableParagraph"/>
              <w:rPr>
                <w:sz w:val="24"/>
              </w:rPr>
            </w:pPr>
            <w:r>
              <w:rPr>
                <w:sz w:val="24"/>
              </w:rPr>
              <w:t>2.98%</w:t>
            </w:r>
          </w:p>
        </w:tc>
      </w:tr>
      <w:tr>
        <w:trPr>
          <w:trHeight w:val="468" w:hRule="exact"/>
        </w:trPr>
        <w:tc>
          <w:tcPr>
            <w:tcW w:w="1750" w:type="dxa"/>
          </w:tcPr>
          <w:p>
            <w:pPr>
              <w:pStyle w:val="TableParagraph"/>
              <w:ind w:right="657"/>
              <w:rPr>
                <w:sz w:val="24"/>
              </w:rPr>
            </w:pPr>
            <w:r>
              <w:rPr>
                <w:sz w:val="24"/>
              </w:rPr>
              <w:t>Oaxaca</w:t>
            </w:r>
          </w:p>
        </w:tc>
        <w:tc>
          <w:tcPr>
            <w:tcW w:w="2139" w:type="dxa"/>
          </w:tcPr>
          <w:p>
            <w:pPr>
              <w:pStyle w:val="TableParagraph"/>
              <w:ind w:right="286"/>
              <w:rPr>
                <w:sz w:val="24"/>
              </w:rPr>
            </w:pPr>
            <w:r>
              <w:rPr>
                <w:sz w:val="24"/>
              </w:rPr>
              <w:t>5.18</w:t>
            </w:r>
          </w:p>
        </w:tc>
        <w:tc>
          <w:tcPr>
            <w:tcW w:w="2381" w:type="dxa"/>
          </w:tcPr>
          <w:p>
            <w:pPr>
              <w:pStyle w:val="TableParagraph"/>
              <w:ind w:left="105"/>
              <w:rPr>
                <w:sz w:val="24"/>
              </w:rPr>
            </w:pPr>
            <w:r>
              <w:rPr>
                <w:sz w:val="24"/>
              </w:rPr>
              <w:t>-0.45%</w:t>
            </w:r>
          </w:p>
        </w:tc>
        <w:tc>
          <w:tcPr>
            <w:tcW w:w="2321" w:type="dxa"/>
          </w:tcPr>
          <w:p>
            <w:pPr>
              <w:pStyle w:val="TableParagraph"/>
              <w:rPr>
                <w:sz w:val="24"/>
              </w:rPr>
            </w:pPr>
            <w:r>
              <w:rPr>
                <w:sz w:val="24"/>
              </w:rPr>
              <w:t>-0.52%</w:t>
            </w:r>
          </w:p>
        </w:tc>
      </w:tr>
      <w:tr>
        <w:trPr>
          <w:trHeight w:val="468" w:hRule="exact"/>
        </w:trPr>
        <w:tc>
          <w:tcPr>
            <w:tcW w:w="1750" w:type="dxa"/>
          </w:tcPr>
          <w:p>
            <w:pPr>
              <w:pStyle w:val="TableParagraph"/>
              <w:rPr>
                <w:sz w:val="24"/>
              </w:rPr>
            </w:pPr>
            <w:r>
              <w:rPr>
                <w:sz w:val="24"/>
              </w:rPr>
              <w:t>Quintana Roo</w:t>
            </w:r>
          </w:p>
        </w:tc>
        <w:tc>
          <w:tcPr>
            <w:tcW w:w="2139" w:type="dxa"/>
          </w:tcPr>
          <w:p>
            <w:pPr>
              <w:pStyle w:val="TableParagraph"/>
              <w:ind w:right="286"/>
              <w:rPr>
                <w:sz w:val="24"/>
              </w:rPr>
            </w:pPr>
            <w:r>
              <w:rPr>
                <w:sz w:val="24"/>
              </w:rPr>
              <w:t>10.15</w:t>
            </w:r>
          </w:p>
        </w:tc>
        <w:tc>
          <w:tcPr>
            <w:tcW w:w="2381" w:type="dxa"/>
          </w:tcPr>
          <w:p>
            <w:pPr>
              <w:pStyle w:val="TableParagraph"/>
              <w:ind w:left="105"/>
              <w:rPr>
                <w:sz w:val="24"/>
              </w:rPr>
            </w:pPr>
            <w:r>
              <w:rPr>
                <w:sz w:val="24"/>
              </w:rPr>
              <w:t>1.68%</w:t>
            </w:r>
          </w:p>
        </w:tc>
        <w:tc>
          <w:tcPr>
            <w:tcW w:w="2321" w:type="dxa"/>
          </w:tcPr>
          <w:p>
            <w:pPr>
              <w:pStyle w:val="TableParagraph"/>
              <w:rPr>
                <w:sz w:val="24"/>
              </w:rPr>
            </w:pPr>
            <w:r>
              <w:rPr>
                <w:sz w:val="24"/>
              </w:rPr>
              <w:t>0.95%</w:t>
            </w:r>
          </w:p>
        </w:tc>
      </w:tr>
      <w:tr>
        <w:trPr>
          <w:trHeight w:val="468" w:hRule="exact"/>
        </w:trPr>
        <w:tc>
          <w:tcPr>
            <w:tcW w:w="1750" w:type="dxa"/>
          </w:tcPr>
          <w:p>
            <w:pPr>
              <w:pStyle w:val="TableParagraph"/>
              <w:rPr>
                <w:sz w:val="24"/>
              </w:rPr>
            </w:pPr>
            <w:r>
              <w:rPr>
                <w:sz w:val="24"/>
              </w:rPr>
              <w:t>Campeche</w:t>
            </w:r>
          </w:p>
        </w:tc>
        <w:tc>
          <w:tcPr>
            <w:tcW w:w="2139" w:type="dxa"/>
          </w:tcPr>
          <w:p>
            <w:pPr>
              <w:pStyle w:val="TableParagraph"/>
              <w:ind w:right="286"/>
              <w:rPr>
                <w:sz w:val="24"/>
              </w:rPr>
            </w:pPr>
            <w:r>
              <w:rPr>
                <w:sz w:val="24"/>
              </w:rPr>
              <w:t>7.99</w:t>
            </w:r>
          </w:p>
        </w:tc>
        <w:tc>
          <w:tcPr>
            <w:tcW w:w="2381" w:type="dxa"/>
          </w:tcPr>
          <w:p>
            <w:pPr>
              <w:pStyle w:val="TableParagraph"/>
              <w:ind w:left="105"/>
              <w:rPr>
                <w:sz w:val="24"/>
              </w:rPr>
            </w:pPr>
            <w:r>
              <w:rPr>
                <w:sz w:val="24"/>
              </w:rPr>
              <w:t>-8.28%</w:t>
            </w:r>
          </w:p>
        </w:tc>
        <w:tc>
          <w:tcPr>
            <w:tcW w:w="2321" w:type="dxa"/>
          </w:tcPr>
          <w:p>
            <w:pPr>
              <w:pStyle w:val="TableParagraph"/>
              <w:rPr>
                <w:sz w:val="24"/>
              </w:rPr>
            </w:pPr>
            <w:r>
              <w:rPr>
                <w:sz w:val="24"/>
              </w:rPr>
              <w:t>1.35%</w:t>
            </w:r>
          </w:p>
        </w:tc>
      </w:tr>
    </w:tbl>
    <w:p>
      <w:pPr>
        <w:pStyle w:val="BodyText"/>
        <w:rPr>
          <w:b/>
          <w:sz w:val="20"/>
        </w:rPr>
      </w:pPr>
    </w:p>
    <w:p>
      <w:pPr>
        <w:pStyle w:val="BodyText"/>
        <w:spacing w:before="4"/>
        <w:rPr>
          <w:b/>
          <w:sz w:val="19"/>
        </w:rPr>
      </w:pPr>
    </w:p>
    <w:p>
      <w:pPr>
        <w:pStyle w:val="BodyText"/>
        <w:spacing w:line="259" w:lineRule="auto"/>
        <w:ind w:left="112" w:right="114" w:firstLine="708"/>
        <w:jc w:val="both"/>
      </w:pPr>
      <w:r>
        <w:rPr/>
        <w:t>El caso de Tamaulipas vuelve a llamar la atención, es el estado con mayor relación PROCAMPO/Producto (23.96 centavos por peso) y es el que tiene una tasa de deterioro del producto per cápita a la baja (-3.34% anual). Como se mencionó, en este estado se está reduciendo la superficie cosechada, pero también hay una migración sectorial (de la producción agropecuaria se mueven el PEA a otros sectores, por ejemplo a maquila). En 1980 se contabilizó en la Población Económicamente Activa Agropecuario de Tamaulipas 112,362 personas, en el 2003 bajó a 92,623 personas, una baja de 17.57%.</w:t>
      </w:r>
    </w:p>
    <w:p>
      <w:pPr>
        <w:pStyle w:val="Heading5"/>
        <w:numPr>
          <w:ilvl w:val="1"/>
          <w:numId w:val="2"/>
        </w:numPr>
        <w:tabs>
          <w:tab w:pos="714" w:val="left" w:leader="none"/>
        </w:tabs>
        <w:spacing w:line="240" w:lineRule="auto" w:before="166" w:after="0"/>
        <w:ind w:left="713" w:right="0" w:hanging="601"/>
        <w:jc w:val="both"/>
      </w:pPr>
      <w:r>
        <w:rPr/>
        <w:t>Segunda conclusión a nivel</w:t>
      </w:r>
      <w:r>
        <w:rPr>
          <w:spacing w:val="-11"/>
        </w:rPr>
        <w:t> </w:t>
      </w:r>
      <w:r>
        <w:rPr/>
        <w:t>estatal</w:t>
      </w:r>
    </w:p>
    <w:p>
      <w:pPr>
        <w:pStyle w:val="BodyText"/>
        <w:spacing w:line="259" w:lineRule="auto" w:before="180"/>
        <w:ind w:left="112" w:right="110"/>
        <w:jc w:val="both"/>
      </w:pPr>
      <w:r>
        <w:rPr/>
        <w:t>Los estados con menor producto per cápita que han recibido apoyos, también per cápita, por encima de la media nacional son: Chiapas, Puebla, Tlaxcala, Guerrero, Hidalgo, Oaxaca, Quintana Roo y Campeche.</w:t>
      </w:r>
    </w:p>
    <w:p>
      <w:pPr>
        <w:pStyle w:val="BodyText"/>
        <w:spacing w:line="256" w:lineRule="auto" w:before="163"/>
        <w:ind w:left="112" w:right="119" w:firstLine="708"/>
        <w:jc w:val="both"/>
      </w:pPr>
      <w:r>
        <w:rPr/>
        <w:t>A pesar de los mayores apoyos recibidos, estos no han sido suficientes para consolidar una tendencia positiva en el producto per cápita, ni han logrado impulsar la conversión productiva a excepción de Chiapas.</w:t>
      </w:r>
    </w:p>
    <w:p>
      <w:pPr>
        <w:pStyle w:val="BodyText"/>
        <w:spacing w:line="256" w:lineRule="auto" w:before="166"/>
        <w:ind w:left="112" w:right="117" w:firstLine="708"/>
        <w:jc w:val="both"/>
      </w:pPr>
      <w:r>
        <w:rPr/>
        <w:t>Los estados de esta región tampoco han logrado consolidar una tendencia positiva en el incremento de los rendimientos, por lo que se vislumbra la necesidad de enfocar programas y políticas dirigidas a esta región.</w:t>
      </w:r>
    </w:p>
    <w:p>
      <w:pPr>
        <w:spacing w:after="0" w:line="256" w:lineRule="auto"/>
        <w:jc w:val="both"/>
        <w:sectPr>
          <w:pgSz w:w="12240" w:h="15840"/>
          <w:pgMar w:header="731" w:footer="0" w:top="960" w:bottom="280" w:left="1020" w:right="1020"/>
        </w:sectPr>
      </w:pPr>
    </w:p>
    <w:p>
      <w:pPr>
        <w:pStyle w:val="Heading5"/>
        <w:numPr>
          <w:ilvl w:val="1"/>
          <w:numId w:val="2"/>
        </w:numPr>
        <w:tabs>
          <w:tab w:pos="714" w:val="left" w:leader="none"/>
        </w:tabs>
        <w:spacing w:line="240" w:lineRule="auto" w:before="158" w:after="0"/>
        <w:ind w:left="713" w:right="0" w:hanging="601"/>
        <w:jc w:val="both"/>
      </w:pPr>
      <w:r>
        <w:rPr/>
        <w:t>Impacto del PROCAMPO per cápita en el producto per cápita a nivel</w:t>
      </w:r>
      <w:r>
        <w:rPr>
          <w:spacing w:val="-18"/>
        </w:rPr>
        <w:t> </w:t>
      </w:r>
      <w:r>
        <w:rPr/>
        <w:t>estatal</w:t>
      </w:r>
    </w:p>
    <w:p>
      <w:pPr>
        <w:pStyle w:val="BodyText"/>
        <w:spacing w:line="256" w:lineRule="auto" w:before="180"/>
        <w:ind w:left="112" w:right="120"/>
        <w:jc w:val="both"/>
      </w:pPr>
      <w:r>
        <w:rPr/>
        <w:t>Para medir el impacto del PROCAMPO en el producto per cápita a nivel estatal, se usa un método que se aplica en contabilidad, relaciona el impacto de los factores de costos en el costo total, cuando se tienen pocos datos, el método de altos y bajos .</w:t>
      </w:r>
    </w:p>
    <w:p>
      <w:pPr>
        <w:pStyle w:val="BodyText"/>
        <w:spacing w:line="256" w:lineRule="auto" w:before="166"/>
        <w:ind w:left="112" w:right="119" w:firstLine="708"/>
        <w:jc w:val="both"/>
      </w:pPr>
      <w:r>
        <w:rPr/>
        <w:t>Este método se puede usar para relacionar el impacto del PROCAMPO per cápita con el producto per cápita. En este método, a diferencia de la regresión, el signo de la relación se fija por la definición de la ecuación.</w:t>
      </w:r>
    </w:p>
    <w:p>
      <w:pPr>
        <w:pStyle w:val="BodyText"/>
        <w:spacing w:line="256" w:lineRule="auto" w:before="166"/>
        <w:ind w:left="112" w:right="117" w:firstLine="708"/>
        <w:jc w:val="both"/>
      </w:pPr>
      <w:r>
        <w:rPr/>
        <w:t>Así, por ejemplo, se tiene que de 1995 al 2003 el producto per cápita más alto fue de 38.38 pesos y el más bajo fue de 34.66. Los datos del PROCAMPO per cápita son el más alto 2.17 y el más bajo</w:t>
      </w:r>
      <w:r>
        <w:rPr>
          <w:spacing w:val="-1"/>
        </w:rPr>
        <w:t> </w:t>
      </w:r>
      <w:r>
        <w:rPr/>
        <w:t>1.66.</w:t>
      </w:r>
    </w:p>
    <w:p>
      <w:pPr>
        <w:pStyle w:val="BodyText"/>
        <w:spacing w:before="164"/>
        <w:ind w:left="821" w:right="7378"/>
      </w:pPr>
      <w:r>
        <w:rPr/>
        <w:t>La relación,</w:t>
      </w:r>
    </w:p>
    <w:p>
      <w:pPr>
        <w:pStyle w:val="BodyText"/>
        <w:spacing w:before="3"/>
        <w:rPr>
          <w:sz w:val="12"/>
        </w:rPr>
      </w:pPr>
    </w:p>
    <w:p>
      <w:pPr>
        <w:spacing w:line="396" w:lineRule="exact" w:before="70"/>
        <w:ind w:left="852" w:right="6551" w:firstLine="0"/>
        <w:jc w:val="left"/>
        <w:rPr>
          <w:rFonts w:ascii="Arial" w:hAnsi="Arial"/>
          <w:sz w:val="24"/>
        </w:rPr>
      </w:pPr>
      <w:r>
        <w:rPr/>
        <w:pict>
          <v:line style="position:absolute;mso-position-horizontal-relative:page;mso-position-vertical-relative:paragraph;z-index:-45904" from="94.537323pt,20.116894pt" to="104.246604pt,20.116894pt" stroked="true" strokeweight=".136583pt" strokecolor="#000000">
            <w10:wrap type="none"/>
          </v:line>
        </w:pict>
      </w:r>
      <w:r>
        <w:rPr/>
        <w:pict>
          <v:line style="position:absolute;mso-position-horizontal-relative:page;mso-position-vertical-relative:paragraph;z-index:-45880" from="169.70079pt,20.116894pt" to="179.57898pt,20.116894pt" stroked="true" strokeweight=".136583pt" strokecolor="#000000">
            <w10:wrap type="none"/>
          </v:line>
        </w:pict>
      </w:r>
      <w:r>
        <w:rPr>
          <w:rFonts w:ascii="Arial" w:hAnsi="Arial"/>
          <w:i/>
          <w:w w:val="105"/>
          <w:position w:val="16"/>
          <w:sz w:val="24"/>
        </w:rPr>
        <w:t>Y </w:t>
      </w:r>
      <w:r>
        <w:rPr>
          <w:rFonts w:ascii="Symbol" w:hAnsi="Symbol"/>
          <w:w w:val="105"/>
          <w:sz w:val="24"/>
        </w:rPr>
        <w:t></w:t>
      </w:r>
      <w:r>
        <w:rPr>
          <w:w w:val="105"/>
          <w:sz w:val="24"/>
        </w:rPr>
        <w:t> </w:t>
      </w:r>
      <w:r>
        <w:rPr>
          <w:rFonts w:ascii="Arial" w:hAnsi="Arial"/>
          <w:i/>
          <w:w w:val="105"/>
          <w:sz w:val="24"/>
        </w:rPr>
        <w:t>y </w:t>
      </w:r>
      <w:r>
        <w:rPr>
          <w:rFonts w:ascii="Symbol" w:hAnsi="Symbol"/>
          <w:w w:val="105"/>
          <w:sz w:val="24"/>
        </w:rPr>
        <w:t></w:t>
      </w:r>
      <w:r>
        <w:rPr>
          <w:w w:val="105"/>
          <w:sz w:val="24"/>
        </w:rPr>
        <w:t> </w:t>
      </w:r>
      <w:r>
        <w:rPr>
          <w:rFonts w:ascii="Arial" w:hAnsi="Arial"/>
          <w:i/>
          <w:w w:val="105"/>
          <w:sz w:val="24"/>
        </w:rPr>
        <w:t>g </w:t>
      </w:r>
      <w:r>
        <w:rPr>
          <w:rFonts w:ascii="Symbol" w:hAnsi="Symbol"/>
          <w:w w:val="105"/>
          <w:sz w:val="24"/>
        </w:rPr>
        <w:t></w:t>
      </w:r>
      <w:r>
        <w:rPr>
          <w:w w:val="105"/>
          <w:sz w:val="24"/>
        </w:rPr>
        <w:t> </w:t>
      </w:r>
      <w:r>
        <w:rPr>
          <w:rFonts w:ascii="Arial" w:hAnsi="Arial"/>
          <w:i/>
          <w:w w:val="105"/>
          <w:sz w:val="24"/>
        </w:rPr>
        <w:t>w </w:t>
      </w:r>
      <w:r>
        <w:rPr>
          <w:rFonts w:ascii="Arial" w:hAnsi="Arial"/>
          <w:i/>
          <w:w w:val="105"/>
          <w:position w:val="16"/>
          <w:sz w:val="24"/>
        </w:rPr>
        <w:t>P </w:t>
      </w:r>
      <w:r>
        <w:rPr>
          <w:rFonts w:ascii="Symbol" w:hAnsi="Symbol"/>
          <w:w w:val="105"/>
          <w:sz w:val="24"/>
        </w:rPr>
        <w:t></w:t>
      </w:r>
      <w:r>
        <w:rPr>
          <w:w w:val="105"/>
          <w:sz w:val="24"/>
        </w:rPr>
        <w:t> </w:t>
      </w:r>
      <w:r>
        <w:rPr>
          <w:rFonts w:ascii="Arial" w:hAnsi="Arial"/>
          <w:i/>
          <w:w w:val="105"/>
          <w:sz w:val="24"/>
        </w:rPr>
        <w:t>g </w:t>
      </w:r>
      <w:r>
        <w:rPr>
          <w:rFonts w:ascii="Symbol" w:hAnsi="Symbol"/>
          <w:w w:val="105"/>
          <w:sz w:val="24"/>
        </w:rPr>
        <w:t></w:t>
      </w:r>
      <w:r>
        <w:rPr>
          <w:w w:val="105"/>
          <w:sz w:val="24"/>
        </w:rPr>
        <w:t> </w:t>
      </w:r>
      <w:r>
        <w:rPr>
          <w:rFonts w:ascii="Arial" w:hAnsi="Arial"/>
          <w:i/>
          <w:w w:val="105"/>
          <w:sz w:val="24"/>
        </w:rPr>
        <w:t>wp</w:t>
      </w:r>
      <w:r>
        <w:rPr>
          <w:rFonts w:ascii="Arial" w:hAnsi="Arial"/>
          <w:w w:val="105"/>
          <w:sz w:val="24"/>
        </w:rPr>
        <w:t>;</w:t>
      </w:r>
    </w:p>
    <w:p>
      <w:pPr>
        <w:tabs>
          <w:tab w:pos="2394" w:val="left" w:leader="none"/>
        </w:tabs>
        <w:spacing w:line="234" w:lineRule="exact" w:before="0"/>
        <w:ind w:left="889" w:right="7378" w:firstLine="0"/>
        <w:jc w:val="left"/>
        <w:rPr>
          <w:rFonts w:ascii="Arial"/>
          <w:i/>
          <w:sz w:val="24"/>
        </w:rPr>
      </w:pPr>
      <w:r>
        <w:rPr>
          <w:rFonts w:ascii="Arial"/>
          <w:i/>
          <w:w w:val="105"/>
          <w:sz w:val="24"/>
        </w:rPr>
        <w:t>L</w:t>
        <w:tab/>
        <w:t>L</w:t>
      </w:r>
    </w:p>
    <w:p>
      <w:pPr>
        <w:pStyle w:val="BodyText"/>
        <w:spacing w:before="168"/>
        <w:ind w:left="821" w:right="7378"/>
      </w:pPr>
      <w:r>
        <w:rPr/>
        <w:t>Donde:</w:t>
      </w:r>
    </w:p>
    <w:p>
      <w:pPr>
        <w:pStyle w:val="BodyText"/>
        <w:spacing w:before="9"/>
        <w:rPr>
          <w:sz w:val="10"/>
        </w:rPr>
      </w:pPr>
    </w:p>
    <w:p>
      <w:pPr>
        <w:spacing w:line="168" w:lineRule="auto" w:before="141"/>
        <w:ind w:left="889" w:right="6338" w:hanging="38"/>
        <w:jc w:val="left"/>
        <w:rPr>
          <w:rFonts w:ascii="Arial" w:hAnsi="Arial"/>
          <w:i/>
          <w:sz w:val="23"/>
        </w:rPr>
      </w:pPr>
      <w:r>
        <w:rPr/>
        <w:pict>
          <v:line style="position:absolute;mso-position-horizontal-relative:page;mso-position-vertical-relative:paragraph;z-index:-45856" from="94.527626pt,19.3386pt" to="104.174388pt,19.3386pt" stroked="true" strokeweight=".137059pt" strokecolor="#000000">
            <w10:wrap type="none"/>
          </v:line>
        </w:pict>
      </w:r>
      <w:r>
        <w:rPr>
          <w:rFonts w:ascii="Arial" w:hAnsi="Arial"/>
          <w:i/>
          <w:w w:val="105"/>
          <w:position w:val="15"/>
          <w:sz w:val="23"/>
        </w:rPr>
        <w:t>Y </w:t>
      </w:r>
      <w:r>
        <w:rPr>
          <w:rFonts w:ascii="Symbol" w:hAnsi="Symbol"/>
          <w:w w:val="105"/>
          <w:sz w:val="23"/>
        </w:rPr>
        <w:t></w:t>
      </w:r>
      <w:r>
        <w:rPr>
          <w:w w:val="105"/>
          <w:sz w:val="23"/>
        </w:rPr>
        <w:t> </w:t>
      </w:r>
      <w:r>
        <w:rPr>
          <w:rFonts w:ascii="Arial" w:hAnsi="Arial"/>
          <w:i/>
          <w:w w:val="105"/>
          <w:sz w:val="23"/>
        </w:rPr>
        <w:t>Producto per cápita </w:t>
      </w:r>
      <w:r>
        <w:rPr>
          <w:rFonts w:ascii="Symbol" w:hAnsi="Symbol"/>
          <w:w w:val="105"/>
          <w:sz w:val="23"/>
        </w:rPr>
        <w:t></w:t>
      </w:r>
      <w:r>
        <w:rPr>
          <w:w w:val="105"/>
          <w:sz w:val="23"/>
        </w:rPr>
        <w:t> </w:t>
      </w:r>
      <w:r>
        <w:rPr>
          <w:rFonts w:ascii="Arial" w:hAnsi="Arial"/>
          <w:i/>
          <w:w w:val="105"/>
          <w:sz w:val="23"/>
        </w:rPr>
        <w:t>y </w:t>
      </w:r>
      <w:r>
        <w:rPr>
          <w:rFonts w:ascii="Arial" w:hAnsi="Arial"/>
          <w:i/>
          <w:w w:val="105"/>
          <w:sz w:val="23"/>
        </w:rPr>
        <w:t>L</w:t>
      </w:r>
    </w:p>
    <w:p>
      <w:pPr>
        <w:pStyle w:val="BodyText"/>
        <w:spacing w:before="7"/>
        <w:rPr>
          <w:rFonts w:ascii="Arial"/>
          <w:i/>
        </w:rPr>
      </w:pPr>
    </w:p>
    <w:p>
      <w:pPr>
        <w:spacing w:line="168" w:lineRule="auto" w:before="0"/>
        <w:ind w:left="901" w:right="7076" w:hanging="24"/>
        <w:jc w:val="left"/>
        <w:rPr>
          <w:rFonts w:ascii="Arial" w:hAnsi="Arial"/>
          <w:i/>
          <w:sz w:val="23"/>
        </w:rPr>
      </w:pPr>
      <w:r>
        <w:rPr/>
        <w:pict>
          <v:line style="position:absolute;mso-position-horizontal-relative:page;mso-position-vertical-relative:paragraph;z-index:-45832" from="94.890884pt,12.288625pt" to="106.207949pt,12.288625pt" stroked="true" strokeweight=".137059pt" strokecolor="#000000">
            <w10:wrap type="none"/>
          </v:line>
        </w:pict>
      </w:r>
      <w:r>
        <w:rPr>
          <w:rFonts w:ascii="Arial" w:hAnsi="Arial"/>
          <w:i/>
          <w:w w:val="120"/>
          <w:position w:val="15"/>
          <w:sz w:val="23"/>
        </w:rPr>
        <w:t>P </w:t>
      </w:r>
      <w:r>
        <w:rPr>
          <w:rFonts w:ascii="Symbol" w:hAnsi="Symbol"/>
          <w:w w:val="120"/>
          <w:sz w:val="23"/>
        </w:rPr>
        <w:t></w:t>
      </w:r>
      <w:r>
        <w:rPr>
          <w:w w:val="120"/>
          <w:sz w:val="23"/>
        </w:rPr>
        <w:t> </w:t>
      </w:r>
      <w:r>
        <w:rPr>
          <w:rFonts w:ascii="Arial" w:hAnsi="Arial"/>
          <w:i/>
          <w:w w:val="120"/>
          <w:sz w:val="23"/>
        </w:rPr>
        <w:t>Procampo</w:t>
      </w:r>
      <w:r>
        <w:rPr>
          <w:rFonts w:ascii="Symbol" w:hAnsi="Symbol"/>
          <w:w w:val="120"/>
          <w:sz w:val="23"/>
        </w:rPr>
        <w:t></w:t>
      </w:r>
      <w:r>
        <w:rPr>
          <w:w w:val="120"/>
          <w:sz w:val="23"/>
        </w:rPr>
        <w:t> </w:t>
      </w:r>
      <w:r>
        <w:rPr>
          <w:rFonts w:ascii="Arial" w:hAnsi="Arial"/>
          <w:i/>
          <w:w w:val="120"/>
          <w:sz w:val="23"/>
        </w:rPr>
        <w:t>p </w:t>
      </w:r>
      <w:r>
        <w:rPr>
          <w:rFonts w:ascii="Arial" w:hAnsi="Arial"/>
          <w:i/>
          <w:w w:val="120"/>
          <w:sz w:val="23"/>
        </w:rPr>
        <w:t>L</w:t>
      </w:r>
    </w:p>
    <w:p>
      <w:pPr>
        <w:pStyle w:val="BodyText"/>
        <w:spacing w:before="5"/>
        <w:rPr>
          <w:rFonts w:ascii="Arial"/>
          <w:i/>
          <w:sz w:val="11"/>
        </w:rPr>
      </w:pPr>
    </w:p>
    <w:p>
      <w:pPr>
        <w:pStyle w:val="BodyText"/>
        <w:spacing w:before="70"/>
        <w:ind w:left="821" w:right="110"/>
      </w:pPr>
      <w:r>
        <w:rPr/>
        <w:t>w, se calcula de la manera siguiente:</w:t>
      </w:r>
    </w:p>
    <w:p>
      <w:pPr>
        <w:pStyle w:val="Heading5"/>
        <w:spacing w:before="187"/>
        <w:ind w:left="3769" w:right="3059" w:firstLine="0"/>
        <w:jc w:val="center"/>
      </w:pPr>
      <w:r>
        <w:rPr/>
        <w:t>Tabla 27.6</w:t>
      </w:r>
    </w:p>
    <w:p>
      <w:pPr>
        <w:pStyle w:val="BodyText"/>
        <w:spacing w:before="1"/>
        <w:rPr>
          <w:b/>
          <w:sz w:val="16"/>
        </w:rPr>
      </w:pPr>
    </w:p>
    <w:tbl>
      <w:tblPr>
        <w:tblW w:w="0" w:type="auto"/>
        <w:jc w:val="left"/>
        <w:tblInd w:w="2753"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838"/>
        <w:gridCol w:w="1786"/>
        <w:gridCol w:w="2059"/>
      </w:tblGrid>
      <w:tr>
        <w:trPr>
          <w:trHeight w:val="766" w:hRule="exact"/>
        </w:trPr>
        <w:tc>
          <w:tcPr>
            <w:tcW w:w="838" w:type="dxa"/>
          </w:tcPr>
          <w:p>
            <w:pPr/>
          </w:p>
        </w:tc>
        <w:tc>
          <w:tcPr>
            <w:tcW w:w="1786" w:type="dxa"/>
          </w:tcPr>
          <w:p>
            <w:pPr>
              <w:pStyle w:val="TableParagraph"/>
              <w:tabs>
                <w:tab w:pos="1444" w:val="left" w:leader="none"/>
              </w:tabs>
              <w:spacing w:line="256" w:lineRule="auto"/>
              <w:ind w:right="103"/>
              <w:rPr>
                <w:i/>
                <w:sz w:val="24"/>
              </w:rPr>
            </w:pPr>
            <w:r>
              <w:rPr>
                <w:i/>
                <w:sz w:val="24"/>
              </w:rPr>
              <w:t>Diferencia</w:t>
              <w:tab/>
              <w:t>de </w:t>
            </w:r>
            <w:r>
              <w:rPr>
                <w:i/>
                <w:sz w:val="24"/>
              </w:rPr>
              <w:t>Y/L</w:t>
            </w:r>
          </w:p>
        </w:tc>
        <w:tc>
          <w:tcPr>
            <w:tcW w:w="2059" w:type="dxa"/>
          </w:tcPr>
          <w:p>
            <w:pPr>
              <w:pStyle w:val="TableParagraph"/>
              <w:rPr>
                <w:i/>
                <w:sz w:val="24"/>
              </w:rPr>
            </w:pPr>
            <w:r>
              <w:rPr>
                <w:i/>
                <w:sz w:val="24"/>
              </w:rPr>
              <w:t>Diferencia de P/L</w:t>
            </w:r>
          </w:p>
        </w:tc>
      </w:tr>
      <w:tr>
        <w:trPr>
          <w:trHeight w:val="468" w:hRule="exact"/>
        </w:trPr>
        <w:tc>
          <w:tcPr>
            <w:tcW w:w="838" w:type="dxa"/>
          </w:tcPr>
          <w:p>
            <w:pPr>
              <w:pStyle w:val="TableParagraph"/>
              <w:ind w:left="106"/>
              <w:rPr>
                <w:sz w:val="24"/>
              </w:rPr>
            </w:pPr>
            <w:r>
              <w:rPr>
                <w:sz w:val="24"/>
              </w:rPr>
              <w:t>Alto</w:t>
            </w:r>
          </w:p>
        </w:tc>
        <w:tc>
          <w:tcPr>
            <w:tcW w:w="1786" w:type="dxa"/>
          </w:tcPr>
          <w:p>
            <w:pPr>
              <w:pStyle w:val="TableParagraph"/>
              <w:rPr>
                <w:sz w:val="24"/>
              </w:rPr>
            </w:pPr>
            <w:r>
              <w:rPr>
                <w:sz w:val="24"/>
              </w:rPr>
              <w:t>38.38</w:t>
            </w:r>
          </w:p>
        </w:tc>
        <w:tc>
          <w:tcPr>
            <w:tcW w:w="2059" w:type="dxa"/>
          </w:tcPr>
          <w:p>
            <w:pPr>
              <w:pStyle w:val="TableParagraph"/>
              <w:rPr>
                <w:sz w:val="24"/>
              </w:rPr>
            </w:pPr>
            <w:r>
              <w:rPr>
                <w:sz w:val="24"/>
              </w:rPr>
              <w:t>2.17</w:t>
            </w:r>
          </w:p>
        </w:tc>
      </w:tr>
      <w:tr>
        <w:trPr>
          <w:trHeight w:val="468" w:hRule="exact"/>
        </w:trPr>
        <w:tc>
          <w:tcPr>
            <w:tcW w:w="838" w:type="dxa"/>
          </w:tcPr>
          <w:p>
            <w:pPr>
              <w:pStyle w:val="TableParagraph"/>
              <w:ind w:left="106"/>
              <w:rPr>
                <w:sz w:val="24"/>
              </w:rPr>
            </w:pPr>
            <w:r>
              <w:rPr>
                <w:sz w:val="24"/>
              </w:rPr>
              <w:t>Bajo</w:t>
            </w:r>
          </w:p>
        </w:tc>
        <w:tc>
          <w:tcPr>
            <w:tcW w:w="1786" w:type="dxa"/>
          </w:tcPr>
          <w:p>
            <w:pPr>
              <w:pStyle w:val="TableParagraph"/>
              <w:rPr>
                <w:sz w:val="24"/>
              </w:rPr>
            </w:pPr>
            <w:r>
              <w:rPr>
                <w:sz w:val="24"/>
              </w:rPr>
              <w:t>34.66</w:t>
            </w:r>
          </w:p>
        </w:tc>
        <w:tc>
          <w:tcPr>
            <w:tcW w:w="2059" w:type="dxa"/>
          </w:tcPr>
          <w:p>
            <w:pPr>
              <w:pStyle w:val="TableParagraph"/>
              <w:rPr>
                <w:sz w:val="24"/>
              </w:rPr>
            </w:pPr>
            <w:r>
              <w:rPr>
                <w:sz w:val="24"/>
              </w:rPr>
              <w:t>1.66</w:t>
            </w:r>
          </w:p>
        </w:tc>
      </w:tr>
      <w:tr>
        <w:trPr>
          <w:trHeight w:val="468" w:hRule="exact"/>
        </w:trPr>
        <w:tc>
          <w:tcPr>
            <w:tcW w:w="838" w:type="dxa"/>
          </w:tcPr>
          <w:p>
            <w:pPr/>
          </w:p>
        </w:tc>
        <w:tc>
          <w:tcPr>
            <w:tcW w:w="1786" w:type="dxa"/>
          </w:tcPr>
          <w:p>
            <w:pPr>
              <w:pStyle w:val="TableParagraph"/>
              <w:rPr>
                <w:sz w:val="24"/>
              </w:rPr>
            </w:pPr>
            <w:r>
              <w:rPr>
                <w:sz w:val="24"/>
              </w:rPr>
              <w:t>3.72</w:t>
            </w:r>
          </w:p>
        </w:tc>
        <w:tc>
          <w:tcPr>
            <w:tcW w:w="2059" w:type="dxa"/>
          </w:tcPr>
          <w:p>
            <w:pPr>
              <w:pStyle w:val="TableParagraph"/>
              <w:rPr>
                <w:sz w:val="24"/>
              </w:rPr>
            </w:pPr>
            <w:r>
              <w:rPr>
                <w:sz w:val="24"/>
              </w:rPr>
              <w:t>0.51</w:t>
            </w:r>
          </w:p>
        </w:tc>
      </w:tr>
    </w:tbl>
    <w:p>
      <w:pPr>
        <w:pStyle w:val="BodyText"/>
        <w:rPr>
          <w:b/>
          <w:sz w:val="20"/>
        </w:rPr>
      </w:pPr>
    </w:p>
    <w:p>
      <w:pPr>
        <w:spacing w:line="396" w:lineRule="exact" w:before="245"/>
        <w:ind w:left="840" w:right="110" w:firstLine="0"/>
        <w:jc w:val="left"/>
        <w:rPr>
          <w:rFonts w:ascii="Arial" w:hAnsi="Arial"/>
          <w:sz w:val="24"/>
        </w:rPr>
      </w:pPr>
      <w:r>
        <w:rPr/>
        <w:pict>
          <v:line style="position:absolute;mso-position-horizontal-relative:page;mso-position-vertical-relative:paragraph;z-index:-45808" from="183.179321pt,28.870941pt" to="208.494372pt,28.870941pt" stroked="true" strokeweight=".136373pt" strokecolor="#000000">
            <w10:wrap type="none"/>
          </v:line>
        </w:pict>
      </w:r>
      <w:r>
        <w:rPr>
          <w:rFonts w:ascii="Arial" w:hAnsi="Arial"/>
          <w:i/>
          <w:w w:val="110"/>
          <w:sz w:val="24"/>
        </w:rPr>
        <w:t>Coeficiente w </w:t>
      </w:r>
      <w:r>
        <w:rPr>
          <w:rFonts w:ascii="Symbol" w:hAnsi="Symbol"/>
          <w:w w:val="110"/>
          <w:sz w:val="24"/>
        </w:rPr>
        <w:t></w:t>
      </w:r>
      <w:r>
        <w:rPr>
          <w:w w:val="110"/>
          <w:sz w:val="24"/>
        </w:rPr>
        <w:t> </w:t>
      </w:r>
      <w:r>
        <w:rPr>
          <w:rFonts w:ascii="Arial" w:hAnsi="Arial"/>
          <w:w w:val="110"/>
          <w:position w:val="16"/>
          <w:sz w:val="24"/>
        </w:rPr>
        <w:t>3.72 </w:t>
      </w:r>
      <w:r>
        <w:rPr>
          <w:rFonts w:ascii="Symbol" w:hAnsi="Symbol"/>
          <w:w w:val="110"/>
          <w:sz w:val="24"/>
        </w:rPr>
        <w:t></w:t>
      </w:r>
      <w:r>
        <w:rPr>
          <w:w w:val="110"/>
          <w:sz w:val="24"/>
        </w:rPr>
        <w:t> </w:t>
      </w:r>
      <w:r>
        <w:rPr>
          <w:rFonts w:ascii="Arial" w:hAnsi="Arial"/>
          <w:w w:val="110"/>
          <w:sz w:val="24"/>
        </w:rPr>
        <w:t>7.29</w:t>
      </w:r>
    </w:p>
    <w:p>
      <w:pPr>
        <w:pStyle w:val="BodyText"/>
        <w:spacing w:line="234" w:lineRule="exact"/>
        <w:ind w:left="2659" w:right="6551"/>
        <w:rPr>
          <w:rFonts w:ascii="Arial"/>
        </w:rPr>
      </w:pPr>
      <w:r>
        <w:rPr>
          <w:rFonts w:ascii="Arial"/>
          <w:w w:val="110"/>
        </w:rPr>
        <w:t>0.51</w:t>
      </w:r>
    </w:p>
    <w:p>
      <w:pPr>
        <w:pStyle w:val="BodyText"/>
        <w:spacing w:before="10"/>
        <w:rPr>
          <w:rFonts w:ascii="Arial"/>
          <w:sz w:val="8"/>
        </w:rPr>
      </w:pPr>
    </w:p>
    <w:p>
      <w:pPr>
        <w:pStyle w:val="BodyText"/>
        <w:spacing w:before="69"/>
        <w:ind w:left="821" w:right="7378"/>
      </w:pPr>
      <w:r>
        <w:rPr/>
        <w:t>Alto</w:t>
      </w:r>
    </w:p>
    <w:p>
      <w:pPr>
        <w:pStyle w:val="Heading4"/>
        <w:spacing w:before="166"/>
        <w:ind w:right="110"/>
      </w:pPr>
      <w:r>
        <w:rPr>
          <w:i/>
          <w:w w:val="105"/>
        </w:rPr>
        <w:t>g </w:t>
      </w:r>
      <w:r>
        <w:rPr>
          <w:rFonts w:ascii="Symbol" w:hAnsi="Symbol"/>
          <w:w w:val="105"/>
        </w:rPr>
        <w:t></w:t>
      </w:r>
      <w:r>
        <w:rPr>
          <w:rFonts w:ascii="Times New Roman" w:hAnsi="Times New Roman"/>
          <w:w w:val="105"/>
        </w:rPr>
        <w:t> </w:t>
      </w:r>
      <w:r>
        <w:rPr>
          <w:w w:val="105"/>
        </w:rPr>
        <w:t>38.38 </w:t>
      </w:r>
      <w:r>
        <w:rPr>
          <w:rFonts w:ascii="Symbol" w:hAnsi="Symbol"/>
          <w:w w:val="105"/>
        </w:rPr>
        <w:t></w:t>
      </w:r>
      <w:r>
        <w:rPr>
          <w:rFonts w:ascii="Times New Roman" w:hAnsi="Times New Roman"/>
          <w:w w:val="105"/>
        </w:rPr>
        <w:t> </w:t>
      </w:r>
      <w:r>
        <w:rPr>
          <w:w w:val="105"/>
        </w:rPr>
        <w:t>7.29(2.17) </w:t>
      </w:r>
      <w:r>
        <w:rPr>
          <w:rFonts w:ascii="Symbol" w:hAnsi="Symbol"/>
          <w:w w:val="105"/>
        </w:rPr>
        <w:t></w:t>
      </w:r>
      <w:r>
        <w:rPr>
          <w:rFonts w:ascii="Times New Roman" w:hAnsi="Times New Roman"/>
          <w:w w:val="105"/>
        </w:rPr>
        <w:t> </w:t>
      </w:r>
      <w:r>
        <w:rPr>
          <w:w w:val="105"/>
        </w:rPr>
        <w:t>22.56</w:t>
      </w:r>
    </w:p>
    <w:p>
      <w:pPr>
        <w:pStyle w:val="BodyText"/>
        <w:spacing w:before="2"/>
        <w:rPr>
          <w:rFonts w:ascii="Arial"/>
          <w:sz w:val="13"/>
        </w:rPr>
      </w:pPr>
    </w:p>
    <w:p>
      <w:pPr>
        <w:pStyle w:val="BodyText"/>
        <w:spacing w:before="69"/>
        <w:ind w:left="821" w:right="7378"/>
      </w:pPr>
      <w:r>
        <w:rPr/>
        <w:t>Bajo</w:t>
      </w:r>
    </w:p>
    <w:p>
      <w:pPr>
        <w:pStyle w:val="Heading4"/>
        <w:spacing w:before="166"/>
        <w:ind w:right="110"/>
      </w:pPr>
      <w:r>
        <w:rPr>
          <w:i/>
          <w:w w:val="105"/>
        </w:rPr>
        <w:t>g </w:t>
      </w:r>
      <w:r>
        <w:rPr>
          <w:rFonts w:ascii="Symbol" w:hAnsi="Symbol"/>
          <w:w w:val="105"/>
        </w:rPr>
        <w:t></w:t>
      </w:r>
      <w:r>
        <w:rPr>
          <w:rFonts w:ascii="Times New Roman" w:hAnsi="Times New Roman"/>
          <w:w w:val="105"/>
        </w:rPr>
        <w:t> </w:t>
      </w:r>
      <w:r>
        <w:rPr>
          <w:w w:val="105"/>
        </w:rPr>
        <w:t>34.66 </w:t>
      </w:r>
      <w:r>
        <w:rPr>
          <w:rFonts w:ascii="Symbol" w:hAnsi="Symbol"/>
          <w:w w:val="105"/>
        </w:rPr>
        <w:t></w:t>
      </w:r>
      <w:r>
        <w:rPr>
          <w:rFonts w:ascii="Times New Roman" w:hAnsi="Times New Roman"/>
          <w:w w:val="105"/>
        </w:rPr>
        <w:t> </w:t>
      </w:r>
      <w:r>
        <w:rPr>
          <w:w w:val="105"/>
        </w:rPr>
        <w:t>7.29(1.66) </w:t>
      </w:r>
      <w:r>
        <w:rPr>
          <w:rFonts w:ascii="Symbol" w:hAnsi="Symbol"/>
          <w:w w:val="105"/>
        </w:rPr>
        <w:t></w:t>
      </w:r>
      <w:r>
        <w:rPr>
          <w:rFonts w:ascii="Times New Roman" w:hAnsi="Times New Roman"/>
          <w:w w:val="105"/>
        </w:rPr>
        <w:t> </w:t>
      </w:r>
      <w:r>
        <w:rPr>
          <w:w w:val="105"/>
        </w:rPr>
        <w:t>22.56</w:t>
      </w:r>
    </w:p>
    <w:p>
      <w:pPr>
        <w:pStyle w:val="BodyText"/>
        <w:spacing w:before="1"/>
        <w:rPr>
          <w:rFonts w:ascii="Arial"/>
          <w:sz w:val="13"/>
        </w:rPr>
      </w:pPr>
    </w:p>
    <w:p>
      <w:pPr>
        <w:pStyle w:val="BodyText"/>
        <w:spacing w:before="70"/>
        <w:ind w:left="821" w:right="7378"/>
      </w:pPr>
      <w:r>
        <w:rPr/>
        <w:t>Resultado</w:t>
      </w:r>
    </w:p>
    <w:p>
      <w:pPr>
        <w:spacing w:after="0"/>
        <w:sectPr>
          <w:pgSz w:w="12240" w:h="15840"/>
          <w:pgMar w:header="731" w:footer="0" w:top="960" w:bottom="280" w:left="1020" w:right="1020"/>
        </w:sectPr>
      </w:pPr>
    </w:p>
    <w:p>
      <w:pPr>
        <w:pStyle w:val="Heading4"/>
        <w:spacing w:before="140"/>
        <w:ind w:left="155" w:right="7378"/>
      </w:pPr>
      <w:r>
        <w:rPr>
          <w:i/>
          <w:w w:val="105"/>
        </w:rPr>
        <w:t>y </w:t>
      </w:r>
      <w:r>
        <w:rPr>
          <w:rFonts w:ascii="Symbol" w:hAnsi="Symbol"/>
          <w:w w:val="105"/>
        </w:rPr>
        <w:t></w:t>
      </w:r>
      <w:r>
        <w:rPr>
          <w:rFonts w:ascii="Times New Roman" w:hAnsi="Times New Roman"/>
          <w:w w:val="105"/>
        </w:rPr>
        <w:t> </w:t>
      </w:r>
      <w:r>
        <w:rPr>
          <w:w w:val="105"/>
        </w:rPr>
        <w:t>22.56 </w:t>
      </w:r>
      <w:r>
        <w:rPr>
          <w:rFonts w:ascii="Symbol" w:hAnsi="Symbol"/>
          <w:w w:val="105"/>
        </w:rPr>
        <w:t></w:t>
      </w:r>
      <w:r>
        <w:rPr>
          <w:rFonts w:ascii="Times New Roman" w:hAnsi="Times New Roman"/>
          <w:w w:val="105"/>
        </w:rPr>
        <w:t> </w:t>
      </w:r>
      <w:r>
        <w:rPr>
          <w:w w:val="105"/>
        </w:rPr>
        <w:t>7.29(</w:t>
      </w:r>
      <w:r>
        <w:rPr>
          <w:i/>
          <w:w w:val="105"/>
        </w:rPr>
        <w:t>p</w:t>
      </w:r>
      <w:r>
        <w:rPr>
          <w:w w:val="105"/>
        </w:rPr>
        <w:t>)</w:t>
      </w:r>
    </w:p>
    <w:p>
      <w:pPr>
        <w:pStyle w:val="BodyText"/>
        <w:spacing w:before="2"/>
        <w:rPr>
          <w:rFonts w:ascii="Arial"/>
          <w:sz w:val="13"/>
        </w:rPr>
      </w:pPr>
    </w:p>
    <w:p>
      <w:pPr>
        <w:pStyle w:val="BodyText"/>
        <w:spacing w:before="69"/>
        <w:ind w:left="821" w:right="110"/>
      </w:pPr>
      <w:r>
        <w:rPr/>
        <w:t>Elasticidad (con valores del último año):</w:t>
      </w:r>
    </w:p>
    <w:p>
      <w:pPr>
        <w:pStyle w:val="BodyText"/>
        <w:spacing w:before="10"/>
        <w:rPr>
          <w:sz w:val="11"/>
        </w:rPr>
      </w:pPr>
    </w:p>
    <w:p>
      <w:pPr>
        <w:spacing w:after="0"/>
        <w:rPr>
          <w:sz w:val="11"/>
        </w:rPr>
        <w:sectPr>
          <w:pgSz w:w="12240" w:h="15840"/>
          <w:pgMar w:header="731" w:footer="0" w:top="960" w:bottom="280" w:left="1020" w:right="1020"/>
        </w:sectPr>
      </w:pPr>
    </w:p>
    <w:p>
      <w:pPr>
        <w:tabs>
          <w:tab w:pos="603" w:val="left" w:leader="none"/>
        </w:tabs>
        <w:spacing w:line="333" w:lineRule="exact" w:before="57"/>
        <w:ind w:left="143" w:right="0" w:firstLine="0"/>
        <w:jc w:val="left"/>
        <w:rPr>
          <w:rFonts w:ascii="Symbol" w:hAnsi="Symbol"/>
          <w:sz w:val="24"/>
        </w:rPr>
      </w:pPr>
      <w:r>
        <w:rPr>
          <w:rFonts w:ascii="Arial" w:hAnsi="Arial"/>
          <w:i/>
          <w:w w:val="105"/>
          <w:position w:val="-3"/>
          <w:sz w:val="26"/>
        </w:rPr>
        <w:t>e</w:t>
        <w:tab/>
      </w:r>
      <w:r>
        <w:rPr>
          <w:rFonts w:ascii="Symbol" w:hAnsi="Symbol"/>
          <w:w w:val="105"/>
          <w:sz w:val="24"/>
        </w:rPr>
        <w:t></w:t>
      </w:r>
      <w:r>
        <w:rPr>
          <w:w w:val="105"/>
          <w:sz w:val="24"/>
        </w:rPr>
        <w:t> </w:t>
      </w:r>
      <w:r>
        <w:rPr>
          <w:rFonts w:ascii="Symbol" w:hAnsi="Symbol"/>
          <w:spacing w:val="-3"/>
          <w:w w:val="105"/>
          <w:position w:val="15"/>
          <w:sz w:val="24"/>
        </w:rPr>
        <w:t></w:t>
      </w:r>
      <w:r>
        <w:rPr>
          <w:rFonts w:ascii="Arial" w:hAnsi="Arial"/>
          <w:i/>
          <w:spacing w:val="-3"/>
          <w:w w:val="105"/>
          <w:position w:val="15"/>
          <w:sz w:val="24"/>
        </w:rPr>
        <w:t>y </w:t>
      </w:r>
      <w:r>
        <w:rPr>
          <w:rFonts w:ascii="Symbol" w:hAnsi="Symbol"/>
          <w:w w:val="105"/>
          <w:sz w:val="24"/>
        </w:rPr>
        <w:t></w:t>
      </w:r>
      <w:r>
        <w:rPr>
          <w:w w:val="105"/>
          <w:sz w:val="24"/>
        </w:rPr>
        <w:t> </w:t>
      </w:r>
      <w:r>
        <w:rPr>
          <w:rFonts w:ascii="Arial" w:hAnsi="Arial"/>
          <w:i/>
          <w:w w:val="105"/>
          <w:position w:val="15"/>
          <w:sz w:val="24"/>
        </w:rPr>
        <w:t>p </w:t>
      </w:r>
      <w:r>
        <w:rPr>
          <w:rFonts w:ascii="Symbol" w:hAnsi="Symbol"/>
          <w:w w:val="105"/>
          <w:sz w:val="24"/>
        </w:rPr>
        <w:t></w:t>
      </w:r>
      <w:r>
        <w:rPr>
          <w:spacing w:val="29"/>
          <w:w w:val="105"/>
          <w:sz w:val="24"/>
        </w:rPr>
        <w:t> </w:t>
      </w:r>
      <w:r>
        <w:rPr>
          <w:rFonts w:ascii="Arial" w:hAnsi="Arial"/>
          <w:w w:val="105"/>
          <w:sz w:val="24"/>
        </w:rPr>
        <w:t>7.26 </w:t>
      </w:r>
      <w:r>
        <w:rPr>
          <w:rFonts w:ascii="Symbol" w:hAnsi="Symbol"/>
          <w:w w:val="105"/>
          <w:sz w:val="24"/>
        </w:rPr>
        <w:t></w:t>
      </w:r>
    </w:p>
    <w:p>
      <w:pPr>
        <w:spacing w:before="71"/>
        <w:ind w:left="143" w:right="-19" w:firstLine="0"/>
        <w:jc w:val="left"/>
        <w:rPr>
          <w:rFonts w:ascii="Arial"/>
          <w:sz w:val="24"/>
        </w:rPr>
      </w:pPr>
      <w:r>
        <w:rPr/>
        <w:br w:type="column"/>
      </w:r>
      <w:r>
        <w:rPr>
          <w:rFonts w:ascii="Arial"/>
          <w:w w:val="105"/>
          <w:sz w:val="24"/>
        </w:rPr>
        <w:t>2.0</w:t>
      </w:r>
    </w:p>
    <w:p>
      <w:pPr>
        <w:pStyle w:val="BodyText"/>
        <w:spacing w:line="183" w:lineRule="exact" w:before="207"/>
        <w:ind w:left="143"/>
        <w:rPr>
          <w:rFonts w:ascii="Arial" w:hAnsi="Arial"/>
        </w:rPr>
      </w:pPr>
      <w:r>
        <w:rPr/>
        <w:br w:type="column"/>
      </w:r>
      <w:r>
        <w:rPr>
          <w:rFonts w:ascii="Symbol" w:hAnsi="Symbol"/>
          <w:w w:val="105"/>
        </w:rPr>
        <w:t></w:t>
      </w:r>
      <w:r>
        <w:rPr>
          <w:w w:val="105"/>
        </w:rPr>
        <w:t> </w:t>
      </w:r>
      <w:r>
        <w:rPr>
          <w:rFonts w:ascii="Arial" w:hAnsi="Arial"/>
          <w:w w:val="105"/>
        </w:rPr>
        <w:t>0.3799</w:t>
      </w:r>
    </w:p>
    <w:p>
      <w:pPr>
        <w:spacing w:after="0" w:line="183" w:lineRule="exact"/>
        <w:rPr>
          <w:rFonts w:ascii="Arial" w:hAnsi="Arial"/>
        </w:rPr>
        <w:sectPr>
          <w:type w:val="continuous"/>
          <w:pgSz w:w="12240" w:h="15840"/>
          <w:pgMar w:top="0" w:bottom="0" w:left="1020" w:right="1020"/>
          <w:cols w:num="3" w:equalWidth="0">
            <w:col w:w="2461" w:space="51"/>
            <w:col w:w="495" w:space="82"/>
            <w:col w:w="7111"/>
          </w:cols>
        </w:sectPr>
      </w:pPr>
    </w:p>
    <w:p>
      <w:pPr>
        <w:spacing w:line="142" w:lineRule="exact" w:before="0"/>
        <w:ind w:left="308" w:right="-18" w:firstLine="0"/>
        <w:jc w:val="left"/>
        <w:rPr>
          <w:rFonts w:ascii="Arial"/>
          <w:i/>
          <w:sz w:val="14"/>
        </w:rPr>
      </w:pPr>
      <w:r>
        <w:rPr/>
        <w:pict>
          <v:line style="position:absolute;mso-position-horizontal-relative:page;mso-position-vertical-relative:paragraph;z-index:-45736" from="118.271194pt,.354746pt" to="127.361942pt,.354746pt" stroked="true" strokeweight=".135752pt" strokecolor="#000000">
            <w10:wrap type="none"/>
          </v:line>
        </w:pict>
      </w:r>
      <w:r>
        <w:rPr>
          <w:rFonts w:ascii="Arial"/>
          <w:i/>
          <w:w w:val="105"/>
          <w:sz w:val="14"/>
        </w:rPr>
        <w:t>y</w:t>
      </w:r>
      <w:r>
        <w:rPr>
          <w:rFonts w:ascii="Arial"/>
          <w:i/>
          <w:spacing w:val="-26"/>
          <w:w w:val="105"/>
          <w:sz w:val="14"/>
        </w:rPr>
        <w:t> </w:t>
      </w:r>
      <w:r>
        <w:rPr>
          <w:rFonts w:ascii="Arial"/>
          <w:spacing w:val="4"/>
          <w:w w:val="105"/>
          <w:sz w:val="14"/>
        </w:rPr>
        <w:t>,</w:t>
      </w:r>
      <w:r>
        <w:rPr>
          <w:rFonts w:ascii="Arial"/>
          <w:i/>
          <w:spacing w:val="4"/>
          <w:w w:val="105"/>
          <w:sz w:val="14"/>
        </w:rPr>
        <w:t>p</w:t>
      </w:r>
    </w:p>
    <w:p>
      <w:pPr>
        <w:pStyle w:val="BodyText"/>
        <w:spacing w:line="20" w:lineRule="exact"/>
        <w:ind w:left="254"/>
        <w:rPr>
          <w:rFonts w:ascii="Arial"/>
          <w:sz w:val="2"/>
        </w:rPr>
      </w:pPr>
      <w:r>
        <w:rPr/>
        <w:br w:type="column"/>
      </w:r>
      <w:r>
        <w:rPr>
          <w:rFonts w:ascii="Arial"/>
          <w:sz w:val="2"/>
        </w:rPr>
        <w:pict>
          <v:group style="width:14.85pt;height:.15pt;mso-position-horizontal-relative:char;mso-position-vertical-relative:line" coordorigin="0,0" coordsize="297,3">
            <v:line style="position:absolute" from="2,2" to="295,2" stroked="true" strokeweight=".135752pt" strokecolor="#000000"/>
          </v:group>
        </w:pict>
      </w:r>
      <w:r>
        <w:rPr>
          <w:rFonts w:ascii="Arial"/>
          <w:sz w:val="2"/>
        </w:rPr>
      </w:r>
    </w:p>
    <w:p>
      <w:pPr>
        <w:tabs>
          <w:tab w:pos="788" w:val="left" w:leader="none"/>
        </w:tabs>
        <w:spacing w:before="0"/>
        <w:ind w:left="263" w:right="0" w:firstLine="0"/>
        <w:jc w:val="left"/>
        <w:rPr>
          <w:rFonts w:ascii="Arial" w:hAnsi="Arial"/>
          <w:i/>
          <w:sz w:val="24"/>
        </w:rPr>
      </w:pPr>
      <w:r>
        <w:rPr>
          <w:rFonts w:ascii="Symbol" w:hAnsi="Symbol"/>
          <w:spacing w:val="-3"/>
          <w:w w:val="105"/>
          <w:sz w:val="24"/>
        </w:rPr>
        <w:t></w:t>
      </w:r>
      <w:r>
        <w:rPr>
          <w:rFonts w:ascii="Arial" w:hAnsi="Arial"/>
          <w:i/>
          <w:spacing w:val="-3"/>
          <w:w w:val="105"/>
          <w:sz w:val="24"/>
        </w:rPr>
        <w:t>p</w:t>
        <w:tab/>
      </w:r>
      <w:r>
        <w:rPr>
          <w:rFonts w:ascii="Arial" w:hAnsi="Arial"/>
          <w:i/>
          <w:w w:val="105"/>
          <w:sz w:val="24"/>
        </w:rPr>
        <w:t>y</w:t>
      </w:r>
    </w:p>
    <w:p>
      <w:pPr>
        <w:pStyle w:val="BodyText"/>
        <w:spacing w:line="20" w:lineRule="exact"/>
        <w:ind w:left="306"/>
        <w:rPr>
          <w:rFonts w:ascii="Arial"/>
          <w:sz w:val="2"/>
        </w:rPr>
      </w:pPr>
      <w:r>
        <w:rPr/>
        <w:br w:type="column"/>
      </w:r>
      <w:r>
        <w:rPr>
          <w:rFonts w:ascii="Arial"/>
          <w:sz w:val="2"/>
        </w:rPr>
        <w:pict>
          <v:group style="width:32.6pt;height:.15pt;mso-position-horizontal-relative:char;mso-position-vertical-relative:line" coordorigin="0,0" coordsize="652,3">
            <v:line style="position:absolute" from="2,2" to="650,2" stroked="true" strokeweight=".135752pt" strokecolor="#000000"/>
          </v:group>
        </w:pict>
      </w:r>
      <w:r>
        <w:rPr>
          <w:rFonts w:ascii="Arial"/>
          <w:sz w:val="2"/>
        </w:rPr>
      </w:r>
    </w:p>
    <w:p>
      <w:pPr>
        <w:pStyle w:val="BodyText"/>
        <w:spacing w:before="1"/>
        <w:ind w:left="308"/>
        <w:rPr>
          <w:rFonts w:ascii="Arial"/>
        </w:rPr>
      </w:pPr>
      <w:r>
        <w:rPr>
          <w:rFonts w:ascii="Arial"/>
          <w:w w:val="105"/>
        </w:rPr>
        <w:t>38.38</w:t>
      </w:r>
    </w:p>
    <w:p>
      <w:pPr>
        <w:spacing w:after="0"/>
        <w:rPr>
          <w:rFonts w:ascii="Arial"/>
        </w:rPr>
        <w:sectPr>
          <w:type w:val="continuous"/>
          <w:pgSz w:w="12240" w:h="15840"/>
          <w:pgMar w:top="0" w:bottom="0" w:left="1020" w:right="1020"/>
          <w:cols w:num="3" w:equalWidth="0">
            <w:col w:w="529" w:space="40"/>
            <w:col w:w="916" w:space="719"/>
            <w:col w:w="7996"/>
          </w:cols>
        </w:sectPr>
      </w:pPr>
    </w:p>
    <w:p>
      <w:pPr>
        <w:pStyle w:val="BodyText"/>
        <w:spacing w:before="8"/>
        <w:rPr>
          <w:rFonts w:ascii="Arial"/>
          <w:sz w:val="12"/>
        </w:rPr>
      </w:pPr>
    </w:p>
    <w:p>
      <w:pPr>
        <w:pStyle w:val="BodyText"/>
        <w:spacing w:line="259" w:lineRule="auto" w:before="69"/>
        <w:ind w:left="112" w:right="113" w:firstLine="708"/>
        <w:jc w:val="both"/>
      </w:pPr>
      <w:r>
        <w:rPr/>
        <w:t>Si el PROCAMPO per cápita aumenta en 1%, el producto per cápita aumentará en 0.38%. En el capítulo primero se usaron las matrices de multiplicador y ecuaciones simultáneas, el multiplicador de impacto del PROCAMPO en el producto fue de 0.21%. Con el método de altos y bajos, la elasticidad  es de</w:t>
      </w:r>
      <w:r>
        <w:rPr>
          <w:spacing w:val="-4"/>
        </w:rPr>
        <w:t> </w:t>
      </w:r>
      <w:r>
        <w:rPr/>
        <w:t>0.38%.</w:t>
      </w:r>
    </w:p>
    <w:p>
      <w:pPr>
        <w:pStyle w:val="BodyText"/>
        <w:spacing w:line="256" w:lineRule="auto" w:before="163"/>
        <w:ind w:left="112" w:right="116" w:firstLine="708"/>
        <w:jc w:val="both"/>
      </w:pPr>
      <w:r>
        <w:rPr/>
        <w:t>Se puede observar los resultados para cada entidad federativa y en el Anexo 1 se muestran los datos de g y w.</w:t>
      </w:r>
    </w:p>
    <w:p>
      <w:pPr>
        <w:pStyle w:val="BodyText"/>
        <w:spacing w:line="259" w:lineRule="auto" w:before="167"/>
        <w:ind w:left="112" w:right="114" w:firstLine="708"/>
        <w:jc w:val="both"/>
      </w:pPr>
      <w:r>
        <w:rPr/>
        <w:t>Se puede observar que el PROCAMPO tiene un menor impacto en el producto per cápita en los estados que forman el grupo IV, los estados con menor producto per cápita. Esto se puede interpretar como los estados donde el PROCAMPO se usa más para gasto (como consumo familiar), que para mejorar la unidad productiva.</w:t>
      </w:r>
    </w:p>
    <w:p>
      <w:pPr>
        <w:pStyle w:val="BodyText"/>
        <w:spacing w:line="259" w:lineRule="auto" w:before="163"/>
        <w:ind w:left="112" w:right="116" w:firstLine="708"/>
        <w:jc w:val="both"/>
      </w:pPr>
      <w:r>
        <w:rPr/>
        <w:t>Es interesante observar los promedios simples por grupo, la elasticidad, la conversión  productiva y el rendimiento parecen estar relacionados. Si a los estados del grupo IV, se agrega Campeche y Quintana Roo, la elasticidad de estos en promedio es 0.78. Aún así, es menor al resto de los</w:t>
      </w:r>
      <w:r>
        <w:rPr>
          <w:spacing w:val="-4"/>
        </w:rPr>
        <w:t> </w:t>
      </w:r>
      <w:r>
        <w:rPr/>
        <w:t>grupos.</w:t>
      </w:r>
    </w:p>
    <w:p>
      <w:pPr>
        <w:pStyle w:val="BodyText"/>
        <w:spacing w:line="256" w:lineRule="auto" w:before="163"/>
        <w:ind w:left="112" w:right="113" w:firstLine="708"/>
        <w:jc w:val="both"/>
      </w:pPr>
      <w:r>
        <w:rPr/>
        <w:t>Es interesante observar que los estados ubicados en los grupos intermedios, tienen una elasticidad más que proporcional. Esto puede indicar que en esos estados los recursos del PROCAMPO están usándose en una alta proporción para mejorar la unidad productiva.</w:t>
      </w:r>
    </w:p>
    <w:p>
      <w:pPr>
        <w:pStyle w:val="BodyText"/>
        <w:spacing w:line="259" w:lineRule="auto" w:before="166"/>
        <w:ind w:left="112" w:right="114" w:firstLine="708"/>
        <w:jc w:val="both"/>
      </w:pPr>
      <w:r>
        <w:rPr/>
        <w:t>En los tres primeros grupos, el promedio simple de la tasa de crecimiento en la conversión productiva es positiva. Esto puede indicar que hay inversión para hacer el cambio productivo. No así en el grupo IV, donde la tasa promedio simple de la conversión productiva es negativa. No hay inversión en este rubro de conversión productiva.</w:t>
      </w:r>
    </w:p>
    <w:p>
      <w:pPr>
        <w:pStyle w:val="BodyText"/>
        <w:spacing w:line="259" w:lineRule="auto" w:before="163"/>
        <w:ind w:left="112" w:right="117" w:firstLine="708"/>
        <w:jc w:val="both"/>
      </w:pPr>
      <w:r>
        <w:rPr/>
        <w:t>Si se observan las tasas de rendimiento y conversión productiva, se puede sugerir que en el caso de los grupos I, II y III se está haciendo inversión más a favor de la conversión que del rendimiento. Para el caso del grupo IV, el pequeño esfuerzo para aumentar rendimiento solo corrobora que los apoyos se dirigen más a implementar el gasto, que a mejorar la unidad productiva.</w:t>
      </w:r>
    </w:p>
    <w:p>
      <w:pPr>
        <w:pStyle w:val="Heading5"/>
        <w:numPr>
          <w:ilvl w:val="1"/>
          <w:numId w:val="2"/>
        </w:numPr>
        <w:tabs>
          <w:tab w:pos="714" w:val="left" w:leader="none"/>
        </w:tabs>
        <w:spacing w:line="240" w:lineRule="auto" w:before="166" w:after="0"/>
        <w:ind w:left="713" w:right="0" w:hanging="601"/>
        <w:jc w:val="both"/>
      </w:pPr>
      <w:r>
        <w:rPr/>
        <w:t>Tercera conclusión a nivel</w:t>
      </w:r>
      <w:r>
        <w:rPr>
          <w:spacing w:val="-7"/>
        </w:rPr>
        <w:t> </w:t>
      </w:r>
      <w:r>
        <w:rPr/>
        <w:t>estatal</w:t>
      </w:r>
    </w:p>
    <w:p>
      <w:pPr>
        <w:pStyle w:val="BodyText"/>
        <w:spacing w:line="259" w:lineRule="auto" w:before="178"/>
        <w:ind w:left="112" w:right="116"/>
        <w:jc w:val="both"/>
      </w:pPr>
      <w:r>
        <w:rPr/>
        <w:t>En los estados donde existe menor producto per cápita es de esperarse que el PROCAMPO sea más complementario del gasto familiar, también los recursos del PROCAMPO podrían ser complementarios a la inversión productiva, ya sea para conversión productiva o incremento en rendimientos.</w:t>
      </w:r>
    </w:p>
    <w:p>
      <w:pPr>
        <w:pStyle w:val="BodyText"/>
        <w:spacing w:line="259" w:lineRule="auto" w:before="161"/>
        <w:ind w:left="112" w:right="115" w:firstLine="708"/>
        <w:jc w:val="both"/>
      </w:pPr>
      <w:r>
        <w:rPr/>
        <w:t>En esta situación están también el grupo de estados con ingreso per cápita levemente positivo: Chiapas, Puebla, Tlaxcala, Guerrero, Hidalgo y Oaxaca. Se debe de tener una política y programas regionales dirigidos a la inversión productiva. PROCAMPO se usa principalmente en promedio para gasto, no para inversión.</w:t>
      </w:r>
    </w:p>
    <w:p>
      <w:pPr>
        <w:spacing w:after="0" w:line="259" w:lineRule="auto"/>
        <w:jc w:val="both"/>
        <w:sectPr>
          <w:type w:val="continuous"/>
          <w:pgSz w:w="12240" w:h="15840"/>
          <w:pgMar w:top="0" w:bottom="0" w:left="1020" w:right="1020"/>
        </w:sectPr>
      </w:pPr>
    </w:p>
    <w:p>
      <w:pPr>
        <w:pStyle w:val="Heading5"/>
        <w:numPr>
          <w:ilvl w:val="1"/>
          <w:numId w:val="2"/>
        </w:numPr>
        <w:tabs>
          <w:tab w:pos="774" w:val="left" w:leader="none"/>
        </w:tabs>
        <w:spacing w:line="240" w:lineRule="auto" w:before="158" w:after="0"/>
        <w:ind w:left="773" w:right="0" w:hanging="601"/>
        <w:jc w:val="both"/>
      </w:pPr>
      <w:r>
        <w:rPr/>
        <w:t>Los indicadores para la población del</w:t>
      </w:r>
      <w:r>
        <w:rPr>
          <w:spacing w:val="-11"/>
        </w:rPr>
        <w:t> </w:t>
      </w:r>
      <w:r>
        <w:rPr/>
        <w:t>PROCAMPO</w:t>
      </w:r>
    </w:p>
    <w:p>
      <w:pPr>
        <w:pStyle w:val="BodyText"/>
        <w:spacing w:line="256" w:lineRule="auto" w:before="180"/>
        <w:ind w:left="112" w:right="116"/>
        <w:jc w:val="both"/>
      </w:pPr>
      <w:r>
        <w:rPr/>
        <w:t>Lo que a continuación se presenta está basado en los datos que fueron proporcionados por ASERCA de las encuestas anteriores al 2004, es decir, es información de la población que ha recibido los apoyos del PROCAMPO.</w:t>
      </w:r>
    </w:p>
    <w:p>
      <w:pPr>
        <w:pStyle w:val="BodyText"/>
        <w:spacing w:line="259" w:lineRule="auto" w:before="166"/>
        <w:ind w:left="112" w:right="115" w:firstLine="708"/>
        <w:jc w:val="both"/>
      </w:pPr>
      <w:r>
        <w:rPr/>
        <w:t>Se tienen que hacer varios supuestos fuertes para poder usar la poca información otorgada: (a)  el primer supuesto es que el total del valor de la producción de maíz, frijol, sorgo, soya, trigo, cártamo, cebada, algodón y arroz es generado por los beneficiarios del PROCAMPO. (b) Segundo supuesto, en la conversión productiva la población del PROCAMPO sólo puede cambiar entre los nueve productos mencionados (esto es, se castiga si no se siembra cualquiera de estos</w:t>
      </w:r>
      <w:r>
        <w:rPr>
          <w:spacing w:val="-10"/>
        </w:rPr>
        <w:t> </w:t>
      </w:r>
      <w:r>
        <w:rPr/>
        <w:t>cultivos).</w:t>
      </w:r>
    </w:p>
    <w:p>
      <w:pPr>
        <w:pStyle w:val="BodyText"/>
        <w:spacing w:line="259" w:lineRule="auto" w:before="161"/>
        <w:ind w:left="112" w:right="118" w:firstLine="708"/>
        <w:jc w:val="both"/>
      </w:pPr>
      <w:r>
        <w:rPr/>
        <w:t>En este capítulo se revisará si la población del PROCAMPO ha aumentado su tasa de cambio de la conversión productiva, de rendimiento y se medirá que tanto de los recursos del programa se destinan a consumo </w:t>
      </w:r>
      <w:r>
        <w:rPr>
          <w:spacing w:val="-3"/>
        </w:rPr>
        <w:t>y, </w:t>
      </w:r>
      <w:r>
        <w:rPr/>
        <w:t>que tanto a inversión en la unidad</w:t>
      </w:r>
      <w:r>
        <w:rPr>
          <w:spacing w:val="1"/>
        </w:rPr>
        <w:t> </w:t>
      </w:r>
      <w:r>
        <w:rPr/>
        <w:t>productiva.</w:t>
      </w:r>
    </w:p>
    <w:p>
      <w:pPr>
        <w:pStyle w:val="Heading5"/>
        <w:numPr>
          <w:ilvl w:val="1"/>
          <w:numId w:val="2"/>
        </w:numPr>
        <w:tabs>
          <w:tab w:pos="714" w:val="left" w:leader="none"/>
        </w:tabs>
        <w:spacing w:line="240" w:lineRule="auto" w:before="163" w:after="0"/>
        <w:ind w:left="713" w:right="0" w:hanging="601"/>
        <w:jc w:val="both"/>
      </w:pPr>
      <w:r>
        <w:rPr/>
        <w:t>El valor de la producción de los beneficiarios del</w:t>
      </w:r>
      <w:r>
        <w:rPr>
          <w:spacing w:val="-18"/>
        </w:rPr>
        <w:t> </w:t>
      </w:r>
      <w:r>
        <w:rPr/>
        <w:t>PROCAMPO</w:t>
      </w:r>
    </w:p>
    <w:p>
      <w:pPr>
        <w:pStyle w:val="BodyText"/>
        <w:spacing w:line="259" w:lineRule="auto" w:before="180"/>
        <w:ind w:left="112" w:right="116"/>
        <w:jc w:val="both"/>
      </w:pPr>
      <w:r>
        <w:rPr/>
        <w:t>Recordando que el supuesto es que los beneficiarios del PROCAMPO solo producen los nueve cultivos mencionados. Se puede ver que el valor de la producción por beneficiario de 1995 a 2014 bajó para  casi todos los estados. Llama la atención que por grupos, los estados de mayor producto per cápita son los que más redujeron el valor de la producción por</w:t>
      </w:r>
      <w:r>
        <w:rPr>
          <w:spacing w:val="-13"/>
        </w:rPr>
        <w:t> </w:t>
      </w:r>
      <w:r>
        <w:rPr/>
        <w:t>beneficiario.</w:t>
      </w:r>
    </w:p>
    <w:p>
      <w:pPr>
        <w:pStyle w:val="BodyText"/>
        <w:spacing w:line="256" w:lineRule="auto" w:before="163"/>
        <w:ind w:left="112" w:right="118" w:firstLine="708"/>
        <w:jc w:val="both"/>
      </w:pPr>
      <w:r>
        <w:rPr/>
        <w:t>Lo anterior significa que los estados de mayor producto per cápita, que incluye todos los productos, cada vez dependen menos de los nueve productos del PROCAMPO. Recuérdese que estos estados tienen una alta tasa de conversión productiva.</w:t>
      </w:r>
    </w:p>
    <w:p>
      <w:pPr>
        <w:pStyle w:val="BodyText"/>
        <w:spacing w:line="256" w:lineRule="auto" w:before="166"/>
        <w:ind w:left="112" w:right="117" w:firstLine="708"/>
        <w:jc w:val="both"/>
      </w:pPr>
      <w:r>
        <w:rPr/>
        <w:t>En cambio los estados del grupo IV, los de menor producto per cápita, y que tienen una baja  tasa de conversión, son también los que dependen más de los nueve</w:t>
      </w:r>
      <w:r>
        <w:rPr>
          <w:spacing w:val="-9"/>
        </w:rPr>
        <w:t> </w:t>
      </w:r>
      <w:r>
        <w:rPr/>
        <w:t>productos.</w:t>
      </w:r>
    </w:p>
    <w:p>
      <w:pPr>
        <w:pStyle w:val="BodyText"/>
        <w:spacing w:line="259" w:lineRule="auto" w:before="166"/>
        <w:ind w:left="112" w:right="115" w:firstLine="708"/>
        <w:jc w:val="both"/>
      </w:pPr>
      <w:r>
        <w:rPr/>
        <w:t>Así, el valor de la producción por beneficiario de los nueve productos de 1995 al 2014 ha ido disminuyendo, debido principalmente a la baja del precio del producto y a la reducción de la superficie cosechada de alrededor de -5.24% en el periodo 1995-1997 a 2001-2014. El rendimiento de los nueve productos ha aumentado aunque a tasas bajas.</w:t>
      </w:r>
    </w:p>
    <w:p>
      <w:pPr>
        <w:pStyle w:val="Heading5"/>
        <w:numPr>
          <w:ilvl w:val="1"/>
          <w:numId w:val="2"/>
        </w:numPr>
        <w:tabs>
          <w:tab w:pos="774" w:val="left" w:leader="none"/>
        </w:tabs>
        <w:spacing w:line="240" w:lineRule="auto" w:before="166" w:after="0"/>
        <w:ind w:left="773" w:right="0" w:hanging="601"/>
        <w:jc w:val="both"/>
      </w:pPr>
      <w:r>
        <w:rPr/>
        <w:t>Primera conclusión a nivel de población del</w:t>
      </w:r>
      <w:r>
        <w:rPr>
          <w:spacing w:val="-13"/>
        </w:rPr>
        <w:t> </w:t>
      </w:r>
      <w:r>
        <w:rPr/>
        <w:t>PROCAMPO</w:t>
      </w:r>
    </w:p>
    <w:p>
      <w:pPr>
        <w:pStyle w:val="BodyText"/>
        <w:spacing w:line="259" w:lineRule="auto" w:before="180"/>
        <w:ind w:left="112" w:right="111"/>
        <w:jc w:val="both"/>
      </w:pPr>
      <w:r>
        <w:rPr/>
        <w:t>Aquellos beneficiarios que pretendan seguir produciendo alguno o varios de los nueve cultivos–maíz, frijol, sorgo, soya, trigo, cártamo, cebada, algodón y arroz–tendrá que canalizar más recursos para aumentar su rendimiento por hectárea. De lo contrario tendrá tasas negativas de crecimiento en el valor de la producción por beneficiarios.</w:t>
      </w:r>
    </w:p>
    <w:p>
      <w:pPr>
        <w:pStyle w:val="BodyText"/>
        <w:spacing w:line="256" w:lineRule="auto" w:before="163"/>
        <w:ind w:left="112" w:right="116" w:firstLine="708"/>
        <w:jc w:val="both"/>
      </w:pPr>
      <w:r>
        <w:rPr/>
        <w:t>Lo anterior es cierto particularmente en los estados siguientes: Grupo IV. Chiapas, Tlaxcala, Guerrero, Hidalgo, Oaxaca, Coahuila, Baja California Sur y Colima.</w:t>
      </w:r>
    </w:p>
    <w:p>
      <w:pPr>
        <w:pStyle w:val="Heading5"/>
        <w:numPr>
          <w:ilvl w:val="1"/>
          <w:numId w:val="2"/>
        </w:numPr>
        <w:tabs>
          <w:tab w:pos="714" w:val="left" w:leader="none"/>
        </w:tabs>
        <w:spacing w:line="240" w:lineRule="auto" w:before="168" w:after="0"/>
        <w:ind w:left="713" w:right="0" w:hanging="601"/>
        <w:jc w:val="both"/>
      </w:pPr>
      <w:r>
        <w:rPr/>
        <w:t>La conversión productiva y el rendimiento de los beneficiarios del</w:t>
      </w:r>
      <w:r>
        <w:rPr>
          <w:spacing w:val="-21"/>
        </w:rPr>
        <w:t> </w:t>
      </w:r>
      <w:r>
        <w:rPr/>
        <w:t>PROCAMPO</w:t>
      </w:r>
    </w:p>
    <w:p>
      <w:pPr>
        <w:pStyle w:val="BodyText"/>
        <w:spacing w:line="259" w:lineRule="auto" w:before="177"/>
        <w:ind w:left="112" w:right="112"/>
        <w:jc w:val="both"/>
      </w:pPr>
      <w:r>
        <w:rPr/>
        <w:t>En virtud de los mecanismos que pone en acción la reconversión productiva, no es sorprendente que el valor de la producción de los 9 cultivos vaya disminuyendo. Pero es interesante observar que los beneficiarios del PROCAMPO están haciendo un esfuerzo en aumentar los rendimientos de estos 9 cultivos (maíz, frijol, sorgo, soya, trigo, cártamo, cebada, algodón y arroz).</w:t>
      </w:r>
    </w:p>
    <w:p>
      <w:pPr>
        <w:spacing w:after="0" w:line="259" w:lineRule="auto"/>
        <w:jc w:val="both"/>
        <w:sectPr>
          <w:pgSz w:w="12240" w:h="15840"/>
          <w:pgMar w:header="731" w:footer="0" w:top="960" w:bottom="280" w:left="1020" w:right="1020"/>
        </w:sectPr>
      </w:pPr>
    </w:p>
    <w:p>
      <w:pPr>
        <w:pStyle w:val="Heading5"/>
        <w:spacing w:before="158"/>
        <w:ind w:left="3769" w:right="3769" w:firstLine="0"/>
        <w:jc w:val="center"/>
      </w:pPr>
      <w:r>
        <w:rPr/>
        <w:t>Tabla 27.7</w:t>
      </w:r>
    </w:p>
    <w:p>
      <w:pPr>
        <w:pStyle w:val="BodyText"/>
        <w:spacing w:before="1"/>
        <w:rPr>
          <w:b/>
          <w:sz w:val="16"/>
        </w:rPr>
      </w:pPr>
    </w:p>
    <w:tbl>
      <w:tblPr>
        <w:tblW w:w="0" w:type="auto"/>
        <w:jc w:val="left"/>
        <w:tblInd w:w="2613"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1241"/>
        <w:gridCol w:w="3720"/>
      </w:tblGrid>
      <w:tr>
        <w:trPr>
          <w:trHeight w:val="1064" w:hRule="exact"/>
        </w:trPr>
        <w:tc>
          <w:tcPr>
            <w:tcW w:w="1241" w:type="dxa"/>
          </w:tcPr>
          <w:p>
            <w:pPr>
              <w:pStyle w:val="TableParagraph"/>
              <w:ind w:left="105"/>
              <w:rPr>
                <w:sz w:val="24"/>
              </w:rPr>
            </w:pPr>
            <w:r>
              <w:rPr>
                <w:sz w:val="24"/>
              </w:rPr>
              <w:t>Grupo</w:t>
            </w:r>
          </w:p>
        </w:tc>
        <w:tc>
          <w:tcPr>
            <w:tcW w:w="3720" w:type="dxa"/>
          </w:tcPr>
          <w:p>
            <w:pPr>
              <w:pStyle w:val="TableParagraph"/>
              <w:spacing w:line="261" w:lineRule="auto"/>
              <w:ind w:right="100"/>
              <w:rPr>
                <w:sz w:val="24"/>
              </w:rPr>
            </w:pPr>
            <w:r>
              <w:rPr>
                <w:sz w:val="24"/>
              </w:rPr>
              <w:t>Aumento  de  rendimiento  de  los   9  cultivos  de  1995-1997  a  </w:t>
            </w:r>
            <w:r>
              <w:rPr>
                <w:spacing w:val="26"/>
                <w:sz w:val="24"/>
              </w:rPr>
              <w:t> </w:t>
            </w:r>
            <w:r>
              <w:rPr>
                <w:sz w:val="24"/>
              </w:rPr>
              <w:t>2001-</w:t>
            </w:r>
          </w:p>
          <w:p>
            <w:pPr>
              <w:pStyle w:val="TableParagraph"/>
              <w:spacing w:line="271" w:lineRule="exact"/>
              <w:ind w:right="100"/>
              <w:rPr>
                <w:sz w:val="24"/>
              </w:rPr>
            </w:pPr>
            <w:r>
              <w:rPr>
                <w:sz w:val="24"/>
              </w:rPr>
              <w:t>2003</w:t>
            </w:r>
          </w:p>
        </w:tc>
      </w:tr>
      <w:tr>
        <w:trPr>
          <w:trHeight w:val="468" w:hRule="exact"/>
        </w:trPr>
        <w:tc>
          <w:tcPr>
            <w:tcW w:w="1241" w:type="dxa"/>
          </w:tcPr>
          <w:p>
            <w:pPr>
              <w:pStyle w:val="TableParagraph"/>
              <w:spacing w:line="270" w:lineRule="exact"/>
              <w:ind w:left="105"/>
              <w:rPr>
                <w:sz w:val="24"/>
              </w:rPr>
            </w:pPr>
            <w:r>
              <w:rPr>
                <w:w w:val="99"/>
                <w:sz w:val="24"/>
              </w:rPr>
              <w:t>I</w:t>
            </w:r>
          </w:p>
        </w:tc>
        <w:tc>
          <w:tcPr>
            <w:tcW w:w="3720" w:type="dxa"/>
          </w:tcPr>
          <w:p>
            <w:pPr>
              <w:pStyle w:val="TableParagraph"/>
              <w:spacing w:line="270" w:lineRule="exact"/>
              <w:ind w:right="100"/>
              <w:rPr>
                <w:sz w:val="24"/>
              </w:rPr>
            </w:pPr>
            <w:r>
              <w:rPr>
                <w:sz w:val="24"/>
              </w:rPr>
              <w:t>9.05%</w:t>
            </w:r>
          </w:p>
        </w:tc>
      </w:tr>
      <w:tr>
        <w:trPr>
          <w:trHeight w:val="468" w:hRule="exact"/>
        </w:trPr>
        <w:tc>
          <w:tcPr>
            <w:tcW w:w="1241" w:type="dxa"/>
          </w:tcPr>
          <w:p>
            <w:pPr>
              <w:pStyle w:val="TableParagraph"/>
              <w:ind w:left="105"/>
              <w:rPr>
                <w:sz w:val="24"/>
              </w:rPr>
            </w:pPr>
            <w:r>
              <w:rPr>
                <w:sz w:val="24"/>
              </w:rPr>
              <w:t>II</w:t>
            </w:r>
          </w:p>
        </w:tc>
        <w:tc>
          <w:tcPr>
            <w:tcW w:w="3720" w:type="dxa"/>
          </w:tcPr>
          <w:p>
            <w:pPr>
              <w:pStyle w:val="TableParagraph"/>
              <w:ind w:right="100"/>
              <w:rPr>
                <w:sz w:val="24"/>
              </w:rPr>
            </w:pPr>
            <w:r>
              <w:rPr>
                <w:sz w:val="24"/>
              </w:rPr>
              <w:t>16.01%</w:t>
            </w:r>
          </w:p>
        </w:tc>
      </w:tr>
      <w:tr>
        <w:trPr>
          <w:trHeight w:val="468" w:hRule="exact"/>
        </w:trPr>
        <w:tc>
          <w:tcPr>
            <w:tcW w:w="1241" w:type="dxa"/>
          </w:tcPr>
          <w:p>
            <w:pPr>
              <w:pStyle w:val="TableParagraph"/>
              <w:ind w:left="105"/>
              <w:rPr>
                <w:sz w:val="24"/>
              </w:rPr>
            </w:pPr>
            <w:r>
              <w:rPr>
                <w:sz w:val="24"/>
              </w:rPr>
              <w:t>III</w:t>
            </w:r>
          </w:p>
        </w:tc>
        <w:tc>
          <w:tcPr>
            <w:tcW w:w="3720" w:type="dxa"/>
          </w:tcPr>
          <w:p>
            <w:pPr>
              <w:pStyle w:val="TableParagraph"/>
              <w:ind w:right="100"/>
              <w:rPr>
                <w:sz w:val="24"/>
              </w:rPr>
            </w:pPr>
            <w:r>
              <w:rPr>
                <w:sz w:val="24"/>
              </w:rPr>
              <w:t>6.31%</w:t>
            </w:r>
          </w:p>
        </w:tc>
      </w:tr>
      <w:tr>
        <w:trPr>
          <w:trHeight w:val="468" w:hRule="exact"/>
        </w:trPr>
        <w:tc>
          <w:tcPr>
            <w:tcW w:w="1241" w:type="dxa"/>
          </w:tcPr>
          <w:p>
            <w:pPr>
              <w:pStyle w:val="TableParagraph"/>
              <w:ind w:left="105"/>
              <w:rPr>
                <w:sz w:val="24"/>
              </w:rPr>
            </w:pPr>
            <w:r>
              <w:rPr>
                <w:sz w:val="24"/>
              </w:rPr>
              <w:t>IV</w:t>
            </w:r>
          </w:p>
        </w:tc>
        <w:tc>
          <w:tcPr>
            <w:tcW w:w="3720" w:type="dxa"/>
          </w:tcPr>
          <w:p>
            <w:pPr>
              <w:pStyle w:val="TableParagraph"/>
              <w:ind w:right="100"/>
              <w:rPr>
                <w:sz w:val="24"/>
              </w:rPr>
            </w:pPr>
            <w:r>
              <w:rPr>
                <w:sz w:val="24"/>
              </w:rPr>
              <w:t>11.52%</w:t>
            </w:r>
          </w:p>
        </w:tc>
      </w:tr>
    </w:tbl>
    <w:p>
      <w:pPr>
        <w:pStyle w:val="BodyText"/>
        <w:rPr>
          <w:b/>
          <w:sz w:val="20"/>
        </w:rPr>
      </w:pPr>
    </w:p>
    <w:p>
      <w:pPr>
        <w:pStyle w:val="BodyText"/>
        <w:spacing w:before="4"/>
        <w:rPr>
          <w:b/>
          <w:sz w:val="19"/>
        </w:rPr>
      </w:pPr>
    </w:p>
    <w:p>
      <w:pPr>
        <w:pStyle w:val="BodyText"/>
        <w:spacing w:line="256" w:lineRule="auto" w:before="1"/>
        <w:ind w:left="112" w:right="142" w:firstLine="708"/>
      </w:pPr>
      <w:r>
        <w:rPr/>
        <w:t>Aunque, este esfuerzo se ve diluido porque siguen pretendiendo, en su mayoría producir cultivos de menor valor. Por lo que el valor por hectárea va a la baja (Tabla</w:t>
      </w:r>
      <w:r>
        <w:rPr>
          <w:spacing w:val="-14"/>
        </w:rPr>
        <w:t> </w:t>
      </w:r>
      <w:r>
        <w:rPr/>
        <w:t>27.8).</w:t>
      </w:r>
    </w:p>
    <w:p>
      <w:pPr>
        <w:pStyle w:val="Heading5"/>
        <w:spacing w:before="168"/>
        <w:ind w:left="3768" w:right="3769" w:firstLine="0"/>
        <w:jc w:val="center"/>
      </w:pPr>
      <w:r>
        <w:rPr/>
        <w:t>Tabla 27.8</w:t>
      </w:r>
    </w:p>
    <w:p>
      <w:pPr>
        <w:pStyle w:val="BodyText"/>
        <w:spacing w:before="1"/>
        <w:rPr>
          <w:b/>
          <w:sz w:val="16"/>
        </w:rPr>
      </w:pPr>
    </w:p>
    <w:tbl>
      <w:tblPr>
        <w:tblW w:w="0" w:type="auto"/>
        <w:jc w:val="left"/>
        <w:tblInd w:w="2613"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1241"/>
        <w:gridCol w:w="3720"/>
      </w:tblGrid>
      <w:tr>
        <w:trPr>
          <w:trHeight w:val="1063" w:hRule="exact"/>
        </w:trPr>
        <w:tc>
          <w:tcPr>
            <w:tcW w:w="1241" w:type="dxa"/>
          </w:tcPr>
          <w:p>
            <w:pPr>
              <w:pStyle w:val="TableParagraph"/>
              <w:ind w:left="105"/>
              <w:rPr>
                <w:i/>
                <w:sz w:val="24"/>
              </w:rPr>
            </w:pPr>
            <w:r>
              <w:rPr>
                <w:i/>
                <w:sz w:val="24"/>
              </w:rPr>
              <w:t>Grupo</w:t>
            </w:r>
          </w:p>
        </w:tc>
        <w:tc>
          <w:tcPr>
            <w:tcW w:w="3720" w:type="dxa"/>
          </w:tcPr>
          <w:p>
            <w:pPr>
              <w:pStyle w:val="TableParagraph"/>
              <w:tabs>
                <w:tab w:pos="433" w:val="left" w:leader="none"/>
              </w:tabs>
              <w:spacing w:line="259" w:lineRule="auto"/>
              <w:ind w:right="102"/>
              <w:rPr>
                <w:i/>
                <w:sz w:val="24"/>
              </w:rPr>
            </w:pPr>
            <w:r>
              <w:rPr>
                <w:i/>
                <w:sz w:val="24"/>
              </w:rPr>
              <w:t>Disminución de valor por hectárea  </w:t>
            </w:r>
            <w:r>
              <w:rPr>
                <w:i/>
                <w:sz w:val="24"/>
              </w:rPr>
              <w:t>9</w:t>
              <w:tab/>
              <w:t>Cultivos  de  1995-1997  a</w:t>
            </w:r>
            <w:r>
              <w:rPr>
                <w:i/>
                <w:spacing w:val="1"/>
                <w:sz w:val="24"/>
              </w:rPr>
              <w:t> </w:t>
            </w:r>
            <w:r>
              <w:rPr>
                <w:i/>
                <w:sz w:val="24"/>
              </w:rPr>
              <w:t>2001-</w:t>
            </w:r>
          </w:p>
          <w:p>
            <w:pPr>
              <w:pStyle w:val="TableParagraph"/>
              <w:spacing w:line="274" w:lineRule="exact"/>
              <w:ind w:right="100"/>
              <w:rPr>
                <w:i/>
                <w:sz w:val="24"/>
              </w:rPr>
            </w:pPr>
            <w:r>
              <w:rPr>
                <w:i/>
                <w:sz w:val="24"/>
              </w:rPr>
              <w:t>2003</w:t>
            </w:r>
          </w:p>
        </w:tc>
      </w:tr>
      <w:tr>
        <w:trPr>
          <w:trHeight w:val="468" w:hRule="exact"/>
        </w:trPr>
        <w:tc>
          <w:tcPr>
            <w:tcW w:w="1241" w:type="dxa"/>
          </w:tcPr>
          <w:p>
            <w:pPr>
              <w:pStyle w:val="TableParagraph"/>
              <w:ind w:left="105"/>
              <w:rPr>
                <w:sz w:val="24"/>
              </w:rPr>
            </w:pPr>
            <w:r>
              <w:rPr>
                <w:w w:val="99"/>
                <w:sz w:val="24"/>
              </w:rPr>
              <w:t>I</w:t>
            </w:r>
          </w:p>
        </w:tc>
        <w:tc>
          <w:tcPr>
            <w:tcW w:w="3720" w:type="dxa"/>
          </w:tcPr>
          <w:p>
            <w:pPr>
              <w:pStyle w:val="TableParagraph"/>
              <w:ind w:right="100"/>
              <w:rPr>
                <w:sz w:val="24"/>
              </w:rPr>
            </w:pPr>
            <w:r>
              <w:rPr>
                <w:sz w:val="24"/>
              </w:rPr>
              <w:t>-27.36%</w:t>
            </w:r>
          </w:p>
        </w:tc>
      </w:tr>
      <w:tr>
        <w:trPr>
          <w:trHeight w:val="468" w:hRule="exact"/>
        </w:trPr>
        <w:tc>
          <w:tcPr>
            <w:tcW w:w="1241" w:type="dxa"/>
          </w:tcPr>
          <w:p>
            <w:pPr>
              <w:pStyle w:val="TableParagraph"/>
              <w:ind w:left="105"/>
              <w:rPr>
                <w:sz w:val="24"/>
              </w:rPr>
            </w:pPr>
            <w:r>
              <w:rPr>
                <w:sz w:val="24"/>
              </w:rPr>
              <w:t>II</w:t>
            </w:r>
          </w:p>
        </w:tc>
        <w:tc>
          <w:tcPr>
            <w:tcW w:w="3720" w:type="dxa"/>
          </w:tcPr>
          <w:p>
            <w:pPr>
              <w:pStyle w:val="TableParagraph"/>
              <w:ind w:right="100"/>
              <w:rPr>
                <w:sz w:val="24"/>
              </w:rPr>
            </w:pPr>
            <w:r>
              <w:rPr>
                <w:sz w:val="24"/>
              </w:rPr>
              <w:t>-14.76%</w:t>
            </w:r>
          </w:p>
        </w:tc>
      </w:tr>
      <w:tr>
        <w:trPr>
          <w:trHeight w:val="468" w:hRule="exact"/>
        </w:trPr>
        <w:tc>
          <w:tcPr>
            <w:tcW w:w="1241" w:type="dxa"/>
          </w:tcPr>
          <w:p>
            <w:pPr>
              <w:pStyle w:val="TableParagraph"/>
              <w:ind w:left="105"/>
              <w:rPr>
                <w:sz w:val="24"/>
              </w:rPr>
            </w:pPr>
            <w:r>
              <w:rPr>
                <w:sz w:val="24"/>
              </w:rPr>
              <w:t>III</w:t>
            </w:r>
          </w:p>
        </w:tc>
        <w:tc>
          <w:tcPr>
            <w:tcW w:w="3720" w:type="dxa"/>
          </w:tcPr>
          <w:p>
            <w:pPr>
              <w:pStyle w:val="TableParagraph"/>
              <w:ind w:right="100"/>
              <w:rPr>
                <w:sz w:val="24"/>
              </w:rPr>
            </w:pPr>
            <w:r>
              <w:rPr>
                <w:sz w:val="24"/>
              </w:rPr>
              <w:t>-17.20%</w:t>
            </w:r>
          </w:p>
        </w:tc>
      </w:tr>
      <w:tr>
        <w:trPr>
          <w:trHeight w:val="468" w:hRule="exact"/>
        </w:trPr>
        <w:tc>
          <w:tcPr>
            <w:tcW w:w="1241" w:type="dxa"/>
          </w:tcPr>
          <w:p>
            <w:pPr>
              <w:pStyle w:val="TableParagraph"/>
              <w:ind w:left="105"/>
              <w:rPr>
                <w:sz w:val="24"/>
              </w:rPr>
            </w:pPr>
            <w:r>
              <w:rPr>
                <w:sz w:val="24"/>
              </w:rPr>
              <w:t>IV</w:t>
            </w:r>
          </w:p>
        </w:tc>
        <w:tc>
          <w:tcPr>
            <w:tcW w:w="3720" w:type="dxa"/>
          </w:tcPr>
          <w:p>
            <w:pPr>
              <w:pStyle w:val="TableParagraph"/>
              <w:ind w:right="100"/>
              <w:rPr>
                <w:sz w:val="24"/>
              </w:rPr>
            </w:pPr>
            <w:r>
              <w:rPr>
                <w:sz w:val="24"/>
              </w:rPr>
              <w:t>-10.50%</w:t>
            </w:r>
          </w:p>
        </w:tc>
      </w:tr>
    </w:tbl>
    <w:p>
      <w:pPr>
        <w:pStyle w:val="BodyText"/>
        <w:rPr>
          <w:b/>
          <w:sz w:val="20"/>
        </w:rPr>
      </w:pPr>
    </w:p>
    <w:p>
      <w:pPr>
        <w:pStyle w:val="BodyText"/>
        <w:spacing w:before="4"/>
        <w:rPr>
          <w:b/>
          <w:sz w:val="19"/>
        </w:rPr>
      </w:pPr>
    </w:p>
    <w:p>
      <w:pPr>
        <w:pStyle w:val="ListParagraph"/>
        <w:numPr>
          <w:ilvl w:val="1"/>
          <w:numId w:val="2"/>
        </w:numPr>
        <w:tabs>
          <w:tab w:pos="714" w:val="left" w:leader="none"/>
        </w:tabs>
        <w:spacing w:line="240" w:lineRule="auto" w:before="0" w:after="0"/>
        <w:ind w:left="713" w:right="0" w:hanging="601"/>
        <w:jc w:val="both"/>
        <w:rPr>
          <w:b/>
          <w:sz w:val="24"/>
        </w:rPr>
      </w:pPr>
      <w:r>
        <w:rPr>
          <w:b/>
          <w:sz w:val="24"/>
        </w:rPr>
        <w:t>Segunda conclusión a nivel de población del</w:t>
      </w:r>
      <w:r>
        <w:rPr>
          <w:b/>
          <w:spacing w:val="-19"/>
          <w:sz w:val="24"/>
        </w:rPr>
        <w:t> </w:t>
      </w:r>
      <w:r>
        <w:rPr>
          <w:b/>
          <w:sz w:val="24"/>
        </w:rPr>
        <w:t>PROCAMPO</w:t>
      </w:r>
    </w:p>
    <w:p>
      <w:pPr>
        <w:pStyle w:val="BodyText"/>
        <w:spacing w:line="256" w:lineRule="auto" w:before="180"/>
        <w:ind w:left="112" w:right="113"/>
        <w:jc w:val="both"/>
      </w:pPr>
      <w:r>
        <w:rPr/>
        <w:t>Deben haber mecanismos para apoyar a los productores —incluyen beneficiarios del PROCAMPO— para que puedan acceder a la conversión productiva. De donde se desprende que es urgente que se instrumenten programas regionales para lograr una conversión productiva más acelerada.</w:t>
      </w:r>
    </w:p>
    <w:p>
      <w:pPr>
        <w:pStyle w:val="Heading5"/>
        <w:spacing w:before="168"/>
        <w:ind w:left="112" w:firstLine="0"/>
      </w:pPr>
      <w:r>
        <w:rPr/>
        <w:t>27. 23 La tendencia a igualarse el valor de la producción entre la población del PROCAMPO</w:t>
      </w:r>
    </w:p>
    <w:p>
      <w:pPr>
        <w:pStyle w:val="BodyText"/>
        <w:spacing w:line="259" w:lineRule="auto" w:before="180"/>
        <w:ind w:left="112" w:right="116"/>
        <w:jc w:val="both"/>
      </w:pPr>
      <w:r>
        <w:rPr/>
        <w:t>Si como se ha visto, el valor de la producción por beneficiario del PROCAMPO tiende a disminuir, entonces el indicador de igualdad debe mostrar que las diferencias entre estados y beneficiarios tiende a reducirse. Es el mismo fenómeno que describió para el periodo 1980 a 1994, la tendencia a igualarse es porque todos tienden a disminuir el valor de la producción per cápita.</w:t>
      </w:r>
    </w:p>
    <w:p>
      <w:pPr>
        <w:pStyle w:val="BodyText"/>
        <w:spacing w:before="161"/>
        <w:ind w:left="821" w:right="110"/>
      </w:pPr>
      <w:r>
        <w:rPr/>
        <w:t>La ecuación que ayuda a medir esta tendencia es;</w:t>
      </w:r>
    </w:p>
    <w:p>
      <w:pPr>
        <w:pStyle w:val="BodyText"/>
        <w:spacing w:before="6"/>
        <w:rPr>
          <w:sz w:val="10"/>
        </w:rPr>
      </w:pPr>
    </w:p>
    <w:p>
      <w:pPr>
        <w:spacing w:after="0"/>
        <w:rPr>
          <w:sz w:val="10"/>
        </w:rPr>
        <w:sectPr>
          <w:pgSz w:w="12240" w:h="15840"/>
          <w:pgMar w:header="731" w:footer="0" w:top="960" w:bottom="280" w:left="1020" w:right="1020"/>
        </w:sectPr>
      </w:pPr>
    </w:p>
    <w:p>
      <w:pPr>
        <w:spacing w:before="59"/>
        <w:ind w:left="154" w:right="0" w:firstLine="0"/>
        <w:jc w:val="left"/>
        <w:rPr>
          <w:rFonts w:ascii="Arial" w:hAnsi="Arial"/>
          <w:i/>
          <w:sz w:val="14"/>
        </w:rPr>
      </w:pPr>
      <w:r>
        <w:rPr>
          <w:rFonts w:ascii="Arial" w:hAnsi="Arial"/>
          <w:i/>
          <w:w w:val="105"/>
          <w:sz w:val="24"/>
        </w:rPr>
        <w:t>y</w:t>
      </w:r>
      <w:r>
        <w:rPr>
          <w:rFonts w:ascii="Arial" w:hAnsi="Arial"/>
          <w:i/>
          <w:w w:val="105"/>
          <w:position w:val="-5"/>
          <w:sz w:val="14"/>
        </w:rPr>
        <w:t>F </w:t>
      </w:r>
      <w:r>
        <w:rPr>
          <w:rFonts w:ascii="Symbol" w:hAnsi="Symbol"/>
          <w:w w:val="105"/>
          <w:position w:val="2"/>
          <w:sz w:val="22"/>
        </w:rPr>
        <w:t></w:t>
      </w:r>
      <w:r>
        <w:rPr>
          <w:w w:val="105"/>
          <w:position w:val="2"/>
          <w:sz w:val="22"/>
        </w:rPr>
        <w:t> </w:t>
      </w:r>
      <w:r>
        <w:rPr>
          <w:rFonts w:ascii="Arial" w:hAnsi="Arial"/>
          <w:i/>
          <w:w w:val="105"/>
          <w:sz w:val="24"/>
        </w:rPr>
        <w:t>y</w:t>
      </w:r>
      <w:r>
        <w:rPr>
          <w:rFonts w:ascii="Arial" w:hAnsi="Arial"/>
          <w:i/>
          <w:w w:val="105"/>
          <w:position w:val="-5"/>
          <w:sz w:val="14"/>
        </w:rPr>
        <w:t>I </w:t>
      </w:r>
      <w:r>
        <w:rPr>
          <w:rFonts w:ascii="Symbol" w:hAnsi="Symbol"/>
          <w:w w:val="105"/>
          <w:position w:val="2"/>
          <w:sz w:val="22"/>
        </w:rPr>
        <w:t></w:t>
      </w:r>
      <w:r>
        <w:rPr>
          <w:w w:val="105"/>
          <w:position w:val="2"/>
          <w:sz w:val="22"/>
        </w:rPr>
        <w:t> </w:t>
      </w:r>
      <w:r>
        <w:rPr>
          <w:rFonts w:ascii="Arial" w:hAnsi="Arial"/>
          <w:i/>
          <w:w w:val="105"/>
          <w:position w:val="2"/>
          <w:sz w:val="22"/>
        </w:rPr>
        <w:t>a </w:t>
      </w:r>
      <w:r>
        <w:rPr>
          <w:rFonts w:ascii="Symbol" w:hAnsi="Symbol"/>
          <w:w w:val="105"/>
          <w:position w:val="2"/>
          <w:sz w:val="22"/>
        </w:rPr>
        <w:t></w:t>
      </w:r>
      <w:r>
        <w:rPr>
          <w:w w:val="105"/>
          <w:position w:val="2"/>
          <w:sz w:val="22"/>
        </w:rPr>
        <w:t> </w:t>
      </w:r>
      <w:r>
        <w:rPr>
          <w:rFonts w:ascii="Arial" w:hAnsi="Arial"/>
          <w:i/>
          <w:w w:val="105"/>
          <w:position w:val="2"/>
          <w:sz w:val="22"/>
        </w:rPr>
        <w:t>d </w:t>
      </w:r>
      <w:r>
        <w:rPr>
          <w:rFonts w:ascii="Arial" w:hAnsi="Arial"/>
          <w:i/>
          <w:w w:val="105"/>
          <w:sz w:val="24"/>
        </w:rPr>
        <w:t>y</w:t>
      </w:r>
      <w:r>
        <w:rPr>
          <w:rFonts w:ascii="Arial" w:hAnsi="Arial"/>
          <w:i/>
          <w:w w:val="105"/>
          <w:position w:val="-5"/>
          <w:sz w:val="14"/>
        </w:rPr>
        <w:t>I</w:t>
      </w:r>
    </w:p>
    <w:p>
      <w:pPr>
        <w:pStyle w:val="BodyText"/>
        <w:spacing w:before="249"/>
        <w:ind w:left="821"/>
      </w:pPr>
      <w:r>
        <w:rPr/>
        <w:t>Donde:</w:t>
      </w:r>
    </w:p>
    <w:p>
      <w:pPr>
        <w:spacing w:before="184"/>
        <w:ind w:left="154" w:right="0" w:firstLine="0"/>
        <w:jc w:val="left"/>
        <w:rPr>
          <w:sz w:val="24"/>
        </w:rPr>
      </w:pPr>
      <w:r>
        <w:rPr/>
        <w:br w:type="column"/>
      </w:r>
      <w:r>
        <w:rPr>
          <w:sz w:val="24"/>
        </w:rPr>
        <w:t>(1)</w:t>
      </w:r>
    </w:p>
    <w:p>
      <w:pPr>
        <w:spacing w:after="0"/>
        <w:jc w:val="left"/>
        <w:rPr>
          <w:sz w:val="24"/>
        </w:rPr>
        <w:sectPr>
          <w:type w:val="continuous"/>
          <w:pgSz w:w="12240" w:h="15840"/>
          <w:pgMar w:top="0" w:bottom="0" w:left="1020" w:right="1020"/>
          <w:cols w:num="2" w:equalWidth="0">
            <w:col w:w="1771" w:space="7873"/>
            <w:col w:w="556"/>
          </w:cols>
        </w:sectPr>
      </w:pPr>
    </w:p>
    <w:p>
      <w:pPr>
        <w:spacing w:line="267" w:lineRule="exact" w:before="202"/>
        <w:ind w:left="1229" w:right="-12" w:firstLine="0"/>
        <w:jc w:val="left"/>
        <w:rPr>
          <w:i/>
          <w:sz w:val="24"/>
        </w:rPr>
      </w:pPr>
      <w:r>
        <w:rPr/>
        <w:pict>
          <v:shape style="position:absolute;margin-left:95.507492pt;margin-top:9.445928pt;width:8.25pt;height:18.25pt;mso-position-horizontal-relative:page;mso-position-vertical-relative:paragraph;z-index:1672" type="#_x0000_t202" filled="false" stroked="false">
            <v:textbox inset="0,0,0,0">
              <w:txbxContent>
                <w:p>
                  <w:pPr>
                    <w:spacing w:line="365" w:lineRule="exact" w:before="0"/>
                    <w:ind w:left="0" w:right="0" w:firstLine="0"/>
                    <w:jc w:val="left"/>
                    <w:rPr>
                      <w:i/>
                      <w:sz w:val="36"/>
                    </w:rPr>
                  </w:pPr>
                  <w:r>
                    <w:rPr>
                      <w:i/>
                      <w:w w:val="103"/>
                      <w:sz w:val="36"/>
                    </w:rPr>
                    <w:t>y</w:t>
                  </w:r>
                </w:p>
              </w:txbxContent>
            </v:textbox>
            <w10:wrap type="none"/>
          </v:shape>
        </w:pict>
      </w:r>
      <w:r>
        <w:rPr>
          <w:rFonts w:ascii="Symbol" w:hAnsi="Symbol"/>
          <w:w w:val="105"/>
          <w:sz w:val="24"/>
        </w:rPr>
        <w:t></w:t>
      </w:r>
      <w:r>
        <w:rPr>
          <w:w w:val="105"/>
          <w:sz w:val="24"/>
        </w:rPr>
        <w:t> </w:t>
      </w:r>
      <w:r>
        <w:rPr>
          <w:i/>
          <w:w w:val="105"/>
          <w:sz w:val="24"/>
        </w:rPr>
        <w:t>Valor </w:t>
      </w:r>
      <w:r>
        <w:rPr>
          <w:i/>
          <w:spacing w:val="-3"/>
          <w:w w:val="105"/>
          <w:sz w:val="24"/>
        </w:rPr>
        <w:t>de</w:t>
      </w:r>
      <w:r>
        <w:rPr>
          <w:i/>
          <w:spacing w:val="-49"/>
          <w:w w:val="105"/>
          <w:sz w:val="24"/>
        </w:rPr>
        <w:t> </w:t>
      </w:r>
      <w:r>
        <w:rPr>
          <w:i/>
          <w:w w:val="105"/>
          <w:sz w:val="24"/>
        </w:rPr>
        <w:t>la </w:t>
      </w:r>
      <w:r>
        <w:rPr>
          <w:i/>
          <w:spacing w:val="-6"/>
          <w:w w:val="105"/>
          <w:sz w:val="24"/>
        </w:rPr>
        <w:t>producción</w:t>
      </w:r>
    </w:p>
    <w:p>
      <w:pPr>
        <w:spacing w:line="134" w:lineRule="exact" w:before="0"/>
        <w:ind w:left="1064" w:right="0" w:firstLine="0"/>
        <w:jc w:val="left"/>
        <w:rPr>
          <w:i/>
          <w:sz w:val="14"/>
        </w:rPr>
      </w:pPr>
      <w:r>
        <w:rPr>
          <w:i/>
          <w:w w:val="102"/>
          <w:sz w:val="14"/>
        </w:rPr>
        <w:t>F</w:t>
      </w:r>
    </w:p>
    <w:p>
      <w:pPr>
        <w:pStyle w:val="BodyText"/>
        <w:rPr>
          <w:i/>
          <w:sz w:val="19"/>
        </w:rPr>
      </w:pPr>
      <w:r>
        <w:rPr/>
        <w:br w:type="column"/>
      </w:r>
      <w:r>
        <w:rPr>
          <w:i/>
          <w:sz w:val="19"/>
        </w:rPr>
      </w:r>
    </w:p>
    <w:p>
      <w:pPr>
        <w:spacing w:before="0"/>
        <w:ind w:left="68" w:right="0" w:firstLine="0"/>
        <w:jc w:val="left"/>
        <w:rPr>
          <w:sz w:val="24"/>
        </w:rPr>
      </w:pPr>
      <w:r>
        <w:rPr>
          <w:i/>
          <w:w w:val="105"/>
          <w:sz w:val="24"/>
        </w:rPr>
        <w:t>por beneficiario en </w:t>
      </w:r>
      <w:r>
        <w:rPr>
          <w:w w:val="105"/>
          <w:sz w:val="24"/>
        </w:rPr>
        <w:t>2014</w:t>
      </w:r>
    </w:p>
    <w:p>
      <w:pPr>
        <w:spacing w:after="0"/>
        <w:jc w:val="left"/>
        <w:rPr>
          <w:sz w:val="24"/>
        </w:rPr>
        <w:sectPr>
          <w:pgSz w:w="12240" w:h="15840"/>
          <w:pgMar w:header="731" w:footer="0" w:top="960" w:bottom="280" w:left="1020" w:right="1020"/>
          <w:cols w:num="2" w:equalWidth="0">
            <w:col w:w="3669" w:space="40"/>
            <w:col w:w="6491"/>
          </w:cols>
        </w:sectPr>
      </w:pPr>
    </w:p>
    <w:p>
      <w:pPr>
        <w:pStyle w:val="BodyText"/>
        <w:spacing w:before="6"/>
        <w:rPr>
          <w:sz w:val="12"/>
        </w:rPr>
      </w:pPr>
    </w:p>
    <w:p>
      <w:pPr>
        <w:spacing w:before="59"/>
        <w:ind w:left="862" w:right="110" w:firstLine="0"/>
        <w:jc w:val="left"/>
        <w:rPr>
          <w:rFonts w:ascii="Arial" w:hAnsi="Arial"/>
          <w:sz w:val="22"/>
        </w:rPr>
      </w:pPr>
      <w:r>
        <w:rPr>
          <w:rFonts w:ascii="Arial" w:hAnsi="Arial"/>
          <w:i/>
          <w:w w:val="105"/>
          <w:sz w:val="24"/>
        </w:rPr>
        <w:t>y</w:t>
      </w:r>
      <w:r>
        <w:rPr>
          <w:rFonts w:ascii="Arial" w:hAnsi="Arial"/>
          <w:i/>
          <w:w w:val="105"/>
          <w:position w:val="-5"/>
          <w:sz w:val="14"/>
        </w:rPr>
        <w:t>I </w:t>
      </w:r>
      <w:r>
        <w:rPr>
          <w:rFonts w:ascii="Symbol" w:hAnsi="Symbol"/>
          <w:w w:val="105"/>
          <w:position w:val="2"/>
          <w:sz w:val="22"/>
        </w:rPr>
        <w:t></w:t>
      </w:r>
      <w:r>
        <w:rPr>
          <w:w w:val="105"/>
          <w:position w:val="2"/>
          <w:sz w:val="22"/>
        </w:rPr>
        <w:t> </w:t>
      </w:r>
      <w:r>
        <w:rPr>
          <w:rFonts w:ascii="Arial" w:hAnsi="Arial"/>
          <w:i/>
          <w:w w:val="105"/>
          <w:position w:val="2"/>
          <w:sz w:val="22"/>
        </w:rPr>
        <w:t>Valor de la producción por beneficiario en </w:t>
      </w:r>
      <w:r>
        <w:rPr>
          <w:rFonts w:ascii="Arial" w:hAnsi="Arial"/>
          <w:w w:val="105"/>
          <w:position w:val="2"/>
          <w:sz w:val="22"/>
        </w:rPr>
        <w:t>1995</w:t>
      </w:r>
    </w:p>
    <w:p>
      <w:pPr>
        <w:pStyle w:val="BodyText"/>
        <w:spacing w:before="8"/>
        <w:rPr>
          <w:rFonts w:ascii="Arial"/>
          <w:sz w:val="11"/>
        </w:rPr>
      </w:pPr>
    </w:p>
    <w:p>
      <w:pPr>
        <w:spacing w:line="84" w:lineRule="exact" w:before="81"/>
        <w:ind w:left="0" w:right="702" w:firstLine="0"/>
        <w:jc w:val="center"/>
        <w:rPr>
          <w:rFonts w:ascii="Arial"/>
          <w:sz w:val="14"/>
        </w:rPr>
      </w:pPr>
      <w:r>
        <w:rPr>
          <w:rFonts w:ascii="Arial"/>
          <w:w w:val="101"/>
          <w:sz w:val="14"/>
        </w:rPr>
        <w:t>2</w:t>
      </w:r>
    </w:p>
    <w:p>
      <w:pPr>
        <w:tabs>
          <w:tab w:pos="4517" w:val="left" w:leader="none"/>
        </w:tabs>
        <w:spacing w:line="244" w:lineRule="exact" w:before="0"/>
        <w:ind w:left="862" w:right="110" w:firstLine="0"/>
        <w:jc w:val="left"/>
        <w:rPr>
          <w:rFonts w:ascii="Arial" w:hAnsi="Arial"/>
          <w:sz w:val="21"/>
        </w:rPr>
      </w:pPr>
      <w:r>
        <w:rPr>
          <w:rFonts w:ascii="Arial" w:hAnsi="Arial"/>
          <w:i/>
          <w:w w:val="105"/>
          <w:sz w:val="23"/>
        </w:rPr>
        <w:t>y </w:t>
      </w:r>
      <w:r>
        <w:rPr>
          <w:rFonts w:ascii="Arial" w:hAnsi="Arial"/>
          <w:i/>
          <w:w w:val="105"/>
          <w:position w:val="-5"/>
          <w:sz w:val="14"/>
        </w:rPr>
        <w:t>F </w:t>
      </w:r>
      <w:r>
        <w:rPr>
          <w:rFonts w:ascii="Symbol" w:hAnsi="Symbol"/>
          <w:w w:val="105"/>
          <w:position w:val="2"/>
          <w:sz w:val="21"/>
        </w:rPr>
        <w:t></w:t>
      </w:r>
      <w:r>
        <w:rPr>
          <w:w w:val="105"/>
          <w:position w:val="2"/>
          <w:sz w:val="21"/>
        </w:rPr>
        <w:t> </w:t>
      </w:r>
      <w:r>
        <w:rPr>
          <w:rFonts w:ascii="Arial" w:hAnsi="Arial"/>
          <w:i/>
          <w:spacing w:val="8"/>
          <w:w w:val="105"/>
          <w:sz w:val="23"/>
        </w:rPr>
        <w:t>y</w:t>
      </w:r>
      <w:r>
        <w:rPr>
          <w:rFonts w:ascii="Arial" w:hAnsi="Arial"/>
          <w:i/>
          <w:spacing w:val="8"/>
          <w:w w:val="105"/>
          <w:position w:val="-5"/>
          <w:sz w:val="14"/>
        </w:rPr>
        <w:t>I </w:t>
      </w:r>
      <w:r>
        <w:rPr>
          <w:rFonts w:ascii="Symbol" w:hAnsi="Symbol"/>
          <w:w w:val="105"/>
          <w:position w:val="2"/>
          <w:sz w:val="21"/>
        </w:rPr>
        <w:t></w:t>
      </w:r>
      <w:r>
        <w:rPr>
          <w:w w:val="105"/>
          <w:position w:val="2"/>
          <w:sz w:val="21"/>
        </w:rPr>
        <w:t> </w:t>
      </w:r>
      <w:r>
        <w:rPr>
          <w:rFonts w:ascii="Arial" w:hAnsi="Arial"/>
          <w:spacing w:val="-4"/>
          <w:w w:val="105"/>
          <w:position w:val="2"/>
          <w:sz w:val="21"/>
        </w:rPr>
        <w:t>2.3826 </w:t>
      </w:r>
      <w:r>
        <w:rPr>
          <w:rFonts w:ascii="Symbol" w:hAnsi="Symbol"/>
          <w:w w:val="105"/>
          <w:position w:val="2"/>
          <w:sz w:val="21"/>
        </w:rPr>
        <w:t></w:t>
      </w:r>
      <w:r>
        <w:rPr>
          <w:w w:val="105"/>
          <w:position w:val="2"/>
          <w:sz w:val="21"/>
        </w:rPr>
        <w:t> </w:t>
      </w:r>
      <w:r>
        <w:rPr>
          <w:rFonts w:ascii="Arial" w:hAnsi="Arial"/>
          <w:spacing w:val="-4"/>
          <w:w w:val="105"/>
          <w:position w:val="2"/>
          <w:sz w:val="21"/>
        </w:rPr>
        <w:t>0.4002</w:t>
      </w:r>
      <w:r>
        <w:rPr>
          <w:rFonts w:ascii="Arial" w:hAnsi="Arial"/>
          <w:spacing w:val="-23"/>
          <w:w w:val="105"/>
          <w:position w:val="2"/>
          <w:sz w:val="21"/>
        </w:rPr>
        <w:t> </w:t>
      </w:r>
      <w:r>
        <w:rPr>
          <w:rFonts w:ascii="Arial" w:hAnsi="Arial"/>
          <w:i/>
          <w:spacing w:val="8"/>
          <w:w w:val="105"/>
          <w:sz w:val="23"/>
        </w:rPr>
        <w:t>y</w:t>
      </w:r>
      <w:r>
        <w:rPr>
          <w:rFonts w:ascii="Arial" w:hAnsi="Arial"/>
          <w:i/>
          <w:spacing w:val="8"/>
          <w:w w:val="105"/>
          <w:position w:val="-5"/>
          <w:sz w:val="14"/>
        </w:rPr>
        <w:t>I</w:t>
      </w:r>
      <w:r>
        <w:rPr>
          <w:rFonts w:ascii="Arial" w:hAnsi="Arial"/>
          <w:i/>
          <w:spacing w:val="10"/>
          <w:w w:val="105"/>
          <w:position w:val="-5"/>
          <w:sz w:val="14"/>
        </w:rPr>
        <w:t> </w:t>
      </w:r>
      <w:r>
        <w:rPr>
          <w:rFonts w:ascii="Arial" w:hAnsi="Arial"/>
          <w:w w:val="105"/>
          <w:position w:val="2"/>
          <w:sz w:val="21"/>
        </w:rPr>
        <w:t>;</w:t>
        <w:tab/>
      </w:r>
      <w:r>
        <w:rPr>
          <w:rFonts w:ascii="Arial" w:hAnsi="Arial"/>
          <w:i/>
          <w:w w:val="105"/>
          <w:position w:val="-1"/>
          <w:sz w:val="23"/>
        </w:rPr>
        <w:t>R  </w:t>
      </w:r>
      <w:r>
        <w:rPr>
          <w:rFonts w:ascii="Symbol" w:hAnsi="Symbol"/>
          <w:w w:val="105"/>
          <w:position w:val="2"/>
          <w:sz w:val="21"/>
        </w:rPr>
        <w:t></w:t>
      </w:r>
      <w:r>
        <w:rPr>
          <w:spacing w:val="19"/>
          <w:w w:val="105"/>
          <w:position w:val="2"/>
          <w:sz w:val="21"/>
        </w:rPr>
        <w:t> </w:t>
      </w:r>
      <w:r>
        <w:rPr>
          <w:rFonts w:ascii="Arial" w:hAnsi="Arial"/>
          <w:spacing w:val="-4"/>
          <w:w w:val="105"/>
          <w:position w:val="2"/>
          <w:sz w:val="21"/>
        </w:rPr>
        <w:t>0.9247</w:t>
      </w:r>
    </w:p>
    <w:p>
      <w:pPr>
        <w:spacing w:after="0" w:line="244" w:lineRule="exact"/>
        <w:jc w:val="left"/>
        <w:rPr>
          <w:rFonts w:ascii="Arial" w:hAnsi="Arial"/>
          <w:sz w:val="21"/>
        </w:rPr>
        <w:sectPr>
          <w:type w:val="continuous"/>
          <w:pgSz w:w="12240" w:h="15840"/>
          <w:pgMar w:top="0" w:bottom="0" w:left="1020" w:right="1020"/>
        </w:sectPr>
      </w:pPr>
    </w:p>
    <w:p>
      <w:pPr>
        <w:spacing w:before="51"/>
        <w:ind w:left="0" w:right="0" w:firstLine="0"/>
        <w:jc w:val="right"/>
        <w:rPr>
          <w:rFonts w:ascii="Arial"/>
          <w:sz w:val="21"/>
        </w:rPr>
      </w:pPr>
      <w:r>
        <w:rPr>
          <w:rFonts w:ascii="Arial"/>
          <w:w w:val="105"/>
          <w:sz w:val="21"/>
        </w:rPr>
        <w:t>(1.5672)</w:t>
      </w:r>
    </w:p>
    <w:p>
      <w:pPr>
        <w:spacing w:before="51"/>
        <w:ind w:left="192" w:right="-3" w:firstLine="0"/>
        <w:jc w:val="left"/>
        <w:rPr>
          <w:rFonts w:ascii="Arial"/>
          <w:sz w:val="21"/>
        </w:rPr>
      </w:pPr>
      <w:r>
        <w:rPr/>
        <w:br w:type="column"/>
      </w:r>
      <w:r>
        <w:rPr>
          <w:rFonts w:ascii="Arial"/>
          <w:spacing w:val="-3"/>
          <w:w w:val="105"/>
          <w:sz w:val="21"/>
        </w:rPr>
        <w:t>(0.0208)</w:t>
      </w:r>
    </w:p>
    <w:p>
      <w:pPr>
        <w:spacing w:before="51"/>
        <w:ind w:left="839" w:right="0" w:firstLine="0"/>
        <w:jc w:val="left"/>
        <w:rPr>
          <w:rFonts w:ascii="Arial" w:hAnsi="Arial"/>
          <w:i/>
          <w:sz w:val="21"/>
        </w:rPr>
      </w:pPr>
      <w:r>
        <w:rPr/>
        <w:br w:type="column"/>
      </w:r>
      <w:r>
        <w:rPr>
          <w:rFonts w:ascii="Arial" w:hAnsi="Arial"/>
          <w:i/>
          <w:w w:val="105"/>
          <w:sz w:val="21"/>
        </w:rPr>
        <w:t>Corresponde al error  estándar</w:t>
      </w:r>
    </w:p>
    <w:p>
      <w:pPr>
        <w:spacing w:after="0"/>
        <w:jc w:val="left"/>
        <w:rPr>
          <w:rFonts w:ascii="Arial" w:hAnsi="Arial"/>
          <w:sz w:val="21"/>
        </w:rPr>
        <w:sectPr>
          <w:type w:val="continuous"/>
          <w:pgSz w:w="12240" w:h="15840"/>
          <w:pgMar w:top="0" w:bottom="0" w:left="1020" w:right="1020"/>
          <w:cols w:num="3" w:equalWidth="0">
            <w:col w:w="2431" w:space="40"/>
            <w:col w:w="1007" w:space="40"/>
            <w:col w:w="6682"/>
          </w:cols>
        </w:sectPr>
      </w:pPr>
    </w:p>
    <w:p>
      <w:pPr>
        <w:pStyle w:val="BodyText"/>
        <w:rPr>
          <w:rFonts w:ascii="Arial"/>
          <w:i/>
          <w:sz w:val="14"/>
        </w:rPr>
      </w:pPr>
    </w:p>
    <w:p>
      <w:pPr>
        <w:pStyle w:val="BodyText"/>
        <w:spacing w:line="256" w:lineRule="auto" w:before="69"/>
        <w:ind w:left="112" w:right="116" w:firstLine="708"/>
        <w:jc w:val="both"/>
      </w:pPr>
      <w:r>
        <w:rPr/>
        <w:t>d= -0.4002 significa una tendencia a igualarse. Recalcando porque el valor de la producción por beneficiario tiende a bajar (el Anexo 1 se muestra el programa utilizado para la determinación de los coeficientes).</w:t>
      </w:r>
    </w:p>
    <w:p>
      <w:pPr>
        <w:pStyle w:val="Heading5"/>
        <w:numPr>
          <w:ilvl w:val="1"/>
          <w:numId w:val="4"/>
        </w:numPr>
        <w:tabs>
          <w:tab w:pos="714" w:val="left" w:leader="none"/>
        </w:tabs>
        <w:spacing w:line="240" w:lineRule="auto" w:before="168" w:after="0"/>
        <w:ind w:left="713" w:right="0" w:hanging="601"/>
        <w:jc w:val="both"/>
      </w:pPr>
      <w:r>
        <w:rPr/>
        <w:t>Tercera conclusión a nivel de población del</w:t>
      </w:r>
      <w:r>
        <w:rPr>
          <w:spacing w:val="-16"/>
        </w:rPr>
        <w:t> </w:t>
      </w:r>
      <w:r>
        <w:rPr/>
        <w:t>PROCAMPO</w:t>
      </w:r>
    </w:p>
    <w:p>
      <w:pPr>
        <w:pStyle w:val="BodyText"/>
        <w:spacing w:line="256" w:lineRule="auto" w:before="180"/>
        <w:ind w:left="112" w:right="119"/>
        <w:jc w:val="both"/>
      </w:pPr>
      <w:r>
        <w:rPr/>
        <w:t>Se debe complementar el apoyo del PROCAMPO con programas que permitan acelerar la conversión productiva.</w:t>
      </w:r>
    </w:p>
    <w:p>
      <w:pPr>
        <w:pStyle w:val="Heading5"/>
        <w:numPr>
          <w:ilvl w:val="1"/>
          <w:numId w:val="4"/>
        </w:numPr>
        <w:tabs>
          <w:tab w:pos="714" w:val="left" w:leader="none"/>
        </w:tabs>
        <w:spacing w:line="240" w:lineRule="auto" w:before="168" w:after="0"/>
        <w:ind w:left="713" w:right="0" w:hanging="601"/>
        <w:jc w:val="both"/>
      </w:pPr>
      <w:r>
        <w:rPr/>
        <w:t>El uso de los recursos del PROCAMPO en gasto y en</w:t>
      </w:r>
      <w:r>
        <w:rPr>
          <w:spacing w:val="-13"/>
        </w:rPr>
        <w:t> </w:t>
      </w:r>
      <w:r>
        <w:rPr/>
        <w:t>inversión</w:t>
      </w:r>
    </w:p>
    <w:p>
      <w:pPr>
        <w:pStyle w:val="BodyText"/>
        <w:spacing w:line="256" w:lineRule="auto" w:before="177"/>
        <w:ind w:left="112" w:right="117"/>
        <w:jc w:val="both"/>
      </w:pPr>
      <w:r>
        <w:rPr/>
        <w:t>Se puede observar que antes de 2003, a nivel nacional el 60.40% de los recursos se iban a inversión productiva, los grupos II y III que son los que mostraron una mayor tasa de conversión productiva, estaban invirtiendo alrededor del 65% del PROCAMPO.</w:t>
      </w:r>
    </w:p>
    <w:p>
      <w:pPr>
        <w:pStyle w:val="BodyText"/>
        <w:spacing w:line="256" w:lineRule="auto" w:before="166"/>
        <w:ind w:left="112" w:right="119" w:firstLine="708"/>
        <w:jc w:val="both"/>
      </w:pPr>
      <w:r>
        <w:rPr/>
        <w:t>Como era de esperarse, y como se mencionó anteriormente, los estados del grupo IV destinaron una mayor proporción del PROCAMPO al consumo, cerca del 50% (si se excluye a Hidalgo).</w:t>
      </w:r>
    </w:p>
    <w:p>
      <w:pPr>
        <w:pStyle w:val="BodyText"/>
        <w:spacing w:line="256" w:lineRule="auto" w:before="166"/>
        <w:ind w:left="112" w:right="121" w:firstLine="708"/>
        <w:jc w:val="both"/>
      </w:pPr>
      <w:r>
        <w:rPr/>
        <w:t>Para los estados del grupo I, que son los de mayor producto per cápita, si usaba PROCAMPO para invertir un 56.83% y para consumo un 43.18%, da la impresión que para este grupo, los recursos del PROCAMPO en buena medida son ingresos extras, que les permiten elevar su consumo.</w:t>
      </w:r>
    </w:p>
    <w:p>
      <w:pPr>
        <w:pStyle w:val="Heading5"/>
        <w:numPr>
          <w:ilvl w:val="1"/>
          <w:numId w:val="4"/>
        </w:numPr>
        <w:tabs>
          <w:tab w:pos="714" w:val="left" w:leader="none"/>
        </w:tabs>
        <w:spacing w:line="240" w:lineRule="auto" w:before="168" w:after="0"/>
        <w:ind w:left="713" w:right="0" w:hanging="601"/>
        <w:jc w:val="both"/>
      </w:pPr>
      <w:r>
        <w:rPr/>
        <w:t>Cuarta conclusión a nivel de población del</w:t>
      </w:r>
      <w:r>
        <w:rPr>
          <w:spacing w:val="-15"/>
        </w:rPr>
        <w:t> </w:t>
      </w:r>
      <w:r>
        <w:rPr/>
        <w:t>PROCAMPO</w:t>
      </w:r>
    </w:p>
    <w:p>
      <w:pPr>
        <w:pStyle w:val="BodyText"/>
        <w:spacing w:line="259" w:lineRule="auto" w:before="180"/>
        <w:ind w:left="112" w:right="113"/>
        <w:jc w:val="both"/>
      </w:pPr>
      <w:r>
        <w:rPr/>
        <w:t>Con los datos disponibles se puede inferir que los recursos del PROCAMPO en su mayor parte (60.4%) se estaban usando, antes del 2004, para invertir. Los grupos de mayor producto per cápita puede que los están usando para lograr una conversión productiva amplia. En cambio, los estados de menor producto per cápita puede que estuvieran invirtiendo los recursos per cápita en mejorar su rendimiento por hectárea de los nueve cultivos básicos: maíz, frijol, sorgo, soya, trigo, cártamo, cebada, algodón y  arroz, pero poco a una conversión productiva más</w:t>
      </w:r>
      <w:r>
        <w:rPr>
          <w:spacing w:val="-5"/>
        </w:rPr>
        <w:t> </w:t>
      </w:r>
      <w:r>
        <w:rPr/>
        <w:t>amplia.</w:t>
      </w:r>
    </w:p>
    <w:p>
      <w:pPr>
        <w:pStyle w:val="Heading5"/>
        <w:numPr>
          <w:ilvl w:val="1"/>
          <w:numId w:val="4"/>
        </w:numPr>
        <w:tabs>
          <w:tab w:pos="714" w:val="left" w:leader="none"/>
        </w:tabs>
        <w:spacing w:line="240" w:lineRule="auto" w:before="166" w:after="0"/>
        <w:ind w:left="713" w:right="0" w:hanging="601"/>
        <w:jc w:val="both"/>
      </w:pPr>
      <w:r>
        <w:rPr/>
        <w:t>Conclusiones</w:t>
      </w:r>
      <w:r>
        <w:rPr>
          <w:spacing w:val="-6"/>
        </w:rPr>
        <w:t> </w:t>
      </w:r>
      <w:r>
        <w:rPr/>
        <w:t>generales</w:t>
      </w:r>
    </w:p>
    <w:p>
      <w:pPr>
        <w:pStyle w:val="ListParagraph"/>
        <w:numPr>
          <w:ilvl w:val="1"/>
          <w:numId w:val="4"/>
        </w:numPr>
        <w:tabs>
          <w:tab w:pos="714" w:val="left" w:leader="none"/>
        </w:tabs>
        <w:spacing w:line="240" w:lineRule="auto" w:before="183" w:after="0"/>
        <w:ind w:left="713" w:right="0" w:hanging="601"/>
        <w:jc w:val="both"/>
        <w:rPr>
          <w:b/>
          <w:sz w:val="24"/>
        </w:rPr>
      </w:pPr>
      <w:r>
        <w:rPr>
          <w:b/>
          <w:sz w:val="24"/>
        </w:rPr>
        <w:t>Conclusión 1</w:t>
      </w:r>
    </w:p>
    <w:p>
      <w:pPr>
        <w:pStyle w:val="BodyText"/>
        <w:spacing w:line="256" w:lineRule="auto" w:before="180"/>
        <w:ind w:left="112" w:right="113"/>
        <w:jc w:val="both"/>
      </w:pPr>
      <w:r>
        <w:rPr/>
        <w:t>El gasto en consumo productivo de los beneficiarios es mayor en la medida que posee más superficie y más grande es el producto per cápita en el Estado. Así, los estados y estratos calificados como menores tienen un porcentaje mayor en gasto de consumo doméstico.</w:t>
      </w:r>
    </w:p>
    <w:p>
      <w:pPr>
        <w:pStyle w:val="BodyText"/>
        <w:spacing w:line="256" w:lineRule="auto" w:before="166"/>
        <w:ind w:left="112" w:right="115" w:firstLine="708"/>
        <w:jc w:val="both"/>
      </w:pPr>
      <w:r>
        <w:rPr/>
        <w:t>Anteriormente se estimó el impacto del PROCAMPO y la Alianza en el producto per cápita y  en la formación bruta de capital per cápita. El modelo que se usó</w:t>
      </w:r>
      <w:r>
        <w:rPr>
          <w:spacing w:val="-9"/>
        </w:rPr>
        <w:t> </w:t>
      </w:r>
      <w:r>
        <w:rPr/>
        <w:t>fue:</w:t>
      </w:r>
    </w:p>
    <w:p>
      <w:pPr>
        <w:pStyle w:val="BodyText"/>
        <w:spacing w:before="10"/>
        <w:rPr>
          <w:sz w:val="8"/>
        </w:rPr>
      </w:pPr>
    </w:p>
    <w:p>
      <w:pPr>
        <w:spacing w:after="0"/>
        <w:rPr>
          <w:sz w:val="8"/>
        </w:rPr>
        <w:sectPr>
          <w:type w:val="continuous"/>
          <w:pgSz w:w="12240" w:h="15840"/>
          <w:pgMar w:top="0" w:bottom="0" w:left="1020" w:right="1020"/>
        </w:sectPr>
      </w:pPr>
    </w:p>
    <w:p>
      <w:pPr>
        <w:spacing w:before="76"/>
        <w:ind w:left="154" w:right="0" w:firstLine="0"/>
        <w:jc w:val="left"/>
        <w:rPr>
          <w:rFonts w:ascii="Arial" w:hAnsi="Arial"/>
          <w:i/>
          <w:sz w:val="14"/>
        </w:rPr>
      </w:pPr>
      <w:r>
        <w:rPr>
          <w:rFonts w:ascii="Arial" w:hAnsi="Arial"/>
          <w:i/>
          <w:sz w:val="22"/>
        </w:rPr>
        <w:t>y </w:t>
      </w:r>
      <w:r>
        <w:rPr>
          <w:rFonts w:ascii="Symbol" w:hAnsi="Symbol"/>
          <w:sz w:val="22"/>
        </w:rPr>
        <w:t></w:t>
      </w:r>
      <w:r>
        <w:rPr>
          <w:sz w:val="22"/>
        </w:rPr>
        <w:t> </w:t>
      </w:r>
      <w:r>
        <w:rPr>
          <w:rFonts w:ascii="Arial" w:hAnsi="Arial"/>
          <w:i/>
          <w:sz w:val="22"/>
        </w:rPr>
        <w:t>Ak</w:t>
      </w:r>
      <w:r>
        <w:rPr>
          <w:rFonts w:ascii="Symbol" w:hAnsi="Symbol"/>
          <w:i/>
          <w:position w:val="10"/>
          <w:sz w:val="15"/>
        </w:rPr>
        <w:t></w:t>
      </w:r>
      <w:r>
        <w:rPr>
          <w:i/>
          <w:position w:val="10"/>
          <w:sz w:val="15"/>
        </w:rPr>
        <w:t>  </w:t>
      </w:r>
      <w:r>
        <w:rPr>
          <w:rFonts w:ascii="Arial" w:hAnsi="Arial"/>
          <w:i/>
          <w:position w:val="-3"/>
          <w:sz w:val="24"/>
        </w:rPr>
        <w:t>e</w:t>
      </w:r>
      <w:r>
        <w:rPr>
          <w:rFonts w:ascii="Arial" w:hAnsi="Arial"/>
          <w:i/>
          <w:position w:val="10"/>
          <w:sz w:val="14"/>
        </w:rPr>
        <w:t>t</w:t>
      </w:r>
    </w:p>
    <w:p>
      <w:pPr>
        <w:spacing w:before="210"/>
        <w:ind w:left="154" w:right="0" w:firstLine="0"/>
        <w:jc w:val="left"/>
        <w:rPr>
          <w:sz w:val="24"/>
        </w:rPr>
      </w:pPr>
      <w:r>
        <w:rPr/>
        <w:br w:type="column"/>
      </w:r>
      <w:r>
        <w:rPr>
          <w:sz w:val="24"/>
        </w:rPr>
        <w:t>(2)</w:t>
      </w:r>
    </w:p>
    <w:p>
      <w:pPr>
        <w:spacing w:after="0"/>
        <w:jc w:val="left"/>
        <w:rPr>
          <w:sz w:val="24"/>
        </w:rPr>
        <w:sectPr>
          <w:type w:val="continuous"/>
          <w:pgSz w:w="12240" w:h="15840"/>
          <w:pgMar w:top="0" w:bottom="0" w:left="1020" w:right="1020"/>
          <w:cols w:num="2" w:equalWidth="0">
            <w:col w:w="1158" w:space="8439"/>
            <w:col w:w="603"/>
          </w:cols>
        </w:sectPr>
      </w:pPr>
    </w:p>
    <w:p>
      <w:pPr>
        <w:spacing w:before="167"/>
        <w:ind w:left="145" w:right="-1" w:firstLine="0"/>
        <w:jc w:val="left"/>
        <w:rPr>
          <w:rFonts w:ascii="Symbol" w:hAnsi="Symbol"/>
          <w:i/>
          <w:sz w:val="15"/>
        </w:rPr>
      </w:pPr>
      <w:r>
        <w:rPr>
          <w:rFonts w:ascii="Arial" w:hAnsi="Arial"/>
          <w:i/>
          <w:w w:val="105"/>
          <w:position w:val="2"/>
          <w:sz w:val="22"/>
        </w:rPr>
        <w:t>k </w:t>
      </w:r>
      <w:r>
        <w:rPr>
          <w:rFonts w:ascii="Symbol" w:hAnsi="Symbol"/>
          <w:w w:val="105"/>
          <w:position w:val="2"/>
          <w:sz w:val="22"/>
        </w:rPr>
        <w:t></w:t>
      </w:r>
      <w:r>
        <w:rPr>
          <w:w w:val="105"/>
          <w:position w:val="2"/>
          <w:sz w:val="22"/>
        </w:rPr>
        <w:t> </w:t>
      </w:r>
      <w:r>
        <w:rPr>
          <w:rFonts w:ascii="Arial" w:hAnsi="Arial"/>
          <w:i/>
          <w:w w:val="105"/>
          <w:position w:val="2"/>
          <w:sz w:val="22"/>
        </w:rPr>
        <w:t>A</w:t>
      </w:r>
      <w:r>
        <w:rPr>
          <w:rFonts w:ascii="Arial" w:hAnsi="Arial"/>
          <w:i/>
          <w:w w:val="105"/>
          <w:sz w:val="24"/>
        </w:rPr>
        <w:t>p</w:t>
      </w:r>
      <w:r>
        <w:rPr>
          <w:rFonts w:ascii="Symbol" w:hAnsi="Symbol"/>
          <w:i/>
          <w:w w:val="105"/>
          <w:position w:val="13"/>
          <w:sz w:val="15"/>
        </w:rPr>
        <w:t></w:t>
      </w:r>
    </w:p>
    <w:p>
      <w:pPr>
        <w:pStyle w:val="BodyText"/>
        <w:spacing w:before="4"/>
        <w:rPr>
          <w:rFonts w:ascii="Symbol" w:hAnsi="Symbol"/>
          <w:i/>
          <w:sz w:val="20"/>
        </w:rPr>
      </w:pPr>
      <w:r>
        <w:rPr/>
        <w:br w:type="column"/>
      </w:r>
      <w:r>
        <w:rPr>
          <w:rFonts w:ascii="Symbol" w:hAnsi="Symbol"/>
          <w:i/>
          <w:sz w:val="20"/>
        </w:rPr>
      </w:r>
    </w:p>
    <w:p>
      <w:pPr>
        <w:spacing w:before="0"/>
        <w:ind w:left="14" w:right="-18" w:firstLine="0"/>
        <w:jc w:val="left"/>
        <w:rPr>
          <w:rFonts w:ascii="Arial" w:hAnsi="Arial"/>
          <w:sz w:val="14"/>
        </w:rPr>
      </w:pPr>
      <w:r>
        <w:rPr/>
        <w:pict>
          <v:shape style="position:absolute;margin-left:102.058289pt;margin-top:-1.571224pt;width:3.9pt;height:7.45pt;mso-position-horizontal-relative:page;mso-position-vertical-relative:paragraph;z-index:-45664" type="#_x0000_t202" filled="false" stroked="false">
            <v:textbox inset="0,0,0,0">
              <w:txbxContent>
                <w:p>
                  <w:pPr>
                    <w:spacing w:line="148" w:lineRule="exact" w:before="0"/>
                    <w:ind w:left="0" w:right="0" w:firstLine="0"/>
                    <w:jc w:val="left"/>
                    <w:rPr>
                      <w:rFonts w:ascii="Symbol" w:hAnsi="Symbol"/>
                      <w:i/>
                      <w:sz w:val="15"/>
                    </w:rPr>
                  </w:pPr>
                  <w:r>
                    <w:rPr>
                      <w:rFonts w:ascii="Symbol" w:hAnsi="Symbol"/>
                      <w:i/>
                      <w:w w:val="99"/>
                      <w:sz w:val="15"/>
                    </w:rPr>
                    <w:t></w:t>
                  </w:r>
                </w:p>
              </w:txbxContent>
            </v:textbox>
            <w10:wrap type="none"/>
          </v:shape>
        </w:pict>
      </w:r>
      <w:r>
        <w:rPr>
          <w:rFonts w:ascii="Arial" w:hAnsi="Arial"/>
          <w:i/>
          <w:w w:val="105"/>
          <w:position w:val="1"/>
          <w:sz w:val="24"/>
        </w:rPr>
        <w:t>l  </w:t>
      </w:r>
      <w:r>
        <w:rPr>
          <w:rFonts w:ascii="Arial" w:hAnsi="Arial"/>
          <w:i/>
          <w:spacing w:val="4"/>
          <w:w w:val="105"/>
          <w:position w:val="1"/>
          <w:sz w:val="24"/>
        </w:rPr>
        <w:t>k</w:t>
      </w:r>
      <w:r>
        <w:rPr>
          <w:rFonts w:ascii="Arial" w:hAnsi="Arial"/>
          <w:i/>
          <w:spacing w:val="4"/>
          <w:w w:val="105"/>
          <w:sz w:val="14"/>
        </w:rPr>
        <w:t>t</w:t>
      </w:r>
      <w:r>
        <w:rPr>
          <w:rFonts w:ascii="Arial" w:hAnsi="Arial"/>
          <w:i/>
          <w:spacing w:val="-30"/>
          <w:w w:val="105"/>
          <w:sz w:val="14"/>
        </w:rPr>
        <w:t> </w:t>
      </w:r>
      <w:r>
        <w:rPr>
          <w:rFonts w:ascii="Symbol" w:hAnsi="Symbol"/>
          <w:spacing w:val="-3"/>
          <w:w w:val="105"/>
          <w:sz w:val="14"/>
        </w:rPr>
        <w:t></w:t>
      </w:r>
      <w:r>
        <w:rPr>
          <w:rFonts w:ascii="Arial" w:hAnsi="Arial"/>
          <w:spacing w:val="-3"/>
          <w:w w:val="105"/>
          <w:sz w:val="14"/>
        </w:rPr>
        <w:t>1</w:t>
      </w:r>
    </w:p>
    <w:p>
      <w:pPr>
        <w:pStyle w:val="BodyText"/>
        <w:spacing w:before="9"/>
        <w:rPr>
          <w:rFonts w:ascii="Arial"/>
          <w:sz w:val="27"/>
        </w:rPr>
      </w:pPr>
      <w:r>
        <w:rPr/>
        <w:br w:type="column"/>
      </w:r>
      <w:r>
        <w:rPr>
          <w:rFonts w:ascii="Arial"/>
          <w:sz w:val="27"/>
        </w:rPr>
      </w:r>
    </w:p>
    <w:p>
      <w:pPr>
        <w:pStyle w:val="BodyText"/>
        <w:ind w:left="145"/>
      </w:pPr>
      <w:r>
        <w:rPr/>
        <w:t>(3)</w:t>
      </w:r>
    </w:p>
    <w:p>
      <w:pPr>
        <w:spacing w:after="0"/>
        <w:sectPr>
          <w:pgSz w:w="12240" w:h="15840"/>
          <w:pgMar w:header="731" w:footer="0" w:top="960" w:bottom="280" w:left="1020" w:right="1020"/>
          <w:cols w:num="3" w:equalWidth="0">
            <w:col w:w="901" w:space="40"/>
            <w:col w:w="555" w:space="8157"/>
            <w:col w:w="547"/>
          </w:cols>
        </w:sectPr>
      </w:pPr>
    </w:p>
    <w:p>
      <w:pPr>
        <w:pStyle w:val="BodyText"/>
        <w:spacing w:before="10"/>
        <w:rPr>
          <w:sz w:val="9"/>
        </w:rPr>
      </w:pPr>
    </w:p>
    <w:p>
      <w:pPr>
        <w:pStyle w:val="BodyText"/>
        <w:spacing w:line="398" w:lineRule="auto" w:before="69"/>
        <w:ind w:left="821" w:right="7039"/>
      </w:pPr>
      <w:r>
        <w:rPr/>
        <w:t>Donde: (en logaritmos) y = Producto per cápita.</w:t>
      </w:r>
    </w:p>
    <w:p>
      <w:pPr>
        <w:pStyle w:val="BodyText"/>
        <w:spacing w:line="398" w:lineRule="auto" w:before="7"/>
        <w:ind w:left="821" w:right="5345"/>
      </w:pPr>
      <w:r>
        <w:rPr/>
        <w:t>k = Formación bruta de capital per cápita. p = PROCAMPO per cápita.</w:t>
      </w:r>
    </w:p>
    <w:p>
      <w:pPr>
        <w:pStyle w:val="BodyText"/>
        <w:spacing w:before="4"/>
        <w:ind w:left="821" w:right="6551"/>
      </w:pPr>
      <w:r>
        <w:rPr/>
        <w:t>l = Alianza per cápita.</w:t>
      </w:r>
    </w:p>
    <w:p>
      <w:pPr>
        <w:pStyle w:val="BodyText"/>
        <w:spacing w:before="182"/>
        <w:ind w:left="821" w:right="110"/>
      </w:pPr>
      <w:r>
        <w:rPr/>
        <w:t>Los multiplicadores de impacto que resultan son:</w:t>
      </w:r>
    </w:p>
    <w:p>
      <w:pPr>
        <w:pStyle w:val="Heading5"/>
        <w:spacing w:before="187"/>
        <w:ind w:left="3769" w:right="3769" w:firstLine="0"/>
        <w:jc w:val="center"/>
      </w:pPr>
      <w:r>
        <w:rPr/>
        <w:t>Tabla 27.9 (Tabla 27.8)</w:t>
      </w:r>
    </w:p>
    <w:p>
      <w:pPr>
        <w:pStyle w:val="BodyText"/>
        <w:spacing w:before="1"/>
        <w:rPr>
          <w:b/>
          <w:sz w:val="16"/>
        </w:rPr>
      </w:pPr>
    </w:p>
    <w:tbl>
      <w:tblPr>
        <w:tblW w:w="0" w:type="auto"/>
        <w:jc w:val="left"/>
        <w:tblInd w:w="3334"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1042"/>
        <w:gridCol w:w="1239"/>
        <w:gridCol w:w="1241"/>
      </w:tblGrid>
      <w:tr>
        <w:trPr>
          <w:trHeight w:val="469" w:hRule="exact"/>
        </w:trPr>
        <w:tc>
          <w:tcPr>
            <w:tcW w:w="1042" w:type="dxa"/>
          </w:tcPr>
          <w:p>
            <w:pPr/>
          </w:p>
        </w:tc>
        <w:tc>
          <w:tcPr>
            <w:tcW w:w="1239" w:type="dxa"/>
          </w:tcPr>
          <w:p>
            <w:pPr>
              <w:pStyle w:val="TableParagraph"/>
              <w:spacing w:line="269" w:lineRule="exact"/>
              <w:rPr>
                <w:sz w:val="24"/>
              </w:rPr>
            </w:pPr>
            <w:r>
              <w:rPr>
                <w:w w:val="99"/>
                <w:sz w:val="24"/>
              </w:rPr>
              <w:t>Y</w:t>
            </w:r>
          </w:p>
        </w:tc>
        <w:tc>
          <w:tcPr>
            <w:tcW w:w="1241" w:type="dxa"/>
          </w:tcPr>
          <w:p>
            <w:pPr>
              <w:pStyle w:val="TableParagraph"/>
              <w:spacing w:line="269" w:lineRule="exact"/>
              <w:ind w:left="105"/>
              <w:rPr>
                <w:sz w:val="24"/>
              </w:rPr>
            </w:pPr>
            <w:r>
              <w:rPr>
                <w:sz w:val="24"/>
              </w:rPr>
              <w:t>k</w:t>
            </w:r>
          </w:p>
        </w:tc>
      </w:tr>
      <w:tr>
        <w:trPr>
          <w:trHeight w:val="468" w:hRule="exact"/>
        </w:trPr>
        <w:tc>
          <w:tcPr>
            <w:tcW w:w="1042" w:type="dxa"/>
          </w:tcPr>
          <w:p>
            <w:pPr>
              <w:pStyle w:val="TableParagraph"/>
              <w:ind w:left="105"/>
              <w:rPr>
                <w:sz w:val="24"/>
              </w:rPr>
            </w:pPr>
            <w:r>
              <w:rPr>
                <w:sz w:val="24"/>
              </w:rPr>
              <w:t>p</w:t>
            </w:r>
          </w:p>
        </w:tc>
        <w:tc>
          <w:tcPr>
            <w:tcW w:w="1239" w:type="dxa"/>
          </w:tcPr>
          <w:p>
            <w:pPr>
              <w:pStyle w:val="TableParagraph"/>
              <w:rPr>
                <w:sz w:val="24"/>
              </w:rPr>
            </w:pPr>
            <w:r>
              <w:rPr>
                <w:sz w:val="24"/>
              </w:rPr>
              <w:t>0.54%</w:t>
            </w:r>
          </w:p>
        </w:tc>
        <w:tc>
          <w:tcPr>
            <w:tcW w:w="1241" w:type="dxa"/>
          </w:tcPr>
          <w:p>
            <w:pPr>
              <w:pStyle w:val="TableParagraph"/>
              <w:ind w:left="105"/>
              <w:rPr>
                <w:sz w:val="24"/>
              </w:rPr>
            </w:pPr>
            <w:r>
              <w:rPr>
                <w:sz w:val="24"/>
              </w:rPr>
              <w:t>0.96%</w:t>
            </w:r>
          </w:p>
        </w:tc>
      </w:tr>
      <w:tr>
        <w:trPr>
          <w:trHeight w:val="468" w:hRule="exact"/>
        </w:trPr>
        <w:tc>
          <w:tcPr>
            <w:tcW w:w="1042" w:type="dxa"/>
          </w:tcPr>
          <w:p>
            <w:pPr>
              <w:pStyle w:val="TableParagraph"/>
              <w:ind w:left="105"/>
              <w:rPr>
                <w:sz w:val="24"/>
              </w:rPr>
            </w:pPr>
            <w:r>
              <w:rPr>
                <w:sz w:val="24"/>
              </w:rPr>
              <w:t>l</w:t>
            </w:r>
          </w:p>
        </w:tc>
        <w:tc>
          <w:tcPr>
            <w:tcW w:w="1239" w:type="dxa"/>
          </w:tcPr>
          <w:p>
            <w:pPr>
              <w:pStyle w:val="TableParagraph"/>
              <w:rPr>
                <w:sz w:val="24"/>
              </w:rPr>
            </w:pPr>
            <w:r>
              <w:rPr>
                <w:sz w:val="24"/>
              </w:rPr>
              <w:t>0.10%</w:t>
            </w:r>
          </w:p>
        </w:tc>
        <w:tc>
          <w:tcPr>
            <w:tcW w:w="1241" w:type="dxa"/>
          </w:tcPr>
          <w:p>
            <w:pPr>
              <w:pStyle w:val="TableParagraph"/>
              <w:ind w:left="105"/>
              <w:rPr>
                <w:sz w:val="24"/>
              </w:rPr>
            </w:pPr>
            <w:r>
              <w:rPr>
                <w:sz w:val="24"/>
              </w:rPr>
              <w:t>0.17%</w:t>
            </w:r>
          </w:p>
        </w:tc>
      </w:tr>
    </w:tbl>
    <w:p>
      <w:pPr>
        <w:pStyle w:val="BodyText"/>
        <w:rPr>
          <w:b/>
          <w:sz w:val="20"/>
        </w:rPr>
      </w:pPr>
    </w:p>
    <w:p>
      <w:pPr>
        <w:pStyle w:val="BodyText"/>
        <w:spacing w:before="10"/>
        <w:rPr>
          <w:b/>
          <w:sz w:val="18"/>
        </w:rPr>
      </w:pPr>
    </w:p>
    <w:p>
      <w:pPr>
        <w:pStyle w:val="BodyText"/>
        <w:spacing w:before="1"/>
        <w:ind w:left="1529" w:right="110"/>
      </w:pPr>
      <w:r>
        <w:rPr/>
        <w:t>Y los multiplicadores de largo plazo son:</w:t>
      </w:r>
    </w:p>
    <w:p>
      <w:pPr>
        <w:pStyle w:val="Heading5"/>
        <w:spacing w:before="187"/>
        <w:ind w:left="3769" w:right="3769" w:firstLine="0"/>
        <w:jc w:val="center"/>
      </w:pPr>
      <w:r>
        <w:rPr/>
        <w:t>Tabla 27.10 (Tabla 27.10)</w:t>
      </w:r>
    </w:p>
    <w:p>
      <w:pPr>
        <w:pStyle w:val="BodyText"/>
        <w:spacing w:before="1"/>
        <w:rPr>
          <w:b/>
          <w:sz w:val="16"/>
        </w:rPr>
      </w:pPr>
    </w:p>
    <w:tbl>
      <w:tblPr>
        <w:tblW w:w="0" w:type="auto"/>
        <w:jc w:val="left"/>
        <w:tblInd w:w="332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6"/>
        <w:gridCol w:w="1390"/>
        <w:gridCol w:w="1479"/>
      </w:tblGrid>
      <w:tr>
        <w:trPr>
          <w:trHeight w:val="480" w:hRule="exact"/>
        </w:trPr>
        <w:tc>
          <w:tcPr>
            <w:tcW w:w="666" w:type="dxa"/>
            <w:tcBorders>
              <w:top w:val="single" w:sz="12" w:space="0" w:color="008000"/>
              <w:bottom w:val="single" w:sz="6" w:space="0" w:color="008000"/>
            </w:tcBorders>
          </w:tcPr>
          <w:p>
            <w:pPr/>
          </w:p>
        </w:tc>
        <w:tc>
          <w:tcPr>
            <w:tcW w:w="1390" w:type="dxa"/>
            <w:tcBorders>
              <w:top w:val="single" w:sz="12" w:space="0" w:color="008000"/>
              <w:bottom w:val="single" w:sz="6" w:space="0" w:color="008000"/>
            </w:tcBorders>
          </w:tcPr>
          <w:p>
            <w:pPr>
              <w:pStyle w:val="TableParagraph"/>
              <w:ind w:left="459"/>
              <w:rPr>
                <w:sz w:val="24"/>
              </w:rPr>
            </w:pPr>
            <w:r>
              <w:rPr>
                <w:sz w:val="24"/>
              </w:rPr>
              <w:t>y</w:t>
            </w:r>
          </w:p>
        </w:tc>
        <w:tc>
          <w:tcPr>
            <w:tcW w:w="1479" w:type="dxa"/>
            <w:tcBorders>
              <w:top w:val="single" w:sz="12" w:space="0" w:color="008000"/>
              <w:bottom w:val="single" w:sz="6" w:space="0" w:color="008000"/>
            </w:tcBorders>
          </w:tcPr>
          <w:p>
            <w:pPr>
              <w:pStyle w:val="TableParagraph"/>
              <w:ind w:left="310"/>
              <w:rPr>
                <w:sz w:val="24"/>
              </w:rPr>
            </w:pPr>
            <w:r>
              <w:rPr>
                <w:sz w:val="24"/>
              </w:rPr>
              <w:t>k</w:t>
            </w:r>
          </w:p>
        </w:tc>
      </w:tr>
      <w:tr>
        <w:trPr>
          <w:trHeight w:val="380" w:hRule="exact"/>
        </w:trPr>
        <w:tc>
          <w:tcPr>
            <w:tcW w:w="666" w:type="dxa"/>
            <w:tcBorders>
              <w:top w:val="single" w:sz="6" w:space="0" w:color="008000"/>
            </w:tcBorders>
          </w:tcPr>
          <w:p>
            <w:pPr>
              <w:pStyle w:val="TableParagraph"/>
              <w:ind w:left="86"/>
              <w:rPr>
                <w:sz w:val="24"/>
              </w:rPr>
            </w:pPr>
            <w:r>
              <w:rPr>
                <w:sz w:val="24"/>
              </w:rPr>
              <w:t>p</w:t>
            </w:r>
          </w:p>
        </w:tc>
        <w:tc>
          <w:tcPr>
            <w:tcW w:w="1390" w:type="dxa"/>
            <w:tcBorders>
              <w:top w:val="single" w:sz="6" w:space="0" w:color="008000"/>
            </w:tcBorders>
          </w:tcPr>
          <w:p>
            <w:pPr>
              <w:pStyle w:val="TableParagraph"/>
              <w:ind w:left="459"/>
              <w:rPr>
                <w:sz w:val="24"/>
              </w:rPr>
            </w:pPr>
            <w:r>
              <w:rPr>
                <w:sz w:val="24"/>
              </w:rPr>
              <w:t>1.09%</w:t>
            </w:r>
          </w:p>
        </w:tc>
        <w:tc>
          <w:tcPr>
            <w:tcW w:w="1479" w:type="dxa"/>
            <w:tcBorders>
              <w:top w:val="single" w:sz="6" w:space="0" w:color="008000"/>
            </w:tcBorders>
          </w:tcPr>
          <w:p>
            <w:pPr>
              <w:pStyle w:val="TableParagraph"/>
              <w:ind w:left="310"/>
              <w:rPr>
                <w:sz w:val="24"/>
              </w:rPr>
            </w:pPr>
            <w:r>
              <w:rPr>
                <w:sz w:val="24"/>
              </w:rPr>
              <w:t>1.92%</w:t>
            </w:r>
          </w:p>
        </w:tc>
      </w:tr>
      <w:tr>
        <w:trPr>
          <w:trHeight w:val="559" w:hRule="exact"/>
        </w:trPr>
        <w:tc>
          <w:tcPr>
            <w:tcW w:w="666" w:type="dxa"/>
            <w:tcBorders>
              <w:bottom w:val="single" w:sz="12" w:space="0" w:color="008000"/>
            </w:tcBorders>
          </w:tcPr>
          <w:p>
            <w:pPr>
              <w:pStyle w:val="TableParagraph"/>
              <w:spacing w:line="240" w:lineRule="auto" w:before="78"/>
              <w:ind w:left="86"/>
              <w:rPr>
                <w:sz w:val="24"/>
              </w:rPr>
            </w:pPr>
            <w:r>
              <w:rPr>
                <w:sz w:val="24"/>
              </w:rPr>
              <w:t>l</w:t>
            </w:r>
          </w:p>
        </w:tc>
        <w:tc>
          <w:tcPr>
            <w:tcW w:w="1390" w:type="dxa"/>
            <w:tcBorders>
              <w:bottom w:val="single" w:sz="12" w:space="0" w:color="008000"/>
            </w:tcBorders>
          </w:tcPr>
          <w:p>
            <w:pPr>
              <w:pStyle w:val="TableParagraph"/>
              <w:spacing w:line="240" w:lineRule="auto" w:before="78"/>
              <w:ind w:left="459"/>
              <w:rPr>
                <w:sz w:val="24"/>
              </w:rPr>
            </w:pPr>
            <w:r>
              <w:rPr>
                <w:sz w:val="24"/>
              </w:rPr>
              <w:t>0.19%</w:t>
            </w:r>
          </w:p>
        </w:tc>
        <w:tc>
          <w:tcPr>
            <w:tcW w:w="1479" w:type="dxa"/>
            <w:tcBorders>
              <w:bottom w:val="single" w:sz="12" w:space="0" w:color="008000"/>
            </w:tcBorders>
          </w:tcPr>
          <w:p>
            <w:pPr>
              <w:pStyle w:val="TableParagraph"/>
              <w:spacing w:line="240" w:lineRule="auto" w:before="78"/>
              <w:ind w:left="310"/>
              <w:rPr>
                <w:sz w:val="24"/>
              </w:rPr>
            </w:pPr>
            <w:r>
              <w:rPr>
                <w:sz w:val="24"/>
              </w:rPr>
              <w:t>0.34%</w:t>
            </w:r>
          </w:p>
        </w:tc>
      </w:tr>
    </w:tbl>
    <w:p>
      <w:pPr>
        <w:pStyle w:val="BodyText"/>
        <w:rPr>
          <w:b/>
          <w:sz w:val="20"/>
        </w:rPr>
      </w:pPr>
    </w:p>
    <w:p>
      <w:pPr>
        <w:pStyle w:val="BodyText"/>
        <w:spacing w:before="6"/>
        <w:rPr>
          <w:b/>
          <w:sz w:val="25"/>
        </w:rPr>
      </w:pPr>
    </w:p>
    <w:p>
      <w:pPr>
        <w:pStyle w:val="BodyText"/>
        <w:spacing w:line="256" w:lineRule="auto"/>
        <w:ind w:left="112" w:right="110" w:firstLine="708"/>
      </w:pPr>
      <w:r>
        <w:rPr/>
        <w:pict>
          <v:shape style="position:absolute;margin-left:441.463959pt;margin-top:-.80277pt;width:1.95pt;height:7.25pt;mso-position-horizontal-relative:page;mso-position-vertical-relative:paragraph;z-index:-45688" type="#_x0000_t202" filled="false" stroked="false">
            <v:textbox inset="0,0,0,0">
              <w:txbxContent>
                <w:p>
                  <w:pPr>
                    <w:spacing w:line="145" w:lineRule="exact" w:before="0"/>
                    <w:ind w:left="0" w:right="0" w:firstLine="0"/>
                    <w:jc w:val="left"/>
                    <w:rPr>
                      <w:rFonts w:ascii="Arial"/>
                      <w:i/>
                      <w:sz w:val="14"/>
                    </w:rPr>
                  </w:pPr>
                  <w:r>
                    <w:rPr>
                      <w:rFonts w:ascii="Arial"/>
                      <w:i/>
                      <w:w w:val="99"/>
                      <w:sz w:val="14"/>
                    </w:rPr>
                    <w:t>t</w:t>
                  </w:r>
                </w:p>
              </w:txbxContent>
            </v:textbox>
            <w10:wrap type="none"/>
          </v:shape>
        </w:pict>
      </w:r>
      <w:r>
        <w:rPr/>
        <w:t>Se aplica este modelo a los datos de la encuesta. Esto es, sin tiempo ( </w:t>
      </w:r>
      <w:r>
        <w:rPr>
          <w:rFonts w:ascii="Arial" w:hAnsi="Arial"/>
          <w:i/>
          <w:position w:val="7"/>
          <w:sz w:val="25"/>
        </w:rPr>
        <w:t>e </w:t>
      </w:r>
      <w:r>
        <w:rPr/>
        <w:t>) ni rezago ( </w:t>
      </w:r>
      <w:r>
        <w:rPr>
          <w:rFonts w:ascii="Arial" w:hAnsi="Arial"/>
          <w:i/>
          <w:position w:val="6"/>
        </w:rPr>
        <w:t>k</w:t>
      </w:r>
      <w:r>
        <w:rPr>
          <w:rFonts w:ascii="Arial" w:hAnsi="Arial"/>
          <w:i/>
          <w:position w:val="4"/>
          <w:sz w:val="14"/>
        </w:rPr>
        <w:t>t </w:t>
      </w:r>
      <w:r>
        <w:rPr>
          <w:rFonts w:ascii="Symbol" w:hAnsi="Symbol"/>
          <w:position w:val="4"/>
          <w:sz w:val="14"/>
        </w:rPr>
        <w:t></w:t>
      </w:r>
      <w:r>
        <w:rPr>
          <w:rFonts w:ascii="Arial" w:hAnsi="Arial"/>
          <w:position w:val="4"/>
          <w:sz w:val="14"/>
        </w:rPr>
        <w:t>1 </w:t>
      </w:r>
      <w:r>
        <w:rPr/>
        <w:t>), los resultados en el corto plazo son (en logaritmos):</w:t>
      </w:r>
    </w:p>
    <w:p>
      <w:pPr>
        <w:pStyle w:val="BodyText"/>
        <w:rPr>
          <w:sz w:val="11"/>
        </w:rPr>
      </w:pPr>
    </w:p>
    <w:p>
      <w:pPr>
        <w:spacing w:after="0"/>
        <w:rPr>
          <w:sz w:val="11"/>
        </w:rPr>
        <w:sectPr>
          <w:type w:val="continuous"/>
          <w:pgSz w:w="12240" w:h="15840"/>
          <w:pgMar w:top="0" w:bottom="0" w:left="1020" w:right="1020"/>
        </w:sectPr>
      </w:pPr>
    </w:p>
    <w:p>
      <w:pPr>
        <w:spacing w:before="92"/>
        <w:ind w:left="862" w:right="0" w:firstLine="0"/>
        <w:jc w:val="left"/>
        <w:rPr>
          <w:rFonts w:ascii="Arial" w:hAnsi="Arial"/>
          <w:sz w:val="22"/>
        </w:rPr>
      </w:pPr>
      <w:r>
        <w:rPr>
          <w:rFonts w:ascii="Arial" w:hAnsi="Arial"/>
          <w:i/>
          <w:sz w:val="22"/>
        </w:rPr>
        <w:t>y </w:t>
      </w:r>
      <w:r>
        <w:rPr>
          <w:rFonts w:ascii="Symbol" w:hAnsi="Symbol"/>
          <w:sz w:val="22"/>
        </w:rPr>
        <w:t></w:t>
      </w:r>
      <w:r>
        <w:rPr>
          <w:sz w:val="22"/>
        </w:rPr>
        <w:t> </w:t>
      </w:r>
      <w:r>
        <w:rPr>
          <w:rFonts w:ascii="Arial" w:hAnsi="Arial"/>
          <w:sz w:val="22"/>
        </w:rPr>
        <w:t>1.965 </w:t>
      </w:r>
      <w:r>
        <w:rPr>
          <w:rFonts w:ascii="Symbol" w:hAnsi="Symbol"/>
          <w:sz w:val="22"/>
        </w:rPr>
        <w:t></w:t>
      </w:r>
      <w:r>
        <w:rPr>
          <w:sz w:val="22"/>
        </w:rPr>
        <w:t> </w:t>
      </w:r>
      <w:r>
        <w:rPr>
          <w:rFonts w:ascii="Arial" w:hAnsi="Arial"/>
          <w:sz w:val="22"/>
        </w:rPr>
        <w:t>1.11</w:t>
      </w:r>
      <w:r>
        <w:rPr>
          <w:rFonts w:ascii="Arial" w:hAnsi="Arial"/>
          <w:i/>
          <w:sz w:val="22"/>
        </w:rPr>
        <w:t>k</w:t>
      </w:r>
      <w:r>
        <w:rPr>
          <w:rFonts w:ascii="Arial" w:hAnsi="Arial"/>
          <w:sz w:val="22"/>
        </w:rPr>
        <w:t>;</w:t>
      </w:r>
    </w:p>
    <w:p>
      <w:pPr>
        <w:pStyle w:val="BodyText"/>
        <w:spacing w:before="2"/>
        <w:rPr>
          <w:rFonts w:ascii="Arial"/>
          <w:sz w:val="20"/>
        </w:rPr>
      </w:pPr>
    </w:p>
    <w:p>
      <w:pPr>
        <w:pStyle w:val="BodyText"/>
        <w:ind w:left="413"/>
      </w:pPr>
      <w:r>
        <w:rPr/>
        <w:t>(0.566) </w:t>
      </w:r>
      <w:r>
        <w:rPr>
          <w:spacing w:val="57"/>
        </w:rPr>
        <w:t> </w:t>
      </w:r>
      <w:r>
        <w:rPr/>
        <w:t>(0.206)</w:t>
      </w:r>
    </w:p>
    <w:p>
      <w:pPr>
        <w:pStyle w:val="BodyText"/>
        <w:spacing w:before="7"/>
        <w:rPr>
          <w:sz w:val="20"/>
        </w:rPr>
      </w:pPr>
    </w:p>
    <w:p>
      <w:pPr>
        <w:spacing w:before="0"/>
        <w:ind w:left="854" w:right="0" w:firstLine="0"/>
        <w:jc w:val="left"/>
        <w:rPr>
          <w:rFonts w:ascii="Arial" w:hAnsi="Arial"/>
          <w:sz w:val="22"/>
        </w:rPr>
      </w:pPr>
      <w:r>
        <w:rPr>
          <w:rFonts w:ascii="Arial" w:hAnsi="Arial"/>
          <w:i/>
          <w:sz w:val="22"/>
        </w:rPr>
        <w:t>k </w:t>
      </w:r>
      <w:r>
        <w:rPr>
          <w:rFonts w:ascii="Symbol" w:hAnsi="Symbol"/>
          <w:sz w:val="22"/>
        </w:rPr>
        <w:t></w:t>
      </w:r>
      <w:r>
        <w:rPr>
          <w:sz w:val="22"/>
        </w:rPr>
        <w:t> </w:t>
      </w:r>
      <w:r>
        <w:rPr>
          <w:rFonts w:ascii="Arial" w:hAnsi="Arial"/>
          <w:spacing w:val="-5"/>
          <w:sz w:val="22"/>
        </w:rPr>
        <w:t>0.176 </w:t>
      </w:r>
      <w:r>
        <w:rPr>
          <w:rFonts w:ascii="Symbol" w:hAnsi="Symbol"/>
          <w:sz w:val="22"/>
        </w:rPr>
        <w:t></w:t>
      </w:r>
      <w:r>
        <w:rPr>
          <w:sz w:val="22"/>
        </w:rPr>
        <w:t> </w:t>
      </w:r>
      <w:r>
        <w:rPr>
          <w:rFonts w:ascii="Arial" w:hAnsi="Arial"/>
          <w:spacing w:val="-2"/>
          <w:sz w:val="22"/>
        </w:rPr>
        <w:t>0.759</w:t>
      </w:r>
      <w:r>
        <w:rPr>
          <w:rFonts w:ascii="Arial" w:hAnsi="Arial"/>
          <w:i/>
          <w:spacing w:val="-2"/>
          <w:sz w:val="22"/>
        </w:rPr>
        <w:t>p </w:t>
      </w:r>
      <w:r>
        <w:rPr>
          <w:rFonts w:ascii="Symbol" w:hAnsi="Symbol"/>
          <w:sz w:val="22"/>
        </w:rPr>
        <w:t></w:t>
      </w:r>
      <w:r>
        <w:rPr>
          <w:sz w:val="22"/>
        </w:rPr>
        <w:t> </w:t>
      </w:r>
      <w:r>
        <w:rPr>
          <w:rFonts w:ascii="Arial" w:hAnsi="Arial"/>
          <w:spacing w:val="-3"/>
          <w:sz w:val="22"/>
        </w:rPr>
        <w:t>0.117</w:t>
      </w:r>
      <w:r>
        <w:rPr>
          <w:rFonts w:ascii="Arial" w:hAnsi="Arial"/>
          <w:i/>
          <w:spacing w:val="-3"/>
          <w:sz w:val="22"/>
        </w:rPr>
        <w:t>l</w:t>
      </w:r>
      <w:r>
        <w:rPr>
          <w:rFonts w:ascii="Arial" w:hAnsi="Arial"/>
          <w:spacing w:val="-3"/>
          <w:sz w:val="22"/>
        </w:rPr>
        <w:t>;</w:t>
      </w:r>
    </w:p>
    <w:p>
      <w:pPr>
        <w:spacing w:before="82"/>
        <w:ind w:left="413" w:right="0" w:firstLine="0"/>
        <w:jc w:val="left"/>
        <w:rPr>
          <w:rFonts w:ascii="Arial" w:hAnsi="Arial"/>
          <w:sz w:val="22"/>
        </w:rPr>
      </w:pPr>
      <w:r>
        <w:rPr/>
        <w:br w:type="column"/>
      </w:r>
      <w:r>
        <w:rPr>
          <w:rFonts w:ascii="Arial" w:hAnsi="Arial"/>
          <w:i/>
          <w:position w:val="-3"/>
          <w:sz w:val="24"/>
        </w:rPr>
        <w:t>R</w:t>
      </w:r>
      <w:r>
        <w:rPr>
          <w:rFonts w:ascii="Arial" w:hAnsi="Arial"/>
          <w:position w:val="10"/>
          <w:sz w:val="14"/>
        </w:rPr>
        <w:t>2  </w:t>
      </w:r>
      <w:r>
        <w:rPr>
          <w:rFonts w:ascii="Symbol" w:hAnsi="Symbol"/>
          <w:sz w:val="22"/>
        </w:rPr>
        <w:t></w:t>
      </w:r>
      <w:r>
        <w:rPr>
          <w:sz w:val="22"/>
        </w:rPr>
        <w:t> </w:t>
      </w:r>
      <w:r>
        <w:rPr>
          <w:rFonts w:ascii="Arial" w:hAnsi="Arial"/>
          <w:sz w:val="22"/>
        </w:rPr>
        <w:t>0.5683</w:t>
      </w:r>
    </w:p>
    <w:p>
      <w:pPr>
        <w:pStyle w:val="BodyText"/>
        <w:rPr>
          <w:rFonts w:ascii="Arial"/>
          <w:sz w:val="30"/>
        </w:rPr>
      </w:pPr>
    </w:p>
    <w:p>
      <w:pPr>
        <w:pStyle w:val="BodyText"/>
        <w:spacing w:before="3"/>
        <w:rPr>
          <w:rFonts w:ascii="Arial"/>
          <w:sz w:val="30"/>
        </w:rPr>
      </w:pPr>
    </w:p>
    <w:p>
      <w:pPr>
        <w:spacing w:before="0"/>
        <w:ind w:left="627" w:right="0" w:firstLine="0"/>
        <w:jc w:val="left"/>
        <w:rPr>
          <w:rFonts w:ascii="Arial" w:hAnsi="Arial"/>
          <w:sz w:val="22"/>
        </w:rPr>
      </w:pPr>
      <w:r>
        <w:rPr>
          <w:rFonts w:ascii="Arial" w:hAnsi="Arial"/>
          <w:i/>
          <w:position w:val="-3"/>
          <w:sz w:val="24"/>
        </w:rPr>
        <w:t>R</w:t>
      </w:r>
      <w:r>
        <w:rPr>
          <w:rFonts w:ascii="Arial" w:hAnsi="Arial"/>
          <w:position w:val="10"/>
          <w:sz w:val="14"/>
        </w:rPr>
        <w:t>2 </w:t>
      </w:r>
      <w:r>
        <w:rPr>
          <w:rFonts w:ascii="Symbol" w:hAnsi="Symbol"/>
          <w:sz w:val="22"/>
        </w:rPr>
        <w:t></w:t>
      </w:r>
      <w:r>
        <w:rPr>
          <w:sz w:val="22"/>
        </w:rPr>
        <w:t> </w:t>
      </w:r>
      <w:r>
        <w:rPr>
          <w:rFonts w:ascii="Arial" w:hAnsi="Arial"/>
          <w:sz w:val="22"/>
        </w:rPr>
        <w:t>0.3968</w:t>
      </w:r>
    </w:p>
    <w:p>
      <w:pPr>
        <w:spacing w:after="0"/>
        <w:jc w:val="left"/>
        <w:rPr>
          <w:rFonts w:ascii="Arial" w:hAnsi="Arial"/>
          <w:sz w:val="22"/>
        </w:rPr>
        <w:sectPr>
          <w:type w:val="continuous"/>
          <w:pgSz w:w="12240" w:h="15840"/>
          <w:pgMar w:top="0" w:bottom="0" w:left="1020" w:right="1020"/>
          <w:cols w:num="2" w:equalWidth="0">
            <w:col w:w="3541" w:space="242"/>
            <w:col w:w="6417"/>
          </w:cols>
        </w:sectPr>
      </w:pPr>
    </w:p>
    <w:p>
      <w:pPr>
        <w:pStyle w:val="BodyText"/>
        <w:spacing w:before="6"/>
        <w:rPr>
          <w:rFonts w:ascii="Arial"/>
          <w:sz w:val="10"/>
        </w:rPr>
      </w:pPr>
    </w:p>
    <w:p>
      <w:pPr>
        <w:pStyle w:val="BodyText"/>
        <w:tabs>
          <w:tab w:pos="2292" w:val="left" w:leader="none"/>
          <w:tab w:pos="3832" w:val="left" w:leader="none"/>
        </w:tabs>
        <w:spacing w:before="69"/>
        <w:ind w:left="473" w:right="110"/>
      </w:pPr>
      <w:r>
        <w:rPr/>
        <w:t>(0.618)</w:t>
      </w:r>
      <w:r>
        <w:rPr>
          <w:spacing w:val="58"/>
        </w:rPr>
        <w:t> </w:t>
      </w:r>
      <w:r>
        <w:rPr/>
        <w:t>(0.226)</w:t>
        <w:tab/>
        <w:t>(0.361)</w:t>
        <w:tab/>
        <w:t>(error</w:t>
      </w:r>
      <w:r>
        <w:rPr>
          <w:spacing w:val="-5"/>
        </w:rPr>
        <w:t> </w:t>
      </w:r>
      <w:r>
        <w:rPr/>
        <w:t>estándar).</w:t>
      </w:r>
    </w:p>
    <w:p>
      <w:pPr>
        <w:pStyle w:val="BodyText"/>
        <w:spacing w:before="182"/>
        <w:ind w:left="821" w:right="7378"/>
      </w:pPr>
      <w:r>
        <w:rPr/>
        <w:t>Esto es;</w:t>
      </w:r>
    </w:p>
    <w:p>
      <w:pPr>
        <w:spacing w:after="0"/>
        <w:sectPr>
          <w:type w:val="continuous"/>
          <w:pgSz w:w="12240" w:h="15840"/>
          <w:pgMar w:top="0" w:bottom="0" w:left="1020" w:right="1020"/>
        </w:sectPr>
      </w:pPr>
    </w:p>
    <w:p>
      <w:pPr>
        <w:pStyle w:val="Heading5"/>
        <w:spacing w:before="158"/>
        <w:ind w:left="3769" w:right="3769" w:firstLine="0"/>
        <w:jc w:val="center"/>
      </w:pPr>
      <w:r>
        <w:rPr/>
        <w:t>Tabla 27.11</w:t>
      </w:r>
    </w:p>
    <w:p>
      <w:pPr>
        <w:pStyle w:val="BodyText"/>
        <w:spacing w:before="1"/>
        <w:rPr>
          <w:b/>
          <w:sz w:val="16"/>
        </w:rPr>
      </w:pPr>
    </w:p>
    <w:tbl>
      <w:tblPr>
        <w:tblW w:w="0" w:type="auto"/>
        <w:jc w:val="left"/>
        <w:tblInd w:w="3334"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1042"/>
        <w:gridCol w:w="1239"/>
        <w:gridCol w:w="1241"/>
      </w:tblGrid>
      <w:tr>
        <w:trPr>
          <w:trHeight w:val="468" w:hRule="exact"/>
        </w:trPr>
        <w:tc>
          <w:tcPr>
            <w:tcW w:w="1042" w:type="dxa"/>
          </w:tcPr>
          <w:p>
            <w:pPr/>
          </w:p>
        </w:tc>
        <w:tc>
          <w:tcPr>
            <w:tcW w:w="1239" w:type="dxa"/>
          </w:tcPr>
          <w:p>
            <w:pPr>
              <w:pStyle w:val="TableParagraph"/>
              <w:rPr>
                <w:sz w:val="24"/>
              </w:rPr>
            </w:pPr>
            <w:r>
              <w:rPr>
                <w:sz w:val="24"/>
              </w:rPr>
              <w:t>y</w:t>
            </w:r>
          </w:p>
        </w:tc>
        <w:tc>
          <w:tcPr>
            <w:tcW w:w="1241" w:type="dxa"/>
          </w:tcPr>
          <w:p>
            <w:pPr>
              <w:pStyle w:val="TableParagraph"/>
              <w:ind w:left="105"/>
              <w:rPr>
                <w:sz w:val="24"/>
              </w:rPr>
            </w:pPr>
            <w:r>
              <w:rPr>
                <w:sz w:val="24"/>
              </w:rPr>
              <w:t>k</w:t>
            </w:r>
          </w:p>
        </w:tc>
      </w:tr>
      <w:tr>
        <w:trPr>
          <w:trHeight w:val="468" w:hRule="exact"/>
        </w:trPr>
        <w:tc>
          <w:tcPr>
            <w:tcW w:w="1042" w:type="dxa"/>
          </w:tcPr>
          <w:p>
            <w:pPr>
              <w:pStyle w:val="TableParagraph"/>
              <w:ind w:left="105"/>
              <w:rPr>
                <w:sz w:val="24"/>
              </w:rPr>
            </w:pPr>
            <w:r>
              <w:rPr>
                <w:sz w:val="24"/>
              </w:rPr>
              <w:t>p</w:t>
            </w:r>
          </w:p>
        </w:tc>
        <w:tc>
          <w:tcPr>
            <w:tcW w:w="1239" w:type="dxa"/>
          </w:tcPr>
          <w:p>
            <w:pPr>
              <w:pStyle w:val="TableParagraph"/>
              <w:rPr>
                <w:sz w:val="24"/>
              </w:rPr>
            </w:pPr>
            <w:r>
              <w:rPr>
                <w:sz w:val="24"/>
              </w:rPr>
              <w:t>0.84%</w:t>
            </w:r>
          </w:p>
        </w:tc>
        <w:tc>
          <w:tcPr>
            <w:tcW w:w="1241" w:type="dxa"/>
          </w:tcPr>
          <w:p>
            <w:pPr>
              <w:pStyle w:val="TableParagraph"/>
              <w:ind w:left="105"/>
              <w:rPr>
                <w:sz w:val="24"/>
              </w:rPr>
            </w:pPr>
            <w:r>
              <w:rPr>
                <w:sz w:val="24"/>
              </w:rPr>
              <w:t>0.76%</w:t>
            </w:r>
          </w:p>
        </w:tc>
      </w:tr>
      <w:tr>
        <w:trPr>
          <w:trHeight w:val="468" w:hRule="exact"/>
        </w:trPr>
        <w:tc>
          <w:tcPr>
            <w:tcW w:w="1042" w:type="dxa"/>
          </w:tcPr>
          <w:p>
            <w:pPr>
              <w:pStyle w:val="TableParagraph"/>
              <w:ind w:left="105"/>
              <w:rPr>
                <w:sz w:val="24"/>
              </w:rPr>
            </w:pPr>
            <w:r>
              <w:rPr>
                <w:sz w:val="24"/>
              </w:rPr>
              <w:t>l</w:t>
            </w:r>
          </w:p>
        </w:tc>
        <w:tc>
          <w:tcPr>
            <w:tcW w:w="1239" w:type="dxa"/>
          </w:tcPr>
          <w:p>
            <w:pPr>
              <w:pStyle w:val="TableParagraph"/>
              <w:rPr>
                <w:sz w:val="24"/>
              </w:rPr>
            </w:pPr>
            <w:r>
              <w:rPr>
                <w:sz w:val="24"/>
              </w:rPr>
              <w:t>0.13%</w:t>
            </w:r>
          </w:p>
        </w:tc>
        <w:tc>
          <w:tcPr>
            <w:tcW w:w="1241" w:type="dxa"/>
          </w:tcPr>
          <w:p>
            <w:pPr>
              <w:pStyle w:val="TableParagraph"/>
              <w:ind w:left="105"/>
              <w:rPr>
                <w:sz w:val="24"/>
              </w:rPr>
            </w:pPr>
            <w:r>
              <w:rPr>
                <w:sz w:val="24"/>
              </w:rPr>
              <w:t>0.12%</w:t>
            </w:r>
          </w:p>
        </w:tc>
      </w:tr>
    </w:tbl>
    <w:p>
      <w:pPr>
        <w:pStyle w:val="BodyText"/>
        <w:rPr>
          <w:b/>
          <w:sz w:val="20"/>
        </w:rPr>
      </w:pPr>
    </w:p>
    <w:p>
      <w:pPr>
        <w:pStyle w:val="BodyText"/>
        <w:spacing w:before="4"/>
        <w:rPr>
          <w:b/>
          <w:sz w:val="19"/>
        </w:rPr>
      </w:pPr>
    </w:p>
    <w:p>
      <w:pPr>
        <w:pStyle w:val="BodyText"/>
        <w:spacing w:line="256" w:lineRule="auto"/>
        <w:ind w:left="112" w:right="119" w:firstLine="708"/>
        <w:jc w:val="both"/>
      </w:pPr>
      <w:r>
        <w:rPr/>
        <w:t>El impacto del PROCAMPO y Alianza es mayor en el producto de los beneficiarios del PROCAMPO que en el agregado nacional en el corto plazo. También, se repite para el caso de la población del PROCAMPO que es mayor el impacto de éste que el de Alianza.</w:t>
      </w:r>
    </w:p>
    <w:p>
      <w:pPr>
        <w:pStyle w:val="BodyText"/>
        <w:spacing w:line="259" w:lineRule="auto" w:before="166"/>
        <w:ind w:left="112" w:right="112" w:firstLine="708"/>
        <w:jc w:val="both"/>
      </w:pPr>
      <w:r>
        <w:rPr/>
        <w:t>El hecho de que los impactos en la formación bruta de capital sean menores para los beneficiarios del PROCAMPO, se puede explicar por dos razones: primero porque en la encuesta se capta activo fijo y en el agregado nacional es la formación bruta de capital. Segundo, porque los beneficiarios del PROCAMPO encuentran de manera mayoritaria en los estratos de menor producto per cápita y por ello un mayor gasto en consumo doméstico.</w:t>
      </w:r>
    </w:p>
    <w:p>
      <w:pPr>
        <w:pStyle w:val="Heading5"/>
        <w:numPr>
          <w:ilvl w:val="1"/>
          <w:numId w:val="4"/>
        </w:numPr>
        <w:tabs>
          <w:tab w:pos="714" w:val="left" w:leader="none"/>
        </w:tabs>
        <w:spacing w:line="240" w:lineRule="auto" w:before="166" w:after="0"/>
        <w:ind w:left="713" w:right="0" w:hanging="601"/>
        <w:jc w:val="both"/>
      </w:pPr>
      <w:r>
        <w:rPr/>
        <w:t>Conclusión 2</w:t>
      </w:r>
    </w:p>
    <w:p>
      <w:pPr>
        <w:pStyle w:val="BodyText"/>
        <w:spacing w:line="256" w:lineRule="auto" w:before="180"/>
        <w:ind w:left="112" w:right="111"/>
        <w:jc w:val="both"/>
      </w:pPr>
      <w:r>
        <w:rPr/>
        <w:t>Los beneficiarios del PROCAMPO entran en un proceso de conversión productiva aunque de manera muy lenta.</w:t>
      </w:r>
    </w:p>
    <w:p>
      <w:pPr>
        <w:pStyle w:val="Heading5"/>
        <w:numPr>
          <w:ilvl w:val="1"/>
          <w:numId w:val="4"/>
        </w:numPr>
        <w:tabs>
          <w:tab w:pos="714" w:val="left" w:leader="none"/>
        </w:tabs>
        <w:spacing w:line="240" w:lineRule="auto" w:before="168" w:after="0"/>
        <w:ind w:left="713" w:right="0" w:hanging="601"/>
        <w:jc w:val="both"/>
      </w:pPr>
      <w:r>
        <w:rPr/>
        <w:t>Referencias</w:t>
      </w:r>
    </w:p>
    <w:p>
      <w:pPr>
        <w:pStyle w:val="BodyText"/>
        <w:spacing w:line="259" w:lineRule="auto" w:before="177"/>
        <w:ind w:left="112" w:right="121"/>
        <w:jc w:val="both"/>
      </w:pPr>
      <w:r>
        <w:rPr/>
        <w:t>ASERCA (Apoyos y Servicios a la Comercialización Agropecuaria). 2000. Claridades Agropecuarias. Núm. 85. México, D.F.  48 p.</w:t>
      </w:r>
    </w:p>
    <w:p>
      <w:pPr>
        <w:pStyle w:val="BodyText"/>
        <w:spacing w:line="256" w:lineRule="auto" w:before="161"/>
        <w:ind w:left="112" w:right="109"/>
        <w:jc w:val="both"/>
      </w:pPr>
      <w:r>
        <w:rPr/>
        <w:t>Banco de México. 1977 a 1997. Índices de precios. México, D. F. Varios números. CONASUPO (Compañía Nacional de Subsistencias Populares). 1976. El maíz y sus productos. México, D.F. 145 p.</w:t>
      </w:r>
    </w:p>
    <w:p>
      <w:pPr>
        <w:pStyle w:val="BodyText"/>
        <w:spacing w:line="256" w:lineRule="auto" w:before="166"/>
        <w:ind w:left="112" w:right="121"/>
        <w:jc w:val="both"/>
      </w:pPr>
      <w:r>
        <w:rPr/>
        <w:t>CONASUPO (Compañía Nacional de Subsistencias Populares). 1977 a 1997.CONASUPO en cifras. México, D. F. Varios números.</w:t>
      </w:r>
    </w:p>
    <w:p>
      <w:pPr>
        <w:pStyle w:val="BodyText"/>
        <w:spacing w:line="256" w:lineRule="auto" w:before="166"/>
        <w:ind w:left="112" w:right="116"/>
        <w:jc w:val="both"/>
      </w:pPr>
      <w:r>
        <w:rPr/>
        <w:t>CNA (Consejo Nacional Agropecuario). 1991 a 1997. Estadísticas básicas del sector agropecuario. México, D.F. Varios números.</w:t>
      </w:r>
    </w:p>
    <w:p>
      <w:pPr>
        <w:pStyle w:val="BodyText"/>
        <w:spacing w:line="256" w:lineRule="auto" w:before="166"/>
        <w:ind w:left="112" w:right="117"/>
        <w:jc w:val="both"/>
      </w:pPr>
      <w:r>
        <w:rPr/>
        <w:t>Fernández Pérez, Dulce B. Rosario, Roberto García Mata, Jaime A. Matus Gardea y Marcos Portillo Vázquez. 1987. La intervención del Estado en la regulación del mercado del arroz en México.</w:t>
      </w:r>
    </w:p>
    <w:p>
      <w:pPr>
        <w:pStyle w:val="BodyText"/>
        <w:spacing w:line="256" w:lineRule="auto" w:before="167"/>
        <w:ind w:left="112" w:right="115"/>
        <w:jc w:val="both"/>
      </w:pPr>
      <w:r>
        <w:rPr/>
        <w:t>Agrociencia 70: 19-32. García Delgado, Gustavo, Roberto García Mata, Jaime A. Matus Gardea y J. Francisco Burguete Hernández. 1990. </w:t>
      </w:r>
      <w:r>
        <w:rPr>
          <w:spacing w:val="-3"/>
        </w:rPr>
        <w:t>La </w:t>
      </w:r>
      <w:r>
        <w:rPr/>
        <w:t>intervención del Estado en la regulación del mercado de  frijol. México. Agrociencia Serie Socioeconomía</w:t>
      </w:r>
      <w:r>
        <w:rPr>
          <w:spacing w:val="-9"/>
        </w:rPr>
        <w:t> </w:t>
      </w:r>
      <w:r>
        <w:rPr/>
        <w:t>1:99-116.</w:t>
      </w:r>
    </w:p>
    <w:p>
      <w:pPr>
        <w:pStyle w:val="BodyText"/>
        <w:spacing w:line="256" w:lineRule="auto" w:before="166"/>
        <w:ind w:left="112" w:right="116"/>
        <w:jc w:val="both"/>
      </w:pPr>
      <w:r>
        <w:rPr/>
        <w:t>García Mata, Roberto, Gustavo García Delgado y Roberto Montero Higuera. 1990. Notas sobre mercados y comercialización de productos agrícolas. Colegio de Postgraduados. Montecillo, México. 438 p.</w:t>
      </w:r>
    </w:p>
    <w:p>
      <w:pPr>
        <w:pStyle w:val="BodyText"/>
        <w:spacing w:line="256" w:lineRule="auto" w:before="166"/>
        <w:ind w:left="112" w:right="117"/>
        <w:jc w:val="both"/>
      </w:pPr>
      <w:r>
        <w:rPr/>
        <w:t>Hernández Plascencia, Jorge A., Jaime A. Matus Gardea y Juan A. Leos Rodríguez. 1984. La intervención del Estado en la regulación del mercado: la política de precios de maíz en México. Agrociencia 55:7-16.</w:t>
      </w:r>
    </w:p>
    <w:p>
      <w:pPr>
        <w:spacing w:after="0" w:line="256" w:lineRule="auto"/>
        <w:jc w:val="both"/>
        <w:sectPr>
          <w:pgSz w:w="12240" w:h="15840"/>
          <w:pgMar w:header="731" w:footer="0" w:top="960" w:bottom="280" w:left="1020" w:right="1020"/>
        </w:sectPr>
      </w:pPr>
    </w:p>
    <w:p>
      <w:pPr>
        <w:pStyle w:val="BodyText"/>
        <w:spacing w:line="259" w:lineRule="auto" w:before="156"/>
        <w:ind w:left="112" w:right="108"/>
        <w:jc w:val="both"/>
      </w:pPr>
      <w:r>
        <w:rPr/>
        <w:t>INEGI (Instituto Nacional de Estadística, Geografía e Informática). 1986 a 1997. Anuario estadístico del comercio exterior de los Estados Unidos Mexicanos. México, D.F. y Aguascalientes, Ags. Varios números.</w:t>
      </w:r>
    </w:p>
    <w:p>
      <w:pPr>
        <w:pStyle w:val="BodyText"/>
        <w:spacing w:line="259" w:lineRule="auto" w:before="161"/>
        <w:ind w:left="112" w:right="121"/>
        <w:jc w:val="both"/>
      </w:pPr>
      <w:r>
        <w:rPr/>
        <w:t>INEGI (Instituto Nacional de Estadística, Geografía e Informática). 1994 y 1997. Cuaderno de información oportuna. Aguascalientes, Ags. Varios números</w:t>
      </w:r>
    </w:p>
    <w:p>
      <w:pPr>
        <w:pStyle w:val="BodyText"/>
        <w:spacing w:before="158"/>
        <w:ind w:left="112"/>
        <w:jc w:val="both"/>
      </w:pPr>
      <w:r>
        <w:rPr/>
        <w:t>Nacional Financiera. 1978 a 1992. La economía mexicana en cifras. México, D.F. Varios números.</w:t>
      </w:r>
    </w:p>
    <w:p>
      <w:pPr>
        <w:spacing w:after="0"/>
        <w:jc w:val="both"/>
        <w:sectPr>
          <w:pgSz w:w="12240" w:h="15840"/>
          <w:pgMar w:header="731" w:footer="0" w:top="960" w:bottom="280" w:left="1020" w:right="1020"/>
        </w:sectPr>
      </w:pPr>
    </w:p>
    <w:p>
      <w:pPr>
        <w:pStyle w:val="BodyText"/>
        <w:rPr>
          <w:sz w:val="20"/>
        </w:rPr>
      </w:pPr>
      <w:r>
        <w:rPr/>
        <w:pict>
          <v:shape style="position:absolute;margin-left:535.559998pt;margin-top:0pt;width:75.75pt;height:255.4pt;mso-position-horizontal-relative:page;mso-position-vertical-relative:page;z-index:-45616" type="#_x0000_t202" filled="false" stroked="false">
            <v:textbox inset="0,0,0,0">
              <w:txbxContent>
                <w:p>
                  <w:pPr>
                    <w:pStyle w:val="BodyText"/>
                  </w:pPr>
                </w:p>
                <w:p>
                  <w:pPr>
                    <w:pStyle w:val="BodyText"/>
                  </w:pPr>
                </w:p>
                <w:p>
                  <w:pPr>
                    <w:pStyle w:val="BodyText"/>
                    <w:spacing w:before="148"/>
                    <w:ind w:left="35"/>
                  </w:pPr>
                  <w:r>
                    <w:rPr/>
                    <w:t>401</w:t>
                  </w:r>
                </w:p>
              </w:txbxContent>
            </v:textbox>
            <w10:wrap type="none"/>
          </v:shape>
        </w:pict>
      </w:r>
      <w:r>
        <w:rPr/>
        <w:pict>
          <v:group style="position:absolute;margin-left:0pt;margin-top:263.160004pt;width:528.15pt;height:528.85pt;mso-position-horizontal-relative:page;mso-position-vertical-relative:page;z-index:1792" coordorigin="0,5263" coordsize="10563,10577">
            <v:rect style="position:absolute;left:0;top:5263;width:10562;height:10577" filled="true" fillcolor="#be8f00" stroked="false">
              <v:fill type="solid"/>
            </v:rect>
            <v:shape style="position:absolute;left:4980;top:13366;width:3074;height:2069" type="#_x0000_t75" stroked="false">
              <v:imagedata r:id="rId17" o:title=""/>
            </v:shape>
            <v:shape style="position:absolute;left:8261;top:13354;width:1886;height:2083" type="#_x0000_t75" stroked="false">
              <v:imagedata r:id="rId18" o:title=""/>
            </v:shape>
            <w10:wrap type="none"/>
          </v:group>
        </w:pict>
      </w:r>
      <w:r>
        <w:rPr/>
        <w:pict>
          <v:rect style="position:absolute;margin-left:535.320007pt;margin-top:373.679993pt;width:75.960pt;height:418.32pt;mso-position-horizontal-relative:page;mso-position-vertical-relative:page;z-index:1816" filled="true" fillcolor="#ffedbc" stroked="false">
            <v:fill type="solid"/>
            <w10:wrap type="none"/>
          </v:rect>
        </w:pict>
      </w:r>
      <w:r>
        <w:rPr/>
        <w:pict>
          <v:rect style="position:absolute;margin-left:533.76001pt;margin-top:263.160004pt;width:78.240pt;height:103.92pt;mso-position-horizontal-relative:page;mso-position-vertical-relative:page;z-index:1840" filled="true" fillcolor="#6c4700" stroked="false">
            <v:fill type="solid"/>
            <w10:wrap type="none"/>
          </v:rect>
        </w:pict>
      </w:r>
      <w:r>
        <w:rPr/>
        <w:pict>
          <v:rect style="position:absolute;margin-left:535.559998pt;margin-top:0pt;width:75.72pt;height:255.36pt;mso-position-horizontal-relative:page;mso-position-vertical-relative:page;z-index:1864" filled="true" fillcolor="#9e7500" stroked="false">
            <v:fill type="solid"/>
            <w10:wrap type="none"/>
          </v:rect>
        </w:pict>
      </w:r>
      <w:r>
        <w:rPr>
          <w:sz w:val="20"/>
        </w:rPr>
        <w:pict>
          <v:group style="width:529.35pt;height:256.2pt;mso-position-horizontal-relative:char;mso-position-vertical-relative:line" coordorigin="0,0" coordsize="10587,5124">
            <v:rect style="position:absolute;left:0;top:0;width:10586;height:5124" filled="true" fillcolor="#9e7500" stroked="false">
              <v:fill type="solid"/>
            </v:rect>
          </v:group>
        </w:pict>
      </w:r>
      <w:r>
        <w:rPr>
          <w:sz w:val="20"/>
        </w:rPr>
      </w:r>
    </w:p>
    <w:sectPr>
      <w:headerReference w:type="default" r:id="rId16"/>
      <w:pgSz w:w="12240" w:h="1584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463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348</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463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351</w:t>
                </w:r>
                <w:r>
                  <w:rPr/>
                  <w:fldChar w:fldCharType="end"/>
                </w:r>
              </w:p>
            </w:txbxContent>
          </v:textbox>
          <w10:wrap type="none"/>
        </v:shape>
      </w:pict>
    </w:r>
    <w:r>
      <w:rPr/>
      <w:pict>
        <v:shape style="position:absolute;margin-left:91.064003pt;margin-top:56.783916pt;width:70.7pt;height:14pt;mso-position-horizontal-relative:page;mso-position-vertical-relative:page;z-index:-46312" type="#_x0000_t202" filled="false" stroked="false">
          <v:textbox inset="0,0,0,0">
            <w:txbxContent>
              <w:p>
                <w:pPr>
                  <w:pStyle w:val="BodyText"/>
                  <w:spacing w:line="265" w:lineRule="exact"/>
                  <w:ind w:left="20" w:right="-2"/>
                </w:pPr>
                <w:r>
                  <w:rPr/>
                  <w:t>S = Superficie</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4628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352</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4626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355</w:t>
                </w:r>
                <w:r>
                  <w:rPr/>
                  <w:fldChar w:fldCharType="end"/>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27"/>
      <w:numFmt w:val="decimal"/>
      <w:lvlText w:val="%1"/>
      <w:lvlJc w:val="left"/>
      <w:pPr>
        <w:ind w:left="713" w:hanging="601"/>
        <w:jc w:val="left"/>
      </w:pPr>
      <w:rPr>
        <w:rFonts w:hint="default"/>
      </w:rPr>
    </w:lvl>
    <w:lvl w:ilvl="1">
      <w:start w:val="24"/>
      <w:numFmt w:val="decimal"/>
      <w:lvlText w:val="%1.%2"/>
      <w:lvlJc w:val="left"/>
      <w:pPr>
        <w:ind w:left="713" w:hanging="601"/>
        <w:jc w:val="left"/>
      </w:pPr>
      <w:rPr>
        <w:rFonts w:hint="default" w:ascii="Times New Roman" w:hAnsi="Times New Roman" w:eastAsia="Times New Roman" w:cs="Times New Roman"/>
        <w:b/>
        <w:bCs/>
        <w:spacing w:val="-3"/>
        <w:w w:val="99"/>
        <w:sz w:val="24"/>
        <w:szCs w:val="24"/>
      </w:rPr>
    </w:lvl>
    <w:lvl w:ilvl="2">
      <w:start w:val="1"/>
      <w:numFmt w:val="bullet"/>
      <w:lvlText w:val="•"/>
      <w:lvlJc w:val="left"/>
      <w:pPr>
        <w:ind w:left="2616" w:hanging="601"/>
      </w:pPr>
      <w:rPr>
        <w:rFonts w:hint="default"/>
      </w:rPr>
    </w:lvl>
    <w:lvl w:ilvl="3">
      <w:start w:val="1"/>
      <w:numFmt w:val="bullet"/>
      <w:lvlText w:val="•"/>
      <w:lvlJc w:val="left"/>
      <w:pPr>
        <w:ind w:left="3564" w:hanging="601"/>
      </w:pPr>
      <w:rPr>
        <w:rFonts w:hint="default"/>
      </w:rPr>
    </w:lvl>
    <w:lvl w:ilvl="4">
      <w:start w:val="1"/>
      <w:numFmt w:val="bullet"/>
      <w:lvlText w:val="•"/>
      <w:lvlJc w:val="left"/>
      <w:pPr>
        <w:ind w:left="4512" w:hanging="601"/>
      </w:pPr>
      <w:rPr>
        <w:rFonts w:hint="default"/>
      </w:rPr>
    </w:lvl>
    <w:lvl w:ilvl="5">
      <w:start w:val="1"/>
      <w:numFmt w:val="bullet"/>
      <w:lvlText w:val="•"/>
      <w:lvlJc w:val="left"/>
      <w:pPr>
        <w:ind w:left="5460" w:hanging="601"/>
      </w:pPr>
      <w:rPr>
        <w:rFonts w:hint="default"/>
      </w:rPr>
    </w:lvl>
    <w:lvl w:ilvl="6">
      <w:start w:val="1"/>
      <w:numFmt w:val="bullet"/>
      <w:lvlText w:val="•"/>
      <w:lvlJc w:val="left"/>
      <w:pPr>
        <w:ind w:left="6408" w:hanging="601"/>
      </w:pPr>
      <w:rPr>
        <w:rFonts w:hint="default"/>
      </w:rPr>
    </w:lvl>
    <w:lvl w:ilvl="7">
      <w:start w:val="1"/>
      <w:numFmt w:val="bullet"/>
      <w:lvlText w:val="•"/>
      <w:lvlJc w:val="left"/>
      <w:pPr>
        <w:ind w:left="7356" w:hanging="601"/>
      </w:pPr>
      <w:rPr>
        <w:rFonts w:hint="default"/>
      </w:rPr>
    </w:lvl>
    <w:lvl w:ilvl="8">
      <w:start w:val="1"/>
      <w:numFmt w:val="bullet"/>
      <w:lvlText w:val="•"/>
      <w:lvlJc w:val="left"/>
      <w:pPr>
        <w:ind w:left="8304" w:hanging="601"/>
      </w:pPr>
      <w:rPr>
        <w:rFonts w:hint="default"/>
      </w:rPr>
    </w:lvl>
  </w:abstractNum>
  <w:abstractNum w:abstractNumId="2">
    <w:multiLevelType w:val="hybridMultilevel"/>
    <w:lvl w:ilvl="0">
      <w:start w:val="1"/>
      <w:numFmt w:val="lowerLetter"/>
      <w:lvlText w:val="%1)"/>
      <w:lvlJc w:val="left"/>
      <w:pPr>
        <w:ind w:left="1137" w:hanging="316"/>
        <w:jc w:val="left"/>
      </w:pPr>
      <w:rPr>
        <w:rFonts w:hint="default" w:ascii="Times New Roman" w:hAnsi="Times New Roman" w:eastAsia="Times New Roman" w:cs="Times New Roman"/>
        <w:spacing w:val="-2"/>
        <w:w w:val="100"/>
        <w:position w:val="-5"/>
        <w:sz w:val="24"/>
        <w:szCs w:val="24"/>
      </w:rPr>
    </w:lvl>
    <w:lvl w:ilvl="1">
      <w:start w:val="1"/>
      <w:numFmt w:val="bullet"/>
      <w:lvlText w:val="•"/>
      <w:lvlJc w:val="left"/>
      <w:pPr>
        <w:ind w:left="2046" w:hanging="316"/>
      </w:pPr>
      <w:rPr>
        <w:rFonts w:hint="default"/>
      </w:rPr>
    </w:lvl>
    <w:lvl w:ilvl="2">
      <w:start w:val="1"/>
      <w:numFmt w:val="bullet"/>
      <w:lvlText w:val="•"/>
      <w:lvlJc w:val="left"/>
      <w:pPr>
        <w:ind w:left="2952" w:hanging="316"/>
      </w:pPr>
      <w:rPr>
        <w:rFonts w:hint="default"/>
      </w:rPr>
    </w:lvl>
    <w:lvl w:ilvl="3">
      <w:start w:val="1"/>
      <w:numFmt w:val="bullet"/>
      <w:lvlText w:val="•"/>
      <w:lvlJc w:val="left"/>
      <w:pPr>
        <w:ind w:left="3858" w:hanging="316"/>
      </w:pPr>
      <w:rPr>
        <w:rFonts w:hint="default"/>
      </w:rPr>
    </w:lvl>
    <w:lvl w:ilvl="4">
      <w:start w:val="1"/>
      <w:numFmt w:val="bullet"/>
      <w:lvlText w:val="•"/>
      <w:lvlJc w:val="left"/>
      <w:pPr>
        <w:ind w:left="4764" w:hanging="316"/>
      </w:pPr>
      <w:rPr>
        <w:rFonts w:hint="default"/>
      </w:rPr>
    </w:lvl>
    <w:lvl w:ilvl="5">
      <w:start w:val="1"/>
      <w:numFmt w:val="bullet"/>
      <w:lvlText w:val="•"/>
      <w:lvlJc w:val="left"/>
      <w:pPr>
        <w:ind w:left="5670" w:hanging="316"/>
      </w:pPr>
      <w:rPr>
        <w:rFonts w:hint="default"/>
      </w:rPr>
    </w:lvl>
    <w:lvl w:ilvl="6">
      <w:start w:val="1"/>
      <w:numFmt w:val="bullet"/>
      <w:lvlText w:val="•"/>
      <w:lvlJc w:val="left"/>
      <w:pPr>
        <w:ind w:left="6576" w:hanging="316"/>
      </w:pPr>
      <w:rPr>
        <w:rFonts w:hint="default"/>
      </w:rPr>
    </w:lvl>
    <w:lvl w:ilvl="7">
      <w:start w:val="1"/>
      <w:numFmt w:val="bullet"/>
      <w:lvlText w:val="•"/>
      <w:lvlJc w:val="left"/>
      <w:pPr>
        <w:ind w:left="7482" w:hanging="316"/>
      </w:pPr>
      <w:rPr>
        <w:rFonts w:hint="default"/>
      </w:rPr>
    </w:lvl>
    <w:lvl w:ilvl="8">
      <w:start w:val="1"/>
      <w:numFmt w:val="bullet"/>
      <w:lvlText w:val="•"/>
      <w:lvlJc w:val="left"/>
      <w:pPr>
        <w:ind w:left="8388" w:hanging="316"/>
      </w:pPr>
      <w:rPr>
        <w:rFonts w:hint="default"/>
      </w:rPr>
    </w:lvl>
  </w:abstractNum>
  <w:abstractNum w:abstractNumId="1">
    <w:multiLevelType w:val="hybridMultilevel"/>
    <w:lvl w:ilvl="0">
      <w:start w:val="27"/>
      <w:numFmt w:val="decimal"/>
      <w:lvlText w:val="%1"/>
      <w:lvlJc w:val="left"/>
      <w:pPr>
        <w:ind w:left="413" w:hanging="301"/>
        <w:jc w:val="left"/>
      </w:pPr>
      <w:rPr>
        <w:rFonts w:hint="default" w:ascii="Times New Roman" w:hAnsi="Times New Roman" w:eastAsia="Times New Roman" w:cs="Times New Roman"/>
        <w:b/>
        <w:bCs/>
        <w:spacing w:val="-2"/>
        <w:w w:val="99"/>
        <w:sz w:val="24"/>
        <w:szCs w:val="24"/>
      </w:rPr>
    </w:lvl>
    <w:lvl w:ilvl="1">
      <w:start w:val="1"/>
      <w:numFmt w:val="decimal"/>
      <w:lvlText w:val="%1.%2"/>
      <w:lvlJc w:val="left"/>
      <w:pPr>
        <w:ind w:left="112" w:hanging="481"/>
        <w:jc w:val="right"/>
      </w:pPr>
      <w:rPr>
        <w:rFonts w:hint="default" w:ascii="Times New Roman" w:hAnsi="Times New Roman" w:eastAsia="Times New Roman" w:cs="Times New Roman"/>
        <w:b/>
        <w:bCs/>
        <w:spacing w:val="-1"/>
        <w:w w:val="100"/>
        <w:sz w:val="24"/>
        <w:szCs w:val="24"/>
      </w:rPr>
    </w:lvl>
    <w:lvl w:ilvl="2">
      <w:start w:val="1"/>
      <w:numFmt w:val="lowerLetter"/>
      <w:lvlText w:val="%3)"/>
      <w:lvlJc w:val="left"/>
      <w:pPr>
        <w:ind w:left="1075" w:hanging="255"/>
        <w:jc w:val="left"/>
      </w:pPr>
      <w:rPr>
        <w:rFonts w:hint="default" w:ascii="Times New Roman" w:hAnsi="Times New Roman" w:eastAsia="Times New Roman" w:cs="Times New Roman"/>
        <w:spacing w:val="-1"/>
        <w:w w:val="100"/>
        <w:position w:val="-9"/>
        <w:sz w:val="24"/>
        <w:szCs w:val="24"/>
      </w:rPr>
    </w:lvl>
    <w:lvl w:ilvl="3">
      <w:start w:val="1"/>
      <w:numFmt w:val="bullet"/>
      <w:lvlText w:val="•"/>
      <w:lvlJc w:val="left"/>
      <w:pPr>
        <w:ind w:left="2220" w:hanging="255"/>
      </w:pPr>
      <w:rPr>
        <w:rFonts w:hint="default"/>
      </w:rPr>
    </w:lvl>
    <w:lvl w:ilvl="4">
      <w:start w:val="1"/>
      <w:numFmt w:val="bullet"/>
      <w:lvlText w:val="•"/>
      <w:lvlJc w:val="left"/>
      <w:pPr>
        <w:ind w:left="3360" w:hanging="255"/>
      </w:pPr>
      <w:rPr>
        <w:rFonts w:hint="default"/>
      </w:rPr>
    </w:lvl>
    <w:lvl w:ilvl="5">
      <w:start w:val="1"/>
      <w:numFmt w:val="bullet"/>
      <w:lvlText w:val="•"/>
      <w:lvlJc w:val="left"/>
      <w:pPr>
        <w:ind w:left="4500" w:hanging="255"/>
      </w:pPr>
      <w:rPr>
        <w:rFonts w:hint="default"/>
      </w:rPr>
    </w:lvl>
    <w:lvl w:ilvl="6">
      <w:start w:val="1"/>
      <w:numFmt w:val="bullet"/>
      <w:lvlText w:val="•"/>
      <w:lvlJc w:val="left"/>
      <w:pPr>
        <w:ind w:left="5640" w:hanging="255"/>
      </w:pPr>
      <w:rPr>
        <w:rFonts w:hint="default"/>
      </w:rPr>
    </w:lvl>
    <w:lvl w:ilvl="7">
      <w:start w:val="1"/>
      <w:numFmt w:val="bullet"/>
      <w:lvlText w:val="•"/>
      <w:lvlJc w:val="left"/>
      <w:pPr>
        <w:ind w:left="6780" w:hanging="255"/>
      </w:pPr>
      <w:rPr>
        <w:rFonts w:hint="default"/>
      </w:rPr>
    </w:lvl>
    <w:lvl w:ilvl="8">
      <w:start w:val="1"/>
      <w:numFmt w:val="bullet"/>
      <w:lvlText w:val="•"/>
      <w:lvlJc w:val="left"/>
      <w:pPr>
        <w:ind w:left="7920" w:hanging="255"/>
      </w:pPr>
      <w:rPr>
        <w:rFonts w:hint="default"/>
      </w:rPr>
    </w:lvl>
  </w:abstractNum>
  <w:abstractNum w:abstractNumId="0">
    <w:multiLevelType w:val="hybridMultilevel"/>
    <w:lvl w:ilvl="0">
      <w:start w:val="13"/>
      <w:numFmt w:val="decimal"/>
      <w:lvlText w:val="%1"/>
      <w:lvlJc w:val="left"/>
      <w:pPr>
        <w:ind w:left="200" w:hanging="349"/>
        <w:jc w:val="left"/>
      </w:pPr>
      <w:rPr>
        <w:rFonts w:hint="default" w:ascii="Times New Roman" w:hAnsi="Times New Roman" w:eastAsia="Times New Roman" w:cs="Times New Roman"/>
        <w:b/>
        <w:bCs/>
        <w:spacing w:val="-14"/>
        <w:w w:val="99"/>
        <w:sz w:val="24"/>
        <w:szCs w:val="24"/>
      </w:rPr>
    </w:lvl>
    <w:lvl w:ilvl="1">
      <w:start w:val="1"/>
      <w:numFmt w:val="bullet"/>
      <w:lvlText w:val="•"/>
      <w:lvlJc w:val="left"/>
      <w:pPr>
        <w:ind w:left="1085" w:hanging="349"/>
      </w:pPr>
      <w:rPr>
        <w:rFonts w:hint="default"/>
      </w:rPr>
    </w:lvl>
    <w:lvl w:ilvl="2">
      <w:start w:val="1"/>
      <w:numFmt w:val="bullet"/>
      <w:lvlText w:val="•"/>
      <w:lvlJc w:val="left"/>
      <w:pPr>
        <w:ind w:left="1971" w:hanging="349"/>
      </w:pPr>
      <w:rPr>
        <w:rFonts w:hint="default"/>
      </w:rPr>
    </w:lvl>
    <w:lvl w:ilvl="3">
      <w:start w:val="1"/>
      <w:numFmt w:val="bullet"/>
      <w:lvlText w:val="•"/>
      <w:lvlJc w:val="left"/>
      <w:pPr>
        <w:ind w:left="2857" w:hanging="349"/>
      </w:pPr>
      <w:rPr>
        <w:rFonts w:hint="default"/>
      </w:rPr>
    </w:lvl>
    <w:lvl w:ilvl="4">
      <w:start w:val="1"/>
      <w:numFmt w:val="bullet"/>
      <w:lvlText w:val="•"/>
      <w:lvlJc w:val="left"/>
      <w:pPr>
        <w:ind w:left="3743" w:hanging="349"/>
      </w:pPr>
      <w:rPr>
        <w:rFonts w:hint="default"/>
      </w:rPr>
    </w:lvl>
    <w:lvl w:ilvl="5">
      <w:start w:val="1"/>
      <w:numFmt w:val="bullet"/>
      <w:lvlText w:val="•"/>
      <w:lvlJc w:val="left"/>
      <w:pPr>
        <w:ind w:left="4629" w:hanging="349"/>
      </w:pPr>
      <w:rPr>
        <w:rFonts w:hint="default"/>
      </w:rPr>
    </w:lvl>
    <w:lvl w:ilvl="6">
      <w:start w:val="1"/>
      <w:numFmt w:val="bullet"/>
      <w:lvlText w:val="•"/>
      <w:lvlJc w:val="left"/>
      <w:pPr>
        <w:ind w:left="5514" w:hanging="349"/>
      </w:pPr>
      <w:rPr>
        <w:rFonts w:hint="default"/>
      </w:rPr>
    </w:lvl>
    <w:lvl w:ilvl="7">
      <w:start w:val="1"/>
      <w:numFmt w:val="bullet"/>
      <w:lvlText w:val="•"/>
      <w:lvlJc w:val="left"/>
      <w:pPr>
        <w:ind w:left="6400" w:hanging="349"/>
      </w:pPr>
      <w:rPr>
        <w:rFonts w:hint="default"/>
      </w:rPr>
    </w:lvl>
    <w:lvl w:ilvl="8">
      <w:start w:val="1"/>
      <w:numFmt w:val="bullet"/>
      <w:lvlText w:val="•"/>
      <w:lvlJc w:val="left"/>
      <w:pPr>
        <w:ind w:left="7286" w:hanging="349"/>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1"/>
      <w:ind w:left="112" w:right="110"/>
      <w:outlineLvl w:val="1"/>
    </w:pPr>
    <w:rPr>
      <w:rFonts w:ascii="Times New Roman" w:hAnsi="Times New Roman" w:eastAsia="Times New Roman" w:cs="Times New Roman"/>
      <w:b/>
      <w:bCs/>
      <w:sz w:val="40"/>
      <w:szCs w:val="40"/>
    </w:rPr>
  </w:style>
  <w:style w:styleId="Heading2" w:type="paragraph">
    <w:name w:val="Heading 2"/>
    <w:basedOn w:val="Normal"/>
    <w:uiPriority w:val="1"/>
    <w:qFormat/>
    <w:pPr>
      <w:spacing w:before="31"/>
      <w:ind w:left="112"/>
      <w:jc w:val="both"/>
      <w:outlineLvl w:val="2"/>
    </w:pPr>
    <w:rPr>
      <w:rFonts w:ascii="Times New Roman" w:hAnsi="Times New Roman" w:eastAsia="Times New Roman" w:cs="Times New Roman"/>
      <w:b/>
      <w:bCs/>
      <w:sz w:val="32"/>
      <w:szCs w:val="32"/>
    </w:rPr>
  </w:style>
  <w:style w:styleId="Heading3" w:type="paragraph">
    <w:name w:val="Heading 3"/>
    <w:basedOn w:val="Normal"/>
    <w:uiPriority w:val="1"/>
    <w:qFormat/>
    <w:pPr>
      <w:spacing w:before="40"/>
      <w:ind w:left="112"/>
      <w:outlineLvl w:val="3"/>
    </w:pPr>
    <w:rPr>
      <w:rFonts w:ascii="Times New Roman" w:hAnsi="Times New Roman" w:eastAsia="Times New Roman" w:cs="Times New Roman"/>
      <w:b/>
      <w:bCs/>
      <w:sz w:val="28"/>
      <w:szCs w:val="28"/>
    </w:rPr>
  </w:style>
  <w:style w:styleId="Heading4" w:type="paragraph">
    <w:name w:val="Heading 4"/>
    <w:basedOn w:val="Normal"/>
    <w:uiPriority w:val="1"/>
    <w:qFormat/>
    <w:pPr>
      <w:spacing w:before="68"/>
      <w:ind w:left="855"/>
      <w:outlineLvl w:val="4"/>
    </w:pPr>
    <w:rPr>
      <w:rFonts w:ascii="Arial" w:hAnsi="Arial" w:eastAsia="Arial" w:cs="Arial"/>
      <w:sz w:val="25"/>
      <w:szCs w:val="25"/>
    </w:rPr>
  </w:style>
  <w:style w:styleId="Heading5" w:type="paragraph">
    <w:name w:val="Heading 5"/>
    <w:basedOn w:val="Normal"/>
    <w:uiPriority w:val="1"/>
    <w:qFormat/>
    <w:pPr>
      <w:spacing w:before="166"/>
      <w:ind w:left="713" w:hanging="601"/>
      <w:jc w:val="both"/>
      <w:outlineLvl w:val="5"/>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166"/>
      <w:ind w:left="713" w:hanging="601"/>
      <w:jc w:val="both"/>
    </w:pPr>
    <w:rPr>
      <w:rFonts w:ascii="Times New Roman" w:hAnsi="Times New Roman" w:eastAsia="Times New Roman" w:cs="Times New Roman"/>
    </w:rPr>
  </w:style>
  <w:style w:styleId="TableParagraph" w:type="paragraph">
    <w:name w:val="Table Paragraph"/>
    <w:basedOn w:val="Normal"/>
    <w:uiPriority w:val="1"/>
    <w:qFormat/>
    <w:pPr>
      <w:spacing w:line="268" w:lineRule="exact"/>
      <w:ind w:left="103"/>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http://www.ecorfan.org/handbooks" TargetMode="External"/><Relationship Id="rId6" Type="http://schemas.openxmlformats.org/officeDocument/2006/relationships/header" Target="header1.xml"/><Relationship Id="rId7" Type="http://schemas.openxmlformats.org/officeDocument/2006/relationships/hyperlink" Target="mailto:perezsotofco@gmail.com" TargetMode="External"/><Relationship Id="rId8" Type="http://schemas.openxmlformats.org/officeDocument/2006/relationships/header" Target="header2.xml"/><Relationship Id="rId9" Type="http://schemas.openxmlformats.org/officeDocument/2006/relationships/image" Target="media/image1.png"/><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header" Target="header3.xml"/><Relationship Id="rId13" Type="http://schemas.openxmlformats.org/officeDocument/2006/relationships/header" Target="header4.xml"/><Relationship Id="rId14" Type="http://schemas.openxmlformats.org/officeDocument/2006/relationships/image" Target="media/image4.png"/><Relationship Id="rId15" Type="http://schemas.openxmlformats.org/officeDocument/2006/relationships/image" Target="media/image5.png"/><Relationship Id="rId16" Type="http://schemas.openxmlformats.org/officeDocument/2006/relationships/header" Target="header5.xml"/><Relationship Id="rId17" Type="http://schemas.openxmlformats.org/officeDocument/2006/relationships/image" Target="media/image6.jpeg"/><Relationship Id="rId18" Type="http://schemas.openxmlformats.org/officeDocument/2006/relationships/image" Target="media/image7.jpeg"/><Relationship Id="rId1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Oscar Aguilar</dc:creator>
  <dcterms:created xsi:type="dcterms:W3CDTF">2017-06-01T21:09:43Z</dcterms:created>
  <dcterms:modified xsi:type="dcterms:W3CDTF">2017-06-01T21:09:43Z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2016-03-02T00:00:00Z</vt:filetime>
  </property>
  <property fmtid="{D5CDD505-2E9C-101B-9397-08002B2CF9AE}" pid="3" name="Creator">
    <vt:lpwstr>Microsoft® Word 2013</vt:lpwstr>
  </property>
  <property fmtid="{D5CDD505-2E9C-101B-9397-08002B2CF9AE}" pid="4" name="LastSaved">
    <vt:filetime>2017-06-01T00:00:00Z</vt:filetime>
  </property>
</Properties>
</file>