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Pr>
          <w:rFonts w:ascii="Times New Roman"/>
          <w:sz w:val="20"/>
        </w:rPr>
      </w:pPr>
      <w:bookmarkStart w:name="Portada legal contenidos.pdf (p.1-7)" w:id="1"/>
      <w:bookmarkEnd w:id="1"/>
      <w:r>
        <w:rPr/>
      </w:r>
      <w:bookmarkStart w:name="_bookmark0" w:id="2"/>
      <w:bookmarkEnd w:id="2"/>
      <w:r>
        <w:rPr/>
      </w:r>
      <w:r>
        <w:rPr>
          <w:rFonts w:ascii="Times New Roman"/>
          <w:sz w:val="20"/>
        </w:rPr>
        <w:drawing>
          <wp:inline distT="0" distB="0" distL="0" distR="0">
            <wp:extent cx="5842680" cy="90053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842680" cy="9005316"/>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1420" w:bottom="0" w:left="160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p>
    <w:p>
      <w:pPr>
        <w:pStyle w:val="BodyText"/>
        <w:spacing w:line="60" w:lineRule="exact"/>
        <w:ind w:left="103"/>
        <w:rPr>
          <w:rFonts w:ascii="Times New Roman"/>
          <w:sz w:val="6"/>
        </w:rPr>
      </w:pPr>
      <w:r>
        <w:rPr>
          <w:rFonts w:ascii="Times New Roman"/>
          <w:position w:val="0"/>
          <w:sz w:val="6"/>
        </w:rPr>
        <w:pict>
          <v:group style="width:199.45pt;height:3pt;mso-position-horizontal-relative:char;mso-position-vertical-relative:line" coordorigin="0,0" coordsize="3989,60">
            <v:line style="position:absolute" from="10,10" to="3979,10" stroked="true" strokeweight=".999pt" strokecolor="#231f20"/>
            <v:line style="position:absolute" from="10,50" to="3979,50" stroked="true" strokeweight=".999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rPr>
      </w:pPr>
    </w:p>
    <w:p>
      <w:pPr>
        <w:pStyle w:val="Heading1"/>
        <w:spacing w:line="312" w:lineRule="auto" w:before="38"/>
      </w:pPr>
      <w:bookmarkStart w:name="legal isbn 2014_prodep.pdf (p.2-7)" w:id="3"/>
      <w:bookmarkEnd w:id="3"/>
      <w:r>
        <w:rPr/>
      </w:r>
      <w:r>
        <w:rPr>
          <w:color w:val="231F20"/>
          <w:w w:val="80"/>
        </w:rPr>
        <w:t>METODOLOGÍAS Y APLICACIONES </w:t>
      </w:r>
      <w:r>
        <w:rPr>
          <w:color w:val="231F20"/>
          <w:w w:val="90"/>
        </w:rPr>
        <w:t>PARA LA PRODUCCIÓN </w:t>
      </w:r>
      <w:r>
        <w:rPr>
          <w:color w:val="231F20"/>
          <w:w w:val="80"/>
        </w:rPr>
        <w:t>GANADERA DEL TRÓPICO SECO EN EL SUR DEL ESTADO</w:t>
      </w:r>
    </w:p>
    <w:p>
      <w:pPr>
        <w:spacing w:before="7"/>
        <w:ind w:left="495" w:right="495" w:firstLine="0"/>
        <w:jc w:val="center"/>
        <w:rPr>
          <w:rFonts w:ascii="Times New Roman" w:hAnsi="Times New Roman"/>
          <w:sz w:val="40"/>
        </w:rPr>
      </w:pPr>
      <w:r>
        <w:rPr>
          <w:rFonts w:ascii="Times New Roman" w:hAnsi="Times New Roman"/>
          <w:color w:val="231F20"/>
          <w:w w:val="80"/>
          <w:sz w:val="40"/>
        </w:rPr>
        <w:t>DE MÉXICO</w:t>
      </w:r>
    </w:p>
    <w:p>
      <w:pPr>
        <w:pStyle w:val="BodyText"/>
        <w:rPr>
          <w:rFonts w:ascii="Times New Roman"/>
          <w:sz w:val="20"/>
        </w:rPr>
      </w:pPr>
    </w:p>
    <w:p>
      <w:pPr>
        <w:pStyle w:val="BodyText"/>
        <w:rPr>
          <w:rFonts w:ascii="Times New Roman"/>
          <w:sz w:val="20"/>
        </w:rPr>
      </w:pPr>
    </w:p>
    <w:p>
      <w:pPr>
        <w:pStyle w:val="BodyText"/>
        <w:rPr>
          <w:rFonts w:ascii="Times New Roman"/>
          <w:sz w:val="23"/>
        </w:rPr>
      </w:pPr>
      <w:r>
        <w:rPr/>
        <w:pict>
          <v:group style="position:absolute;margin-left:141.2323pt;margin-top:15.194992pt;width:199.45pt;height:3.05pt;mso-position-horizontal-relative:page;mso-position-vertical-relative:paragraph;z-index:1048;mso-wrap-distance-left:0;mso-wrap-distance-right:0" coordorigin="2825,304" coordsize="3989,61">
            <v:line style="position:absolute" from="2835,314" to="6803,314" stroked="true" strokeweight=".999pt" strokecolor="#231f20"/>
            <v:line style="position:absolute" from="2835,354" to="6803,354" stroked="true" strokeweight=".999pt" strokecolor="#231f20"/>
            <w10:wrap type="topAndBottom"/>
          </v:group>
        </w:pict>
      </w:r>
    </w:p>
    <w:p>
      <w:pPr>
        <w:spacing w:line="360" w:lineRule="exact" w:before="266"/>
        <w:ind w:left="3098" w:right="111" w:hanging="980"/>
        <w:jc w:val="right"/>
        <w:rPr>
          <w:rFonts w:ascii="Times New Roman" w:hAnsi="Times New Roman"/>
          <w:sz w:val="32"/>
        </w:rPr>
      </w:pPr>
      <w:r>
        <w:rPr>
          <w:rFonts w:ascii="Times New Roman" w:hAnsi="Times New Roman"/>
          <w:color w:val="231F20"/>
          <w:w w:val="95"/>
          <w:sz w:val="32"/>
        </w:rPr>
        <w:t>Juvencio Hernández Martínez</w:t>
      </w:r>
      <w:r>
        <w:rPr>
          <w:rFonts w:ascii="Times New Roman" w:hAnsi="Times New Roman"/>
          <w:color w:val="231F20"/>
          <w:w w:val="91"/>
          <w:sz w:val="32"/>
        </w:rPr>
        <w:t> </w:t>
      </w:r>
      <w:r>
        <w:rPr>
          <w:rFonts w:ascii="Times New Roman" w:hAnsi="Times New Roman"/>
          <w:color w:val="231F20"/>
          <w:w w:val="90"/>
          <w:sz w:val="32"/>
        </w:rPr>
        <w:t>Francisca Avilés Nova</w:t>
      </w:r>
      <w:r>
        <w:rPr>
          <w:rFonts w:ascii="Times New Roman" w:hAnsi="Times New Roman"/>
          <w:color w:val="231F20"/>
          <w:w w:val="97"/>
          <w:sz w:val="32"/>
        </w:rPr>
        <w:t> </w:t>
      </w:r>
      <w:r>
        <w:rPr>
          <w:rFonts w:ascii="Times New Roman" w:hAnsi="Times New Roman"/>
          <w:color w:val="231F20"/>
          <w:w w:val="95"/>
          <w:sz w:val="32"/>
        </w:rPr>
        <w:t>Rolando Rojo Rubio</w:t>
      </w:r>
    </w:p>
    <w:p>
      <w:pPr>
        <w:spacing w:after="0" w:line="360" w:lineRule="exact"/>
        <w:jc w:val="right"/>
        <w:rPr>
          <w:rFonts w:ascii="Times New Roman" w:hAnsi="Times New Roman"/>
          <w:sz w:val="32"/>
        </w:rPr>
        <w:sectPr>
          <w:pgSz w:w="7940" w:h="11910"/>
          <w:pgMar w:top="1100" w:bottom="280" w:left="102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p>
    <w:p>
      <w:pPr>
        <w:pStyle w:val="BodyText"/>
        <w:spacing w:line="60" w:lineRule="exact"/>
        <w:ind w:left="103"/>
        <w:rPr>
          <w:rFonts w:ascii="Times New Roman"/>
          <w:sz w:val="6"/>
        </w:rPr>
      </w:pPr>
      <w:r>
        <w:rPr>
          <w:rFonts w:ascii="Times New Roman"/>
          <w:position w:val="0"/>
          <w:sz w:val="6"/>
        </w:rPr>
        <w:pict>
          <v:group style="width:199.45pt;height:3pt;mso-position-horizontal-relative:char;mso-position-vertical-relative:line" coordorigin="0,0" coordsize="3989,60">
            <v:line style="position:absolute" from="10,10" to="3979,10" stroked="true" strokeweight=".999pt" strokecolor="#231f20"/>
            <v:line style="position:absolute" from="10,50" to="3979,50" stroked="true" strokeweight=".999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rPr>
      </w:pPr>
    </w:p>
    <w:p>
      <w:pPr>
        <w:spacing w:line="312" w:lineRule="auto" w:before="38"/>
        <w:ind w:left="315" w:right="313" w:firstLine="0"/>
        <w:jc w:val="center"/>
        <w:rPr>
          <w:rFonts w:ascii="Times New Roman" w:hAnsi="Times New Roman"/>
          <w:sz w:val="40"/>
        </w:rPr>
      </w:pPr>
      <w:r>
        <w:rPr>
          <w:rFonts w:ascii="Times New Roman" w:hAnsi="Times New Roman"/>
          <w:color w:val="231F20"/>
          <w:w w:val="80"/>
          <w:sz w:val="40"/>
        </w:rPr>
        <w:t>METODOLOGÍAS Y APLICACIONES </w:t>
      </w:r>
      <w:r>
        <w:rPr>
          <w:rFonts w:ascii="Times New Roman" w:hAnsi="Times New Roman"/>
          <w:color w:val="231F20"/>
          <w:w w:val="90"/>
          <w:sz w:val="40"/>
        </w:rPr>
        <w:t>PARA LA PRODUCCIÓN </w:t>
      </w:r>
      <w:r>
        <w:rPr>
          <w:rFonts w:ascii="Times New Roman" w:hAnsi="Times New Roman"/>
          <w:color w:val="231F20"/>
          <w:w w:val="80"/>
          <w:sz w:val="40"/>
        </w:rPr>
        <w:t>GANADERA DEL TRÓPICO SECO EN EL SUR DEL ESTADO</w:t>
      </w:r>
    </w:p>
    <w:p>
      <w:pPr>
        <w:spacing w:before="7"/>
        <w:ind w:left="495" w:right="495" w:firstLine="0"/>
        <w:jc w:val="center"/>
        <w:rPr>
          <w:rFonts w:ascii="Times New Roman" w:hAnsi="Times New Roman"/>
          <w:sz w:val="40"/>
        </w:rPr>
      </w:pPr>
      <w:r>
        <w:rPr>
          <w:rFonts w:ascii="Times New Roman" w:hAnsi="Times New Roman"/>
          <w:color w:val="231F20"/>
          <w:w w:val="80"/>
          <w:sz w:val="40"/>
        </w:rPr>
        <w:t>DE MÉXICO</w:t>
      </w:r>
    </w:p>
    <w:p>
      <w:pPr>
        <w:pStyle w:val="BodyText"/>
        <w:rPr>
          <w:rFonts w:ascii="Times New Roman"/>
          <w:sz w:val="20"/>
        </w:rPr>
      </w:pPr>
    </w:p>
    <w:p>
      <w:pPr>
        <w:pStyle w:val="BodyText"/>
        <w:rPr>
          <w:rFonts w:ascii="Times New Roman"/>
          <w:sz w:val="20"/>
        </w:rPr>
      </w:pPr>
    </w:p>
    <w:p>
      <w:pPr>
        <w:pStyle w:val="BodyText"/>
        <w:rPr>
          <w:rFonts w:ascii="Times New Roman"/>
          <w:sz w:val="23"/>
        </w:rPr>
      </w:pPr>
      <w:r>
        <w:rPr/>
        <w:pict>
          <v:group style="position:absolute;margin-left:141.2323pt;margin-top:15.194992pt;width:199.45pt;height:3.05pt;mso-position-horizontal-relative:page;mso-position-vertical-relative:paragraph;z-index:1096;mso-wrap-distance-left:0;mso-wrap-distance-right:0" coordorigin="2825,304" coordsize="3989,61">
            <v:line style="position:absolute" from="2835,314" to="6803,314" stroked="true" strokeweight=".999pt" strokecolor="#231f20"/>
            <v:line style="position:absolute" from="2835,354" to="6803,354" stroked="true" strokeweight=".999pt" strokecolor="#231f20"/>
            <w10:wrap type="topAndBottom"/>
          </v:group>
        </w:pict>
      </w:r>
    </w:p>
    <w:p>
      <w:pPr>
        <w:spacing w:line="360" w:lineRule="exact" w:before="266"/>
        <w:ind w:left="3098" w:right="111" w:hanging="980"/>
        <w:jc w:val="right"/>
        <w:rPr>
          <w:rFonts w:ascii="Times New Roman" w:hAnsi="Times New Roman"/>
          <w:sz w:val="32"/>
        </w:rPr>
      </w:pPr>
      <w:r>
        <w:rPr>
          <w:rFonts w:ascii="Times New Roman" w:hAnsi="Times New Roman"/>
          <w:color w:val="231F20"/>
          <w:w w:val="95"/>
          <w:sz w:val="32"/>
        </w:rPr>
        <w:t>Juvencio Hernández Martínez</w:t>
      </w:r>
      <w:r>
        <w:rPr>
          <w:rFonts w:ascii="Times New Roman" w:hAnsi="Times New Roman"/>
          <w:color w:val="231F20"/>
          <w:w w:val="91"/>
          <w:sz w:val="32"/>
        </w:rPr>
        <w:t> </w:t>
      </w:r>
      <w:r>
        <w:rPr>
          <w:rFonts w:ascii="Times New Roman" w:hAnsi="Times New Roman"/>
          <w:color w:val="231F20"/>
          <w:w w:val="90"/>
          <w:sz w:val="32"/>
        </w:rPr>
        <w:t>Francisca Avilés Nova</w:t>
      </w:r>
      <w:r>
        <w:rPr>
          <w:rFonts w:ascii="Times New Roman" w:hAnsi="Times New Roman"/>
          <w:color w:val="231F20"/>
          <w:w w:val="97"/>
          <w:sz w:val="32"/>
        </w:rPr>
        <w:t> </w:t>
      </w:r>
      <w:r>
        <w:rPr>
          <w:rFonts w:ascii="Times New Roman" w:hAnsi="Times New Roman"/>
          <w:color w:val="231F20"/>
          <w:w w:val="95"/>
          <w:sz w:val="32"/>
        </w:rPr>
        <w:t>Rolando Rojo Rubio</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4"/>
        </w:rPr>
      </w:pPr>
      <w:r>
        <w:rPr/>
        <w:drawing>
          <wp:anchor distT="0" distB="0" distL="0" distR="0" allowOverlap="1" layoutInCell="1" locked="0" behindDoc="0" simplePos="0" relativeHeight="1120">
            <wp:simplePos x="0" y="0"/>
            <wp:positionH relativeFrom="page">
              <wp:posOffset>820521</wp:posOffset>
            </wp:positionH>
            <wp:positionV relativeFrom="paragraph">
              <wp:posOffset>133530</wp:posOffset>
            </wp:positionV>
            <wp:extent cx="655307" cy="585216"/>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655307" cy="585216"/>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2165451</wp:posOffset>
            </wp:positionH>
            <wp:positionV relativeFrom="paragraph">
              <wp:posOffset>143949</wp:posOffset>
            </wp:positionV>
            <wp:extent cx="723676" cy="52425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723676" cy="524256"/>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3513599</wp:posOffset>
            </wp:positionH>
            <wp:positionV relativeFrom="paragraph">
              <wp:posOffset>144334</wp:posOffset>
            </wp:positionV>
            <wp:extent cx="810577" cy="278415"/>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810577" cy="278415"/>
                    </a:xfrm>
                    <a:prstGeom prst="rect">
                      <a:avLst/>
                    </a:prstGeom>
                  </pic:spPr>
                </pic:pic>
              </a:graphicData>
            </a:graphic>
          </wp:anchor>
        </w:drawing>
      </w:r>
    </w:p>
    <w:p>
      <w:pPr>
        <w:spacing w:after="0"/>
        <w:rPr>
          <w:rFonts w:ascii="Times New Roman"/>
          <w:sz w:val="14"/>
        </w:rPr>
        <w:sectPr>
          <w:pgSz w:w="7940" w:h="11910"/>
          <w:pgMar w:top="1100" w:bottom="280" w:left="102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pStyle w:val="Heading6"/>
        <w:spacing w:line="190" w:lineRule="exact" w:before="93"/>
        <w:ind w:left="953" w:right="458" w:hanging="1"/>
        <w:rPr>
          <w:rFonts w:ascii="Times New Roman"/>
        </w:rPr>
      </w:pPr>
      <w:r>
        <w:rPr>
          <w:rFonts w:ascii="Times New Roman"/>
          <w:color w:val="231F20"/>
        </w:rPr>
        <w:t>Metodologias y aplicaciones para la produccion ganadera del tropico seco en el sur del Estado de Mexico</w:t>
      </w:r>
    </w:p>
    <w:p>
      <w:pPr>
        <w:pStyle w:val="BodyText"/>
        <w:spacing w:before="6"/>
        <w:rPr>
          <w:rFonts w:ascii="Times New Roman"/>
          <w:b/>
          <w:sz w:val="16"/>
        </w:rPr>
      </w:pPr>
    </w:p>
    <w:p>
      <w:pPr>
        <w:pStyle w:val="BodyText"/>
        <w:spacing w:line="190" w:lineRule="exact"/>
        <w:ind w:left="953" w:right="928"/>
        <w:rPr>
          <w:rFonts w:ascii="Times New Roman" w:hAnsi="Times New Roman"/>
        </w:rPr>
      </w:pPr>
      <w:r>
        <w:rPr>
          <w:rFonts w:ascii="Times New Roman" w:hAnsi="Times New Roman"/>
          <w:color w:val="231F20"/>
        </w:rPr>
        <w:t>Juvencio Hernández Martínez, Francisca Avilés Nova y Rolando Rojo Rubio</w:t>
      </w:r>
    </w:p>
    <w:p>
      <w:pPr>
        <w:pStyle w:val="BodyText"/>
        <w:spacing w:before="89"/>
        <w:ind w:left="953"/>
        <w:jc w:val="both"/>
        <w:rPr>
          <w:rFonts w:ascii="Times New Roman" w:hAnsi="Times New Roman"/>
        </w:rPr>
      </w:pPr>
      <w:r>
        <w:rPr>
          <w:rFonts w:ascii="Times New Roman" w:hAnsi="Times New Roman"/>
          <w:color w:val="231F20"/>
        </w:rPr>
        <w:t>Primera edición: 15 de enero de 2014</w:t>
      </w:r>
    </w:p>
    <w:p>
      <w:pPr>
        <w:pStyle w:val="BodyText"/>
        <w:spacing w:before="10"/>
        <w:rPr>
          <w:rFonts w:ascii="Times New Roman"/>
          <w:sz w:val="25"/>
        </w:rPr>
      </w:pPr>
    </w:p>
    <w:p>
      <w:pPr>
        <w:pStyle w:val="BodyText"/>
        <w:tabs>
          <w:tab w:pos="953" w:val="left" w:leader="none"/>
        </w:tabs>
        <w:spacing w:line="198" w:lineRule="exact"/>
        <w:ind w:left="113" w:right="458"/>
        <w:rPr>
          <w:rFonts w:ascii="Times New Roman" w:hAnsi="Times New Roman"/>
        </w:rPr>
      </w:pPr>
      <w:r>
        <w:rPr>
          <w:rFonts w:ascii="Times New Roman" w:hAnsi="Times New Roman"/>
          <w:color w:val="231F20"/>
        </w:rPr>
        <w:t>D.R.</w:t>
      </w:r>
      <w:r>
        <w:rPr>
          <w:rFonts w:ascii="Times New Roman" w:hAnsi="Times New Roman"/>
          <w:color w:val="231F20"/>
          <w:spacing w:val="-1"/>
        </w:rPr>
        <w:t> </w:t>
      </w:r>
      <w:r>
        <w:rPr>
          <w:rFonts w:ascii="Times New Roman" w:hAnsi="Times New Roman"/>
          <w:color w:val="231F20"/>
        </w:rPr>
        <w:t>©</w:t>
        <w:tab/>
        <w:t>Ediciones Gernika,</w:t>
      </w:r>
      <w:r>
        <w:rPr>
          <w:rFonts w:ascii="Times New Roman" w:hAnsi="Times New Roman"/>
          <w:color w:val="231F20"/>
          <w:spacing w:val="-12"/>
        </w:rPr>
        <w:t> </w:t>
      </w:r>
      <w:r>
        <w:rPr>
          <w:rFonts w:ascii="Times New Roman" w:hAnsi="Times New Roman"/>
          <w:color w:val="231F20"/>
        </w:rPr>
        <w:t>S.A.</w:t>
      </w:r>
    </w:p>
    <w:p>
      <w:pPr>
        <w:pStyle w:val="BodyText"/>
        <w:spacing w:line="190" w:lineRule="exact" w:before="7"/>
        <w:ind w:left="953" w:right="2337"/>
        <w:rPr>
          <w:rFonts w:ascii="Times New Roman" w:hAnsi="Times New Roman"/>
        </w:rPr>
      </w:pPr>
      <w:r>
        <w:rPr>
          <w:rFonts w:ascii="Times New Roman" w:hAnsi="Times New Roman"/>
          <w:color w:val="231F20"/>
        </w:rPr>
        <w:t>Latacunga 801, Colonia Lindavista 07300 México, D.F. México</w:t>
      </w:r>
    </w:p>
    <w:p>
      <w:pPr>
        <w:pStyle w:val="BodyText"/>
        <w:spacing w:line="182" w:lineRule="exact"/>
        <w:ind w:left="953"/>
        <w:jc w:val="both"/>
        <w:rPr>
          <w:rFonts w:ascii="Times New Roman" w:hAnsi="Times New Roman"/>
        </w:rPr>
      </w:pPr>
      <w:r>
        <w:rPr>
          <w:rFonts w:ascii="Arial" w:hAnsi="Arial"/>
          <w:color w:val="231F20"/>
        </w:rPr>
        <w:t> </w:t>
      </w:r>
      <w:r>
        <w:rPr>
          <w:rFonts w:ascii="Times New Roman" w:hAnsi="Times New Roman"/>
          <w:color w:val="231F20"/>
        </w:rPr>
        <w:t>y Fax: 5586 5262 y 5586 8324</w:t>
      </w:r>
    </w:p>
    <w:p>
      <w:pPr>
        <w:pStyle w:val="BodyText"/>
        <w:spacing w:line="198" w:lineRule="exact"/>
        <w:ind w:left="953"/>
        <w:jc w:val="both"/>
        <w:rPr>
          <w:rFonts w:ascii="Times New Roman" w:hAnsi="Times New Roman"/>
        </w:rPr>
      </w:pPr>
      <w:r>
        <w:rPr>
          <w:rFonts w:ascii="Times New Roman" w:hAnsi="Times New Roman"/>
          <w:color w:val="231F20"/>
        </w:rPr>
        <w:t>Correo electrónico: </w:t>
      </w:r>
      <w:hyperlink r:id="rId9">
        <w:r>
          <w:rPr>
            <w:rFonts w:ascii="Times New Roman" w:hAnsi="Times New Roman"/>
            <w:color w:val="231F20"/>
          </w:rPr>
          <w:t>edicionesgernika@prodigy.net.mx</w:t>
        </w:r>
      </w:hyperlink>
    </w:p>
    <w:p>
      <w:pPr>
        <w:pStyle w:val="BodyText"/>
        <w:spacing w:before="9"/>
        <w:rPr>
          <w:rFonts w:ascii="Times New Roman"/>
          <w:sz w:val="16"/>
        </w:rPr>
      </w:pPr>
    </w:p>
    <w:p>
      <w:pPr>
        <w:pStyle w:val="Heading6"/>
        <w:ind w:left="953"/>
        <w:jc w:val="both"/>
        <w:rPr>
          <w:rFonts w:ascii="Times New Roman"/>
        </w:rPr>
      </w:pPr>
      <w:r>
        <w:rPr>
          <w:rFonts w:ascii="Times New Roman"/>
          <w:color w:val="231F20"/>
        </w:rPr>
        <w:t>ISBN: 978-607-9083-42-47</w:t>
      </w:r>
    </w:p>
    <w:p>
      <w:pPr>
        <w:pStyle w:val="BodyText"/>
        <w:spacing w:line="198" w:lineRule="exact" w:before="88"/>
        <w:ind w:left="953"/>
        <w:jc w:val="both"/>
        <w:rPr>
          <w:rFonts w:ascii="Times New Roman" w:hAnsi="Times New Roman"/>
        </w:rPr>
      </w:pPr>
      <w:r>
        <w:rPr>
          <w:rFonts w:ascii="Times New Roman" w:hAnsi="Times New Roman"/>
          <w:color w:val="231F20"/>
        </w:rPr>
        <w:t>Cuidado de la edición</w:t>
      </w:r>
    </w:p>
    <w:p>
      <w:pPr>
        <w:pStyle w:val="BodyText"/>
        <w:spacing w:line="198" w:lineRule="exact"/>
        <w:ind w:left="953"/>
        <w:jc w:val="both"/>
        <w:rPr>
          <w:rFonts w:ascii="Times New Roman" w:hAnsi="Times New Roman"/>
        </w:rPr>
      </w:pPr>
      <w:r>
        <w:rPr>
          <w:rFonts w:ascii="Times New Roman" w:hAnsi="Times New Roman"/>
          <w:color w:val="231F20"/>
        </w:rPr>
        <w:t>Ma. de los Ángeles González Callado</w:t>
      </w:r>
    </w:p>
    <w:p>
      <w:pPr>
        <w:pStyle w:val="BodyText"/>
        <w:spacing w:line="190" w:lineRule="exact" w:before="104"/>
        <w:ind w:left="953" w:right="2982"/>
        <w:rPr>
          <w:rFonts w:ascii="Times New Roman" w:hAnsi="Times New Roman"/>
        </w:rPr>
      </w:pPr>
      <w:r>
        <w:rPr>
          <w:rFonts w:ascii="Times New Roman" w:hAnsi="Times New Roman"/>
          <w:color w:val="231F20"/>
        </w:rPr>
        <w:t>Diseño de la portada Pedro </w:t>
      </w:r>
      <w:r>
        <w:rPr>
          <w:rFonts w:ascii="Times New Roman" w:hAnsi="Times New Roman"/>
          <w:color w:val="231F20"/>
          <w:spacing w:val="-3"/>
        </w:rPr>
        <w:t>Testas</w:t>
      </w:r>
      <w:r>
        <w:rPr>
          <w:rFonts w:ascii="Times New Roman" w:hAnsi="Times New Roman"/>
          <w:color w:val="231F20"/>
          <w:spacing w:val="-4"/>
        </w:rPr>
        <w:t> </w:t>
      </w:r>
      <w:r>
        <w:rPr>
          <w:rFonts w:ascii="Times New Roman" w:hAnsi="Times New Roman"/>
          <w:color w:val="231F20"/>
        </w:rPr>
        <w:t>Bouzas</w:t>
      </w:r>
    </w:p>
    <w:p>
      <w:pPr>
        <w:pStyle w:val="BodyText"/>
        <w:spacing w:line="198" w:lineRule="exact" w:before="89"/>
        <w:ind w:left="953"/>
        <w:jc w:val="both"/>
        <w:rPr>
          <w:rFonts w:ascii="Times New Roman" w:hAnsi="Times New Roman"/>
        </w:rPr>
      </w:pPr>
      <w:r>
        <w:rPr>
          <w:rFonts w:ascii="Times New Roman" w:hAnsi="Times New Roman"/>
          <w:color w:val="231F20"/>
        </w:rPr>
        <w:t>Composición y tipográfica</w:t>
      </w:r>
    </w:p>
    <w:p>
      <w:pPr>
        <w:pStyle w:val="BodyText"/>
        <w:spacing w:line="198" w:lineRule="exact"/>
        <w:ind w:left="953"/>
        <w:jc w:val="both"/>
        <w:rPr>
          <w:rFonts w:ascii="Times New Roman" w:hAnsi="Times New Roman"/>
        </w:rPr>
      </w:pPr>
      <w:r>
        <w:rPr>
          <w:rFonts w:ascii="Times New Roman" w:hAnsi="Times New Roman"/>
          <w:color w:val="231F20"/>
        </w:rPr>
        <w:t>Pilar Fandiño Ugalde</w:t>
      </w:r>
    </w:p>
    <w:p>
      <w:pPr>
        <w:pStyle w:val="BodyText"/>
        <w:spacing w:line="190" w:lineRule="exact" w:before="104"/>
        <w:ind w:left="953" w:right="335" w:firstLine="10"/>
        <w:jc w:val="both"/>
        <w:rPr>
          <w:rFonts w:ascii="Times New Roman" w:hAnsi="Times New Roman"/>
        </w:rPr>
      </w:pPr>
      <w:r>
        <w:rPr>
          <w:rFonts w:ascii="Times New Roman" w:hAnsi="Times New Roman"/>
          <w:color w:val="231F20"/>
        </w:rPr>
        <w:t>Queda prohibida la reproducción parcial o total, directa o indi- recta, del contenido de la presente obra, sin contar previamen- te con la autorización expresa y por escrito de los editores, en términos de lo así previsto por la Ley Federal de Derechos de Autor y, en su caso, por los tratados internacionales aplicables</w:t>
      </w:r>
    </w:p>
    <w:p>
      <w:pPr>
        <w:pStyle w:val="BodyText"/>
        <w:spacing w:line="198" w:lineRule="exact" w:before="89"/>
        <w:ind w:left="953"/>
        <w:jc w:val="both"/>
        <w:rPr>
          <w:rFonts w:ascii="Times New Roman" w:hAnsi="Times New Roman"/>
        </w:rPr>
      </w:pPr>
      <w:r>
        <w:rPr>
          <w:rFonts w:ascii="Times New Roman" w:hAnsi="Times New Roman"/>
          <w:color w:val="231F20"/>
        </w:rPr>
        <w:t>Impreso y encuadernado en México</w:t>
      </w:r>
    </w:p>
    <w:p>
      <w:pPr>
        <w:spacing w:line="198" w:lineRule="exact" w:before="0"/>
        <w:ind w:left="953" w:right="0" w:firstLine="0"/>
        <w:jc w:val="both"/>
        <w:rPr>
          <w:rFonts w:ascii="Times New Roman"/>
          <w:i/>
          <w:sz w:val="18"/>
        </w:rPr>
      </w:pPr>
      <w:r>
        <w:rPr>
          <w:rFonts w:ascii="Times New Roman"/>
          <w:i/>
          <w:color w:val="231F20"/>
          <w:sz w:val="18"/>
        </w:rPr>
        <w:t>Printed and bound in Mexico</w:t>
      </w:r>
    </w:p>
    <w:p>
      <w:pPr>
        <w:spacing w:after="0" w:line="198" w:lineRule="exact"/>
        <w:jc w:val="both"/>
        <w:rPr>
          <w:rFonts w:ascii="Times New Roman"/>
          <w:sz w:val="18"/>
        </w:rPr>
        <w:sectPr>
          <w:pgSz w:w="7940" w:h="11910"/>
          <w:pgMar w:top="1100" w:bottom="280" w:left="1020" w:right="108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spacing w:before="192"/>
        <w:ind w:left="903" w:right="903" w:firstLine="0"/>
        <w:jc w:val="center"/>
        <w:rPr>
          <w:b/>
          <w:sz w:val="32"/>
        </w:rPr>
      </w:pPr>
      <w:r>
        <w:rPr>
          <w:b/>
          <w:color w:val="231F20"/>
          <w:sz w:val="32"/>
        </w:rPr>
        <w:t>COMITÉ CIENTÍFICO</w:t>
      </w:r>
    </w:p>
    <w:p>
      <w:pPr>
        <w:pStyle w:val="BodyText"/>
        <w:spacing w:before="9"/>
        <w:rPr>
          <w:b/>
          <w:sz w:val="14"/>
        </w:rPr>
      </w:pPr>
      <w:r>
        <w:rPr/>
        <w:pict>
          <v:group style="position:absolute;margin-left:123.995499pt;margin-top:10.618522pt;width:148.9pt;height:3pt;mso-position-horizontal-relative:page;mso-position-vertical-relative:paragraph;z-index:1192;mso-wrap-distance-left:0;mso-wrap-distance-right:0" coordorigin="2480,212" coordsize="2978,60">
            <v:line style="position:absolute" from="2495,227" to="5442,227" stroked="true" strokeweight="1.5pt" strokecolor="#231f20"/>
            <v:line style="position:absolute" from="2495,267" to="5442,267" stroked="true" strokeweight=".501pt" strokecolor="#231f20"/>
            <w10:wrap type="topAndBottom"/>
          </v:group>
        </w:pict>
      </w:r>
    </w:p>
    <w:p>
      <w:pPr>
        <w:pStyle w:val="BodyText"/>
        <w:rPr>
          <w:b/>
          <w:sz w:val="32"/>
        </w:rPr>
      </w:pPr>
    </w:p>
    <w:p>
      <w:pPr>
        <w:pStyle w:val="BodyText"/>
        <w:rPr>
          <w:b/>
          <w:sz w:val="32"/>
        </w:rPr>
      </w:pPr>
    </w:p>
    <w:p>
      <w:pPr>
        <w:pStyle w:val="BodyText"/>
        <w:spacing w:before="9"/>
        <w:rPr>
          <w:b/>
          <w:sz w:val="29"/>
        </w:rPr>
      </w:pPr>
    </w:p>
    <w:p>
      <w:pPr>
        <w:spacing w:before="0"/>
        <w:ind w:left="903" w:right="903" w:firstLine="0"/>
        <w:jc w:val="center"/>
        <w:rPr>
          <w:rFonts w:ascii="Times New Roman" w:hAnsi="Times New Roman"/>
          <w:i/>
          <w:sz w:val="18"/>
        </w:rPr>
      </w:pPr>
      <w:r>
        <w:rPr>
          <w:rFonts w:ascii="Times New Roman" w:hAnsi="Times New Roman"/>
          <w:i/>
          <w:color w:val="231F20"/>
          <w:sz w:val="18"/>
        </w:rPr>
        <w:t>Dra. en C. Yolanda Sánchez Torres</w:t>
      </w:r>
    </w:p>
    <w:p>
      <w:pPr>
        <w:spacing w:before="21"/>
        <w:ind w:left="903" w:right="903" w:firstLine="0"/>
        <w:jc w:val="center"/>
        <w:rPr>
          <w:rFonts w:ascii="Times New Roman" w:hAnsi="Times New Roman"/>
          <w:sz w:val="16"/>
        </w:rPr>
      </w:pPr>
      <w:r>
        <w:rPr>
          <w:rFonts w:ascii="Times New Roman" w:hAnsi="Times New Roman"/>
          <w:color w:val="231F20"/>
          <w:sz w:val="16"/>
        </w:rPr>
        <w:t>del Área de Negocios Internacionales</w:t>
      </w:r>
    </w:p>
    <w:p>
      <w:pPr>
        <w:spacing w:before="26"/>
        <w:ind w:left="903" w:right="903" w:firstLine="0"/>
        <w:jc w:val="center"/>
        <w:rPr>
          <w:rFonts w:ascii="Times New Roman" w:hAnsi="Times New Roman"/>
          <w:sz w:val="16"/>
        </w:rPr>
      </w:pPr>
      <w:r>
        <w:rPr>
          <w:rFonts w:ascii="Times New Roman" w:hAnsi="Times New Roman"/>
          <w:color w:val="231F20"/>
          <w:sz w:val="16"/>
        </w:rPr>
        <w:t>de la Universidad Politécnica de Tulancingo</w:t>
      </w:r>
    </w:p>
    <w:p>
      <w:pPr>
        <w:spacing w:before="120"/>
        <w:ind w:left="903" w:right="903" w:firstLine="0"/>
        <w:jc w:val="center"/>
        <w:rPr>
          <w:rFonts w:ascii="Times New Roman" w:hAnsi="Times New Roman"/>
          <w:i/>
          <w:sz w:val="18"/>
        </w:rPr>
      </w:pPr>
      <w:r>
        <w:rPr>
          <w:rFonts w:ascii="Times New Roman" w:hAnsi="Times New Roman"/>
          <w:i/>
          <w:color w:val="231F20"/>
          <w:sz w:val="18"/>
        </w:rPr>
        <w:t>Dr. en C. Aníbal Terrones Cordero</w:t>
      </w:r>
    </w:p>
    <w:p>
      <w:pPr>
        <w:spacing w:before="21"/>
        <w:ind w:left="903" w:right="903" w:firstLine="0"/>
        <w:jc w:val="center"/>
        <w:rPr>
          <w:rFonts w:ascii="Times New Roman" w:hAnsi="Times New Roman"/>
          <w:sz w:val="16"/>
        </w:rPr>
      </w:pPr>
      <w:r>
        <w:rPr>
          <w:rFonts w:ascii="Times New Roman" w:hAnsi="Times New Roman"/>
          <w:color w:val="231F20"/>
          <w:sz w:val="16"/>
        </w:rPr>
        <w:t>del Instituto de Ciencias Económico Administrativas</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Hidalgo (UAEH)</w:t>
      </w:r>
    </w:p>
    <w:p>
      <w:pPr>
        <w:spacing w:before="120"/>
        <w:ind w:left="903" w:right="903" w:firstLine="0"/>
        <w:jc w:val="center"/>
        <w:rPr>
          <w:rFonts w:ascii="Times New Roman" w:hAnsi="Times New Roman"/>
          <w:i/>
          <w:sz w:val="18"/>
        </w:rPr>
      </w:pPr>
      <w:r>
        <w:rPr>
          <w:rFonts w:ascii="Times New Roman" w:hAnsi="Times New Roman"/>
          <w:i/>
          <w:color w:val="231F20"/>
          <w:sz w:val="18"/>
        </w:rPr>
        <w:t>Dr. en C. Orsohe Ramírez Abarca</w:t>
      </w:r>
    </w:p>
    <w:p>
      <w:pPr>
        <w:spacing w:before="21"/>
        <w:ind w:left="903" w:right="903" w:firstLine="0"/>
        <w:jc w:val="center"/>
        <w:rPr>
          <w:rFonts w:ascii="Times New Roman"/>
          <w:sz w:val="16"/>
        </w:rPr>
      </w:pPr>
      <w:r>
        <w:rPr>
          <w:rFonts w:ascii="Times New Roman"/>
          <w:color w:val="231F20"/>
          <w:sz w:val="16"/>
        </w:rPr>
        <w:t>del Centro Universitario UAEM Texcoco</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México (UAEM)</w:t>
      </w:r>
    </w:p>
    <w:p>
      <w:pPr>
        <w:spacing w:before="120"/>
        <w:ind w:left="903" w:right="903" w:firstLine="0"/>
        <w:jc w:val="center"/>
        <w:rPr>
          <w:rFonts w:ascii="Times New Roman" w:hAnsi="Times New Roman"/>
          <w:i/>
          <w:sz w:val="18"/>
        </w:rPr>
      </w:pPr>
      <w:r>
        <w:rPr>
          <w:rFonts w:ascii="Times New Roman" w:hAnsi="Times New Roman"/>
          <w:i/>
          <w:color w:val="231F20"/>
          <w:sz w:val="18"/>
        </w:rPr>
        <w:t>Dr. en C. V. Luis Brunett Pérez</w:t>
      </w:r>
    </w:p>
    <w:p>
      <w:pPr>
        <w:spacing w:before="3"/>
        <w:ind w:left="903" w:right="903" w:firstLine="0"/>
        <w:jc w:val="center"/>
        <w:rPr>
          <w:rFonts w:ascii="Times New Roman"/>
          <w:i/>
          <w:sz w:val="18"/>
        </w:rPr>
      </w:pPr>
      <w:r>
        <w:rPr>
          <w:rFonts w:ascii="Times New Roman"/>
          <w:i/>
          <w:color w:val="231F20"/>
          <w:sz w:val="18"/>
        </w:rPr>
        <w:t>y el Dr. en CARN Enrique Espinoza Ayala,</w:t>
      </w:r>
    </w:p>
    <w:p>
      <w:pPr>
        <w:spacing w:before="21"/>
        <w:ind w:left="903" w:right="903" w:firstLine="0"/>
        <w:jc w:val="center"/>
        <w:rPr>
          <w:rFonts w:ascii="Times New Roman"/>
          <w:sz w:val="16"/>
        </w:rPr>
      </w:pPr>
      <w:r>
        <w:rPr>
          <w:rFonts w:ascii="Times New Roman"/>
          <w:color w:val="231F20"/>
          <w:sz w:val="16"/>
        </w:rPr>
        <w:t>ambos del Centro Universitario UAEM Amecameca</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México (UAEM).</w:t>
      </w:r>
    </w:p>
    <w:p>
      <w:pPr>
        <w:spacing w:after="0"/>
        <w:jc w:val="center"/>
        <w:rPr>
          <w:rFonts w:ascii="Times New Roman" w:hAnsi="Times New Roman"/>
          <w:sz w:val="16"/>
        </w:rPr>
        <w:sectPr>
          <w:pgSz w:w="7940" w:h="11910"/>
          <w:pgMar w:top="1100" w:bottom="280" w:left="1080" w:right="1080"/>
        </w:sectPr>
      </w:pPr>
    </w:p>
    <w:p>
      <w:pPr>
        <w:pStyle w:val="BodyText"/>
        <w:rPr>
          <w:rFonts w:ascii="Times New Roman"/>
          <w:sz w:val="20"/>
        </w:rPr>
      </w:pPr>
    </w:p>
    <w:p>
      <w:pPr>
        <w:pStyle w:val="BodyText"/>
        <w:spacing w:before="1"/>
        <w:rPr>
          <w:rFonts w:ascii="Times New Roman"/>
          <w:sz w:val="28"/>
        </w:rPr>
      </w:pPr>
    </w:p>
    <w:p>
      <w:pPr>
        <w:pStyle w:val="Heading2"/>
        <w:spacing w:before="55"/>
        <w:ind w:left="2034" w:right="1975"/>
      </w:pPr>
      <w:r>
        <w:rPr>
          <w:color w:val="231F20"/>
        </w:rPr>
        <w:t>CONTENIDO</w:t>
      </w:r>
    </w:p>
    <w:p>
      <w:pPr>
        <w:pStyle w:val="BodyText"/>
        <w:spacing w:before="9"/>
        <w:rPr>
          <w:b/>
          <w:sz w:val="14"/>
        </w:rPr>
      </w:pPr>
      <w:r>
        <w:rPr/>
        <w:pict>
          <v:group style="position:absolute;margin-left:153.046295pt;margin-top:10.618515pt;width:90.8pt;height:3pt;mso-position-horizontal-relative:page;mso-position-vertical-relative:paragraph;z-index:1216;mso-wrap-distance-left:0;mso-wrap-distance-right:0" coordorigin="3061,212" coordsize="1816,60">
            <v:line style="position:absolute" from="3076,227" to="4861,227" stroked="true" strokeweight="1.5pt" strokecolor="#231f20"/>
            <v:line style="position:absolute" from="3076,267" to="4861,267" stroked="true" strokeweight=".501pt" strokecolor="#231f20"/>
            <w10:wrap type="topAndBottom"/>
          </v:group>
        </w:pict>
      </w:r>
    </w:p>
    <w:p>
      <w:pPr>
        <w:pStyle w:val="BodyText"/>
        <w:rPr>
          <w:b/>
          <w:sz w:val="32"/>
        </w:rPr>
      </w:pPr>
    </w:p>
    <w:p>
      <w:pPr>
        <w:pStyle w:val="BodyText"/>
        <w:rPr>
          <w:b/>
          <w:sz w:val="32"/>
        </w:rPr>
      </w:pPr>
    </w:p>
    <w:p>
      <w:pPr>
        <w:pStyle w:val="BodyText"/>
        <w:rPr>
          <w:b/>
          <w:sz w:val="42"/>
        </w:rPr>
      </w:pPr>
    </w:p>
    <w:p>
      <w:pPr>
        <w:pStyle w:val="Heading6"/>
        <w:tabs>
          <w:tab w:pos="5693" w:val="right" w:leader="none"/>
        </w:tabs>
        <w:spacing w:before="1"/>
        <w:ind w:left="113"/>
        <w:rPr>
          <w:b w:val="0"/>
        </w:rPr>
      </w:pPr>
      <w:r>
        <w:rPr>
          <w:color w:val="231F20"/>
        </w:rPr>
        <w:t>Colaboradores</w:t>
      </w:r>
      <w:r>
        <w:rPr>
          <w:b w:val="0"/>
          <w:color w:val="231F20"/>
        </w:rPr>
        <w:tab/>
        <w:t>11</w:t>
      </w:r>
    </w:p>
    <w:p>
      <w:pPr>
        <w:tabs>
          <w:tab w:pos="5693" w:val="right" w:leader="none"/>
        </w:tabs>
        <w:spacing w:before="362"/>
        <w:ind w:left="113" w:right="0" w:firstLine="0"/>
        <w:jc w:val="left"/>
        <w:rPr>
          <w:sz w:val="18"/>
        </w:rPr>
      </w:pPr>
      <w:r>
        <w:rPr>
          <w:b/>
          <w:color w:val="231F20"/>
          <w:sz w:val="18"/>
        </w:rPr>
        <w:t>Prefacio</w:t>
      </w:r>
      <w:r>
        <w:rPr>
          <w:color w:val="231F20"/>
          <w:sz w:val="18"/>
        </w:rPr>
        <w:tab/>
        <w:t>15</w:t>
      </w:r>
    </w:p>
    <w:p>
      <w:pPr>
        <w:pStyle w:val="Heading6"/>
        <w:spacing w:before="362"/>
        <w:ind w:left="113" w:right="458"/>
      </w:pPr>
      <w:r>
        <w:rPr>
          <w:color w:val="231F20"/>
        </w:rPr>
        <w:t>Parte I</w:t>
      </w:r>
    </w:p>
    <w:p>
      <w:pPr>
        <w:pStyle w:val="Heading6"/>
        <w:spacing w:before="19"/>
        <w:ind w:left="113" w:right="458"/>
      </w:pPr>
      <w:r>
        <w:rPr>
          <w:color w:val="231F20"/>
        </w:rPr>
        <w:t>Metodologías y aplicaciones económicas en producción animal</w:t>
      </w:r>
    </w:p>
    <w:p>
      <w:pPr>
        <w:pStyle w:val="BodyText"/>
        <w:tabs>
          <w:tab w:pos="5693" w:val="right" w:leader="none"/>
        </w:tabs>
        <w:spacing w:before="75"/>
        <w:ind w:left="113"/>
      </w:pPr>
      <w:r>
        <w:rPr>
          <w:color w:val="231F20"/>
        </w:rPr>
        <w:t>Aplicación de la teoría de la producción en</w:t>
      </w:r>
      <w:r>
        <w:rPr>
          <w:color w:val="231F20"/>
          <w:spacing w:val="-18"/>
        </w:rPr>
        <w:t> </w:t>
      </w:r>
      <w:r>
        <w:rPr>
          <w:color w:val="231F20"/>
        </w:rPr>
        <w:t>investigación</w:t>
      </w:r>
      <w:r>
        <w:rPr>
          <w:color w:val="231F20"/>
          <w:spacing w:val="-2"/>
        </w:rPr>
        <w:t> </w:t>
      </w:r>
      <w:r>
        <w:rPr>
          <w:color w:val="231F20"/>
        </w:rPr>
        <w:t>pecuaria</w:t>
        <w:tab/>
        <w:t>19</w:t>
      </w:r>
    </w:p>
    <w:p>
      <w:pPr>
        <w:spacing w:line="261" w:lineRule="auto" w:before="19"/>
        <w:ind w:left="693" w:right="458" w:firstLine="0"/>
        <w:jc w:val="left"/>
        <w:rPr>
          <w:i/>
          <w:sz w:val="18"/>
        </w:rPr>
      </w:pPr>
      <w:r>
        <w:rPr>
          <w:i/>
          <w:color w:val="231F20"/>
          <w:sz w:val="18"/>
        </w:rPr>
        <w:t>Samuel Rebollar-Rebollar, Juvencio Hernández-Martínez, </w:t>
      </w:r>
      <w:r>
        <w:rPr>
          <w:i/>
          <w:color w:val="231F20"/>
          <w:sz w:val="18"/>
        </w:rPr>
        <w:t>Felipe de Jesús González-Razo, Germán Gómez-Tenorio</w:t>
      </w:r>
    </w:p>
    <w:p>
      <w:pPr>
        <w:pStyle w:val="BodyText"/>
        <w:spacing w:before="56"/>
        <w:ind w:left="113" w:right="458"/>
      </w:pPr>
      <w:r>
        <w:rPr>
          <w:color w:val="231F20"/>
        </w:rPr>
        <w:t>Caracterización de unidades de producción de ganado bovino</w:t>
      </w:r>
    </w:p>
    <w:p>
      <w:pPr>
        <w:pStyle w:val="BodyText"/>
        <w:tabs>
          <w:tab w:pos="5693" w:val="right" w:leader="none"/>
        </w:tabs>
        <w:spacing w:before="19"/>
        <w:ind w:left="693"/>
      </w:pPr>
      <w:r>
        <w:rPr>
          <w:color w:val="231F20"/>
        </w:rPr>
        <w:t>actuales en el municipio de Tlatlaya, Estado</w:t>
      </w:r>
      <w:r>
        <w:rPr>
          <w:color w:val="231F20"/>
          <w:spacing w:val="-11"/>
        </w:rPr>
        <w:t> </w:t>
      </w:r>
      <w:r>
        <w:rPr>
          <w:color w:val="231F20"/>
        </w:rPr>
        <w:t>de</w:t>
      </w:r>
      <w:r>
        <w:rPr>
          <w:color w:val="231F20"/>
          <w:spacing w:val="-3"/>
        </w:rPr>
        <w:t> </w:t>
      </w:r>
      <w:r>
        <w:rPr>
          <w:color w:val="231F20"/>
        </w:rPr>
        <w:t>México</w:t>
        <w:tab/>
        <w:t>37</w:t>
      </w:r>
    </w:p>
    <w:p>
      <w:pPr>
        <w:spacing w:before="19"/>
        <w:ind w:left="693" w:right="458" w:firstLine="0"/>
        <w:jc w:val="left"/>
        <w:rPr>
          <w:i/>
          <w:sz w:val="18"/>
        </w:rPr>
      </w:pPr>
      <w:r>
        <w:rPr>
          <w:i/>
          <w:color w:val="231F20"/>
          <w:sz w:val="18"/>
        </w:rPr>
        <w:t>Jovel Vences-Pérez, Benito Albarrán-Portillo,</w:t>
      </w:r>
    </w:p>
    <w:p>
      <w:pPr>
        <w:spacing w:before="19"/>
        <w:ind w:left="693" w:right="458" w:firstLine="0"/>
        <w:jc w:val="left"/>
        <w:rPr>
          <w:i/>
          <w:sz w:val="18"/>
        </w:rPr>
      </w:pPr>
      <w:r>
        <w:rPr>
          <w:i/>
          <w:color w:val="231F20"/>
          <w:sz w:val="18"/>
        </w:rPr>
        <w:t>Samuel Rebollar-Rebollar, Anastacio García-Martínez</w:t>
      </w:r>
    </w:p>
    <w:p>
      <w:pPr>
        <w:pStyle w:val="BodyText"/>
        <w:spacing w:before="75"/>
        <w:ind w:left="113" w:right="458"/>
      </w:pPr>
      <w:r>
        <w:rPr>
          <w:color w:val="231F20"/>
        </w:rPr>
        <w:t>Economía de la producción y de la comercialización de los ovinos</w:t>
      </w:r>
    </w:p>
    <w:p>
      <w:pPr>
        <w:pStyle w:val="BodyText"/>
        <w:tabs>
          <w:tab w:pos="5494" w:val="left" w:leader="none"/>
        </w:tabs>
        <w:spacing w:before="19"/>
        <w:ind w:left="693"/>
      </w:pPr>
      <w:r>
        <w:rPr>
          <w:color w:val="231F20"/>
        </w:rPr>
        <w:t>en el sur del estado</w:t>
      </w:r>
      <w:r>
        <w:rPr>
          <w:color w:val="231F20"/>
          <w:spacing w:val="-10"/>
        </w:rPr>
        <w:t> </w:t>
      </w:r>
      <w:r>
        <w:rPr>
          <w:color w:val="231F20"/>
        </w:rPr>
        <w:t>de</w:t>
      </w:r>
      <w:r>
        <w:rPr>
          <w:color w:val="231F20"/>
          <w:spacing w:val="-2"/>
        </w:rPr>
        <w:t> </w:t>
      </w:r>
      <w:r>
        <w:rPr>
          <w:color w:val="231F20"/>
        </w:rPr>
        <w:t>México</w:t>
        <w:tab/>
        <w:t>59</w:t>
      </w:r>
    </w:p>
    <w:p>
      <w:pPr>
        <w:spacing w:line="261" w:lineRule="auto" w:before="19"/>
        <w:ind w:left="693" w:right="458" w:firstLine="0"/>
        <w:jc w:val="left"/>
        <w:rPr>
          <w:i/>
          <w:sz w:val="18"/>
        </w:rPr>
      </w:pPr>
      <w:r>
        <w:rPr>
          <w:i/>
          <w:color w:val="231F20"/>
          <w:sz w:val="18"/>
        </w:rPr>
        <w:t>Juvencio Hernández-Martínez, Samuel Rebollar-Rebollar, </w:t>
      </w:r>
      <w:r>
        <w:rPr>
          <w:i/>
          <w:color w:val="231F20"/>
          <w:sz w:val="18"/>
        </w:rPr>
        <w:t>María Isabel Ortiz-Rivera, Eugenio Guzmán-Soria,</w:t>
      </w:r>
    </w:p>
    <w:p>
      <w:pPr>
        <w:spacing w:before="0"/>
        <w:ind w:left="693" w:right="458" w:firstLine="0"/>
        <w:jc w:val="left"/>
        <w:rPr>
          <w:i/>
          <w:sz w:val="18"/>
        </w:rPr>
      </w:pPr>
      <w:r>
        <w:rPr>
          <w:i/>
          <w:color w:val="231F20"/>
          <w:sz w:val="18"/>
        </w:rPr>
        <w:t>Felipe de Jesús González-Razo</w:t>
      </w:r>
    </w:p>
    <w:p>
      <w:pPr>
        <w:pStyle w:val="BodyText"/>
        <w:spacing w:before="75"/>
        <w:ind w:left="113" w:right="458"/>
      </w:pPr>
      <w:r>
        <w:rPr>
          <w:color w:val="231F20"/>
        </w:rPr>
        <w:t>La porcicultura en el sur del estado de México: un análisis</w:t>
      </w:r>
    </w:p>
    <w:p>
      <w:pPr>
        <w:pStyle w:val="BodyText"/>
        <w:tabs>
          <w:tab w:pos="5494" w:val="left" w:leader="none"/>
        </w:tabs>
        <w:spacing w:before="19"/>
        <w:ind w:left="693"/>
      </w:pPr>
      <w:r>
        <w:rPr>
          <w:color w:val="231F20"/>
        </w:rPr>
        <w:t>de su estructura productiva y</w:t>
      </w:r>
      <w:r>
        <w:rPr>
          <w:color w:val="231F20"/>
          <w:spacing w:val="-16"/>
        </w:rPr>
        <w:t> </w:t>
      </w:r>
      <w:r>
        <w:rPr>
          <w:color w:val="231F20"/>
        </w:rPr>
        <w:t>de</w:t>
      </w:r>
      <w:r>
        <w:rPr>
          <w:color w:val="231F20"/>
          <w:spacing w:val="-4"/>
        </w:rPr>
        <w:t> </w:t>
      </w:r>
      <w:r>
        <w:rPr>
          <w:color w:val="231F20"/>
        </w:rPr>
        <w:t>mercadeo</w:t>
        <w:tab/>
        <w:t>85</w:t>
      </w:r>
    </w:p>
    <w:p>
      <w:pPr>
        <w:spacing w:line="261" w:lineRule="auto" w:before="19"/>
        <w:ind w:left="693" w:right="458" w:firstLine="0"/>
        <w:jc w:val="left"/>
        <w:rPr>
          <w:i/>
          <w:sz w:val="18"/>
        </w:rPr>
      </w:pPr>
      <w:r>
        <w:rPr>
          <w:i/>
          <w:color w:val="231F20"/>
          <w:sz w:val="18"/>
        </w:rPr>
        <w:t>Felipe de Jesús González-Razo, Samuel Rebollar-Rebollar, </w:t>
      </w:r>
      <w:r>
        <w:rPr>
          <w:i/>
          <w:color w:val="231F20"/>
          <w:sz w:val="18"/>
        </w:rPr>
        <w:t>Juvencio Hernández-Martínez</w:t>
      </w:r>
    </w:p>
    <w:p>
      <w:pPr>
        <w:pStyle w:val="BodyText"/>
        <w:spacing w:before="56"/>
        <w:ind w:left="113" w:right="458"/>
      </w:pPr>
      <w:r>
        <w:rPr>
          <w:color w:val="231F20"/>
        </w:rPr>
        <w:t>Los costos de producción y la comercialización del ganado bovino</w:t>
      </w:r>
    </w:p>
    <w:p>
      <w:pPr>
        <w:pStyle w:val="BodyText"/>
        <w:tabs>
          <w:tab w:pos="5394" w:val="left" w:leader="none"/>
        </w:tabs>
        <w:spacing w:before="19"/>
        <w:ind w:left="693"/>
      </w:pPr>
      <w:r>
        <w:rPr>
          <w:color w:val="231F20"/>
        </w:rPr>
        <w:t>en el sur del Estado</w:t>
      </w:r>
      <w:r>
        <w:rPr>
          <w:color w:val="231F20"/>
          <w:spacing w:val="-11"/>
        </w:rPr>
        <w:t> </w:t>
      </w:r>
      <w:r>
        <w:rPr>
          <w:color w:val="231F20"/>
        </w:rPr>
        <w:t>de</w:t>
      </w:r>
      <w:r>
        <w:rPr>
          <w:color w:val="231F20"/>
          <w:spacing w:val="-3"/>
        </w:rPr>
        <w:t> </w:t>
      </w:r>
      <w:r>
        <w:rPr>
          <w:color w:val="231F20"/>
        </w:rPr>
        <w:t>México</w:t>
        <w:tab/>
        <w:t>103</w:t>
      </w:r>
    </w:p>
    <w:p>
      <w:pPr>
        <w:spacing w:before="19"/>
        <w:ind w:left="693" w:right="458" w:firstLine="0"/>
        <w:jc w:val="left"/>
        <w:rPr>
          <w:i/>
          <w:sz w:val="18"/>
        </w:rPr>
      </w:pPr>
      <w:r>
        <w:rPr>
          <w:i/>
          <w:color w:val="231F20"/>
          <w:sz w:val="18"/>
        </w:rPr>
        <w:t>Juvencio Hernández-Martínez, Samuel Rebollar-Rebollar,</w:t>
      </w:r>
    </w:p>
    <w:p>
      <w:pPr>
        <w:spacing w:line="261" w:lineRule="auto" w:before="19"/>
        <w:ind w:left="693" w:right="1448" w:firstLine="0"/>
        <w:jc w:val="left"/>
        <w:rPr>
          <w:i/>
          <w:sz w:val="18"/>
        </w:rPr>
      </w:pPr>
      <w:r>
        <w:rPr>
          <w:i/>
          <w:color w:val="231F20"/>
          <w:sz w:val="18"/>
        </w:rPr>
        <w:t>Eugenio Guzmán-Soria, Anibal Terrones Cordero </w:t>
      </w:r>
      <w:r>
        <w:rPr>
          <w:i/>
          <w:color w:val="231F20"/>
          <w:sz w:val="18"/>
        </w:rPr>
        <w:t>y Alfredo Rebollar-Rebollar</w:t>
      </w:r>
    </w:p>
    <w:p>
      <w:pPr>
        <w:spacing w:after="0" w:line="261" w:lineRule="auto"/>
        <w:jc w:val="left"/>
        <w:rPr>
          <w:sz w:val="18"/>
        </w:rPr>
        <w:sectPr>
          <w:pgSz w:w="7940" w:h="11910"/>
          <w:pgMar w:top="1100" w:bottom="280" w:left="1020" w:right="1080"/>
        </w:sectPr>
      </w:pPr>
    </w:p>
    <w:p>
      <w:pPr>
        <w:pStyle w:val="BodyText"/>
        <w:spacing w:before="48"/>
        <w:ind w:left="116" w:right="458"/>
      </w:pPr>
      <w:r>
        <w:rPr>
          <w:color w:val="231F20"/>
        </w:rPr>
        <w:t>Caracterización socioeconómica de los sistemas de producción</w:t>
      </w:r>
    </w:p>
    <w:p>
      <w:pPr>
        <w:pStyle w:val="BodyText"/>
        <w:tabs>
          <w:tab w:pos="5697" w:val="right" w:leader="none"/>
        </w:tabs>
        <w:spacing w:before="19"/>
        <w:ind w:left="696"/>
      </w:pPr>
      <w:r>
        <w:rPr>
          <w:color w:val="231F20"/>
        </w:rPr>
        <w:t>caprina en el sur del Estado</w:t>
      </w:r>
      <w:r>
        <w:rPr>
          <w:color w:val="231F20"/>
          <w:spacing w:val="-7"/>
        </w:rPr>
        <w:t> </w:t>
      </w:r>
      <w:r>
        <w:rPr>
          <w:color w:val="231F20"/>
        </w:rPr>
        <w:t>de</w:t>
      </w:r>
      <w:r>
        <w:rPr>
          <w:color w:val="231F20"/>
          <w:spacing w:val="-2"/>
        </w:rPr>
        <w:t> </w:t>
      </w:r>
      <w:r>
        <w:rPr>
          <w:color w:val="231F20"/>
        </w:rPr>
        <w:t>México</w:t>
        <w:tab/>
        <w:t>133</w:t>
      </w:r>
    </w:p>
    <w:p>
      <w:pPr>
        <w:spacing w:line="261" w:lineRule="auto" w:before="19"/>
        <w:ind w:left="696" w:right="0" w:firstLine="0"/>
        <w:jc w:val="left"/>
        <w:rPr>
          <w:i/>
          <w:sz w:val="18"/>
        </w:rPr>
      </w:pPr>
      <w:r>
        <w:rPr>
          <w:i/>
          <w:color w:val="231F20"/>
          <w:sz w:val="18"/>
        </w:rPr>
        <w:t>Ernesto Joel Dorantes-Coronado, Juvencio Hernández-Martínez, </w:t>
      </w:r>
      <w:r>
        <w:rPr>
          <w:i/>
          <w:color w:val="231F20"/>
          <w:sz w:val="18"/>
        </w:rPr>
        <w:t>Samuel Rebollar- Rebollar, Rolando Rojo-Rubio</w:t>
      </w:r>
    </w:p>
    <w:p>
      <w:pPr>
        <w:pStyle w:val="BodyText"/>
        <w:tabs>
          <w:tab w:pos="5697" w:val="right" w:leader="none"/>
        </w:tabs>
        <w:spacing w:before="56"/>
        <w:ind w:left="116"/>
      </w:pPr>
      <w:r>
        <w:rPr>
          <w:color w:val="231F20"/>
        </w:rPr>
        <w:t>Metodologías integrales para el análisis de</w:t>
      </w:r>
      <w:r>
        <w:rPr>
          <w:color w:val="231F20"/>
          <w:spacing w:val="-20"/>
        </w:rPr>
        <w:t> </w:t>
      </w:r>
      <w:r>
        <w:rPr>
          <w:color w:val="231F20"/>
        </w:rPr>
        <w:t>sistemas</w:t>
      </w:r>
      <w:r>
        <w:rPr>
          <w:color w:val="231F20"/>
          <w:spacing w:val="-4"/>
        </w:rPr>
        <w:t> </w:t>
      </w:r>
      <w:r>
        <w:rPr>
          <w:color w:val="231F20"/>
        </w:rPr>
        <w:t>agropecuarios</w:t>
        <w:tab/>
        <w:t>151</w:t>
      </w:r>
    </w:p>
    <w:p>
      <w:pPr>
        <w:spacing w:line="261" w:lineRule="auto" w:before="19"/>
        <w:ind w:left="696" w:right="841" w:firstLine="0"/>
        <w:jc w:val="left"/>
        <w:rPr>
          <w:i/>
          <w:sz w:val="18"/>
        </w:rPr>
      </w:pPr>
      <w:r>
        <w:rPr>
          <w:i/>
          <w:color w:val="231F20"/>
          <w:sz w:val="18"/>
        </w:rPr>
        <w:t>Anastacio García-Martínez, Ana María Olaizola-Tolosana </w:t>
      </w:r>
      <w:r>
        <w:rPr>
          <w:i/>
          <w:color w:val="231F20"/>
          <w:sz w:val="18"/>
        </w:rPr>
        <w:t>y Alberto Bernúes-Jal</w:t>
      </w:r>
    </w:p>
    <w:p>
      <w:pPr>
        <w:pStyle w:val="BodyText"/>
        <w:rPr>
          <w:i/>
        </w:rPr>
      </w:pPr>
    </w:p>
    <w:p>
      <w:pPr>
        <w:pStyle w:val="Heading6"/>
        <w:spacing w:before="132"/>
        <w:ind w:right="458"/>
      </w:pPr>
      <w:r>
        <w:rPr>
          <w:color w:val="231F20"/>
        </w:rPr>
        <w:t>Parte II</w:t>
      </w:r>
    </w:p>
    <w:p>
      <w:pPr>
        <w:spacing w:before="19"/>
        <w:ind w:left="116" w:right="458" w:firstLine="0"/>
        <w:jc w:val="left"/>
        <w:rPr>
          <w:b/>
          <w:sz w:val="18"/>
        </w:rPr>
      </w:pPr>
      <w:r>
        <w:rPr>
          <w:b/>
          <w:color w:val="231F20"/>
          <w:sz w:val="18"/>
        </w:rPr>
        <w:t>Metodologías y aplicaciones productivas en ganadería</w:t>
      </w:r>
    </w:p>
    <w:p>
      <w:pPr>
        <w:pStyle w:val="BodyText"/>
        <w:spacing w:before="75"/>
        <w:ind w:left="116" w:right="458"/>
      </w:pPr>
      <w:r>
        <w:rPr>
          <w:color w:val="231F20"/>
        </w:rPr>
        <w:t>Uso de bloques nutricionales como complemento para ovinos</w:t>
      </w:r>
    </w:p>
    <w:p>
      <w:pPr>
        <w:pStyle w:val="BodyText"/>
        <w:tabs>
          <w:tab w:pos="5397" w:val="left" w:leader="none"/>
        </w:tabs>
        <w:spacing w:before="19"/>
        <w:ind w:left="696"/>
      </w:pPr>
      <w:r>
        <w:rPr>
          <w:color w:val="231F20"/>
        </w:rPr>
        <w:t>en el Altiplano Central</w:t>
      </w:r>
      <w:r>
        <w:rPr>
          <w:color w:val="231F20"/>
          <w:spacing w:val="-10"/>
        </w:rPr>
        <w:t> </w:t>
      </w:r>
      <w:r>
        <w:rPr>
          <w:color w:val="231F20"/>
        </w:rPr>
        <w:t>de</w:t>
      </w:r>
      <w:r>
        <w:rPr>
          <w:color w:val="231F20"/>
          <w:spacing w:val="-3"/>
        </w:rPr>
        <w:t> </w:t>
      </w:r>
      <w:r>
        <w:rPr>
          <w:color w:val="231F20"/>
        </w:rPr>
        <w:t>México</w:t>
        <w:tab/>
        <w:t>197</w:t>
      </w:r>
    </w:p>
    <w:p>
      <w:pPr>
        <w:spacing w:line="261" w:lineRule="auto" w:before="19"/>
        <w:ind w:left="696" w:right="414" w:firstLine="0"/>
        <w:jc w:val="left"/>
        <w:rPr>
          <w:i/>
          <w:sz w:val="18"/>
        </w:rPr>
      </w:pPr>
      <w:r>
        <w:rPr>
          <w:i/>
          <w:color w:val="231F20"/>
          <w:sz w:val="18"/>
        </w:rPr>
        <w:t>Paulina Vázquez-Mendoza, Anastacio García-Martínez, </w:t>
      </w:r>
      <w:r>
        <w:rPr>
          <w:i/>
          <w:color w:val="231F20"/>
          <w:sz w:val="18"/>
        </w:rPr>
        <w:t>Juvencio Hernández-Martínez, Octavio Alonso Castelán-Ortega, Julieta Gertrudis Flores-Estrada, Francisca Avilés-Nova</w:t>
      </w:r>
    </w:p>
    <w:p>
      <w:pPr>
        <w:pStyle w:val="BodyText"/>
        <w:spacing w:before="56"/>
        <w:ind w:left="116" w:right="458"/>
      </w:pPr>
      <w:r>
        <w:rPr>
          <w:color w:val="231F20"/>
        </w:rPr>
        <w:t>Complementación energética en la actividad</w:t>
      </w:r>
    </w:p>
    <w:p>
      <w:pPr>
        <w:pStyle w:val="BodyText"/>
        <w:tabs>
          <w:tab w:pos="5397" w:val="left" w:leader="none"/>
        </w:tabs>
        <w:spacing w:before="19"/>
        <w:ind w:left="696"/>
      </w:pPr>
      <w:r>
        <w:rPr>
          <w:color w:val="231F20"/>
        </w:rPr>
        <w:t>reproductiva</w:t>
      </w:r>
      <w:r>
        <w:rPr>
          <w:color w:val="231F20"/>
          <w:spacing w:val="-5"/>
        </w:rPr>
        <w:t> </w:t>
      </w:r>
      <w:r>
        <w:rPr>
          <w:color w:val="231F20"/>
        </w:rPr>
        <w:t>de</w:t>
      </w:r>
      <w:r>
        <w:rPr>
          <w:color w:val="231F20"/>
          <w:spacing w:val="-5"/>
        </w:rPr>
        <w:t> </w:t>
      </w:r>
      <w:r>
        <w:rPr>
          <w:color w:val="231F20"/>
        </w:rPr>
        <w:t>rumiantes</w:t>
        <w:tab/>
        <w:t>225</w:t>
      </w:r>
    </w:p>
    <w:p>
      <w:pPr>
        <w:spacing w:line="261" w:lineRule="auto" w:before="19"/>
        <w:ind w:left="696" w:right="1510" w:firstLine="0"/>
        <w:jc w:val="left"/>
        <w:rPr>
          <w:i/>
          <w:sz w:val="18"/>
        </w:rPr>
      </w:pPr>
      <w:r>
        <w:rPr>
          <w:i/>
          <w:color w:val="231F20"/>
          <w:sz w:val="18"/>
        </w:rPr>
        <w:t>Diego Jaramillo-Albiter, Rolando Rojo-Rubio, </w:t>
      </w:r>
      <w:r>
        <w:rPr>
          <w:i/>
          <w:color w:val="231F20"/>
          <w:sz w:val="18"/>
        </w:rPr>
        <w:t>Rafael Cano Torres, Alejandro Salvador-Cáceres, José Fernando Vázquez-Armijo</w:t>
      </w:r>
    </w:p>
    <w:p>
      <w:pPr>
        <w:pStyle w:val="BodyText"/>
        <w:spacing w:before="56"/>
        <w:ind w:left="116" w:right="458"/>
      </w:pPr>
      <w:r>
        <w:rPr>
          <w:color w:val="231F20"/>
        </w:rPr>
        <w:t>Importancia de la suplementación mineral a rumiantes</w:t>
      </w:r>
    </w:p>
    <w:p>
      <w:pPr>
        <w:pStyle w:val="BodyText"/>
        <w:tabs>
          <w:tab w:pos="5397" w:val="left" w:leader="none"/>
        </w:tabs>
        <w:spacing w:before="19"/>
        <w:ind w:left="696"/>
      </w:pPr>
      <w:r>
        <w:rPr>
          <w:color w:val="231F20"/>
        </w:rPr>
        <w:t>alimentados a base</w:t>
      </w:r>
      <w:r>
        <w:rPr>
          <w:color w:val="231F20"/>
          <w:spacing w:val="-12"/>
        </w:rPr>
        <w:t> </w:t>
      </w:r>
      <w:r>
        <w:rPr>
          <w:color w:val="231F20"/>
        </w:rPr>
        <w:t>de</w:t>
      </w:r>
      <w:r>
        <w:rPr>
          <w:color w:val="231F20"/>
          <w:spacing w:val="-5"/>
        </w:rPr>
        <w:t> </w:t>
      </w:r>
      <w:r>
        <w:rPr>
          <w:color w:val="231F20"/>
        </w:rPr>
        <w:t>forrajes</w:t>
        <w:tab/>
        <w:t>245</w:t>
      </w:r>
    </w:p>
    <w:p>
      <w:pPr>
        <w:spacing w:before="19"/>
        <w:ind w:left="696" w:right="458" w:firstLine="0"/>
        <w:jc w:val="left"/>
        <w:rPr>
          <w:i/>
          <w:sz w:val="18"/>
        </w:rPr>
      </w:pPr>
      <w:r>
        <w:rPr>
          <w:i/>
          <w:color w:val="231F20"/>
          <w:sz w:val="18"/>
        </w:rPr>
        <w:t>Rolando Rojo-Rubio, José Fernando Vázquez-Armijo,</w:t>
      </w:r>
    </w:p>
    <w:p>
      <w:pPr>
        <w:spacing w:line="261" w:lineRule="auto" w:before="19"/>
        <w:ind w:left="696" w:right="1091" w:firstLine="0"/>
        <w:jc w:val="left"/>
        <w:rPr>
          <w:i/>
          <w:sz w:val="18"/>
        </w:rPr>
      </w:pPr>
      <w:r>
        <w:rPr>
          <w:i/>
          <w:color w:val="231F20"/>
          <w:sz w:val="18"/>
        </w:rPr>
        <w:t>F. Z. Salem-A., Germán David Mendoza-Martínez, </w:t>
      </w:r>
      <w:r>
        <w:rPr>
          <w:i/>
          <w:color w:val="231F20"/>
          <w:sz w:val="18"/>
        </w:rPr>
        <w:t>Javier Arece-García, Ernesto Joel Dorantes-Coronado, Agustín Olmedo-Juárez</w:t>
      </w:r>
    </w:p>
    <w:p>
      <w:pPr>
        <w:pStyle w:val="BodyText"/>
        <w:spacing w:line="261" w:lineRule="auto" w:before="56"/>
        <w:ind w:left="696" w:right="458" w:hanging="580"/>
      </w:pPr>
      <w:r>
        <w:rPr>
          <w:color w:val="231F20"/>
        </w:rPr>
        <w:t>Mejoramiento de estrategias de alimentación de ganado productor de leche en el sur del Estado de México: técnica</w:t>
      </w:r>
    </w:p>
    <w:p>
      <w:pPr>
        <w:pStyle w:val="BodyText"/>
        <w:tabs>
          <w:tab w:pos="5397" w:val="left" w:leader="none"/>
        </w:tabs>
        <w:ind w:left="696"/>
      </w:pPr>
      <w:r>
        <w:rPr>
          <w:color w:val="231F20"/>
        </w:rPr>
        <w:t>microhistología y</w:t>
      </w:r>
      <w:r>
        <w:rPr>
          <w:color w:val="231F20"/>
          <w:spacing w:val="-8"/>
        </w:rPr>
        <w:t> </w:t>
      </w:r>
      <w:r>
        <w:rPr>
          <w:color w:val="231F20"/>
        </w:rPr>
        <w:t>su</w:t>
      </w:r>
      <w:r>
        <w:rPr>
          <w:color w:val="231F20"/>
          <w:spacing w:val="-4"/>
        </w:rPr>
        <w:t> </w:t>
      </w:r>
      <w:r>
        <w:rPr>
          <w:color w:val="231F20"/>
        </w:rPr>
        <w:t>aplicación</w:t>
        <w:tab/>
        <w:t>283</w:t>
      </w:r>
    </w:p>
    <w:p>
      <w:pPr>
        <w:spacing w:line="261" w:lineRule="auto" w:before="19"/>
        <w:ind w:left="696" w:right="458" w:firstLine="0"/>
        <w:jc w:val="left"/>
        <w:rPr>
          <w:i/>
          <w:sz w:val="18"/>
        </w:rPr>
      </w:pPr>
      <w:r>
        <w:rPr>
          <w:i/>
          <w:color w:val="231F20"/>
          <w:sz w:val="18"/>
        </w:rPr>
        <w:t>Felisa Sarai Jiménez-Peralta, Isela Guadalupe Salas-Reyes, </w:t>
      </w:r>
      <w:r>
        <w:rPr>
          <w:i/>
          <w:color w:val="231F20"/>
          <w:sz w:val="18"/>
        </w:rPr>
        <w:t>Manuel González-Ronquillo, Antonia González-Embarcadero, Francisca Avilés-Nova, Benito Albarrán-Portillo</w:t>
      </w:r>
    </w:p>
    <w:p>
      <w:pPr>
        <w:spacing w:after="0" w:line="261" w:lineRule="auto"/>
        <w:jc w:val="left"/>
        <w:rPr>
          <w:sz w:val="18"/>
        </w:rPr>
        <w:sectPr>
          <w:pgSz w:w="7940" w:h="11910"/>
          <w:pgMar w:top="980" w:bottom="280" w:left="1020" w:right="1080"/>
        </w:sectPr>
      </w:pPr>
    </w:p>
    <w:p>
      <w:pPr>
        <w:pStyle w:val="BodyText"/>
        <w:rPr>
          <w:i/>
          <w:sz w:val="20"/>
        </w:rPr>
      </w:pPr>
    </w:p>
    <w:p>
      <w:pPr>
        <w:pStyle w:val="BodyText"/>
        <w:rPr>
          <w:i/>
          <w:sz w:val="20"/>
        </w:rPr>
      </w:pPr>
    </w:p>
    <w:p>
      <w:pPr>
        <w:pStyle w:val="Heading2"/>
        <w:spacing w:line="360" w:lineRule="exact" w:before="250"/>
      </w:pPr>
      <w:bookmarkStart w:name="Porcicultura 2014_prodep.pdf (p.8-25)" w:id="4"/>
      <w:bookmarkEnd w:id="4"/>
      <w:r>
        <w:rPr>
          <w:b w:val="0"/>
        </w:rPr>
      </w:r>
      <w:r>
        <w:rPr>
          <w:color w:val="231F20"/>
        </w:rPr>
        <w:t>LA PORCICULTURA EN EL SUR DEL ESTADO DE MÉXICO:</w:t>
      </w:r>
    </w:p>
    <w:p>
      <w:pPr>
        <w:spacing w:line="360" w:lineRule="exact" w:before="0"/>
        <w:ind w:left="496" w:right="495" w:firstLine="0"/>
        <w:jc w:val="center"/>
        <w:rPr>
          <w:b/>
          <w:sz w:val="32"/>
        </w:rPr>
      </w:pPr>
      <w:r>
        <w:rPr>
          <w:b/>
          <w:color w:val="231F20"/>
          <w:sz w:val="32"/>
        </w:rPr>
        <w:t>UN ANÁLISIS DE SU ESTRUCTURA PRODUCTIVA Y DE MERCADEO</w:t>
      </w:r>
    </w:p>
    <w:p>
      <w:pPr>
        <w:pStyle w:val="BodyText"/>
        <w:spacing w:before="8"/>
        <w:rPr>
          <w:b/>
          <w:sz w:val="14"/>
        </w:rPr>
      </w:pPr>
      <w:r>
        <w:rPr/>
        <w:pict>
          <v:group style="position:absolute;margin-left:86.581398pt;margin-top:10.573207pt;width:223.7pt;height:3pt;mso-position-horizontal-relative:page;mso-position-vertical-relative:paragraph;z-index:1240;mso-wrap-distance-left:0;mso-wrap-distance-right:0" coordorigin="1732,211" coordsize="4474,60">
            <v:line style="position:absolute" from="1747,226" to="6190,226" stroked="true" strokeweight="1.5pt" strokecolor="#231f20"/>
            <v:line style="position:absolute" from="1747,266" to="6190,266" stroked="true" strokeweight=".501pt" strokecolor="#231f20"/>
            <w10:wrap type="topAndBottom"/>
          </v:group>
        </w:pict>
      </w:r>
    </w:p>
    <w:p>
      <w:pPr>
        <w:spacing w:line="273" w:lineRule="auto" w:before="206"/>
        <w:ind w:left="496" w:right="494" w:firstLine="0"/>
        <w:jc w:val="center"/>
        <w:rPr>
          <w:sz w:val="11"/>
        </w:rPr>
      </w:pPr>
      <w:r>
        <w:rPr>
          <w:color w:val="231F20"/>
          <w:sz w:val="18"/>
        </w:rPr>
        <w:t>F</w:t>
      </w:r>
      <w:r>
        <w:rPr>
          <w:color w:val="231F20"/>
          <w:sz w:val="14"/>
        </w:rPr>
        <w:t>ELIPE DE </w:t>
      </w:r>
      <w:r>
        <w:rPr>
          <w:color w:val="231F20"/>
          <w:sz w:val="18"/>
        </w:rPr>
        <w:t>J</w:t>
      </w:r>
      <w:r>
        <w:rPr>
          <w:color w:val="231F20"/>
          <w:sz w:val="14"/>
        </w:rPr>
        <w:t>ESÚS </w:t>
      </w:r>
      <w:r>
        <w:rPr>
          <w:color w:val="231F20"/>
          <w:sz w:val="18"/>
        </w:rPr>
        <w:t>G</w:t>
      </w:r>
      <w:r>
        <w:rPr>
          <w:color w:val="231F20"/>
          <w:sz w:val="14"/>
        </w:rPr>
        <w:t>ONZÁLEZ</w:t>
      </w:r>
      <w:r>
        <w:rPr>
          <w:color w:val="231F20"/>
          <w:sz w:val="18"/>
        </w:rPr>
        <w:t>-R</w:t>
      </w:r>
      <w:r>
        <w:rPr>
          <w:color w:val="231F20"/>
          <w:sz w:val="14"/>
        </w:rPr>
        <w:t>AZO</w:t>
      </w:r>
      <w:r>
        <w:rPr>
          <w:color w:val="231F20"/>
          <w:sz w:val="18"/>
        </w:rPr>
        <w:t>,</w:t>
      </w:r>
      <w:r>
        <w:rPr>
          <w:color w:val="231F20"/>
          <w:position w:val="6"/>
          <w:sz w:val="11"/>
        </w:rPr>
        <w:t>a</w:t>
      </w:r>
      <w:r>
        <w:rPr>
          <w:color w:val="231F20"/>
          <w:position w:val="6"/>
          <w:sz w:val="10"/>
        </w:rPr>
        <w:t>* </w:t>
      </w:r>
      <w:r>
        <w:rPr>
          <w:color w:val="231F20"/>
          <w:sz w:val="18"/>
        </w:rPr>
        <w:t>S</w:t>
      </w:r>
      <w:r>
        <w:rPr>
          <w:color w:val="231F20"/>
          <w:sz w:val="14"/>
        </w:rPr>
        <w:t>AMUEL </w:t>
      </w:r>
      <w:r>
        <w:rPr>
          <w:color w:val="231F20"/>
          <w:sz w:val="18"/>
        </w:rPr>
        <w:t>R</w:t>
      </w:r>
      <w:r>
        <w:rPr>
          <w:color w:val="231F20"/>
          <w:sz w:val="14"/>
        </w:rPr>
        <w:t>EBOLLAR</w:t>
      </w:r>
      <w:r>
        <w:rPr>
          <w:color w:val="231F20"/>
          <w:sz w:val="18"/>
        </w:rPr>
        <w:t>-R</w:t>
      </w:r>
      <w:r>
        <w:rPr>
          <w:color w:val="231F20"/>
          <w:sz w:val="14"/>
        </w:rPr>
        <w:t>EBOLLAR</w:t>
      </w:r>
      <w:r>
        <w:rPr>
          <w:color w:val="231F20"/>
          <w:sz w:val="18"/>
        </w:rPr>
        <w:t>,</w:t>
      </w:r>
      <w:r>
        <w:rPr>
          <w:color w:val="231F20"/>
          <w:position w:val="6"/>
          <w:sz w:val="11"/>
        </w:rPr>
        <w:t>a </w:t>
      </w:r>
      <w:r>
        <w:rPr>
          <w:color w:val="231F20"/>
          <w:sz w:val="18"/>
        </w:rPr>
        <w:t>J</w:t>
      </w:r>
      <w:r>
        <w:rPr>
          <w:color w:val="231F20"/>
          <w:sz w:val="14"/>
        </w:rPr>
        <w:t>UVENCIO </w:t>
      </w:r>
      <w:r>
        <w:rPr>
          <w:color w:val="231F20"/>
          <w:sz w:val="18"/>
        </w:rPr>
        <w:t>H</w:t>
      </w:r>
      <w:r>
        <w:rPr>
          <w:color w:val="231F20"/>
          <w:sz w:val="14"/>
        </w:rPr>
        <w:t>ERNÁNDEZ</w:t>
      </w:r>
      <w:r>
        <w:rPr>
          <w:color w:val="231F20"/>
          <w:sz w:val="18"/>
        </w:rPr>
        <w:t>-M</w:t>
      </w:r>
      <w:r>
        <w:rPr>
          <w:color w:val="231F20"/>
          <w:sz w:val="14"/>
        </w:rPr>
        <w:t>ARTÍNEZ</w:t>
      </w:r>
      <w:r>
        <w:rPr>
          <w:color w:val="231F20"/>
          <w:position w:val="6"/>
          <w:sz w:val="11"/>
        </w:rPr>
        <w:t>a</w:t>
      </w:r>
    </w:p>
    <w:p>
      <w:pPr>
        <w:pStyle w:val="BodyText"/>
      </w:pPr>
    </w:p>
    <w:p>
      <w:pPr>
        <w:pStyle w:val="BodyText"/>
      </w:pPr>
    </w:p>
    <w:p>
      <w:pPr>
        <w:pStyle w:val="BodyText"/>
      </w:pPr>
    </w:p>
    <w:p>
      <w:pPr>
        <w:pStyle w:val="BodyText"/>
      </w:pPr>
    </w:p>
    <w:p>
      <w:pPr>
        <w:pStyle w:val="Heading3"/>
        <w:spacing w:line="274" w:lineRule="exact" w:before="124"/>
      </w:pPr>
      <w:r>
        <w:rPr>
          <w:color w:val="231F20"/>
        </w:rPr>
        <w:t>RESUMEN</w:t>
      </w:r>
    </w:p>
    <w:p>
      <w:pPr>
        <w:pStyle w:val="BodyText"/>
        <w:spacing w:line="617" w:lineRule="exact"/>
        <w:ind w:left="83" w:right="83"/>
        <w:jc w:val="center"/>
      </w:pPr>
      <w:r>
        <w:rPr>
          <w:color w:val="231F20"/>
          <w:sz w:val="60"/>
        </w:rPr>
        <w:t>E</w:t>
      </w:r>
      <w:r>
        <w:rPr>
          <w:color w:val="231F20"/>
        </w:rPr>
        <w:t>n</w:t>
      </w:r>
      <w:r>
        <w:rPr>
          <w:color w:val="231F20"/>
          <w:spacing w:val="15"/>
        </w:rPr>
        <w:t> </w:t>
      </w:r>
      <w:r>
        <w:rPr>
          <w:color w:val="231F20"/>
        </w:rPr>
        <w:t>el</w:t>
      </w:r>
      <w:r>
        <w:rPr>
          <w:color w:val="231F20"/>
          <w:spacing w:val="15"/>
        </w:rPr>
        <w:t> </w:t>
      </w:r>
      <w:r>
        <w:rPr>
          <w:color w:val="231F20"/>
          <w:spacing w:val="-1"/>
        </w:rPr>
        <w:t>p</w:t>
      </w:r>
      <w:r>
        <w:rPr>
          <w:color w:val="231F20"/>
          <w:spacing w:val="-3"/>
        </w:rPr>
        <w:t>r</w:t>
      </w:r>
      <w:r>
        <w:rPr>
          <w:color w:val="231F20"/>
        </w:rPr>
        <w:t>esen</w:t>
      </w:r>
      <w:r>
        <w:rPr>
          <w:color w:val="231F20"/>
          <w:spacing w:val="-2"/>
        </w:rPr>
        <w:t>t</w:t>
      </w:r>
      <w:r>
        <w:rPr>
          <w:color w:val="231F20"/>
        </w:rPr>
        <w:t>e</w:t>
      </w:r>
      <w:r>
        <w:rPr>
          <w:color w:val="231F20"/>
          <w:spacing w:val="15"/>
        </w:rPr>
        <w:t> </w:t>
      </w:r>
      <w:r>
        <w:rPr>
          <w:color w:val="231F20"/>
          <w:spacing w:val="-1"/>
        </w:rPr>
        <w:t>t</w:t>
      </w:r>
      <w:r>
        <w:rPr>
          <w:color w:val="231F20"/>
          <w:spacing w:val="-3"/>
        </w:rPr>
        <w:t>r</w:t>
      </w:r>
      <w:r>
        <w:rPr>
          <w:color w:val="231F20"/>
          <w:spacing w:val="-1"/>
        </w:rPr>
        <w:t>abaj</w:t>
      </w:r>
      <w:r>
        <w:rPr>
          <w:color w:val="231F20"/>
        </w:rPr>
        <w:t>o</w:t>
      </w:r>
      <w:r>
        <w:rPr>
          <w:color w:val="231F20"/>
          <w:spacing w:val="16"/>
        </w:rPr>
        <w:t> </w:t>
      </w:r>
      <w:r>
        <w:rPr>
          <w:color w:val="231F20"/>
        </w:rPr>
        <w:t>se</w:t>
      </w:r>
      <w:r>
        <w:rPr>
          <w:color w:val="231F20"/>
          <w:spacing w:val="15"/>
        </w:rPr>
        <w:t> </w:t>
      </w:r>
      <w:r>
        <w:rPr>
          <w:color w:val="231F20"/>
          <w:spacing w:val="-1"/>
        </w:rPr>
        <w:t>ana</w:t>
      </w:r>
      <w:r>
        <w:rPr>
          <w:color w:val="231F20"/>
        </w:rPr>
        <w:t>liza</w:t>
      </w:r>
      <w:r>
        <w:rPr>
          <w:color w:val="231F20"/>
          <w:spacing w:val="15"/>
        </w:rPr>
        <w:t> </w:t>
      </w:r>
      <w:r>
        <w:rPr>
          <w:color w:val="231F20"/>
          <w:spacing w:val="-1"/>
        </w:rPr>
        <w:t>l</w:t>
      </w:r>
      <w:r>
        <w:rPr>
          <w:color w:val="231F20"/>
        </w:rPr>
        <w:t>a</w:t>
      </w:r>
      <w:r>
        <w:rPr>
          <w:color w:val="231F20"/>
          <w:spacing w:val="16"/>
        </w:rPr>
        <w:t> </w:t>
      </w:r>
      <w:r>
        <w:rPr>
          <w:color w:val="231F20"/>
        </w:rPr>
        <w:t>estructu</w:t>
      </w:r>
      <w:r>
        <w:rPr>
          <w:color w:val="231F20"/>
          <w:spacing w:val="-4"/>
        </w:rPr>
        <w:t>r</w:t>
      </w:r>
      <w:r>
        <w:rPr>
          <w:color w:val="231F20"/>
        </w:rPr>
        <w:t>a</w:t>
      </w:r>
      <w:r>
        <w:rPr>
          <w:color w:val="231F20"/>
          <w:spacing w:val="15"/>
        </w:rPr>
        <w:t> </w:t>
      </w:r>
      <w:r>
        <w:rPr>
          <w:color w:val="231F20"/>
          <w:spacing w:val="-1"/>
        </w:rPr>
        <w:t>p</w:t>
      </w:r>
      <w:r>
        <w:rPr>
          <w:color w:val="231F20"/>
          <w:spacing w:val="-3"/>
        </w:rPr>
        <w:t>r</w:t>
      </w:r>
      <w:r>
        <w:rPr>
          <w:color w:val="231F20"/>
        </w:rPr>
        <w:t>oduct</w:t>
      </w:r>
      <w:r>
        <w:rPr>
          <w:color w:val="231F20"/>
          <w:spacing w:val="-4"/>
        </w:rPr>
        <w:t>iv</w:t>
      </w:r>
      <w:r>
        <w:rPr>
          <w:color w:val="231F20"/>
        </w:rPr>
        <w:t>a</w:t>
      </w:r>
      <w:r>
        <w:rPr>
          <w:color w:val="231F20"/>
          <w:spacing w:val="15"/>
        </w:rPr>
        <w:t> </w:t>
      </w:r>
      <w:r>
        <w:rPr>
          <w:color w:val="231F20"/>
        </w:rPr>
        <w:t>de</w:t>
      </w:r>
      <w:r>
        <w:rPr>
          <w:color w:val="231F20"/>
          <w:spacing w:val="15"/>
        </w:rPr>
        <w:t> </w:t>
      </w:r>
      <w:r>
        <w:rPr>
          <w:color w:val="231F20"/>
          <w:spacing w:val="-1"/>
        </w:rPr>
        <w:t>l</w:t>
      </w:r>
      <w:r>
        <w:rPr>
          <w:color w:val="231F20"/>
        </w:rPr>
        <w:t>a</w:t>
      </w:r>
      <w:r>
        <w:rPr>
          <w:color w:val="231F20"/>
          <w:spacing w:val="15"/>
        </w:rPr>
        <w:t> </w:t>
      </w:r>
      <w:r>
        <w:rPr>
          <w:color w:val="231F20"/>
          <w:spacing w:val="-1"/>
        </w:rPr>
        <w:t>po</w:t>
      </w:r>
      <w:r>
        <w:rPr>
          <w:color w:val="231F20"/>
          <w:spacing w:val="-3"/>
        </w:rPr>
        <w:t>r</w:t>
      </w:r>
      <w:r>
        <w:rPr>
          <w:color w:val="231F20"/>
        </w:rPr>
        <w:t>c</w:t>
      </w:r>
      <w:r>
        <w:rPr>
          <w:color w:val="231F20"/>
          <w:spacing w:val="-1"/>
        </w:rPr>
        <w:t>i</w:t>
      </w:r>
      <w:r>
        <w:rPr>
          <w:color w:val="231F20"/>
        </w:rPr>
        <w:t>-</w:t>
      </w:r>
    </w:p>
    <w:p>
      <w:pPr>
        <w:pStyle w:val="BodyText"/>
        <w:spacing w:line="179" w:lineRule="exact"/>
        <w:ind w:left="83" w:right="83"/>
        <w:jc w:val="center"/>
      </w:pPr>
      <w:r>
        <w:rPr>
          <w:color w:val="231F20"/>
        </w:rPr>
        <w:t>cultura en el Sur del Estado de México; se estudian las distintas etapas que</w:t>
      </w:r>
    </w:p>
    <w:p>
      <w:pPr>
        <w:pStyle w:val="BodyText"/>
        <w:spacing w:line="273" w:lineRule="auto" w:before="29"/>
        <w:ind w:left="113" w:right="111"/>
        <w:jc w:val="both"/>
      </w:pPr>
      <w:r>
        <w:rPr>
          <w:color w:val="231F20"/>
        </w:rPr>
        <w:t>conforman</w:t>
      </w:r>
      <w:r>
        <w:rPr>
          <w:color w:val="231F20"/>
          <w:spacing w:val="-6"/>
        </w:rPr>
        <w:t> </w:t>
      </w:r>
      <w:r>
        <w:rPr>
          <w:color w:val="231F20"/>
        </w:rPr>
        <w:t>el</w:t>
      </w:r>
      <w:r>
        <w:rPr>
          <w:color w:val="231F20"/>
          <w:spacing w:val="-5"/>
        </w:rPr>
        <w:t> </w:t>
      </w:r>
      <w:r>
        <w:rPr>
          <w:color w:val="231F20"/>
        </w:rPr>
        <w:t>proceso</w:t>
      </w:r>
      <w:r>
        <w:rPr>
          <w:color w:val="231F20"/>
          <w:spacing w:val="-6"/>
        </w:rPr>
        <w:t> </w:t>
      </w:r>
      <w:r>
        <w:rPr>
          <w:color w:val="231F20"/>
        </w:rPr>
        <w:t>de</w:t>
      </w:r>
      <w:r>
        <w:rPr>
          <w:color w:val="231F20"/>
          <w:spacing w:val="-6"/>
        </w:rPr>
        <w:t> </w:t>
      </w:r>
      <w:r>
        <w:rPr>
          <w:color w:val="231F20"/>
        </w:rPr>
        <w:t>comercialización</w:t>
      </w:r>
      <w:r>
        <w:rPr>
          <w:color w:val="231F20"/>
          <w:spacing w:val="-6"/>
        </w:rPr>
        <w:t> </w:t>
      </w:r>
      <w:r>
        <w:rPr>
          <w:color w:val="231F20"/>
        </w:rPr>
        <w:t>de</w:t>
      </w:r>
      <w:r>
        <w:rPr>
          <w:color w:val="231F20"/>
          <w:spacing w:val="-6"/>
        </w:rPr>
        <w:t> </w:t>
      </w:r>
      <w:r>
        <w:rPr>
          <w:color w:val="231F20"/>
        </w:rPr>
        <w:t>dicha</w:t>
      </w:r>
      <w:r>
        <w:rPr>
          <w:color w:val="231F20"/>
          <w:spacing w:val="-6"/>
        </w:rPr>
        <w:t> </w:t>
      </w:r>
      <w:r>
        <w:rPr>
          <w:color w:val="231F20"/>
        </w:rPr>
        <w:t>actividad</w:t>
      </w:r>
      <w:r>
        <w:rPr>
          <w:color w:val="231F20"/>
          <w:spacing w:val="-6"/>
        </w:rPr>
        <w:t> </w:t>
      </w:r>
      <w:r>
        <w:rPr>
          <w:color w:val="231F20"/>
        </w:rPr>
        <w:t>y</w:t>
      </w:r>
      <w:r>
        <w:rPr>
          <w:color w:val="231F20"/>
          <w:spacing w:val="-5"/>
        </w:rPr>
        <w:t> </w:t>
      </w:r>
      <w:r>
        <w:rPr>
          <w:color w:val="231F20"/>
        </w:rPr>
        <w:t>los</w:t>
      </w:r>
      <w:r>
        <w:rPr>
          <w:color w:val="231F20"/>
          <w:spacing w:val="-5"/>
        </w:rPr>
        <w:t> </w:t>
      </w:r>
      <w:r>
        <w:rPr>
          <w:color w:val="231F20"/>
        </w:rPr>
        <w:t>diferen- tes agentes participantes, desde la salida del producto de la finca hasta su llegada al consumidor final. Asimismo, se calculan los márgenes de</w:t>
      </w:r>
      <w:r>
        <w:rPr>
          <w:color w:val="231F20"/>
          <w:spacing w:val="-26"/>
        </w:rPr>
        <w:t> </w:t>
      </w:r>
      <w:r>
        <w:rPr>
          <w:color w:val="231F20"/>
        </w:rPr>
        <w:t>comer- cialización</w:t>
      </w:r>
      <w:r>
        <w:rPr>
          <w:color w:val="231F20"/>
          <w:spacing w:val="-8"/>
        </w:rPr>
        <w:t> </w:t>
      </w:r>
      <w:r>
        <w:rPr>
          <w:color w:val="231F20"/>
        </w:rPr>
        <w:t>resultantes</w:t>
      </w:r>
      <w:r>
        <w:rPr>
          <w:color w:val="231F20"/>
          <w:spacing w:val="-8"/>
        </w:rPr>
        <w:t> </w:t>
      </w:r>
      <w:r>
        <w:rPr>
          <w:color w:val="231F20"/>
        </w:rPr>
        <w:t>durante</w:t>
      </w:r>
      <w:r>
        <w:rPr>
          <w:color w:val="231F20"/>
          <w:spacing w:val="-8"/>
        </w:rPr>
        <w:t> </w:t>
      </w:r>
      <w:r>
        <w:rPr>
          <w:color w:val="231F20"/>
        </w:rPr>
        <w:t>las</w:t>
      </w:r>
      <w:r>
        <w:rPr>
          <w:color w:val="231F20"/>
          <w:spacing w:val="-8"/>
        </w:rPr>
        <w:t> </w:t>
      </w:r>
      <w:r>
        <w:rPr>
          <w:color w:val="231F20"/>
        </w:rPr>
        <w:t>diferentes</w:t>
      </w:r>
      <w:r>
        <w:rPr>
          <w:color w:val="231F20"/>
          <w:spacing w:val="-8"/>
        </w:rPr>
        <w:t> </w:t>
      </w:r>
      <w:r>
        <w:rPr>
          <w:color w:val="231F20"/>
        </w:rPr>
        <w:t>etapas</w:t>
      </w:r>
      <w:r>
        <w:rPr>
          <w:color w:val="231F20"/>
          <w:spacing w:val="-8"/>
        </w:rPr>
        <w:t> </w:t>
      </w:r>
      <w:r>
        <w:rPr>
          <w:color w:val="231F20"/>
        </w:rPr>
        <w:t>del</w:t>
      </w:r>
      <w:r>
        <w:rPr>
          <w:color w:val="231F20"/>
          <w:spacing w:val="-8"/>
        </w:rPr>
        <w:t> </w:t>
      </w:r>
      <w:r>
        <w:rPr>
          <w:color w:val="231F20"/>
        </w:rPr>
        <w:t>proceso,</w:t>
      </w:r>
      <w:r>
        <w:rPr>
          <w:color w:val="231F20"/>
          <w:spacing w:val="-8"/>
        </w:rPr>
        <w:t> </w:t>
      </w:r>
      <w:r>
        <w:rPr>
          <w:color w:val="231F20"/>
        </w:rPr>
        <w:t>los</w:t>
      </w:r>
      <w:r>
        <w:rPr>
          <w:color w:val="231F20"/>
          <w:spacing w:val="-8"/>
        </w:rPr>
        <w:t> </w:t>
      </w:r>
      <w:r>
        <w:rPr>
          <w:color w:val="231F20"/>
        </w:rPr>
        <w:t>cuales son empleados como indicadores de rentabilidad. El estudio está referido al</w:t>
      </w:r>
      <w:r>
        <w:rPr>
          <w:color w:val="231F20"/>
          <w:spacing w:val="-5"/>
        </w:rPr>
        <w:t> </w:t>
      </w:r>
      <w:r>
        <w:rPr>
          <w:color w:val="231F20"/>
        </w:rPr>
        <w:t>año</w:t>
      </w:r>
      <w:r>
        <w:rPr>
          <w:color w:val="231F20"/>
          <w:spacing w:val="-5"/>
        </w:rPr>
        <w:t> </w:t>
      </w:r>
      <w:r>
        <w:rPr>
          <w:color w:val="231F20"/>
        </w:rPr>
        <w:t>de</w:t>
      </w:r>
      <w:r>
        <w:rPr>
          <w:color w:val="231F20"/>
          <w:spacing w:val="-5"/>
        </w:rPr>
        <w:t> </w:t>
      </w:r>
      <w:r>
        <w:rPr>
          <w:color w:val="231F20"/>
        </w:rPr>
        <w:t>2007,</w:t>
      </w:r>
      <w:r>
        <w:rPr>
          <w:color w:val="231F20"/>
          <w:spacing w:val="-5"/>
        </w:rPr>
        <w:t> </w:t>
      </w:r>
      <w:r>
        <w:rPr>
          <w:color w:val="231F20"/>
        </w:rPr>
        <w:t>durante</w:t>
      </w:r>
      <w:r>
        <w:rPr>
          <w:color w:val="231F20"/>
          <w:spacing w:val="-5"/>
        </w:rPr>
        <w:t> </w:t>
      </w:r>
      <w:r>
        <w:rPr>
          <w:color w:val="231F20"/>
        </w:rPr>
        <w:t>el</w:t>
      </w:r>
      <w:r>
        <w:rPr>
          <w:color w:val="231F20"/>
          <w:spacing w:val="-5"/>
        </w:rPr>
        <w:t> </w:t>
      </w:r>
      <w:r>
        <w:rPr>
          <w:color w:val="231F20"/>
        </w:rPr>
        <w:t>cual</w:t>
      </w:r>
      <w:r>
        <w:rPr>
          <w:color w:val="231F20"/>
          <w:spacing w:val="-5"/>
        </w:rPr>
        <w:t> </w:t>
      </w:r>
      <w:r>
        <w:rPr>
          <w:color w:val="231F20"/>
        </w:rPr>
        <w:t>se</w:t>
      </w:r>
      <w:r>
        <w:rPr>
          <w:color w:val="231F20"/>
          <w:spacing w:val="-5"/>
        </w:rPr>
        <w:t> </w:t>
      </w:r>
      <w:r>
        <w:rPr>
          <w:color w:val="231F20"/>
        </w:rPr>
        <w:t>encuestó</w:t>
      </w:r>
      <w:r>
        <w:rPr>
          <w:color w:val="231F20"/>
          <w:spacing w:val="-5"/>
        </w:rPr>
        <w:t> </w:t>
      </w:r>
      <w:r>
        <w:rPr>
          <w:color w:val="231F20"/>
        </w:rPr>
        <w:t>a</w:t>
      </w:r>
      <w:r>
        <w:rPr>
          <w:color w:val="231F20"/>
          <w:spacing w:val="-5"/>
        </w:rPr>
        <w:t> </w:t>
      </w:r>
      <w:r>
        <w:rPr>
          <w:color w:val="231F20"/>
        </w:rPr>
        <w:t>un</w:t>
      </w:r>
      <w:r>
        <w:rPr>
          <w:color w:val="231F20"/>
          <w:spacing w:val="-4"/>
        </w:rPr>
        <w:t> </w:t>
      </w:r>
      <w:r>
        <w:rPr>
          <w:color w:val="231F20"/>
        </w:rPr>
        <w:t>total</w:t>
      </w:r>
      <w:r>
        <w:rPr>
          <w:color w:val="231F20"/>
          <w:spacing w:val="-5"/>
        </w:rPr>
        <w:t> </w:t>
      </w:r>
      <w:r>
        <w:rPr>
          <w:color w:val="231F20"/>
        </w:rPr>
        <w:t>de</w:t>
      </w:r>
      <w:r>
        <w:rPr>
          <w:color w:val="231F20"/>
          <w:spacing w:val="-5"/>
        </w:rPr>
        <w:t> </w:t>
      </w:r>
      <w:r>
        <w:rPr>
          <w:color w:val="231F20"/>
        </w:rPr>
        <w:t>17</w:t>
      </w:r>
      <w:r>
        <w:rPr>
          <w:color w:val="231F20"/>
          <w:spacing w:val="-5"/>
        </w:rPr>
        <w:t> </w:t>
      </w:r>
      <w:r>
        <w:rPr>
          <w:color w:val="231F20"/>
        </w:rPr>
        <w:t>productores</w:t>
      </w:r>
      <w:r>
        <w:rPr>
          <w:color w:val="231F20"/>
          <w:spacing w:val="-5"/>
        </w:rPr>
        <w:t> </w:t>
      </w:r>
      <w:r>
        <w:rPr>
          <w:color w:val="231F20"/>
        </w:rPr>
        <w:t>de cerdo,</w:t>
      </w:r>
      <w:r>
        <w:rPr>
          <w:color w:val="231F20"/>
          <w:spacing w:val="-14"/>
        </w:rPr>
        <w:t> </w:t>
      </w:r>
      <w:r>
        <w:rPr>
          <w:color w:val="231F20"/>
        </w:rPr>
        <w:t>dos</w:t>
      </w:r>
      <w:r>
        <w:rPr>
          <w:color w:val="231F20"/>
          <w:spacing w:val="-14"/>
        </w:rPr>
        <w:t> </w:t>
      </w:r>
      <w:r>
        <w:rPr>
          <w:color w:val="231F20"/>
        </w:rPr>
        <w:t>acopiadores,</w:t>
      </w:r>
      <w:r>
        <w:rPr>
          <w:color w:val="231F20"/>
          <w:spacing w:val="-14"/>
        </w:rPr>
        <w:t> </w:t>
      </w:r>
      <w:r>
        <w:rPr>
          <w:color w:val="231F20"/>
        </w:rPr>
        <w:t>28</w:t>
      </w:r>
      <w:r>
        <w:rPr>
          <w:color w:val="231F20"/>
          <w:spacing w:val="-14"/>
        </w:rPr>
        <w:t> </w:t>
      </w:r>
      <w:r>
        <w:rPr>
          <w:color w:val="231F20"/>
        </w:rPr>
        <w:t>detallistas</w:t>
      </w:r>
      <w:r>
        <w:rPr>
          <w:color w:val="231F20"/>
          <w:spacing w:val="-14"/>
        </w:rPr>
        <w:t> </w:t>
      </w:r>
      <w:r>
        <w:rPr>
          <w:color w:val="231F20"/>
        </w:rPr>
        <w:t>y</w:t>
      </w:r>
      <w:r>
        <w:rPr>
          <w:color w:val="231F20"/>
          <w:spacing w:val="-14"/>
        </w:rPr>
        <w:t> </w:t>
      </w:r>
      <w:r>
        <w:rPr>
          <w:color w:val="231F20"/>
        </w:rPr>
        <w:t>37</w:t>
      </w:r>
      <w:r>
        <w:rPr>
          <w:color w:val="231F20"/>
          <w:spacing w:val="-14"/>
        </w:rPr>
        <w:t> </w:t>
      </w:r>
      <w:r>
        <w:rPr>
          <w:color w:val="231F20"/>
        </w:rPr>
        <w:t>consumidores</w:t>
      </w:r>
      <w:r>
        <w:rPr>
          <w:color w:val="231F20"/>
          <w:spacing w:val="-14"/>
        </w:rPr>
        <w:t> </w:t>
      </w:r>
      <w:r>
        <w:rPr>
          <w:color w:val="231F20"/>
        </w:rPr>
        <w:t>de</w:t>
      </w:r>
      <w:r>
        <w:rPr>
          <w:color w:val="231F20"/>
          <w:spacing w:val="-14"/>
        </w:rPr>
        <w:t> </w:t>
      </w:r>
      <w:r>
        <w:rPr>
          <w:color w:val="231F20"/>
        </w:rPr>
        <w:t>carne</w:t>
      </w:r>
      <w:r>
        <w:rPr>
          <w:color w:val="231F20"/>
          <w:spacing w:val="-14"/>
        </w:rPr>
        <w:t> </w:t>
      </w:r>
      <w:r>
        <w:rPr>
          <w:color w:val="231F20"/>
        </w:rPr>
        <w:t>de</w:t>
      </w:r>
      <w:r>
        <w:rPr>
          <w:color w:val="231F20"/>
          <w:spacing w:val="-14"/>
        </w:rPr>
        <w:t> </w:t>
      </w:r>
      <w:r>
        <w:rPr>
          <w:color w:val="231F20"/>
        </w:rPr>
        <w:t>cerdo. La</w:t>
      </w:r>
      <w:r>
        <w:rPr>
          <w:color w:val="231F20"/>
          <w:spacing w:val="-7"/>
        </w:rPr>
        <w:t> </w:t>
      </w:r>
      <w:r>
        <w:rPr>
          <w:color w:val="231F20"/>
        </w:rPr>
        <w:t>intención</w:t>
      </w:r>
      <w:r>
        <w:rPr>
          <w:color w:val="231F20"/>
          <w:spacing w:val="-8"/>
        </w:rPr>
        <w:t> </w:t>
      </w:r>
      <w:r>
        <w:rPr>
          <w:color w:val="231F20"/>
        </w:rPr>
        <w:t>de</w:t>
      </w:r>
      <w:r>
        <w:rPr>
          <w:color w:val="231F20"/>
          <w:spacing w:val="-7"/>
        </w:rPr>
        <w:t> </w:t>
      </w:r>
      <w:r>
        <w:rPr>
          <w:color w:val="231F20"/>
        </w:rPr>
        <w:t>las</w:t>
      </w:r>
      <w:r>
        <w:rPr>
          <w:color w:val="231F20"/>
          <w:spacing w:val="-7"/>
        </w:rPr>
        <w:t> </w:t>
      </w:r>
      <w:r>
        <w:rPr>
          <w:color w:val="231F20"/>
        </w:rPr>
        <w:t>encuestas</w:t>
      </w:r>
      <w:r>
        <w:rPr>
          <w:color w:val="231F20"/>
          <w:spacing w:val="-8"/>
        </w:rPr>
        <w:t> </w:t>
      </w:r>
      <w:r>
        <w:rPr>
          <w:color w:val="231F20"/>
        </w:rPr>
        <w:t>consistió</w:t>
      </w:r>
      <w:r>
        <w:rPr>
          <w:color w:val="231F20"/>
          <w:spacing w:val="-7"/>
        </w:rPr>
        <w:t> </w:t>
      </w:r>
      <w:r>
        <w:rPr>
          <w:color w:val="231F20"/>
        </w:rPr>
        <w:t>en</w:t>
      </w:r>
      <w:r>
        <w:rPr>
          <w:color w:val="231F20"/>
          <w:spacing w:val="-7"/>
        </w:rPr>
        <w:t> </w:t>
      </w:r>
      <w:r>
        <w:rPr>
          <w:color w:val="231F20"/>
        </w:rPr>
        <w:t>recabar</w:t>
      </w:r>
      <w:r>
        <w:rPr>
          <w:color w:val="231F20"/>
          <w:spacing w:val="-8"/>
        </w:rPr>
        <w:t> </w:t>
      </w:r>
      <w:r>
        <w:rPr>
          <w:color w:val="231F20"/>
        </w:rPr>
        <w:t>información</w:t>
      </w:r>
      <w:r>
        <w:rPr>
          <w:color w:val="231F20"/>
          <w:spacing w:val="-8"/>
        </w:rPr>
        <w:t> </w:t>
      </w:r>
      <w:r>
        <w:rPr>
          <w:color w:val="231F20"/>
        </w:rPr>
        <w:t>referente</w:t>
      </w:r>
      <w:r>
        <w:rPr>
          <w:color w:val="231F20"/>
          <w:spacing w:val="-7"/>
        </w:rPr>
        <w:t> </w:t>
      </w:r>
      <w:r>
        <w:rPr>
          <w:color w:val="231F20"/>
        </w:rPr>
        <w:t>al proceso de producción, agentes participantes, costos de comercialización y precios, para posteriormente determinar los márgenes de comercializa- ción y la caracterización de la producción porcícola en la región Sur del Estado de México. Los resultados mostraron que a precios corrientes, la participación del productor en el precio final, pagado por el consumidor, fue del 26.22%, mientras que el de los intermediarios fue del 73.78%. El margen de comercialización total promedio fue de 23.93 $/kg, del cual</w:t>
      </w:r>
      <w:r>
        <w:rPr>
          <w:color w:val="231F20"/>
          <w:spacing w:val="-6"/>
        </w:rPr>
        <w:t> </w:t>
      </w:r>
      <w:r>
        <w:rPr>
          <w:color w:val="231F20"/>
        </w:rPr>
        <w:t>los</w:t>
      </w:r>
    </w:p>
    <w:p>
      <w:pPr>
        <w:pStyle w:val="BodyText"/>
        <w:spacing w:before="2"/>
        <w:rPr>
          <w:sz w:val="17"/>
        </w:rPr>
      </w:pPr>
      <w:r>
        <w:rPr/>
        <w:pict>
          <v:line style="position:absolute;mso-position-horizontal-relative:page;mso-position-vertical-relative:paragraph;z-index:1264;mso-wrap-distance-left:0;mso-wrap-distance-right:0" from="56.692902pt,12.53521pt" to="141.164902pt,12.53521pt" stroked="true" strokeweight="1pt" strokecolor="#231f20">
            <w10:wrap type="topAndBottom"/>
          </v:line>
        </w:pict>
      </w:r>
    </w:p>
    <w:p>
      <w:pPr>
        <w:spacing w:line="256" w:lineRule="auto" w:before="6"/>
        <w:ind w:left="397" w:right="112" w:hanging="284"/>
        <w:jc w:val="both"/>
        <w:rPr>
          <w:sz w:val="16"/>
        </w:rPr>
      </w:pPr>
      <w:r>
        <w:rPr>
          <w:color w:val="231F20"/>
          <w:position w:val="6"/>
          <w:sz w:val="11"/>
        </w:rPr>
        <w:t>a    </w:t>
      </w:r>
      <w:r>
        <w:rPr>
          <w:color w:val="231F20"/>
          <w:sz w:val="16"/>
        </w:rPr>
        <w:t>Centro Universitario UAEM Temascaltepec, Universidad Autónoma del Estado   de México; Km 67.5 </w:t>
      </w:r>
      <w:r>
        <w:rPr>
          <w:color w:val="231F20"/>
          <w:spacing w:val="-4"/>
          <w:sz w:val="16"/>
        </w:rPr>
        <w:t>Carr. </w:t>
      </w:r>
      <w:r>
        <w:rPr>
          <w:color w:val="231F20"/>
          <w:sz w:val="16"/>
        </w:rPr>
        <w:t>Fed. </w:t>
      </w:r>
      <w:r>
        <w:rPr>
          <w:color w:val="231F20"/>
          <w:spacing w:val="-3"/>
          <w:sz w:val="16"/>
        </w:rPr>
        <w:t>Toluca-Tejupilco, </w:t>
      </w:r>
      <w:r>
        <w:rPr>
          <w:color w:val="231F20"/>
          <w:sz w:val="16"/>
        </w:rPr>
        <w:t>51300, Temascaltepec, México, MÉXICO. *Autor para</w:t>
      </w:r>
      <w:r>
        <w:rPr>
          <w:color w:val="231F20"/>
          <w:spacing w:val="-26"/>
          <w:sz w:val="16"/>
        </w:rPr>
        <w:t> </w:t>
      </w:r>
      <w:r>
        <w:rPr>
          <w:color w:val="231F20"/>
          <w:sz w:val="16"/>
        </w:rPr>
        <w:t>correspondencia.</w:t>
      </w:r>
    </w:p>
    <w:p>
      <w:pPr>
        <w:spacing w:after="0" w:line="256" w:lineRule="auto"/>
        <w:jc w:val="both"/>
        <w:rPr>
          <w:sz w:val="16"/>
        </w:rPr>
        <w:sectPr>
          <w:footerReference w:type="default" r:id="rId10"/>
          <w:pgSz w:w="7940" w:h="11910"/>
          <w:pgMar w:footer="469" w:header="0" w:top="1100" w:bottom="660" w:left="1020" w:right="1020"/>
          <w:pgNumType w:start="85"/>
        </w:sectPr>
      </w:pPr>
    </w:p>
    <w:p>
      <w:pPr>
        <w:spacing w:before="60"/>
        <w:ind w:left="597" w:right="102" w:firstLine="0"/>
        <w:jc w:val="left"/>
        <w:rPr>
          <w:sz w:val="14"/>
        </w:rPr>
      </w:pPr>
      <w:r>
        <w:rPr>
          <w:color w:val="231F20"/>
          <w:sz w:val="18"/>
        </w:rPr>
        <w:t>F. G</w:t>
      </w:r>
      <w:r>
        <w:rPr>
          <w:color w:val="231F20"/>
          <w:sz w:val="14"/>
        </w:rPr>
        <w:t>ONZÁLEZ-</w:t>
      </w:r>
      <w:r>
        <w:rPr>
          <w:color w:val="231F20"/>
          <w:sz w:val="18"/>
        </w:rPr>
        <w:t>R</w:t>
      </w:r>
      <w:r>
        <w:rPr>
          <w:color w:val="231F20"/>
          <w:sz w:val="14"/>
        </w:rPr>
        <w:t>AZO</w:t>
      </w:r>
      <w:r>
        <w:rPr>
          <w:color w:val="231F20"/>
          <w:sz w:val="18"/>
        </w:rPr>
        <w:t>, S. R</w:t>
      </w:r>
      <w:r>
        <w:rPr>
          <w:color w:val="231F20"/>
          <w:sz w:val="14"/>
        </w:rPr>
        <w:t>EBOLLAR</w:t>
      </w:r>
      <w:r>
        <w:rPr>
          <w:color w:val="231F20"/>
          <w:sz w:val="18"/>
        </w:rPr>
        <w:t>-R</w:t>
      </w:r>
      <w:r>
        <w:rPr>
          <w:color w:val="231F20"/>
          <w:sz w:val="14"/>
        </w:rPr>
        <w:t>EBOLLAR</w:t>
      </w:r>
      <w:r>
        <w:rPr>
          <w:color w:val="231F20"/>
          <w:sz w:val="18"/>
        </w:rPr>
        <w:t>, J</w:t>
      </w:r>
      <w:r>
        <w:rPr>
          <w:color w:val="231F20"/>
          <w:sz w:val="14"/>
        </w:rPr>
        <w:t>. </w:t>
      </w:r>
      <w:r>
        <w:rPr>
          <w:color w:val="231F20"/>
          <w:sz w:val="18"/>
        </w:rPr>
        <w:t>H</w:t>
      </w:r>
      <w:r>
        <w:rPr>
          <w:color w:val="231F20"/>
          <w:sz w:val="14"/>
        </w:rPr>
        <w:t>ERNÁNDEZ-</w:t>
      </w:r>
      <w:r>
        <w:rPr>
          <w:color w:val="231F20"/>
          <w:sz w:val="18"/>
        </w:rPr>
        <w:t>M</w:t>
      </w:r>
      <w:r>
        <w:rPr>
          <w:color w:val="231F20"/>
          <w:sz w:val="14"/>
        </w:rPr>
        <w:t>ARTÍNEZ</w:t>
      </w:r>
    </w:p>
    <w:p>
      <w:pPr>
        <w:pStyle w:val="BodyText"/>
        <w:spacing w:before="9"/>
        <w:rPr>
          <w:sz w:val="24"/>
        </w:rPr>
      </w:pPr>
    </w:p>
    <w:p>
      <w:pPr>
        <w:pStyle w:val="BodyText"/>
        <w:spacing w:line="273" w:lineRule="auto" w:before="75"/>
        <w:ind w:left="72" w:right="111"/>
        <w:jc w:val="right"/>
      </w:pPr>
      <w:r>
        <w:rPr>
          <w:color w:val="231F20"/>
        </w:rPr>
        <w:t>detallistas obtuvieron 23.52 $/kg (98.28%), mientras el restante 0.40 $/ kg fue para los acopiadores. El canal de comercialización tradicional em- pleado en la región es: productor, acopiador, detallista y consumidor final.</w:t>
      </w:r>
      <w:r>
        <w:rPr>
          <w:color w:val="231F20"/>
          <w:w w:val="99"/>
        </w:rPr>
        <w:t> </w:t>
      </w:r>
      <w:r>
        <w:rPr>
          <w:b/>
          <w:color w:val="231F20"/>
        </w:rPr>
        <w:t>Palabras clave: </w:t>
      </w:r>
      <w:r>
        <w:rPr>
          <w:color w:val="231F20"/>
        </w:rPr>
        <w:t>Comercialización, margen de comercialización, porci-</w:t>
      </w:r>
    </w:p>
    <w:p>
      <w:pPr>
        <w:pStyle w:val="BodyText"/>
        <w:spacing w:line="210" w:lineRule="exact"/>
        <w:ind w:left="113"/>
        <w:jc w:val="both"/>
      </w:pPr>
      <w:r>
        <w:rPr>
          <w:color w:val="231F20"/>
        </w:rPr>
        <w:t>cultura.</w:t>
      </w:r>
    </w:p>
    <w:p>
      <w:pPr>
        <w:pStyle w:val="BodyText"/>
      </w:pPr>
    </w:p>
    <w:p>
      <w:pPr>
        <w:pStyle w:val="BodyText"/>
        <w:spacing w:before="8"/>
      </w:pPr>
    </w:p>
    <w:p>
      <w:pPr>
        <w:pStyle w:val="Heading3"/>
      </w:pPr>
      <w:r>
        <w:rPr>
          <w:color w:val="231F20"/>
        </w:rPr>
        <w:t>INTRODUCCIÓN</w:t>
      </w:r>
    </w:p>
    <w:p>
      <w:pPr>
        <w:pStyle w:val="BodyText"/>
        <w:spacing w:before="8"/>
        <w:rPr>
          <w:b/>
          <w:sz w:val="24"/>
        </w:rPr>
      </w:pPr>
    </w:p>
    <w:p>
      <w:pPr>
        <w:pStyle w:val="BodyText"/>
        <w:spacing w:line="273" w:lineRule="auto" w:before="1"/>
        <w:ind w:left="113" w:right="110"/>
        <w:jc w:val="both"/>
      </w:pPr>
      <w:r>
        <w:rPr>
          <w:color w:val="231F20"/>
        </w:rPr>
        <w:t>A medida que los individuos miembros de una sociedad se van especiali- zando en sus actividades económicas, van dependiendo cada vez más de los demás para abastecerse de los bienes y servicios que necesitan. Así se inicia un proceso de intercambio entre compradores y vendedores. Por algún tiempo, los compradores y vendedores se mantienen en contacto directo y cada una de las partes está en capacidad de determinar lo que los demás valoran y necesitan </w:t>
      </w:r>
      <w:r>
        <w:rPr>
          <w:color w:val="231F20"/>
          <w:spacing w:val="-8"/>
        </w:rPr>
        <w:t>y, </w:t>
      </w:r>
      <w:r>
        <w:rPr>
          <w:color w:val="231F20"/>
        </w:rPr>
        <w:t>por lo tanto, lo que estarán dispuestos a intercambiar. El número y tipo de intercambios se expande con el desa- rrollo de la economía, generándose la necesidad de contar con servicios  de comercialización cada vez más especializados, tales como distribución física, almacenamiento, tipificación de los productos, recopilación de in- formación de mercado y otros. El número de participantes aumenta en la medida en que muchos de los servicios especializados son provistos por intermediarios entre el vendedor y el comprador final. Pocos comprado- res y vendedores están ahora en contacto directo el uno con el otro y las comunicaciones entre ellos se canalizan a </w:t>
      </w:r>
      <w:r>
        <w:rPr>
          <w:color w:val="231F20"/>
          <w:spacing w:val="-2"/>
        </w:rPr>
        <w:t>través </w:t>
      </w:r>
      <w:r>
        <w:rPr>
          <w:color w:val="231F20"/>
        </w:rPr>
        <w:t>de un complejo sistema de comercialización (Crawford, 1977). En este sentido, resulta importante estudiar</w:t>
      </w:r>
      <w:r>
        <w:rPr>
          <w:color w:val="231F20"/>
          <w:spacing w:val="-6"/>
        </w:rPr>
        <w:t> </w:t>
      </w:r>
      <w:r>
        <w:rPr>
          <w:color w:val="231F20"/>
        </w:rPr>
        <w:t>las</w:t>
      </w:r>
      <w:r>
        <w:rPr>
          <w:color w:val="231F20"/>
          <w:spacing w:val="-6"/>
        </w:rPr>
        <w:t> </w:t>
      </w:r>
      <w:r>
        <w:rPr>
          <w:color w:val="231F20"/>
        </w:rPr>
        <w:t>interrelaciones</w:t>
      </w:r>
      <w:r>
        <w:rPr>
          <w:color w:val="231F20"/>
          <w:spacing w:val="-6"/>
        </w:rPr>
        <w:t> </w:t>
      </w:r>
      <w:r>
        <w:rPr>
          <w:color w:val="231F20"/>
        </w:rPr>
        <w:t>que</w:t>
      </w:r>
      <w:r>
        <w:rPr>
          <w:color w:val="231F20"/>
          <w:spacing w:val="-6"/>
        </w:rPr>
        <w:t> </w:t>
      </w:r>
      <w:r>
        <w:rPr>
          <w:color w:val="231F20"/>
        </w:rPr>
        <w:t>suceden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proceso</w:t>
      </w:r>
      <w:r>
        <w:rPr>
          <w:color w:val="231F20"/>
          <w:spacing w:val="-6"/>
        </w:rPr>
        <w:t> </w:t>
      </w:r>
      <w:r>
        <w:rPr>
          <w:color w:val="231F20"/>
        </w:rPr>
        <w:t>de</w:t>
      </w:r>
      <w:r>
        <w:rPr>
          <w:color w:val="231F20"/>
          <w:spacing w:val="-6"/>
        </w:rPr>
        <w:t> </w:t>
      </w:r>
      <w:r>
        <w:rPr>
          <w:color w:val="231F20"/>
        </w:rPr>
        <w:t>comercialización del</w:t>
      </w:r>
      <w:r>
        <w:rPr>
          <w:color w:val="231F20"/>
          <w:spacing w:val="-7"/>
        </w:rPr>
        <w:t> </w:t>
      </w:r>
      <w:r>
        <w:rPr>
          <w:color w:val="231F20"/>
        </w:rPr>
        <w:t>sector</w:t>
      </w:r>
      <w:r>
        <w:rPr>
          <w:color w:val="231F20"/>
          <w:spacing w:val="-7"/>
        </w:rPr>
        <w:t> </w:t>
      </w:r>
      <w:r>
        <w:rPr>
          <w:color w:val="231F20"/>
        </w:rPr>
        <w:t>agropecuario,</w:t>
      </w:r>
      <w:r>
        <w:rPr>
          <w:color w:val="231F20"/>
          <w:spacing w:val="-8"/>
        </w:rPr>
        <w:t> </w:t>
      </w:r>
      <w:r>
        <w:rPr>
          <w:color w:val="231F20"/>
        </w:rPr>
        <w:t>para</w:t>
      </w:r>
      <w:r>
        <w:rPr>
          <w:color w:val="231F20"/>
          <w:spacing w:val="-7"/>
        </w:rPr>
        <w:t> </w:t>
      </w:r>
      <w:r>
        <w:rPr>
          <w:color w:val="231F20"/>
        </w:rPr>
        <w:t>así</w:t>
      </w:r>
      <w:r>
        <w:rPr>
          <w:color w:val="231F20"/>
          <w:spacing w:val="-7"/>
        </w:rPr>
        <w:t> </w:t>
      </w:r>
      <w:r>
        <w:rPr>
          <w:color w:val="231F20"/>
        </w:rPr>
        <w:t>poder</w:t>
      </w:r>
      <w:r>
        <w:rPr>
          <w:color w:val="231F20"/>
          <w:spacing w:val="-7"/>
        </w:rPr>
        <w:t> </w:t>
      </w:r>
      <w:r>
        <w:rPr>
          <w:color w:val="231F20"/>
        </w:rPr>
        <w:t>realizar</w:t>
      </w:r>
      <w:r>
        <w:rPr>
          <w:color w:val="231F20"/>
          <w:spacing w:val="-8"/>
        </w:rPr>
        <w:t> </w:t>
      </w:r>
      <w:r>
        <w:rPr>
          <w:color w:val="231F20"/>
        </w:rPr>
        <w:t>análisis</w:t>
      </w:r>
      <w:r>
        <w:rPr>
          <w:color w:val="231F20"/>
          <w:spacing w:val="-6"/>
        </w:rPr>
        <w:t> </w:t>
      </w:r>
      <w:r>
        <w:rPr>
          <w:color w:val="231F20"/>
        </w:rPr>
        <w:t>de</w:t>
      </w:r>
      <w:r>
        <w:rPr>
          <w:color w:val="231F20"/>
          <w:spacing w:val="-7"/>
        </w:rPr>
        <w:t> </w:t>
      </w:r>
      <w:r>
        <w:rPr>
          <w:color w:val="231F20"/>
        </w:rPr>
        <w:t>juicios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esta manera poder emitir recomendaciones a los actores participantes en las distintas actividades del</w:t>
      </w:r>
      <w:r>
        <w:rPr>
          <w:color w:val="231F20"/>
          <w:spacing w:val="-9"/>
        </w:rPr>
        <w:t> </w:t>
      </w:r>
      <w:r>
        <w:rPr>
          <w:color w:val="231F20"/>
          <w:spacing w:val="-3"/>
        </w:rPr>
        <w:t>sector.</w:t>
      </w:r>
    </w:p>
    <w:p>
      <w:pPr>
        <w:pStyle w:val="BodyText"/>
      </w:pPr>
    </w:p>
    <w:p>
      <w:pPr>
        <w:pStyle w:val="Heading4"/>
      </w:pPr>
      <w:r>
        <w:rPr>
          <w:color w:val="231F20"/>
        </w:rPr>
        <w:t>La producción porcina en México</w:t>
      </w:r>
    </w:p>
    <w:p>
      <w:pPr>
        <w:pStyle w:val="BodyText"/>
        <w:spacing w:line="273" w:lineRule="auto" w:before="185"/>
        <w:ind w:left="113" w:right="111"/>
        <w:jc w:val="both"/>
      </w:pPr>
      <w:r>
        <w:rPr>
          <w:color w:val="231F20"/>
        </w:rPr>
        <w:t>En nuestro país, la ganadería y en especifico la producción de carne, es la actividad</w:t>
      </w:r>
      <w:r>
        <w:rPr>
          <w:color w:val="231F20"/>
          <w:spacing w:val="-4"/>
        </w:rPr>
        <w:t> </w:t>
      </w:r>
      <w:r>
        <w:rPr>
          <w:color w:val="231F20"/>
        </w:rPr>
        <w:t>productiva</w:t>
      </w:r>
      <w:r>
        <w:rPr>
          <w:color w:val="231F20"/>
          <w:spacing w:val="-4"/>
        </w:rPr>
        <w:t> </w:t>
      </w:r>
      <w:r>
        <w:rPr>
          <w:color w:val="231F20"/>
        </w:rPr>
        <w:t>más</w:t>
      </w:r>
      <w:r>
        <w:rPr>
          <w:color w:val="231F20"/>
          <w:spacing w:val="-4"/>
        </w:rPr>
        <w:t> </w:t>
      </w:r>
      <w:r>
        <w:rPr>
          <w:color w:val="231F20"/>
        </w:rPr>
        <w:t>diseminada</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medio</w:t>
      </w:r>
      <w:r>
        <w:rPr>
          <w:color w:val="231F20"/>
          <w:spacing w:val="-4"/>
        </w:rPr>
        <w:t> </w:t>
      </w:r>
      <w:r>
        <w:rPr>
          <w:color w:val="231F20"/>
        </w:rPr>
        <w:t>rural,</w:t>
      </w:r>
      <w:r>
        <w:rPr>
          <w:color w:val="231F20"/>
          <w:spacing w:val="-4"/>
        </w:rPr>
        <w:t> </w:t>
      </w:r>
      <w:r>
        <w:rPr>
          <w:color w:val="231F20"/>
        </w:rPr>
        <w:t>pues</w:t>
      </w:r>
      <w:r>
        <w:rPr>
          <w:color w:val="231F20"/>
          <w:spacing w:val="-4"/>
        </w:rPr>
        <w:t> </w:t>
      </w:r>
      <w:r>
        <w:rPr>
          <w:color w:val="231F20"/>
        </w:rPr>
        <w:t>se</w:t>
      </w:r>
      <w:r>
        <w:rPr>
          <w:color w:val="231F20"/>
          <w:spacing w:val="-4"/>
        </w:rPr>
        <w:t> </w:t>
      </w:r>
      <w:r>
        <w:rPr>
          <w:color w:val="231F20"/>
        </w:rPr>
        <w:t>realiza</w:t>
      </w:r>
      <w:r>
        <w:rPr>
          <w:color w:val="231F20"/>
          <w:spacing w:val="-4"/>
        </w:rPr>
        <w:t> </w:t>
      </w:r>
      <w:r>
        <w:rPr>
          <w:color w:val="231F20"/>
        </w:rPr>
        <w:t>sin excepción en todas las regiones agroecológicas del país y aún en condicio- nes adversas de clima, que no permiten la práctica de otras actividades productivas.</w:t>
      </w:r>
    </w:p>
    <w:p>
      <w:pPr>
        <w:spacing w:after="0" w:line="273" w:lineRule="auto"/>
        <w:jc w:val="both"/>
        <w:sectPr>
          <w:pgSz w:w="7940" w:h="11910"/>
          <w:pgMar w:header="0" w:footer="469" w:top="480" w:bottom="660" w:left="1020" w:right="1020"/>
        </w:sectPr>
      </w:pPr>
    </w:p>
    <w:p>
      <w:pPr>
        <w:spacing w:before="50"/>
        <w:ind w:left="1227" w:right="102" w:firstLine="0"/>
        <w:jc w:val="left"/>
        <w:rPr>
          <w:sz w:val="14"/>
        </w:rPr>
      </w:pPr>
      <w:r>
        <w:rPr>
          <w:color w:val="231F20"/>
          <w:sz w:val="18"/>
        </w:rPr>
        <w:t>L</w:t>
      </w:r>
      <w:r>
        <w:rPr>
          <w:color w:val="231F20"/>
          <w:sz w:val="14"/>
        </w:rPr>
        <w:t>A PORCICULTURA EN EL SUR DEL </w:t>
      </w:r>
      <w:r>
        <w:rPr>
          <w:color w:val="231F20"/>
          <w:sz w:val="18"/>
        </w:rPr>
        <w:t>E</w:t>
      </w:r>
      <w:r>
        <w:rPr>
          <w:color w:val="231F20"/>
          <w:sz w:val="14"/>
        </w:rPr>
        <w:t>STADO DE </w:t>
      </w:r>
      <w:r>
        <w:rPr>
          <w:color w:val="231F20"/>
          <w:sz w:val="18"/>
        </w:rPr>
        <w:t>M</w:t>
      </w:r>
      <w:r>
        <w:rPr>
          <w:color w:val="231F20"/>
          <w:sz w:val="14"/>
        </w:rPr>
        <w:t>ÉXICO</w:t>
      </w:r>
    </w:p>
    <w:p>
      <w:pPr>
        <w:pStyle w:val="BodyText"/>
        <w:spacing w:before="3"/>
        <w:rPr>
          <w:sz w:val="22"/>
        </w:rPr>
      </w:pPr>
    </w:p>
    <w:p>
      <w:pPr>
        <w:pStyle w:val="BodyText"/>
        <w:spacing w:line="273" w:lineRule="auto" w:before="75"/>
        <w:ind w:left="46" w:right="111" w:firstLine="283"/>
        <w:jc w:val="right"/>
      </w:pPr>
      <w:r>
        <w:rPr>
          <w:color w:val="231F20"/>
        </w:rPr>
        <w:t>De acuerdo con la </w:t>
      </w:r>
      <w:r>
        <w:rPr>
          <w:color w:val="231F20"/>
          <w:sz w:val="16"/>
        </w:rPr>
        <w:t>SAGAR </w:t>
      </w:r>
      <w:r>
        <w:rPr>
          <w:color w:val="231F20"/>
        </w:rPr>
        <w:t>(2000), se estima que en total la superficie</w:t>
      </w:r>
      <w:r>
        <w:rPr>
          <w:color w:val="231F20"/>
          <w:w w:val="100"/>
        </w:rPr>
        <w:t> </w:t>
      </w:r>
      <w:r>
        <w:rPr>
          <w:color w:val="231F20"/>
        </w:rPr>
        <w:t>aprovechada por la ganadería es superior a los 110 millones de hectáreas, representando aproximadamente el 60% de la superficie del territorio na- cional, en donde 107.8 millones de hectáreas corresponden a pastizales y más de 2 millones son superficies agrícolas cuyo producto se destina fun- damentalmente al consumo animal (granos forrajeros y forrajes de corte). En este sentido, la producción de carne, como otras actividades del subsector ganadero, se da en una amplia gama de sistemas productivos, que van desde los altamente tecnificados e integrados, hasta las economías</w:t>
      </w:r>
      <w:r>
        <w:rPr>
          <w:color w:val="231F20"/>
          <w:w w:val="100"/>
        </w:rPr>
        <w:t> </w:t>
      </w:r>
      <w:r>
        <w:rPr>
          <w:color w:val="231F20"/>
        </w:rPr>
        <w:t>de tipo campesino orientadas principalmente hacia el autoabastecimiento</w:t>
      </w:r>
    </w:p>
    <w:p>
      <w:pPr>
        <w:pStyle w:val="BodyText"/>
        <w:spacing w:line="210" w:lineRule="exact"/>
        <w:ind w:left="113" w:right="102"/>
      </w:pPr>
      <w:r>
        <w:rPr>
          <w:color w:val="231F20"/>
        </w:rPr>
        <w:t>de la familia campesina.</w:t>
      </w:r>
    </w:p>
    <w:p>
      <w:pPr>
        <w:pStyle w:val="BodyText"/>
        <w:spacing w:line="273" w:lineRule="auto" w:before="29"/>
        <w:ind w:left="113" w:right="111" w:firstLine="283"/>
        <w:jc w:val="both"/>
      </w:pPr>
      <w:r>
        <w:rPr>
          <w:color w:val="231F20"/>
        </w:rPr>
        <w:t>Mientras</w:t>
      </w:r>
      <w:r>
        <w:rPr>
          <w:color w:val="231F20"/>
          <w:spacing w:val="-6"/>
        </w:rPr>
        <w:t> </w:t>
      </w:r>
      <w:r>
        <w:rPr>
          <w:color w:val="231F20"/>
        </w:rPr>
        <w:t>que</w:t>
      </w:r>
      <w:r>
        <w:rPr>
          <w:color w:val="231F20"/>
          <w:spacing w:val="-6"/>
        </w:rPr>
        <w:t> </w:t>
      </w:r>
      <w:r>
        <w:rPr>
          <w:color w:val="231F20"/>
        </w:rPr>
        <w:t>para</w:t>
      </w:r>
      <w:r>
        <w:rPr>
          <w:color w:val="231F20"/>
          <w:spacing w:val="-6"/>
        </w:rPr>
        <w:t> </w:t>
      </w:r>
      <w:r>
        <w:rPr>
          <w:color w:val="231F20"/>
        </w:rPr>
        <w:t>los</w:t>
      </w:r>
      <w:r>
        <w:rPr>
          <w:color w:val="231F20"/>
          <w:spacing w:val="-6"/>
        </w:rPr>
        <w:t> </w:t>
      </w:r>
      <w:r>
        <w:rPr>
          <w:color w:val="231F20"/>
        </w:rPr>
        <w:t>primeros,</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de</w:t>
      </w:r>
      <w:r>
        <w:rPr>
          <w:color w:val="231F20"/>
          <w:spacing w:val="-6"/>
        </w:rPr>
        <w:t> </w:t>
      </w:r>
      <w:r>
        <w:rPr>
          <w:color w:val="231F20"/>
        </w:rPr>
        <w:t>carne</w:t>
      </w:r>
      <w:r>
        <w:rPr>
          <w:color w:val="231F20"/>
          <w:spacing w:val="-6"/>
        </w:rPr>
        <w:t> </w:t>
      </w:r>
      <w:r>
        <w:rPr>
          <w:color w:val="231F20"/>
        </w:rPr>
        <w:t>representa</w:t>
      </w:r>
      <w:r>
        <w:rPr>
          <w:color w:val="231F20"/>
          <w:spacing w:val="-6"/>
        </w:rPr>
        <w:t> </w:t>
      </w:r>
      <w:r>
        <w:rPr>
          <w:color w:val="231F20"/>
        </w:rPr>
        <w:t>una forma</w:t>
      </w:r>
      <w:r>
        <w:rPr>
          <w:color w:val="231F20"/>
          <w:spacing w:val="-10"/>
        </w:rPr>
        <w:t> </w:t>
      </w:r>
      <w:r>
        <w:rPr>
          <w:color w:val="231F20"/>
        </w:rPr>
        <w:t>de</w:t>
      </w:r>
      <w:r>
        <w:rPr>
          <w:color w:val="231F20"/>
          <w:spacing w:val="-10"/>
        </w:rPr>
        <w:t> </w:t>
      </w:r>
      <w:r>
        <w:rPr>
          <w:color w:val="231F20"/>
        </w:rPr>
        <w:t>inversión</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acumulación</w:t>
      </w:r>
      <w:r>
        <w:rPr>
          <w:color w:val="231F20"/>
          <w:spacing w:val="-10"/>
        </w:rPr>
        <w:t> </w:t>
      </w:r>
      <w:r>
        <w:rPr>
          <w:color w:val="231F20"/>
        </w:rPr>
        <w:t>de</w:t>
      </w:r>
      <w:r>
        <w:rPr>
          <w:color w:val="231F20"/>
          <w:spacing w:val="-10"/>
        </w:rPr>
        <w:t> </w:t>
      </w:r>
      <w:r>
        <w:rPr>
          <w:color w:val="231F20"/>
        </w:rPr>
        <w:t>capital,</w:t>
      </w:r>
      <w:r>
        <w:rPr>
          <w:color w:val="231F20"/>
          <w:spacing w:val="-10"/>
        </w:rPr>
        <w:t> </w:t>
      </w:r>
      <w:r>
        <w:rPr>
          <w:color w:val="231F20"/>
        </w:rPr>
        <w:t>para</w:t>
      </w:r>
      <w:r>
        <w:rPr>
          <w:color w:val="231F20"/>
          <w:spacing w:val="-10"/>
        </w:rPr>
        <w:t> </w:t>
      </w:r>
      <w:r>
        <w:rPr>
          <w:color w:val="231F20"/>
        </w:rPr>
        <w:t>los</w:t>
      </w:r>
      <w:r>
        <w:rPr>
          <w:color w:val="231F20"/>
          <w:spacing w:val="-10"/>
        </w:rPr>
        <w:t> </w:t>
      </w:r>
      <w:r>
        <w:rPr>
          <w:color w:val="231F20"/>
        </w:rPr>
        <w:t>campesinos</w:t>
      </w:r>
      <w:r>
        <w:rPr>
          <w:color w:val="231F20"/>
          <w:spacing w:val="-10"/>
        </w:rPr>
        <w:t> </w:t>
      </w:r>
      <w:r>
        <w:rPr>
          <w:color w:val="231F20"/>
        </w:rPr>
        <w:t>de</w:t>
      </w:r>
      <w:r>
        <w:rPr>
          <w:color w:val="231F20"/>
          <w:spacing w:val="-10"/>
        </w:rPr>
        <w:t> </w:t>
      </w:r>
      <w:r>
        <w:rPr>
          <w:color w:val="231F20"/>
        </w:rPr>
        <w:t>ba- jos</w:t>
      </w:r>
      <w:r>
        <w:rPr>
          <w:color w:val="231F20"/>
          <w:spacing w:val="-8"/>
        </w:rPr>
        <w:t> </w:t>
      </w:r>
      <w:r>
        <w:rPr>
          <w:color w:val="231F20"/>
        </w:rPr>
        <w:t>recursos,</w:t>
      </w:r>
      <w:r>
        <w:rPr>
          <w:color w:val="231F20"/>
          <w:spacing w:val="-9"/>
        </w:rPr>
        <w:t> </w:t>
      </w:r>
      <w:r>
        <w:rPr>
          <w:color w:val="231F20"/>
        </w:rPr>
        <w:t>la</w:t>
      </w:r>
      <w:r>
        <w:rPr>
          <w:color w:val="231F20"/>
          <w:spacing w:val="-8"/>
        </w:rPr>
        <w:t> </w:t>
      </w:r>
      <w:r>
        <w:rPr>
          <w:color w:val="231F20"/>
        </w:rPr>
        <w:t>práctica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ganadería</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opción</w:t>
      </w:r>
      <w:r>
        <w:rPr>
          <w:color w:val="231F20"/>
          <w:spacing w:val="-8"/>
        </w:rPr>
        <w:t> </w:t>
      </w:r>
      <w:r>
        <w:rPr>
          <w:color w:val="231F20"/>
        </w:rPr>
        <w:t>que</w:t>
      </w:r>
      <w:r>
        <w:rPr>
          <w:color w:val="231F20"/>
          <w:spacing w:val="-8"/>
        </w:rPr>
        <w:t> </w:t>
      </w:r>
      <w:r>
        <w:rPr>
          <w:color w:val="231F20"/>
        </w:rPr>
        <w:t>les</w:t>
      </w:r>
      <w:r>
        <w:rPr>
          <w:color w:val="231F20"/>
          <w:spacing w:val="-8"/>
        </w:rPr>
        <w:t> </w:t>
      </w:r>
      <w:r>
        <w:rPr>
          <w:color w:val="231F20"/>
        </w:rPr>
        <w:t>permite</w:t>
      </w:r>
      <w:r>
        <w:rPr>
          <w:color w:val="231F20"/>
          <w:spacing w:val="-8"/>
        </w:rPr>
        <w:t> </w:t>
      </w:r>
      <w:r>
        <w:rPr>
          <w:color w:val="231F20"/>
        </w:rPr>
        <w:t>man- tener la estabilidad biológica y económica de sus sistemas de</w:t>
      </w:r>
      <w:r>
        <w:rPr>
          <w:color w:val="231F20"/>
          <w:spacing w:val="-25"/>
        </w:rPr>
        <w:t> </w:t>
      </w:r>
      <w:r>
        <w:rPr>
          <w:color w:val="231F20"/>
        </w:rPr>
        <w:t>producción.</w:t>
      </w:r>
    </w:p>
    <w:p>
      <w:pPr>
        <w:pStyle w:val="BodyText"/>
        <w:spacing w:line="273" w:lineRule="auto"/>
        <w:ind w:left="113" w:right="111" w:firstLine="283"/>
        <w:jc w:val="both"/>
      </w:pPr>
      <w:r>
        <w:rPr>
          <w:color w:val="231F20"/>
        </w:rPr>
        <w:t>Las estadísticas de la </w:t>
      </w:r>
      <w:r>
        <w:rPr>
          <w:color w:val="231F20"/>
          <w:spacing w:val="-5"/>
          <w:sz w:val="16"/>
        </w:rPr>
        <w:t>FAO </w:t>
      </w:r>
      <w:r>
        <w:rPr>
          <w:color w:val="231F20"/>
        </w:rPr>
        <w:t>(2012), muestran que la producción porcí- cola en el mudo se encuentra altamente concentrada ya que para el pe- riodo 2000-2010 siete naciones aportaron en promedio el 71.04% del to- tal mundial. En este sentido, China se sitúa como el mayor </w:t>
      </w:r>
      <w:r>
        <w:rPr>
          <w:color w:val="231F20"/>
          <w:spacing w:val="-3"/>
        </w:rPr>
        <w:t>productor, </w:t>
      </w:r>
      <w:r>
        <w:rPr>
          <w:color w:val="231F20"/>
        </w:rPr>
        <w:t>con una</w:t>
      </w:r>
      <w:r>
        <w:rPr>
          <w:color w:val="231F20"/>
          <w:spacing w:val="-4"/>
        </w:rPr>
        <w:t> </w:t>
      </w:r>
      <w:r>
        <w:rPr>
          <w:color w:val="231F20"/>
        </w:rPr>
        <w:t>aportación</w:t>
      </w:r>
      <w:r>
        <w:rPr>
          <w:color w:val="231F20"/>
          <w:spacing w:val="-3"/>
        </w:rPr>
        <w:t> </w:t>
      </w:r>
      <w:r>
        <w:rPr>
          <w:color w:val="231F20"/>
        </w:rPr>
        <w:t>del</w:t>
      </w:r>
      <w:r>
        <w:rPr>
          <w:color w:val="231F20"/>
          <w:spacing w:val="-4"/>
        </w:rPr>
        <w:t> </w:t>
      </w:r>
      <w:r>
        <w:rPr>
          <w:color w:val="231F20"/>
        </w:rPr>
        <w:t>46%</w:t>
      </w:r>
      <w:r>
        <w:rPr>
          <w:color w:val="231F20"/>
          <w:spacing w:val="-4"/>
        </w:rPr>
        <w:t> </w:t>
      </w:r>
      <w:r>
        <w:rPr>
          <w:color w:val="231F20"/>
        </w:rPr>
        <w:t>y</w:t>
      </w:r>
      <w:r>
        <w:rPr>
          <w:color w:val="231F20"/>
          <w:spacing w:val="-4"/>
        </w:rPr>
        <w:t> </w:t>
      </w:r>
      <w:r>
        <w:rPr>
          <w:color w:val="231F20"/>
        </w:rPr>
        <w:t>con</w:t>
      </w:r>
      <w:r>
        <w:rPr>
          <w:color w:val="231F20"/>
          <w:spacing w:val="-4"/>
        </w:rPr>
        <w:t> </w:t>
      </w:r>
      <w:r>
        <w:rPr>
          <w:color w:val="231F20"/>
        </w:rPr>
        <w:t>una</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tasas</w:t>
      </w:r>
      <w:r>
        <w:rPr>
          <w:color w:val="231F20"/>
          <w:spacing w:val="-4"/>
        </w:rPr>
        <w:t> </w:t>
      </w:r>
      <w:r>
        <w:rPr>
          <w:color w:val="231F20"/>
        </w:rPr>
        <w:t>de</w:t>
      </w:r>
      <w:r>
        <w:rPr>
          <w:color w:val="231F20"/>
          <w:spacing w:val="-4"/>
        </w:rPr>
        <w:t> </w:t>
      </w:r>
      <w:r>
        <w:rPr>
          <w:color w:val="231F20"/>
        </w:rPr>
        <w:t>crecimiento</w:t>
      </w:r>
      <w:r>
        <w:rPr>
          <w:color w:val="231F20"/>
          <w:spacing w:val="-4"/>
        </w:rPr>
        <w:t> </w:t>
      </w:r>
      <w:r>
        <w:rPr>
          <w:color w:val="231F20"/>
        </w:rPr>
        <w:t>media</w:t>
      </w:r>
      <w:r>
        <w:rPr>
          <w:color w:val="231F20"/>
          <w:spacing w:val="-4"/>
        </w:rPr>
        <w:t> </w:t>
      </w:r>
      <w:r>
        <w:rPr>
          <w:color w:val="231F20"/>
        </w:rPr>
        <w:t>anual (</w:t>
      </w:r>
      <w:r>
        <w:rPr>
          <w:color w:val="231F20"/>
          <w:sz w:val="16"/>
        </w:rPr>
        <w:t>TCMA</w:t>
      </w:r>
      <w:r>
        <w:rPr>
          <w:color w:val="231F20"/>
        </w:rPr>
        <w:t>) más dinámicas en dicho periodo, con 2.44%. Le siguen en orden de importancia los Estados Unidos y Alemania con una participación en la producción mundial del 9.64% y 4.67%, y un crecimiento medio anual del 1.71% y 3.26%</w:t>
      </w:r>
      <w:r>
        <w:rPr>
          <w:color w:val="231F20"/>
          <w:spacing w:val="-20"/>
        </w:rPr>
        <w:t> </w:t>
      </w:r>
      <w:r>
        <w:rPr>
          <w:color w:val="231F20"/>
        </w:rPr>
        <w:t>respectivamente.</w:t>
      </w:r>
    </w:p>
    <w:p>
      <w:pPr>
        <w:pStyle w:val="BodyText"/>
        <w:spacing w:line="273" w:lineRule="auto"/>
        <w:ind w:left="113" w:right="111" w:firstLine="283"/>
        <w:jc w:val="both"/>
      </w:pPr>
      <w:r>
        <w:rPr>
          <w:color w:val="231F20"/>
        </w:rPr>
        <w:t>México</w:t>
      </w:r>
      <w:r>
        <w:rPr>
          <w:color w:val="231F20"/>
          <w:spacing w:val="-9"/>
        </w:rPr>
        <w:t> </w:t>
      </w:r>
      <w:r>
        <w:rPr>
          <w:color w:val="231F20"/>
        </w:rPr>
        <w:t>por</w:t>
      </w:r>
      <w:r>
        <w:rPr>
          <w:color w:val="231F20"/>
          <w:spacing w:val="-9"/>
        </w:rPr>
        <w:t> </w:t>
      </w:r>
      <w:r>
        <w:rPr>
          <w:color w:val="231F20"/>
        </w:rPr>
        <w:t>su</w:t>
      </w:r>
      <w:r>
        <w:rPr>
          <w:color w:val="231F20"/>
          <w:spacing w:val="-10"/>
        </w:rPr>
        <w:t> </w:t>
      </w:r>
      <w:r>
        <w:rPr>
          <w:color w:val="231F20"/>
        </w:rPr>
        <w:t>parte,</w:t>
      </w:r>
      <w:r>
        <w:rPr>
          <w:color w:val="231F20"/>
          <w:spacing w:val="-10"/>
        </w:rPr>
        <w:t> </w:t>
      </w:r>
      <w:r>
        <w:rPr>
          <w:color w:val="231F20"/>
        </w:rPr>
        <w:t>se</w:t>
      </w:r>
      <w:r>
        <w:rPr>
          <w:color w:val="231F20"/>
          <w:spacing w:val="-10"/>
        </w:rPr>
        <w:t> </w:t>
      </w:r>
      <w:r>
        <w:rPr>
          <w:color w:val="231F20"/>
        </w:rPr>
        <w:t>ubica</w:t>
      </w:r>
      <w:r>
        <w:rPr>
          <w:color w:val="231F20"/>
          <w:spacing w:val="-9"/>
        </w:rPr>
        <w:t> </w:t>
      </w:r>
      <w:r>
        <w:rPr>
          <w:color w:val="231F20"/>
        </w:rPr>
        <w:t>en</w:t>
      </w:r>
      <w:r>
        <w:rPr>
          <w:color w:val="231F20"/>
          <w:spacing w:val="-10"/>
        </w:rPr>
        <w:t> </w:t>
      </w:r>
      <w:r>
        <w:rPr>
          <w:color w:val="231F20"/>
        </w:rPr>
        <w:t>el</w:t>
      </w:r>
      <w:r>
        <w:rPr>
          <w:color w:val="231F20"/>
          <w:spacing w:val="-10"/>
        </w:rPr>
        <w:t> </w:t>
      </w:r>
      <w:r>
        <w:rPr>
          <w:color w:val="231F20"/>
        </w:rPr>
        <w:t>lugar</w:t>
      </w:r>
      <w:r>
        <w:rPr>
          <w:color w:val="231F20"/>
          <w:spacing w:val="-10"/>
        </w:rPr>
        <w:t> </w:t>
      </w:r>
      <w:r>
        <w:rPr>
          <w:color w:val="231F20"/>
        </w:rPr>
        <w:t>dieciséis</w:t>
      </w:r>
      <w:r>
        <w:rPr>
          <w:color w:val="231F20"/>
          <w:spacing w:val="-11"/>
        </w:rPr>
        <w:t> </w:t>
      </w:r>
      <w:r>
        <w:rPr>
          <w:color w:val="231F20"/>
        </w:rPr>
        <w:t>a</w:t>
      </w:r>
      <w:r>
        <w:rPr>
          <w:color w:val="231F20"/>
          <w:spacing w:val="-10"/>
        </w:rPr>
        <w:t> </w:t>
      </w:r>
      <w:r>
        <w:rPr>
          <w:color w:val="231F20"/>
        </w:rPr>
        <w:t>nivel</w:t>
      </w:r>
      <w:r>
        <w:rPr>
          <w:color w:val="231F20"/>
          <w:spacing w:val="-10"/>
        </w:rPr>
        <w:t> </w:t>
      </w:r>
      <w:r>
        <w:rPr>
          <w:color w:val="231F20"/>
        </w:rPr>
        <w:t>mundial,</w:t>
      </w:r>
      <w:r>
        <w:rPr>
          <w:color w:val="231F20"/>
          <w:spacing w:val="-10"/>
        </w:rPr>
        <w:t> </w:t>
      </w:r>
      <w:r>
        <w:rPr>
          <w:color w:val="231F20"/>
        </w:rPr>
        <w:t>apor- tando el 1.32% de la producción promedio durante el mismo periodo, re- gistrando un crecimiento medio anual (TCMA) del</w:t>
      </w:r>
      <w:r>
        <w:rPr>
          <w:color w:val="231F20"/>
          <w:spacing w:val="-26"/>
        </w:rPr>
        <w:t> </w:t>
      </w:r>
      <w:r>
        <w:rPr>
          <w:color w:val="231F20"/>
        </w:rPr>
        <w:t>1.32%.</w:t>
      </w:r>
    </w:p>
    <w:p>
      <w:pPr>
        <w:pStyle w:val="BodyText"/>
        <w:spacing w:line="273" w:lineRule="auto"/>
        <w:ind w:left="113" w:right="110" w:firstLine="283"/>
        <w:jc w:val="both"/>
      </w:pPr>
      <w:r>
        <w:rPr>
          <w:color w:val="231F20"/>
        </w:rPr>
        <w:t>Por su parte, la </w:t>
      </w:r>
      <w:r>
        <w:rPr>
          <w:color w:val="231F20"/>
          <w:spacing w:val="-3"/>
          <w:sz w:val="16"/>
        </w:rPr>
        <w:t>SAGARPA  </w:t>
      </w:r>
      <w:r>
        <w:rPr>
          <w:color w:val="231F20"/>
        </w:rPr>
        <w:t>(2012) señala que la producción de carne    en México se sustenta en diferentes ramas de la ganadería, dentro de las cuales sobresale la avicultura, quien aportó en promedio el 45.54% de la producción doméstica de carnes durante el periodo 2000-2010, los bovi- nos (con el 30.75%) y los porcinos (con el 21.55%); en este sentido, éstas tres especies aportan en conjunto el 97.84% de la producción doméstica de</w:t>
      </w:r>
      <w:r>
        <w:rPr>
          <w:color w:val="231F20"/>
          <w:spacing w:val="-1"/>
        </w:rPr>
        <w:t> </w:t>
      </w:r>
      <w:r>
        <w:rPr>
          <w:color w:val="231F20"/>
        </w:rPr>
        <w:t>cárnicos.</w:t>
      </w:r>
    </w:p>
    <w:p>
      <w:pPr>
        <w:pStyle w:val="BodyText"/>
        <w:spacing w:line="273" w:lineRule="auto"/>
        <w:ind w:left="113" w:right="111" w:firstLine="283"/>
        <w:jc w:val="both"/>
      </w:pPr>
      <w:r>
        <w:rPr>
          <w:color w:val="231F20"/>
        </w:rPr>
        <w:t>De</w:t>
      </w:r>
      <w:r>
        <w:rPr>
          <w:color w:val="231F20"/>
          <w:spacing w:val="-8"/>
        </w:rPr>
        <w:t> </w:t>
      </w:r>
      <w:r>
        <w:rPr>
          <w:color w:val="231F20"/>
        </w:rPr>
        <w:t>esta</w:t>
      </w:r>
      <w:r>
        <w:rPr>
          <w:color w:val="231F20"/>
          <w:spacing w:val="-8"/>
        </w:rPr>
        <w:t> </w:t>
      </w:r>
      <w:r>
        <w:rPr>
          <w:color w:val="231F20"/>
        </w:rPr>
        <w:t>manera,</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periodo</w:t>
      </w:r>
      <w:r>
        <w:rPr>
          <w:color w:val="231F20"/>
          <w:spacing w:val="-8"/>
        </w:rPr>
        <w:t> </w:t>
      </w:r>
      <w:r>
        <w:rPr>
          <w:color w:val="231F20"/>
        </w:rPr>
        <w:t>2000-2010</w:t>
      </w:r>
      <w:r>
        <w:rPr>
          <w:color w:val="231F20"/>
          <w:spacing w:val="-9"/>
        </w:rPr>
        <w:t> </w:t>
      </w:r>
      <w:r>
        <w:rPr>
          <w:color w:val="231F20"/>
        </w:rPr>
        <w:t>se</w:t>
      </w:r>
      <w:r>
        <w:rPr>
          <w:color w:val="231F20"/>
          <w:spacing w:val="-8"/>
        </w:rPr>
        <w:t> </w:t>
      </w:r>
      <w:r>
        <w:rPr>
          <w:color w:val="231F20"/>
        </w:rPr>
        <w:t>produjeron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país</w:t>
      </w:r>
      <w:r>
        <w:rPr>
          <w:color w:val="231F20"/>
          <w:spacing w:val="-8"/>
        </w:rPr>
        <w:t> </w:t>
      </w:r>
      <w:r>
        <w:rPr>
          <w:color w:val="231F20"/>
        </w:rPr>
        <w:t>un promedio de 1.10 millones de toneladas de carne de cerdo; cuatro entida- des del país concentraron en promedio el 55.19% de la producción nacio- nal,</w:t>
      </w:r>
      <w:r>
        <w:rPr>
          <w:color w:val="231F20"/>
          <w:spacing w:val="-5"/>
        </w:rPr>
        <w:t> </w:t>
      </w:r>
      <w:r>
        <w:rPr>
          <w:color w:val="231F20"/>
        </w:rPr>
        <w:t>destacando</w:t>
      </w:r>
      <w:r>
        <w:rPr>
          <w:color w:val="231F20"/>
          <w:spacing w:val="-6"/>
        </w:rPr>
        <w:t> </w:t>
      </w:r>
      <w:r>
        <w:rPr>
          <w:color w:val="231F20"/>
        </w:rPr>
        <w:t>los</w:t>
      </w:r>
      <w:r>
        <w:rPr>
          <w:color w:val="231F20"/>
          <w:spacing w:val="-5"/>
        </w:rPr>
        <w:t> </w:t>
      </w:r>
      <w:r>
        <w:rPr>
          <w:color w:val="231F20"/>
        </w:rPr>
        <w:t>estados</w:t>
      </w:r>
      <w:r>
        <w:rPr>
          <w:color w:val="231F20"/>
          <w:spacing w:val="-5"/>
        </w:rPr>
        <w:t> </w:t>
      </w:r>
      <w:r>
        <w:rPr>
          <w:color w:val="231F20"/>
        </w:rPr>
        <w:t>de</w:t>
      </w:r>
      <w:r>
        <w:rPr>
          <w:color w:val="231F20"/>
          <w:spacing w:val="-5"/>
        </w:rPr>
        <w:t> </w:t>
      </w:r>
      <w:r>
        <w:rPr>
          <w:color w:val="231F20"/>
        </w:rPr>
        <w:t>Jalisco</w:t>
      </w:r>
      <w:r>
        <w:rPr>
          <w:color w:val="231F20"/>
          <w:spacing w:val="-6"/>
        </w:rPr>
        <w:t> </w:t>
      </w:r>
      <w:r>
        <w:rPr>
          <w:color w:val="231F20"/>
        </w:rPr>
        <w:t>con</w:t>
      </w:r>
      <w:r>
        <w:rPr>
          <w:color w:val="231F20"/>
          <w:spacing w:val="-5"/>
        </w:rPr>
        <w:t> </w:t>
      </w:r>
      <w:r>
        <w:rPr>
          <w:color w:val="231F20"/>
        </w:rPr>
        <w:t>el</w:t>
      </w:r>
      <w:r>
        <w:rPr>
          <w:color w:val="231F20"/>
          <w:spacing w:val="-5"/>
        </w:rPr>
        <w:t> </w:t>
      </w:r>
      <w:r>
        <w:rPr>
          <w:color w:val="231F20"/>
        </w:rPr>
        <w:t>19.14%,</w:t>
      </w:r>
      <w:r>
        <w:rPr>
          <w:color w:val="231F20"/>
          <w:spacing w:val="-5"/>
        </w:rPr>
        <w:t> </w:t>
      </w:r>
      <w:r>
        <w:rPr>
          <w:color w:val="231F20"/>
        </w:rPr>
        <w:t>Sonora</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18.50% y</w:t>
      </w:r>
      <w:r>
        <w:rPr>
          <w:color w:val="231F20"/>
          <w:spacing w:val="-10"/>
        </w:rPr>
        <w:t> </w:t>
      </w:r>
      <w:r>
        <w:rPr>
          <w:color w:val="231F20"/>
        </w:rPr>
        <w:t>Guanajuato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9.19%.</w:t>
      </w:r>
      <w:r>
        <w:rPr>
          <w:color w:val="231F20"/>
          <w:spacing w:val="-11"/>
        </w:rPr>
        <w:t> </w:t>
      </w:r>
      <w:r>
        <w:rPr>
          <w:color w:val="231F20"/>
        </w:rPr>
        <w:t>Asimismo,</w:t>
      </w:r>
      <w:r>
        <w:rPr>
          <w:color w:val="231F20"/>
          <w:spacing w:val="-10"/>
        </w:rPr>
        <w:t> </w:t>
      </w:r>
      <w:r>
        <w:rPr>
          <w:color w:val="231F20"/>
        </w:rPr>
        <w:t>la</w:t>
      </w:r>
      <w:r>
        <w:rPr>
          <w:color w:val="231F20"/>
          <w:spacing w:val="-10"/>
        </w:rPr>
        <w:t> </w:t>
      </w:r>
      <w:r>
        <w:rPr>
          <w:color w:val="231F20"/>
        </w:rPr>
        <w:t>producción</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p>
    <w:p>
      <w:pPr>
        <w:spacing w:after="0" w:line="273" w:lineRule="auto"/>
        <w:jc w:val="both"/>
        <w:sectPr>
          <w:pgSz w:w="7940" w:h="11910"/>
          <w:pgMar w:header="0" w:footer="469" w:top="500" w:bottom="660" w:left="1020" w:right="1020"/>
        </w:sectPr>
      </w:pPr>
    </w:p>
    <w:p>
      <w:pPr>
        <w:spacing w:before="60"/>
        <w:ind w:left="597" w:right="102" w:firstLine="0"/>
        <w:jc w:val="left"/>
        <w:rPr>
          <w:sz w:val="14"/>
        </w:rPr>
      </w:pPr>
      <w:r>
        <w:rPr>
          <w:color w:val="231F20"/>
          <w:sz w:val="18"/>
        </w:rPr>
        <w:t>F. G</w:t>
      </w:r>
      <w:r>
        <w:rPr>
          <w:color w:val="231F20"/>
          <w:sz w:val="14"/>
        </w:rPr>
        <w:t>ONZÁLEZ-</w:t>
      </w:r>
      <w:r>
        <w:rPr>
          <w:color w:val="231F20"/>
          <w:sz w:val="18"/>
        </w:rPr>
        <w:t>R</w:t>
      </w:r>
      <w:r>
        <w:rPr>
          <w:color w:val="231F20"/>
          <w:sz w:val="14"/>
        </w:rPr>
        <w:t>AZO</w:t>
      </w:r>
      <w:r>
        <w:rPr>
          <w:color w:val="231F20"/>
          <w:sz w:val="18"/>
        </w:rPr>
        <w:t>, S. R</w:t>
      </w:r>
      <w:r>
        <w:rPr>
          <w:color w:val="231F20"/>
          <w:sz w:val="14"/>
        </w:rPr>
        <w:t>EBOLLAR</w:t>
      </w:r>
      <w:r>
        <w:rPr>
          <w:color w:val="231F20"/>
          <w:sz w:val="18"/>
        </w:rPr>
        <w:t>-R</w:t>
      </w:r>
      <w:r>
        <w:rPr>
          <w:color w:val="231F20"/>
          <w:sz w:val="14"/>
        </w:rPr>
        <w:t>EBOLLAR</w:t>
      </w:r>
      <w:r>
        <w:rPr>
          <w:color w:val="231F20"/>
          <w:sz w:val="18"/>
        </w:rPr>
        <w:t>, J</w:t>
      </w:r>
      <w:r>
        <w:rPr>
          <w:color w:val="231F20"/>
          <w:sz w:val="14"/>
        </w:rPr>
        <w:t>. </w:t>
      </w:r>
      <w:r>
        <w:rPr>
          <w:color w:val="231F20"/>
          <w:sz w:val="18"/>
        </w:rPr>
        <w:t>H</w:t>
      </w:r>
      <w:r>
        <w:rPr>
          <w:color w:val="231F20"/>
          <w:sz w:val="14"/>
        </w:rPr>
        <w:t>ERNÁNDEZ-</w:t>
      </w:r>
      <w:r>
        <w:rPr>
          <w:color w:val="231F20"/>
          <w:sz w:val="18"/>
        </w:rPr>
        <w:t>M</w:t>
      </w:r>
      <w:r>
        <w:rPr>
          <w:color w:val="231F20"/>
          <w:sz w:val="14"/>
        </w:rPr>
        <w:t>ARTÍNEZ</w:t>
      </w:r>
    </w:p>
    <w:p>
      <w:pPr>
        <w:pStyle w:val="BodyText"/>
        <w:spacing w:before="1"/>
        <w:rPr>
          <w:sz w:val="23"/>
        </w:rPr>
      </w:pPr>
    </w:p>
    <w:p>
      <w:pPr>
        <w:pStyle w:val="BodyText"/>
        <w:spacing w:before="75"/>
        <w:ind w:left="113" w:right="102"/>
      </w:pPr>
      <w:r>
        <w:rPr>
          <w:color w:val="231F20"/>
        </w:rPr>
        <w:t>fue en promedio de 26,414 toneladas, lo que representó el 2.40% de la</w:t>
      </w:r>
    </w:p>
    <w:p>
      <w:pPr>
        <w:pStyle w:val="BodyText"/>
        <w:spacing w:before="29"/>
        <w:ind w:left="113" w:right="102"/>
      </w:pPr>
      <w:r>
        <w:rPr>
          <w:color w:val="231F20"/>
        </w:rPr>
        <w:t>oferta nacional para el mismo periodo.</w:t>
      </w:r>
    </w:p>
    <w:p>
      <w:pPr>
        <w:pStyle w:val="BodyText"/>
        <w:spacing w:line="273" w:lineRule="auto" w:before="29"/>
        <w:ind w:left="113" w:right="111" w:firstLine="283"/>
        <w:jc w:val="both"/>
      </w:pPr>
      <w:r>
        <w:rPr>
          <w:color w:val="231F20"/>
        </w:rPr>
        <w:t>En México, la porcicultura ocupa el tercer lugar en importancia por su aportación a la producción total de cárnicos; si bien su participación en el Producto</w:t>
      </w:r>
      <w:r>
        <w:rPr>
          <w:color w:val="231F20"/>
          <w:spacing w:val="-10"/>
        </w:rPr>
        <w:t> </w:t>
      </w:r>
      <w:r>
        <w:rPr>
          <w:color w:val="231F20"/>
        </w:rPr>
        <w:t>Interno</w:t>
      </w:r>
      <w:r>
        <w:rPr>
          <w:color w:val="231F20"/>
          <w:spacing w:val="-10"/>
        </w:rPr>
        <w:t> </w:t>
      </w:r>
      <w:r>
        <w:rPr>
          <w:color w:val="231F20"/>
        </w:rPr>
        <w:t>Bruto</w:t>
      </w:r>
      <w:r>
        <w:rPr>
          <w:color w:val="231F20"/>
          <w:spacing w:val="-10"/>
        </w:rPr>
        <w:t> </w:t>
      </w:r>
      <w:r>
        <w:rPr>
          <w:color w:val="231F20"/>
        </w:rPr>
        <w:t>es</w:t>
      </w:r>
      <w:r>
        <w:rPr>
          <w:color w:val="231F20"/>
          <w:spacing w:val="-10"/>
        </w:rPr>
        <w:t> </w:t>
      </w:r>
      <w:r>
        <w:rPr>
          <w:color w:val="231F20"/>
        </w:rPr>
        <w:t>marginal,</w:t>
      </w:r>
      <w:r>
        <w:rPr>
          <w:color w:val="231F20"/>
          <w:spacing w:val="-10"/>
        </w:rPr>
        <w:t> </w:t>
      </w:r>
      <w:r>
        <w:rPr>
          <w:color w:val="231F20"/>
        </w:rPr>
        <w:t>su</w:t>
      </w:r>
      <w:r>
        <w:rPr>
          <w:color w:val="231F20"/>
          <w:spacing w:val="-10"/>
        </w:rPr>
        <w:t> </w:t>
      </w:r>
      <w:r>
        <w:rPr>
          <w:color w:val="231F20"/>
        </w:rPr>
        <w:t>relevancia</w:t>
      </w:r>
      <w:r>
        <w:rPr>
          <w:color w:val="231F20"/>
          <w:spacing w:val="-10"/>
        </w:rPr>
        <w:t> </w:t>
      </w:r>
      <w:r>
        <w:rPr>
          <w:color w:val="231F20"/>
        </w:rPr>
        <w:t>reside</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proporcio- na un conjunto de productos importantes en la dieta de los estratos de</w:t>
      </w:r>
      <w:r>
        <w:rPr>
          <w:color w:val="231F20"/>
          <w:spacing w:val="-22"/>
        </w:rPr>
        <w:t> </w:t>
      </w:r>
      <w:r>
        <w:rPr>
          <w:color w:val="231F20"/>
        </w:rPr>
        <w:t>ba- jos ingresos de la población, en que usa (en forma indirecta) vastas super- ficies agrícolas y da lugar a una amplia y compleja cadena productiva que incluye</w:t>
      </w:r>
      <w:r>
        <w:rPr>
          <w:color w:val="231F20"/>
          <w:spacing w:val="-5"/>
        </w:rPr>
        <w:t> </w:t>
      </w:r>
      <w:r>
        <w:rPr>
          <w:color w:val="231F20"/>
        </w:rPr>
        <w:t>la</w:t>
      </w:r>
      <w:r>
        <w:rPr>
          <w:color w:val="231F20"/>
          <w:spacing w:val="-5"/>
        </w:rPr>
        <w:t> </w:t>
      </w:r>
      <w:r>
        <w:rPr>
          <w:color w:val="231F20"/>
        </w:rPr>
        <w:t>producción</w:t>
      </w:r>
      <w:r>
        <w:rPr>
          <w:color w:val="231F20"/>
          <w:spacing w:val="-6"/>
        </w:rPr>
        <w:t> </w:t>
      </w:r>
      <w:r>
        <w:rPr>
          <w:color w:val="231F20"/>
        </w:rPr>
        <w:t>de</w:t>
      </w:r>
      <w:r>
        <w:rPr>
          <w:color w:val="231F20"/>
          <w:spacing w:val="-5"/>
        </w:rPr>
        <w:t> </w:t>
      </w:r>
      <w:r>
        <w:rPr>
          <w:color w:val="231F20"/>
        </w:rPr>
        <w:t>granos</w:t>
      </w:r>
      <w:r>
        <w:rPr>
          <w:color w:val="231F20"/>
          <w:spacing w:val="-5"/>
        </w:rPr>
        <w:t> </w:t>
      </w:r>
      <w:r>
        <w:rPr>
          <w:color w:val="231F20"/>
        </w:rPr>
        <w:t>forrajeros</w:t>
      </w:r>
      <w:r>
        <w:rPr>
          <w:color w:val="231F20"/>
          <w:spacing w:val="-5"/>
        </w:rPr>
        <w:t> </w:t>
      </w:r>
      <w:r>
        <w:rPr>
          <w:color w:val="231F20"/>
        </w:rPr>
        <w:t>y</w:t>
      </w:r>
      <w:r>
        <w:rPr>
          <w:color w:val="231F20"/>
          <w:spacing w:val="-5"/>
        </w:rPr>
        <w:t> </w:t>
      </w:r>
      <w:r>
        <w:rPr>
          <w:color w:val="231F20"/>
        </w:rPr>
        <w:t>oleaginosas,</w:t>
      </w:r>
      <w:r>
        <w:rPr>
          <w:color w:val="231F20"/>
          <w:spacing w:val="-6"/>
        </w:rPr>
        <w:t> </w:t>
      </w:r>
      <w:r>
        <w:rPr>
          <w:color w:val="231F20"/>
        </w:rPr>
        <w:t>la</w:t>
      </w:r>
      <w:r>
        <w:rPr>
          <w:color w:val="231F20"/>
          <w:spacing w:val="-5"/>
        </w:rPr>
        <w:t> </w:t>
      </w:r>
      <w:r>
        <w:rPr>
          <w:color w:val="231F20"/>
        </w:rPr>
        <w:t>elaboración</w:t>
      </w:r>
      <w:r>
        <w:rPr>
          <w:color w:val="231F20"/>
          <w:spacing w:val="-5"/>
        </w:rPr>
        <w:t> </w:t>
      </w:r>
      <w:r>
        <w:rPr>
          <w:color w:val="231F20"/>
        </w:rPr>
        <w:t>de alimentos balanceados, fármacos, productos biológicos y la operación de establecimientos de sacrificio, despiezado e industrialización de la</w:t>
      </w:r>
      <w:r>
        <w:rPr>
          <w:color w:val="231F20"/>
          <w:spacing w:val="-10"/>
        </w:rPr>
        <w:t> </w:t>
      </w:r>
      <w:r>
        <w:rPr>
          <w:color w:val="231F20"/>
        </w:rPr>
        <w:t>carne.</w:t>
      </w:r>
    </w:p>
    <w:p>
      <w:pPr>
        <w:pStyle w:val="BodyText"/>
        <w:spacing w:line="273" w:lineRule="auto"/>
        <w:ind w:left="113" w:right="111" w:firstLine="283"/>
        <w:jc w:val="both"/>
      </w:pPr>
      <w:r>
        <w:rPr>
          <w:color w:val="231F20"/>
        </w:rPr>
        <w:t>No obstante el significativo desarrollo alcanzado por la porcicultura mexicana</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últimos</w:t>
      </w:r>
      <w:r>
        <w:rPr>
          <w:color w:val="231F20"/>
          <w:spacing w:val="-5"/>
        </w:rPr>
        <w:t> </w:t>
      </w:r>
      <w:r>
        <w:rPr>
          <w:color w:val="231F20"/>
        </w:rPr>
        <w:t>20</w:t>
      </w:r>
      <w:r>
        <w:rPr>
          <w:color w:val="231F20"/>
          <w:spacing w:val="-5"/>
        </w:rPr>
        <w:t> </w:t>
      </w:r>
      <w:r>
        <w:rPr>
          <w:color w:val="231F20"/>
        </w:rPr>
        <w:t>años,</w:t>
      </w:r>
      <w:r>
        <w:rPr>
          <w:color w:val="231F20"/>
          <w:spacing w:val="-5"/>
        </w:rPr>
        <w:t> </w:t>
      </w:r>
      <w:r>
        <w:rPr>
          <w:color w:val="231F20"/>
        </w:rPr>
        <w:t>sus</w:t>
      </w:r>
      <w:r>
        <w:rPr>
          <w:color w:val="231F20"/>
          <w:spacing w:val="-5"/>
        </w:rPr>
        <w:t> </w:t>
      </w:r>
      <w:r>
        <w:rPr>
          <w:color w:val="231F20"/>
        </w:rPr>
        <w:t>características</w:t>
      </w:r>
      <w:r>
        <w:rPr>
          <w:color w:val="231F20"/>
          <w:spacing w:val="-6"/>
        </w:rPr>
        <w:t> </w:t>
      </w:r>
      <w:r>
        <w:rPr>
          <w:color w:val="231F20"/>
        </w:rPr>
        <w:t>fundamentales</w:t>
      </w:r>
      <w:r>
        <w:rPr>
          <w:color w:val="231F20"/>
          <w:spacing w:val="-6"/>
        </w:rPr>
        <w:t> </w:t>
      </w:r>
      <w:r>
        <w:rPr>
          <w:color w:val="231F20"/>
        </w:rPr>
        <w:t>siguen siendo</w:t>
      </w:r>
      <w:r>
        <w:rPr>
          <w:color w:val="231F20"/>
          <w:spacing w:val="-5"/>
        </w:rPr>
        <w:t> </w:t>
      </w:r>
      <w:r>
        <w:rPr>
          <w:color w:val="231F20"/>
        </w:rPr>
        <w:t>su</w:t>
      </w:r>
      <w:r>
        <w:rPr>
          <w:color w:val="231F20"/>
          <w:spacing w:val="-5"/>
        </w:rPr>
        <w:t> </w:t>
      </w:r>
      <w:r>
        <w:rPr>
          <w:color w:val="231F20"/>
        </w:rPr>
        <w:t>enorme</w:t>
      </w:r>
      <w:r>
        <w:rPr>
          <w:color w:val="231F20"/>
          <w:spacing w:val="-5"/>
        </w:rPr>
        <w:t> </w:t>
      </w:r>
      <w:r>
        <w:rPr>
          <w:color w:val="231F20"/>
        </w:rPr>
        <w:t>heterogeneidad</w:t>
      </w:r>
      <w:r>
        <w:rPr>
          <w:color w:val="231F20"/>
          <w:spacing w:val="-5"/>
        </w:rPr>
        <w:t> </w:t>
      </w:r>
      <w:r>
        <w:rPr>
          <w:color w:val="231F20"/>
        </w:rPr>
        <w:t>productiva,</w:t>
      </w:r>
      <w:r>
        <w:rPr>
          <w:color w:val="231F20"/>
          <w:spacing w:val="-5"/>
        </w:rPr>
        <w:t> </w:t>
      </w:r>
      <w:r>
        <w:rPr>
          <w:color w:val="231F20"/>
        </w:rPr>
        <w:t>su</w:t>
      </w:r>
      <w:r>
        <w:rPr>
          <w:color w:val="231F20"/>
          <w:spacing w:val="-5"/>
        </w:rPr>
        <w:t> </w:t>
      </w:r>
      <w:r>
        <w:rPr>
          <w:color w:val="231F20"/>
        </w:rPr>
        <w:t>dependencia</w:t>
      </w:r>
      <w:r>
        <w:rPr>
          <w:color w:val="231F20"/>
          <w:spacing w:val="-6"/>
        </w:rPr>
        <w:t> </w:t>
      </w:r>
      <w:r>
        <w:rPr>
          <w:color w:val="231F20"/>
        </w:rPr>
        <w:t>del</w:t>
      </w:r>
      <w:r>
        <w:rPr>
          <w:color w:val="231F20"/>
          <w:spacing w:val="-5"/>
        </w:rPr>
        <w:t> </w:t>
      </w:r>
      <w:r>
        <w:rPr>
          <w:color w:val="231F20"/>
        </w:rPr>
        <w:t>exterior en la obtención de pie de cría e insumos alimenticios (entre un 30 y 40% del sorgo es importado y más del 80% de la soya) y la falta de internaliza- ción de sus costos ambientales (Pérez,</w:t>
      </w:r>
      <w:r>
        <w:rPr>
          <w:color w:val="231F20"/>
          <w:spacing w:val="-24"/>
        </w:rPr>
        <w:t> </w:t>
      </w:r>
      <w:r>
        <w:rPr>
          <w:color w:val="231F20"/>
        </w:rPr>
        <w:t>1999).</w:t>
      </w:r>
    </w:p>
    <w:p>
      <w:pPr>
        <w:pStyle w:val="BodyText"/>
        <w:spacing w:line="273" w:lineRule="auto"/>
        <w:ind w:left="113" w:right="111" w:firstLine="283"/>
        <w:jc w:val="both"/>
      </w:pPr>
      <w:r>
        <w:rPr>
          <w:color w:val="231F20"/>
        </w:rPr>
        <w:t>En</w:t>
      </w:r>
      <w:r>
        <w:rPr>
          <w:color w:val="231F20"/>
          <w:spacing w:val="-10"/>
        </w:rPr>
        <w:t> </w:t>
      </w:r>
      <w:r>
        <w:rPr>
          <w:color w:val="231F20"/>
        </w:rPr>
        <w:t>este</w:t>
      </w:r>
      <w:r>
        <w:rPr>
          <w:color w:val="231F20"/>
          <w:spacing w:val="-10"/>
        </w:rPr>
        <w:t> </w:t>
      </w:r>
      <w:r>
        <w:rPr>
          <w:color w:val="231F20"/>
        </w:rPr>
        <w:t>sentido,</w:t>
      </w:r>
      <w:r>
        <w:rPr>
          <w:color w:val="231F20"/>
          <w:spacing w:val="-10"/>
        </w:rPr>
        <w:t> </w:t>
      </w:r>
      <w:r>
        <w:rPr>
          <w:color w:val="231F20"/>
        </w:rPr>
        <w:t>existe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país</w:t>
      </w:r>
      <w:r>
        <w:rPr>
          <w:color w:val="231F20"/>
          <w:spacing w:val="-10"/>
        </w:rPr>
        <w:t> </w:t>
      </w:r>
      <w:r>
        <w:rPr>
          <w:color w:val="231F20"/>
        </w:rPr>
        <w:t>una</w:t>
      </w:r>
      <w:r>
        <w:rPr>
          <w:color w:val="231F20"/>
          <w:spacing w:val="-10"/>
        </w:rPr>
        <w:t> </w:t>
      </w:r>
      <w:r>
        <w:rPr>
          <w:color w:val="231F20"/>
        </w:rPr>
        <w:t>gran</w:t>
      </w:r>
      <w:r>
        <w:rPr>
          <w:color w:val="231F20"/>
          <w:spacing w:val="-10"/>
        </w:rPr>
        <w:t> </w:t>
      </w:r>
      <w:r>
        <w:rPr>
          <w:color w:val="231F20"/>
        </w:rPr>
        <w:t>variedad</w:t>
      </w:r>
      <w:r>
        <w:rPr>
          <w:color w:val="231F20"/>
          <w:spacing w:val="-10"/>
        </w:rPr>
        <w:t> </w:t>
      </w:r>
      <w:r>
        <w:rPr>
          <w:color w:val="231F20"/>
        </w:rPr>
        <w:t>de</w:t>
      </w:r>
      <w:r>
        <w:rPr>
          <w:color w:val="231F20"/>
          <w:spacing w:val="-10"/>
        </w:rPr>
        <w:t> </w:t>
      </w:r>
      <w:r>
        <w:rPr>
          <w:color w:val="231F20"/>
        </w:rPr>
        <w:t>sistemas</w:t>
      </w:r>
      <w:r>
        <w:rPr>
          <w:color w:val="231F20"/>
          <w:spacing w:val="-10"/>
        </w:rPr>
        <w:t> </w:t>
      </w:r>
      <w:r>
        <w:rPr>
          <w:color w:val="231F20"/>
        </w:rPr>
        <w:t>produc- tivos</w:t>
      </w:r>
      <w:r>
        <w:rPr>
          <w:color w:val="231F20"/>
          <w:spacing w:val="-5"/>
        </w:rPr>
        <w:t> </w:t>
      </w:r>
      <w:r>
        <w:rPr>
          <w:color w:val="231F20"/>
        </w:rPr>
        <w:t>que</w:t>
      </w:r>
      <w:r>
        <w:rPr>
          <w:color w:val="231F20"/>
          <w:spacing w:val="-4"/>
        </w:rPr>
        <w:t> </w:t>
      </w:r>
      <w:r>
        <w:rPr>
          <w:color w:val="231F20"/>
        </w:rPr>
        <w:t>se</w:t>
      </w:r>
      <w:r>
        <w:rPr>
          <w:color w:val="231F20"/>
          <w:spacing w:val="-5"/>
        </w:rPr>
        <w:t> </w:t>
      </w:r>
      <w:r>
        <w:rPr>
          <w:color w:val="231F20"/>
        </w:rPr>
        <w:t>diferencian</w:t>
      </w:r>
      <w:r>
        <w:rPr>
          <w:color w:val="231F20"/>
          <w:spacing w:val="-4"/>
        </w:rPr>
        <w:t> </w:t>
      </w:r>
      <w:r>
        <w:rPr>
          <w:color w:val="231F20"/>
        </w:rPr>
        <w:t>entre</w:t>
      </w:r>
      <w:r>
        <w:rPr>
          <w:color w:val="231F20"/>
          <w:spacing w:val="-5"/>
        </w:rPr>
        <w:t> </w:t>
      </w:r>
      <w:r>
        <w:rPr>
          <w:color w:val="231F20"/>
        </w:rPr>
        <w:t>sí</w:t>
      </w:r>
      <w:r>
        <w:rPr>
          <w:color w:val="231F20"/>
          <w:spacing w:val="-5"/>
        </w:rPr>
        <w:t> </w:t>
      </w:r>
      <w:r>
        <w:rPr>
          <w:color w:val="231F20"/>
        </w:rPr>
        <w:t>por</w:t>
      </w:r>
      <w:r>
        <w:rPr>
          <w:color w:val="231F20"/>
          <w:spacing w:val="-5"/>
        </w:rPr>
        <w:t> </w:t>
      </w:r>
      <w:r>
        <w:rPr>
          <w:color w:val="231F20"/>
        </w:rPr>
        <w:t>el</w:t>
      </w:r>
      <w:r>
        <w:rPr>
          <w:color w:val="231F20"/>
          <w:spacing w:val="-4"/>
        </w:rPr>
        <w:t> </w:t>
      </w:r>
      <w:r>
        <w:rPr>
          <w:color w:val="231F20"/>
        </w:rPr>
        <w:t>nivel</w:t>
      </w:r>
      <w:r>
        <w:rPr>
          <w:color w:val="231F20"/>
          <w:spacing w:val="-4"/>
        </w:rPr>
        <w:t> </w:t>
      </w:r>
      <w:r>
        <w:rPr>
          <w:color w:val="231F20"/>
        </w:rPr>
        <w:t>de</w:t>
      </w:r>
      <w:r>
        <w:rPr>
          <w:color w:val="231F20"/>
          <w:spacing w:val="-5"/>
        </w:rPr>
        <w:t> </w:t>
      </w:r>
      <w:r>
        <w:rPr>
          <w:color w:val="231F20"/>
        </w:rPr>
        <w:t>tecnología</w:t>
      </w:r>
      <w:r>
        <w:rPr>
          <w:color w:val="231F20"/>
          <w:spacing w:val="-4"/>
        </w:rPr>
        <w:t> </w:t>
      </w:r>
      <w:r>
        <w:rPr>
          <w:color w:val="231F20"/>
        </w:rPr>
        <w:t>aplicada,</w:t>
      </w:r>
      <w:r>
        <w:rPr>
          <w:color w:val="231F20"/>
          <w:spacing w:val="-4"/>
        </w:rPr>
        <w:t> </w:t>
      </w:r>
      <w:r>
        <w:rPr>
          <w:color w:val="231F20"/>
        </w:rPr>
        <w:t>el</w:t>
      </w:r>
      <w:r>
        <w:rPr>
          <w:color w:val="231F20"/>
          <w:spacing w:val="-4"/>
        </w:rPr>
        <w:t> </w:t>
      </w:r>
      <w:r>
        <w:rPr>
          <w:color w:val="231F20"/>
        </w:rPr>
        <w:t>nivel de</w:t>
      </w:r>
      <w:r>
        <w:rPr>
          <w:color w:val="231F20"/>
          <w:spacing w:val="-7"/>
        </w:rPr>
        <w:t> </w:t>
      </w:r>
      <w:r>
        <w:rPr>
          <w:color w:val="231F20"/>
        </w:rPr>
        <w:t>integración</w:t>
      </w:r>
      <w:r>
        <w:rPr>
          <w:color w:val="231F20"/>
          <w:spacing w:val="-7"/>
        </w:rPr>
        <w:t> </w:t>
      </w:r>
      <w:r>
        <w:rPr>
          <w:color w:val="231F20"/>
        </w:rPr>
        <w:t>vertical</w:t>
      </w:r>
      <w:r>
        <w:rPr>
          <w:color w:val="231F20"/>
          <w:spacing w:val="-7"/>
        </w:rPr>
        <w:t> </w:t>
      </w:r>
      <w:r>
        <w:rPr>
          <w:color w:val="231F20"/>
        </w:rPr>
        <w:t>y</w:t>
      </w:r>
      <w:r>
        <w:rPr>
          <w:color w:val="231F20"/>
          <w:spacing w:val="-7"/>
        </w:rPr>
        <w:t> </w:t>
      </w:r>
      <w:r>
        <w:rPr>
          <w:color w:val="231F20"/>
        </w:rPr>
        <w:t>horizontal</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mercados</w:t>
      </w:r>
      <w:r>
        <w:rPr>
          <w:color w:val="231F20"/>
          <w:spacing w:val="-7"/>
        </w:rPr>
        <w:t> </w:t>
      </w:r>
      <w:r>
        <w:rPr>
          <w:color w:val="231F20"/>
        </w:rPr>
        <w:t>que</w:t>
      </w:r>
      <w:r>
        <w:rPr>
          <w:color w:val="231F20"/>
          <w:spacing w:val="-7"/>
        </w:rPr>
        <w:t> </w:t>
      </w:r>
      <w:r>
        <w:rPr>
          <w:color w:val="231F20"/>
        </w:rPr>
        <w:t>atienden,</w:t>
      </w:r>
      <w:r>
        <w:rPr>
          <w:color w:val="231F20"/>
          <w:spacing w:val="-7"/>
        </w:rPr>
        <w:t> </w:t>
      </w:r>
      <w:r>
        <w:rPr>
          <w:color w:val="231F20"/>
        </w:rPr>
        <w:t>los</w:t>
      </w:r>
      <w:r>
        <w:rPr>
          <w:color w:val="231F20"/>
          <w:spacing w:val="-7"/>
        </w:rPr>
        <w:t> </w:t>
      </w:r>
      <w:r>
        <w:rPr>
          <w:color w:val="231F20"/>
        </w:rPr>
        <w:t>cuales de acuerdo a sus principales características se agrupan en tres categorías: tecnificado, semi-tecnificado y de traspatio o de</w:t>
      </w:r>
      <w:r>
        <w:rPr>
          <w:color w:val="231F20"/>
          <w:spacing w:val="-21"/>
        </w:rPr>
        <w:t> </w:t>
      </w:r>
      <w:r>
        <w:rPr>
          <w:color w:val="231F20"/>
        </w:rPr>
        <w:t>autoabastecimiento.</w:t>
      </w:r>
    </w:p>
    <w:p>
      <w:pPr>
        <w:pStyle w:val="BodyText"/>
        <w:spacing w:line="273" w:lineRule="auto"/>
        <w:ind w:left="113" w:right="111" w:firstLine="283"/>
        <w:jc w:val="both"/>
      </w:pPr>
      <w:r>
        <w:rPr>
          <w:color w:val="231F20"/>
        </w:rPr>
        <w:t>El sector tecnificado abarca el 46% de la piara, el semi-tecnificado el 20% y el de traspatio el 34% del inventario porcino; en el primero se pro- duce el 55% de la producción de carne de cerdo; en el segundo el 20% y</w:t>
      </w:r>
      <w:r>
        <w:rPr>
          <w:color w:val="231F20"/>
          <w:spacing w:val="-26"/>
        </w:rPr>
        <w:t> </w:t>
      </w:r>
      <w:r>
        <w:rPr>
          <w:color w:val="231F20"/>
        </w:rPr>
        <w:t>el resto,</w:t>
      </w:r>
      <w:r>
        <w:rPr>
          <w:color w:val="231F20"/>
          <w:spacing w:val="-3"/>
        </w:rPr>
        <w:t> </w:t>
      </w:r>
      <w:r>
        <w:rPr>
          <w:color w:val="231F20"/>
        </w:rPr>
        <w:t>que</w:t>
      </w:r>
      <w:r>
        <w:rPr>
          <w:color w:val="231F20"/>
          <w:spacing w:val="-3"/>
        </w:rPr>
        <w:t> </w:t>
      </w:r>
      <w:r>
        <w:rPr>
          <w:color w:val="231F20"/>
        </w:rPr>
        <w:t>no</w:t>
      </w:r>
      <w:r>
        <w:rPr>
          <w:color w:val="231F20"/>
          <w:spacing w:val="-3"/>
        </w:rPr>
        <w:t> </w:t>
      </w:r>
      <w:r>
        <w:rPr>
          <w:color w:val="231F20"/>
        </w:rPr>
        <w:t>entra</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circuitos</w:t>
      </w:r>
      <w:r>
        <w:rPr>
          <w:color w:val="231F20"/>
          <w:spacing w:val="-3"/>
        </w:rPr>
        <w:t> </w:t>
      </w:r>
      <w:r>
        <w:rPr>
          <w:color w:val="231F20"/>
        </w:rPr>
        <w:t>de</w:t>
      </w:r>
      <w:r>
        <w:rPr>
          <w:color w:val="231F20"/>
          <w:spacing w:val="-3"/>
        </w:rPr>
        <w:t> </w:t>
      </w:r>
      <w:r>
        <w:rPr>
          <w:color w:val="231F20"/>
        </w:rPr>
        <w:t>comercialización</w:t>
      </w:r>
      <w:r>
        <w:rPr>
          <w:color w:val="231F20"/>
          <w:spacing w:val="-3"/>
        </w:rPr>
        <w:t> </w:t>
      </w:r>
      <w:r>
        <w:rPr>
          <w:color w:val="231F20"/>
        </w:rPr>
        <w:t>formales,</w:t>
      </w:r>
      <w:r>
        <w:rPr>
          <w:color w:val="231F20"/>
          <w:spacing w:val="-3"/>
        </w:rPr>
        <w:t> </w:t>
      </w:r>
      <w:r>
        <w:rPr>
          <w:color w:val="231F20"/>
        </w:rPr>
        <w:t>lo</w:t>
      </w:r>
      <w:r>
        <w:rPr>
          <w:color w:val="231F20"/>
          <w:spacing w:val="-3"/>
        </w:rPr>
        <w:t> </w:t>
      </w:r>
      <w:r>
        <w:rPr>
          <w:color w:val="231F20"/>
        </w:rPr>
        <w:t>aporta el sector de traspatio. Como ha sucedido en otras ramas de la actividad económica, en la porcicultura las crisis han provocado una fuerte concen- tración de la producción (Pérez,</w:t>
      </w:r>
      <w:r>
        <w:rPr>
          <w:color w:val="231F20"/>
          <w:spacing w:val="-23"/>
        </w:rPr>
        <w:t> </w:t>
      </w:r>
      <w:r>
        <w:rPr>
          <w:color w:val="231F20"/>
        </w:rPr>
        <w:t>1999).</w:t>
      </w:r>
    </w:p>
    <w:p>
      <w:pPr>
        <w:pStyle w:val="BodyText"/>
        <w:spacing w:line="273" w:lineRule="auto"/>
        <w:ind w:left="113" w:right="111" w:firstLine="283"/>
        <w:jc w:val="both"/>
      </w:pPr>
      <w:r>
        <w:rPr>
          <w:color w:val="231F20"/>
        </w:rPr>
        <w:t>Por su parte, el estado de México no escapa a dicha caracterización de la</w:t>
      </w:r>
      <w:r>
        <w:rPr>
          <w:color w:val="231F20"/>
          <w:spacing w:val="-8"/>
        </w:rPr>
        <w:t> </w:t>
      </w:r>
      <w:r>
        <w:rPr>
          <w:color w:val="231F20"/>
        </w:rPr>
        <w:t>actividad</w:t>
      </w:r>
      <w:r>
        <w:rPr>
          <w:color w:val="231F20"/>
          <w:spacing w:val="-8"/>
        </w:rPr>
        <w:t> </w:t>
      </w:r>
      <w:r>
        <w:rPr>
          <w:color w:val="231F20"/>
        </w:rPr>
        <w:t>porcícola,</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su</w:t>
      </w:r>
      <w:r>
        <w:rPr>
          <w:color w:val="231F20"/>
          <w:spacing w:val="-8"/>
        </w:rPr>
        <w:t> </w:t>
      </w:r>
      <w:r>
        <w:rPr>
          <w:color w:val="231F20"/>
        </w:rPr>
        <w:t>sector</w:t>
      </w:r>
      <w:r>
        <w:rPr>
          <w:color w:val="231F20"/>
          <w:spacing w:val="-9"/>
        </w:rPr>
        <w:t> </w:t>
      </w:r>
      <w:r>
        <w:rPr>
          <w:color w:val="231F20"/>
        </w:rPr>
        <w:t>pecuario</w:t>
      </w:r>
      <w:r>
        <w:rPr>
          <w:color w:val="231F20"/>
          <w:spacing w:val="-8"/>
        </w:rPr>
        <w:t> </w:t>
      </w:r>
      <w:r>
        <w:rPr>
          <w:color w:val="231F20"/>
        </w:rPr>
        <w:t>en</w:t>
      </w:r>
      <w:r>
        <w:rPr>
          <w:color w:val="231F20"/>
          <w:spacing w:val="-8"/>
        </w:rPr>
        <w:t> </w:t>
      </w:r>
      <w:r>
        <w:rPr>
          <w:color w:val="231F20"/>
        </w:rPr>
        <w:t>general</w:t>
      </w:r>
      <w:r>
        <w:rPr>
          <w:color w:val="231F20"/>
          <w:spacing w:val="-8"/>
        </w:rPr>
        <w:t> </w:t>
      </w:r>
      <w:r>
        <w:rPr>
          <w:color w:val="231F20"/>
        </w:rPr>
        <w:t>se</w:t>
      </w:r>
      <w:r>
        <w:rPr>
          <w:color w:val="231F20"/>
          <w:spacing w:val="-8"/>
        </w:rPr>
        <w:t> </w:t>
      </w:r>
      <w:r>
        <w:rPr>
          <w:color w:val="231F20"/>
        </w:rPr>
        <w:t>desarrolla</w:t>
      </w:r>
      <w:r>
        <w:rPr>
          <w:color w:val="231F20"/>
          <w:spacing w:val="-8"/>
        </w:rPr>
        <w:t> </w:t>
      </w:r>
      <w:r>
        <w:rPr>
          <w:color w:val="231F20"/>
        </w:rPr>
        <w:t>de manera intensiva y extensiva; el primero está determinado por el equipa- miento dedicado a este fin y se identifica con las unidades de producción como</w:t>
      </w:r>
      <w:r>
        <w:rPr>
          <w:color w:val="231F20"/>
          <w:spacing w:val="-7"/>
        </w:rPr>
        <w:t> </w:t>
      </w:r>
      <w:r>
        <w:rPr>
          <w:color w:val="231F20"/>
        </w:rPr>
        <w:t>granjas,</w:t>
      </w:r>
      <w:r>
        <w:rPr>
          <w:color w:val="231F20"/>
          <w:spacing w:val="-7"/>
        </w:rPr>
        <w:t> </w:t>
      </w:r>
      <w:r>
        <w:rPr>
          <w:color w:val="231F20"/>
        </w:rPr>
        <w:t>establos,</w:t>
      </w:r>
      <w:r>
        <w:rPr>
          <w:color w:val="231F20"/>
          <w:spacing w:val="-7"/>
        </w:rPr>
        <w:t> </w:t>
      </w:r>
      <w:r>
        <w:rPr>
          <w:color w:val="231F20"/>
        </w:rPr>
        <w:t>haciendas</w:t>
      </w:r>
      <w:r>
        <w:rPr>
          <w:color w:val="231F20"/>
          <w:spacing w:val="-7"/>
        </w:rPr>
        <w:t> </w:t>
      </w:r>
      <w:r>
        <w:rPr>
          <w:color w:val="231F20"/>
        </w:rPr>
        <w:t>y</w:t>
      </w:r>
      <w:r>
        <w:rPr>
          <w:color w:val="231F20"/>
          <w:spacing w:val="-7"/>
        </w:rPr>
        <w:t> </w:t>
      </w:r>
      <w:r>
        <w:rPr>
          <w:color w:val="231F20"/>
        </w:rPr>
        <w:t>ranchos,</w:t>
      </w:r>
      <w:r>
        <w:rPr>
          <w:color w:val="231F20"/>
          <w:spacing w:val="-7"/>
        </w:rPr>
        <w:t> </w:t>
      </w:r>
      <w:r>
        <w:rPr>
          <w:color w:val="231F20"/>
        </w:rPr>
        <w:t>mientras</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uso</w:t>
      </w:r>
      <w:r>
        <w:rPr>
          <w:color w:val="231F20"/>
          <w:spacing w:val="-7"/>
        </w:rPr>
        <w:t> </w:t>
      </w:r>
      <w:r>
        <w:rPr>
          <w:color w:val="231F20"/>
        </w:rPr>
        <w:t>extensivo está condicionado por las especies naturales de cada región como las gra- míneas y las leguminosas principalmente; estas condiciones se dan en el suroeste</w:t>
      </w:r>
      <w:r>
        <w:rPr>
          <w:color w:val="231F20"/>
          <w:spacing w:val="-3"/>
        </w:rPr>
        <w:t> </w:t>
      </w:r>
      <w:r>
        <w:rPr>
          <w:color w:val="231F20"/>
        </w:rPr>
        <w:t>del</w:t>
      </w:r>
      <w:r>
        <w:rPr>
          <w:color w:val="231F20"/>
          <w:spacing w:val="-3"/>
        </w:rPr>
        <w:t> </w:t>
      </w:r>
      <w:r>
        <w:rPr>
          <w:color w:val="231F20"/>
        </w:rPr>
        <w:t>estado</w:t>
      </w:r>
      <w:r>
        <w:rPr>
          <w:color w:val="231F20"/>
          <w:spacing w:val="-3"/>
        </w:rPr>
        <w:t> </w:t>
      </w:r>
      <w:r>
        <w:rPr>
          <w:color w:val="231F20"/>
        </w:rPr>
        <w:t>donde</w:t>
      </w:r>
      <w:r>
        <w:rPr>
          <w:color w:val="231F20"/>
          <w:spacing w:val="-4"/>
        </w:rPr>
        <w:t> </w:t>
      </w:r>
      <w:r>
        <w:rPr>
          <w:color w:val="231F20"/>
        </w:rPr>
        <w:t>las</w:t>
      </w:r>
      <w:r>
        <w:rPr>
          <w:color w:val="231F20"/>
          <w:spacing w:val="-3"/>
        </w:rPr>
        <w:t> </w:t>
      </w:r>
      <w:r>
        <w:rPr>
          <w:color w:val="231F20"/>
        </w:rPr>
        <w:t>engordas</w:t>
      </w:r>
      <w:r>
        <w:rPr>
          <w:color w:val="231F20"/>
          <w:spacing w:val="-3"/>
        </w:rPr>
        <w:t> </w:t>
      </w:r>
      <w:r>
        <w:rPr>
          <w:color w:val="231F20"/>
        </w:rPr>
        <w:t>de</w:t>
      </w:r>
      <w:r>
        <w:rPr>
          <w:color w:val="231F20"/>
          <w:spacing w:val="-3"/>
        </w:rPr>
        <w:t> </w:t>
      </w:r>
      <w:r>
        <w:rPr>
          <w:color w:val="231F20"/>
        </w:rPr>
        <w:t>ganado</w:t>
      </w:r>
      <w:r>
        <w:rPr>
          <w:color w:val="231F20"/>
          <w:spacing w:val="-3"/>
        </w:rPr>
        <w:t> </w:t>
      </w:r>
      <w:r>
        <w:rPr>
          <w:color w:val="231F20"/>
        </w:rPr>
        <w:t>vacuno</w:t>
      </w:r>
      <w:r>
        <w:rPr>
          <w:color w:val="231F20"/>
          <w:spacing w:val="-3"/>
        </w:rPr>
        <w:t> </w:t>
      </w:r>
      <w:r>
        <w:rPr>
          <w:color w:val="231F20"/>
        </w:rPr>
        <w:t>por</w:t>
      </w:r>
      <w:r>
        <w:rPr>
          <w:color w:val="231F20"/>
          <w:spacing w:val="-3"/>
        </w:rPr>
        <w:t> </w:t>
      </w:r>
      <w:r>
        <w:rPr>
          <w:color w:val="231F20"/>
        </w:rPr>
        <w:t>ramoneo</w:t>
      </w:r>
      <w:r>
        <w:rPr>
          <w:color w:val="231F20"/>
          <w:spacing w:val="-3"/>
        </w:rPr>
        <w:t> </w:t>
      </w:r>
      <w:r>
        <w:rPr>
          <w:color w:val="231F20"/>
        </w:rPr>
        <w:t>es el</w:t>
      </w:r>
      <w:r>
        <w:rPr>
          <w:color w:val="231F20"/>
          <w:spacing w:val="-9"/>
        </w:rPr>
        <w:t> </w:t>
      </w:r>
      <w:r>
        <w:rPr>
          <w:color w:val="231F20"/>
        </w:rPr>
        <w:t>principal</w:t>
      </w:r>
      <w:r>
        <w:rPr>
          <w:color w:val="231F20"/>
          <w:spacing w:val="-9"/>
        </w:rPr>
        <w:t> </w:t>
      </w:r>
      <w:r>
        <w:rPr>
          <w:color w:val="231F20"/>
        </w:rPr>
        <w:t>ingreso</w:t>
      </w:r>
      <w:r>
        <w:rPr>
          <w:color w:val="231F20"/>
          <w:spacing w:val="-9"/>
        </w:rPr>
        <w:t> </w:t>
      </w:r>
      <w:r>
        <w:rPr>
          <w:color w:val="231F20"/>
        </w:rPr>
        <w:t>económico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rPr>
        <w:t>mientras</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porcicultura</w:t>
      </w:r>
      <w:r>
        <w:rPr>
          <w:color w:val="231F20"/>
          <w:spacing w:val="-9"/>
        </w:rPr>
        <w:t> </w:t>
      </w:r>
      <w:r>
        <w:rPr>
          <w:color w:val="231F20"/>
        </w:rPr>
        <w:t>se desarrolla</w:t>
      </w:r>
      <w:r>
        <w:rPr>
          <w:color w:val="231F20"/>
          <w:spacing w:val="-12"/>
        </w:rPr>
        <w:t> </w:t>
      </w:r>
      <w:r>
        <w:rPr>
          <w:color w:val="231F20"/>
        </w:rPr>
        <w:t>de</w:t>
      </w:r>
      <w:r>
        <w:rPr>
          <w:color w:val="231F20"/>
          <w:spacing w:val="-11"/>
        </w:rPr>
        <w:t> </w:t>
      </w:r>
      <w:r>
        <w:rPr>
          <w:color w:val="231F20"/>
        </w:rPr>
        <w:t>manera</w:t>
      </w:r>
      <w:r>
        <w:rPr>
          <w:color w:val="231F20"/>
          <w:spacing w:val="-11"/>
        </w:rPr>
        <w:t> </w:t>
      </w:r>
      <w:r>
        <w:rPr>
          <w:color w:val="231F20"/>
        </w:rPr>
        <w:t>extensiva</w:t>
      </w:r>
      <w:r>
        <w:rPr>
          <w:color w:val="231F20"/>
          <w:spacing w:val="-11"/>
        </w:rPr>
        <w:t> </w:t>
      </w:r>
      <w:r>
        <w:rPr>
          <w:color w:val="231F20"/>
        </w:rPr>
        <w:t>y/o</w:t>
      </w:r>
      <w:r>
        <w:rPr>
          <w:color w:val="231F20"/>
          <w:spacing w:val="-11"/>
        </w:rPr>
        <w:t> </w:t>
      </w:r>
      <w:r>
        <w:rPr>
          <w:color w:val="231F20"/>
        </w:rPr>
        <w:t>de</w:t>
      </w:r>
      <w:r>
        <w:rPr>
          <w:color w:val="231F20"/>
          <w:spacing w:val="-11"/>
        </w:rPr>
        <w:t> </w:t>
      </w:r>
      <w:r>
        <w:rPr>
          <w:color w:val="231F20"/>
        </w:rPr>
        <w:t>traspatio,</w:t>
      </w:r>
      <w:r>
        <w:rPr>
          <w:color w:val="231F20"/>
          <w:spacing w:val="-10"/>
        </w:rPr>
        <w:t> </w:t>
      </w:r>
      <w:r>
        <w:rPr>
          <w:color w:val="231F20"/>
        </w:rPr>
        <w:t>representando</w:t>
      </w:r>
      <w:r>
        <w:rPr>
          <w:color w:val="231F20"/>
          <w:spacing w:val="-12"/>
        </w:rPr>
        <w:t> </w:t>
      </w:r>
      <w:r>
        <w:rPr>
          <w:color w:val="231F20"/>
        </w:rPr>
        <w:t>un</w:t>
      </w:r>
      <w:r>
        <w:rPr>
          <w:color w:val="231F20"/>
          <w:spacing w:val="-11"/>
        </w:rPr>
        <w:t> </w:t>
      </w:r>
      <w:r>
        <w:rPr>
          <w:color w:val="231F20"/>
        </w:rPr>
        <w:t>ingreso adicional</w:t>
      </w:r>
      <w:r>
        <w:rPr>
          <w:color w:val="231F20"/>
          <w:spacing w:val="-5"/>
        </w:rPr>
        <w:t> </w:t>
      </w:r>
      <w:r>
        <w:rPr>
          <w:color w:val="231F20"/>
        </w:rPr>
        <w:t>y</w:t>
      </w:r>
      <w:r>
        <w:rPr>
          <w:color w:val="231F20"/>
          <w:spacing w:val="-6"/>
        </w:rPr>
        <w:t> </w:t>
      </w:r>
      <w:r>
        <w:rPr>
          <w:color w:val="231F20"/>
        </w:rPr>
        <w:t>de</w:t>
      </w:r>
      <w:r>
        <w:rPr>
          <w:color w:val="231F20"/>
          <w:spacing w:val="-6"/>
        </w:rPr>
        <w:t> </w:t>
      </w:r>
      <w:r>
        <w:rPr>
          <w:color w:val="231F20"/>
        </w:rPr>
        <w:t>subsistencia</w:t>
      </w:r>
      <w:r>
        <w:rPr>
          <w:color w:val="231F20"/>
          <w:spacing w:val="-6"/>
        </w:rPr>
        <w:t> </w:t>
      </w:r>
      <w:r>
        <w:rPr>
          <w:color w:val="231F20"/>
        </w:rPr>
        <w:t>muy</w:t>
      </w:r>
      <w:r>
        <w:rPr>
          <w:color w:val="231F20"/>
          <w:spacing w:val="-6"/>
        </w:rPr>
        <w:t> </w:t>
      </w:r>
      <w:r>
        <w:rPr>
          <w:color w:val="231F20"/>
        </w:rPr>
        <w:t>importante</w:t>
      </w:r>
      <w:r>
        <w:rPr>
          <w:color w:val="231F20"/>
          <w:spacing w:val="-5"/>
        </w:rPr>
        <w:t> </w:t>
      </w:r>
      <w:r>
        <w:rPr>
          <w:color w:val="231F20"/>
        </w:rPr>
        <w:t>para</w:t>
      </w:r>
      <w:r>
        <w:rPr>
          <w:color w:val="231F20"/>
          <w:spacing w:val="-6"/>
        </w:rPr>
        <w:t> </w:t>
      </w:r>
      <w:r>
        <w:rPr>
          <w:color w:val="231F20"/>
        </w:rPr>
        <w:t>las</w:t>
      </w:r>
      <w:r>
        <w:rPr>
          <w:color w:val="231F20"/>
          <w:spacing w:val="-5"/>
        </w:rPr>
        <w:t> </w:t>
      </w:r>
      <w:r>
        <w:rPr>
          <w:color w:val="231F20"/>
        </w:rPr>
        <w:t>familias.</w:t>
      </w:r>
    </w:p>
    <w:p>
      <w:pPr>
        <w:spacing w:after="0" w:line="273" w:lineRule="auto"/>
        <w:jc w:val="both"/>
        <w:sectPr>
          <w:pgSz w:w="7940" w:h="11910"/>
          <w:pgMar w:header="0" w:footer="469" w:top="480" w:bottom="660" w:left="1020" w:right="1020"/>
        </w:sectPr>
      </w:pPr>
    </w:p>
    <w:p>
      <w:pPr>
        <w:spacing w:before="50"/>
        <w:ind w:left="1227" w:right="102" w:firstLine="0"/>
        <w:jc w:val="left"/>
        <w:rPr>
          <w:sz w:val="14"/>
        </w:rPr>
      </w:pPr>
      <w:r>
        <w:rPr>
          <w:color w:val="231F20"/>
          <w:sz w:val="18"/>
        </w:rPr>
        <w:t>L</w:t>
      </w:r>
      <w:r>
        <w:rPr>
          <w:color w:val="231F20"/>
          <w:sz w:val="14"/>
        </w:rPr>
        <w:t>A PORCICULTURA EN EL SUR DEL </w:t>
      </w:r>
      <w:r>
        <w:rPr>
          <w:color w:val="231F20"/>
          <w:sz w:val="18"/>
        </w:rPr>
        <w:t>E</w:t>
      </w:r>
      <w:r>
        <w:rPr>
          <w:color w:val="231F20"/>
          <w:sz w:val="14"/>
        </w:rPr>
        <w:t>STADO DE </w:t>
      </w:r>
      <w:r>
        <w:rPr>
          <w:color w:val="231F20"/>
          <w:sz w:val="18"/>
        </w:rPr>
        <w:t>M</w:t>
      </w:r>
      <w:r>
        <w:rPr>
          <w:color w:val="231F20"/>
          <w:sz w:val="14"/>
        </w:rPr>
        <w:t>ÉXICO</w:t>
      </w:r>
    </w:p>
    <w:p>
      <w:pPr>
        <w:pStyle w:val="BodyText"/>
        <w:spacing w:before="3"/>
        <w:rPr>
          <w:sz w:val="22"/>
        </w:rPr>
      </w:pPr>
    </w:p>
    <w:p>
      <w:pPr>
        <w:pStyle w:val="BodyText"/>
        <w:spacing w:line="273" w:lineRule="auto" w:before="75"/>
        <w:ind w:left="113" w:right="111" w:firstLine="283"/>
        <w:jc w:val="both"/>
      </w:pPr>
      <w:r>
        <w:rPr>
          <w:color w:val="231F20"/>
        </w:rPr>
        <w:t>De</w:t>
      </w:r>
      <w:r>
        <w:rPr>
          <w:color w:val="231F20"/>
          <w:spacing w:val="-3"/>
        </w:rPr>
        <w:t> </w:t>
      </w:r>
      <w:r>
        <w:rPr>
          <w:color w:val="231F20"/>
        </w:rPr>
        <w:t>esta</w:t>
      </w:r>
      <w:r>
        <w:rPr>
          <w:color w:val="231F20"/>
          <w:spacing w:val="-3"/>
        </w:rPr>
        <w:t> </w:t>
      </w:r>
      <w:r>
        <w:rPr>
          <w:color w:val="231F20"/>
        </w:rPr>
        <w:t>manera,</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municipio</w:t>
      </w:r>
      <w:r>
        <w:rPr>
          <w:color w:val="231F20"/>
          <w:spacing w:val="-3"/>
        </w:rPr>
        <w:t> </w:t>
      </w:r>
      <w:r>
        <w:rPr>
          <w:color w:val="231F20"/>
        </w:rPr>
        <w:t>de</w:t>
      </w:r>
      <w:r>
        <w:rPr>
          <w:color w:val="231F20"/>
          <w:spacing w:val="-3"/>
        </w:rPr>
        <w:t> </w:t>
      </w:r>
      <w:r>
        <w:rPr>
          <w:color w:val="231F20"/>
        </w:rPr>
        <w:t>Tejupilco,</w:t>
      </w:r>
      <w:r>
        <w:rPr>
          <w:color w:val="231F20"/>
          <w:spacing w:val="-3"/>
        </w:rPr>
        <w:t> </w:t>
      </w:r>
      <w:r>
        <w:rPr>
          <w:color w:val="231F20"/>
        </w:rPr>
        <w:t>el</w:t>
      </w:r>
      <w:r>
        <w:rPr>
          <w:color w:val="231F20"/>
          <w:spacing w:val="-3"/>
        </w:rPr>
        <w:t> </w:t>
      </w:r>
      <w:r>
        <w:rPr>
          <w:color w:val="231F20"/>
        </w:rPr>
        <w:t>cual</w:t>
      </w:r>
      <w:r>
        <w:rPr>
          <w:color w:val="231F20"/>
          <w:spacing w:val="-3"/>
        </w:rPr>
        <w:t> </w:t>
      </w:r>
      <w:r>
        <w:rPr>
          <w:color w:val="231F20"/>
        </w:rPr>
        <w:t>en</w:t>
      </w:r>
      <w:r>
        <w:rPr>
          <w:color w:val="231F20"/>
          <w:spacing w:val="-3"/>
        </w:rPr>
        <w:t> </w:t>
      </w:r>
      <w:r>
        <w:rPr>
          <w:color w:val="231F20"/>
        </w:rPr>
        <w:t>adición</w:t>
      </w:r>
      <w:r>
        <w:rPr>
          <w:color w:val="231F20"/>
          <w:spacing w:val="-3"/>
        </w:rPr>
        <w:t> </w:t>
      </w:r>
      <w:r>
        <w:rPr>
          <w:color w:val="231F20"/>
        </w:rPr>
        <w:t>con</w:t>
      </w:r>
      <w:r>
        <w:rPr>
          <w:color w:val="231F20"/>
          <w:spacing w:val="-3"/>
        </w:rPr>
        <w:t> </w:t>
      </w:r>
      <w:r>
        <w:rPr>
          <w:color w:val="231F20"/>
        </w:rPr>
        <w:t>los municipios de Amatepec, San Simón de Guerrero, Temascaltepec, Tlatlaya y Luvianos conforman el Distrito de Desarrollo Rural (</w:t>
      </w:r>
      <w:r>
        <w:rPr>
          <w:color w:val="231F20"/>
          <w:sz w:val="16"/>
        </w:rPr>
        <w:t>DDR</w:t>
      </w:r>
      <w:r>
        <w:rPr>
          <w:color w:val="231F20"/>
        </w:rPr>
        <w:t>) número seis, la agricultura es la actividad más importante al emplear 93,586 hectáreas, de éstas un 56% es destinada a la producción agrícola ocupando un total de 52,775 hectáreas, predominando como principales cultivos el maíz, fri- jol, aguacate y durazno; el 38% se destina a la producción pecuaria (con un total de 28,055 hectáreas) principalmente en la explotación de ganado porcino, caprino, ovino y aves; la explotación forestal representa un 2% y cuenta</w:t>
      </w:r>
      <w:r>
        <w:rPr>
          <w:color w:val="231F20"/>
          <w:spacing w:val="-5"/>
        </w:rPr>
        <w:t> </w:t>
      </w:r>
      <w:r>
        <w:rPr>
          <w:color w:val="231F20"/>
        </w:rPr>
        <w:t>con</w:t>
      </w:r>
      <w:r>
        <w:rPr>
          <w:color w:val="231F20"/>
          <w:spacing w:val="-5"/>
        </w:rPr>
        <w:t> </w:t>
      </w:r>
      <w:r>
        <w:rPr>
          <w:color w:val="231F20"/>
        </w:rPr>
        <w:t>1,618</w:t>
      </w:r>
      <w:r>
        <w:rPr>
          <w:color w:val="231F20"/>
          <w:spacing w:val="-6"/>
        </w:rPr>
        <w:t> </w:t>
      </w:r>
      <w:r>
        <w:rPr>
          <w:color w:val="231F20"/>
        </w:rPr>
        <w:t>hectáreas</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resto</w:t>
      </w:r>
      <w:r>
        <w:rPr>
          <w:color w:val="231F20"/>
          <w:spacing w:val="-5"/>
        </w:rPr>
        <w:t> </w:t>
      </w:r>
      <w:r>
        <w:rPr>
          <w:color w:val="231F20"/>
        </w:rPr>
        <w:t>es</w:t>
      </w:r>
      <w:r>
        <w:rPr>
          <w:color w:val="231F20"/>
          <w:spacing w:val="-5"/>
        </w:rPr>
        <w:t> </w:t>
      </w:r>
      <w:r>
        <w:rPr>
          <w:color w:val="231F20"/>
        </w:rPr>
        <w:t>ocupado</w:t>
      </w:r>
      <w:r>
        <w:rPr>
          <w:color w:val="231F20"/>
          <w:spacing w:val="-6"/>
        </w:rPr>
        <w:t> </w:t>
      </w:r>
      <w:r>
        <w:rPr>
          <w:color w:val="231F20"/>
        </w:rPr>
        <w:t>para</w:t>
      </w:r>
      <w:r>
        <w:rPr>
          <w:color w:val="231F20"/>
          <w:spacing w:val="-5"/>
        </w:rPr>
        <w:t> </w:t>
      </w:r>
      <w:r>
        <w:rPr>
          <w:color w:val="231F20"/>
        </w:rPr>
        <w:t>realizar</w:t>
      </w:r>
      <w:r>
        <w:rPr>
          <w:color w:val="231F20"/>
          <w:spacing w:val="-6"/>
        </w:rPr>
        <w:t> </w:t>
      </w:r>
      <w:r>
        <w:rPr>
          <w:color w:val="231F20"/>
        </w:rPr>
        <w:t>otras</w:t>
      </w:r>
      <w:r>
        <w:rPr>
          <w:color w:val="231F20"/>
          <w:spacing w:val="-5"/>
        </w:rPr>
        <w:t> </w:t>
      </w:r>
      <w:r>
        <w:rPr>
          <w:color w:val="231F20"/>
        </w:rPr>
        <w:t>activi- dades</w:t>
      </w:r>
      <w:r>
        <w:rPr>
          <w:color w:val="231F20"/>
          <w:spacing w:val="-9"/>
        </w:rPr>
        <w:t> </w:t>
      </w:r>
      <w:r>
        <w:rPr>
          <w:color w:val="231F20"/>
        </w:rPr>
        <w:t>(SAGARPA-Delegación</w:t>
      </w:r>
      <w:r>
        <w:rPr>
          <w:color w:val="231F20"/>
          <w:spacing w:val="-8"/>
        </w:rPr>
        <w:t> </w:t>
      </w:r>
      <w:r>
        <w:rPr>
          <w:color w:val="231F20"/>
        </w:rPr>
        <w:t>estado</w:t>
      </w:r>
      <w:r>
        <w:rPr>
          <w:color w:val="231F20"/>
          <w:spacing w:val="-9"/>
        </w:rPr>
        <w:t> </w:t>
      </w:r>
      <w:r>
        <w:rPr>
          <w:color w:val="231F20"/>
        </w:rPr>
        <w:t>de</w:t>
      </w:r>
      <w:r>
        <w:rPr>
          <w:color w:val="231F20"/>
          <w:spacing w:val="-9"/>
        </w:rPr>
        <w:t> </w:t>
      </w:r>
      <w:r>
        <w:rPr>
          <w:color w:val="231F20"/>
        </w:rPr>
        <w:t>México,</w:t>
      </w:r>
      <w:r>
        <w:rPr>
          <w:color w:val="231F20"/>
          <w:spacing w:val="-8"/>
        </w:rPr>
        <w:t> </w:t>
      </w:r>
      <w:r>
        <w:rPr>
          <w:color w:val="231F20"/>
        </w:rPr>
        <w:t>2006).</w:t>
      </w:r>
    </w:p>
    <w:p>
      <w:pPr>
        <w:pStyle w:val="BodyText"/>
      </w:pPr>
    </w:p>
    <w:p>
      <w:pPr>
        <w:pStyle w:val="Heading4"/>
      </w:pPr>
      <w:r>
        <w:rPr>
          <w:color w:val="231F20"/>
        </w:rPr>
        <w:t>Planteamiento del problema</w:t>
      </w:r>
    </w:p>
    <w:p>
      <w:pPr>
        <w:pStyle w:val="BodyText"/>
        <w:spacing w:line="273" w:lineRule="auto" w:before="185"/>
        <w:ind w:left="113" w:right="111"/>
        <w:jc w:val="both"/>
      </w:pPr>
      <w:r>
        <w:rPr>
          <w:color w:val="231F20"/>
        </w:rPr>
        <w:t>Si bien en México el sector social de la producción, integrado por ejida- tarios y comuneros, es muy importante, la porcicultura especializada se concentra en el sector privado, el cual detenta el 94% de la piara en uni- dades</w:t>
      </w:r>
      <w:r>
        <w:rPr>
          <w:color w:val="231F20"/>
          <w:spacing w:val="-5"/>
        </w:rPr>
        <w:t> </w:t>
      </w:r>
      <w:r>
        <w:rPr>
          <w:color w:val="231F20"/>
        </w:rPr>
        <w:t>de</w:t>
      </w:r>
      <w:r>
        <w:rPr>
          <w:color w:val="231F20"/>
          <w:spacing w:val="-4"/>
        </w:rPr>
        <w:t> </w:t>
      </w:r>
      <w:r>
        <w:rPr>
          <w:color w:val="231F20"/>
        </w:rPr>
        <w:t>producción</w:t>
      </w:r>
      <w:r>
        <w:rPr>
          <w:color w:val="231F20"/>
          <w:spacing w:val="-5"/>
        </w:rPr>
        <w:t> </w:t>
      </w:r>
      <w:r>
        <w:rPr>
          <w:color w:val="231F20"/>
        </w:rPr>
        <w:t>de</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mil</w:t>
      </w:r>
      <w:r>
        <w:rPr>
          <w:color w:val="231F20"/>
          <w:spacing w:val="-4"/>
        </w:rPr>
        <w:t> </w:t>
      </w:r>
      <w:r>
        <w:rPr>
          <w:color w:val="231F20"/>
        </w:rPr>
        <w:t>cabezas</w:t>
      </w:r>
      <w:r>
        <w:rPr>
          <w:color w:val="231F20"/>
          <w:spacing w:val="-4"/>
        </w:rPr>
        <w:t> </w:t>
      </w:r>
      <w:r>
        <w:rPr>
          <w:color w:val="231F20"/>
        </w:rPr>
        <w:t>(Pérez,</w:t>
      </w:r>
      <w:r>
        <w:rPr>
          <w:color w:val="231F20"/>
          <w:spacing w:val="-4"/>
        </w:rPr>
        <w:t> </w:t>
      </w:r>
      <w:r>
        <w:rPr>
          <w:color w:val="231F20"/>
        </w:rPr>
        <w:t>1999).</w:t>
      </w:r>
      <w:r>
        <w:rPr>
          <w:color w:val="231F20"/>
          <w:spacing w:val="-5"/>
        </w:rPr>
        <w:t> </w:t>
      </w:r>
      <w:r>
        <w:rPr>
          <w:color w:val="231F20"/>
        </w:rPr>
        <w:t>En</w:t>
      </w:r>
      <w:r>
        <w:rPr>
          <w:color w:val="231F20"/>
          <w:spacing w:val="-4"/>
        </w:rPr>
        <w:t> </w:t>
      </w:r>
      <w:r>
        <w:rPr>
          <w:color w:val="231F20"/>
        </w:rPr>
        <w:t>este</w:t>
      </w:r>
      <w:r>
        <w:rPr>
          <w:color w:val="231F20"/>
          <w:spacing w:val="-4"/>
        </w:rPr>
        <w:t> </w:t>
      </w:r>
      <w:r>
        <w:rPr>
          <w:color w:val="231F20"/>
        </w:rPr>
        <w:t>sentido, resulta importante estudiar la problemática de comercialización existente en los sistemas de producción semiespecializados y de traspatio, los cua- les representan una fuente importante de ingreso y subsistencia para las familias de escasos recursos. Específicamente se analizará la situación</w:t>
      </w:r>
      <w:r>
        <w:rPr>
          <w:color w:val="231F20"/>
          <w:spacing w:val="-26"/>
        </w:rPr>
        <w:t> </w:t>
      </w:r>
      <w:r>
        <w:rPr>
          <w:color w:val="231F20"/>
        </w:rPr>
        <w:t>que guarda</w:t>
      </w:r>
      <w:r>
        <w:rPr>
          <w:color w:val="231F20"/>
          <w:spacing w:val="-7"/>
        </w:rPr>
        <w:t> </w:t>
      </w:r>
      <w:r>
        <w:rPr>
          <w:color w:val="231F20"/>
        </w:rPr>
        <w:t>la</w:t>
      </w:r>
      <w:r>
        <w:rPr>
          <w:color w:val="231F20"/>
          <w:spacing w:val="-7"/>
        </w:rPr>
        <w:t> </w:t>
      </w:r>
      <w:r>
        <w:rPr>
          <w:color w:val="231F20"/>
        </w:rPr>
        <w:t>comercialización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carne</w:t>
      </w:r>
      <w:r>
        <w:rPr>
          <w:color w:val="231F20"/>
          <w:spacing w:val="-7"/>
        </w:rPr>
        <w:t> </w:t>
      </w:r>
      <w:r>
        <w:rPr>
          <w:color w:val="231F20"/>
        </w:rPr>
        <w:t>de</w:t>
      </w:r>
      <w:r>
        <w:rPr>
          <w:color w:val="231F20"/>
          <w:spacing w:val="-7"/>
        </w:rPr>
        <w:t> </w:t>
      </w:r>
      <w:r>
        <w:rPr>
          <w:color w:val="231F20"/>
        </w:rPr>
        <w:t>cerdo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Sur</w:t>
      </w:r>
      <w:r>
        <w:rPr>
          <w:color w:val="231F20"/>
          <w:spacing w:val="-7"/>
        </w:rPr>
        <w:t> </w:t>
      </w:r>
      <w:r>
        <w:rPr>
          <w:color w:val="231F20"/>
        </w:rPr>
        <w:t>del</w:t>
      </w:r>
      <w:r>
        <w:rPr>
          <w:color w:val="231F20"/>
          <w:spacing w:val="-7"/>
        </w:rPr>
        <w:t> </w:t>
      </w:r>
      <w:r>
        <w:rPr>
          <w:color w:val="231F20"/>
        </w:rPr>
        <w:t>Estado</w:t>
      </w:r>
      <w:r>
        <w:rPr>
          <w:color w:val="231F20"/>
          <w:spacing w:val="-6"/>
        </w:rPr>
        <w:t> </w:t>
      </w:r>
      <w:r>
        <w:rPr>
          <w:color w:val="231F20"/>
        </w:rPr>
        <w:t>de</w:t>
      </w:r>
      <w:r>
        <w:rPr>
          <w:color w:val="231F20"/>
          <w:spacing w:val="-7"/>
        </w:rPr>
        <w:t> </w:t>
      </w:r>
      <w:r>
        <w:rPr>
          <w:color w:val="231F20"/>
        </w:rPr>
        <w:t>Mé- xico</w:t>
      </w:r>
      <w:r>
        <w:rPr>
          <w:color w:val="231F20"/>
          <w:spacing w:val="-9"/>
        </w:rPr>
        <w:t> </w:t>
      </w:r>
      <w:r>
        <w:rPr>
          <w:color w:val="231F20"/>
        </w:rPr>
        <w:t>y</w:t>
      </w:r>
      <w:r>
        <w:rPr>
          <w:color w:val="231F20"/>
          <w:spacing w:val="-10"/>
        </w:rPr>
        <w:t> </w:t>
      </w:r>
      <w:r>
        <w:rPr>
          <w:color w:val="231F20"/>
        </w:rPr>
        <w:t>el</w:t>
      </w:r>
      <w:r>
        <w:rPr>
          <w:color w:val="231F20"/>
          <w:spacing w:val="-10"/>
        </w:rPr>
        <w:t> </w:t>
      </w:r>
      <w:r>
        <w:rPr>
          <w:color w:val="231F20"/>
        </w:rPr>
        <w:t>impacto</w:t>
      </w:r>
      <w:r>
        <w:rPr>
          <w:color w:val="231F20"/>
          <w:spacing w:val="-10"/>
        </w:rPr>
        <w:t> </w:t>
      </w:r>
      <w:r>
        <w:rPr>
          <w:color w:val="231F20"/>
        </w:rPr>
        <w:t>económico</w:t>
      </w:r>
      <w:r>
        <w:rPr>
          <w:color w:val="231F20"/>
          <w:spacing w:val="-10"/>
        </w:rPr>
        <w:t> </w:t>
      </w:r>
      <w:r>
        <w:rPr>
          <w:color w:val="231F20"/>
        </w:rPr>
        <w:t>de</w:t>
      </w:r>
      <w:r>
        <w:rPr>
          <w:color w:val="231F20"/>
          <w:spacing w:val="-10"/>
        </w:rPr>
        <w:t> </w:t>
      </w:r>
      <w:r>
        <w:rPr>
          <w:color w:val="231F20"/>
        </w:rPr>
        <w:t>ésta</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diferentes</w:t>
      </w:r>
      <w:r>
        <w:rPr>
          <w:color w:val="231F20"/>
          <w:spacing w:val="-10"/>
        </w:rPr>
        <w:t> </w:t>
      </w:r>
      <w:r>
        <w:rPr>
          <w:color w:val="231F20"/>
        </w:rPr>
        <w:t>actores</w:t>
      </w:r>
      <w:r>
        <w:rPr>
          <w:color w:val="231F20"/>
          <w:spacing w:val="-10"/>
        </w:rPr>
        <w:t> </w:t>
      </w:r>
      <w:r>
        <w:rPr>
          <w:color w:val="231F20"/>
        </w:rPr>
        <w:t>participantes.</w:t>
      </w:r>
    </w:p>
    <w:p>
      <w:pPr>
        <w:pStyle w:val="BodyText"/>
      </w:pPr>
    </w:p>
    <w:p>
      <w:pPr>
        <w:pStyle w:val="Heading4"/>
      </w:pPr>
      <w:r>
        <w:rPr>
          <w:color w:val="231F20"/>
        </w:rPr>
        <w:t>CONSIDERACIONES TEÓRICAS</w:t>
      </w:r>
    </w:p>
    <w:p>
      <w:pPr>
        <w:pStyle w:val="BodyText"/>
        <w:spacing w:before="185"/>
        <w:ind w:left="113"/>
        <w:jc w:val="both"/>
      </w:pPr>
      <w:r>
        <w:rPr>
          <w:color w:val="231F20"/>
        </w:rPr>
        <w:t>En el siguiente apartado se presentan algunas consideraciones teóricas</w:t>
      </w:r>
    </w:p>
    <w:p>
      <w:pPr>
        <w:pStyle w:val="BodyText"/>
        <w:spacing w:before="29"/>
        <w:ind w:left="113"/>
        <w:jc w:val="both"/>
      </w:pPr>
      <w:r>
        <w:rPr>
          <w:color w:val="231F20"/>
        </w:rPr>
        <w:t>con el fin de tener una mejor comprensión del presente trabajo.</w:t>
      </w:r>
    </w:p>
    <w:p>
      <w:pPr>
        <w:pStyle w:val="BodyText"/>
      </w:pPr>
    </w:p>
    <w:p>
      <w:pPr>
        <w:pStyle w:val="Heading4"/>
        <w:spacing w:before="151"/>
        <w:ind w:left="83" w:right="83"/>
      </w:pPr>
      <w:r>
        <w:rPr>
          <w:color w:val="231F20"/>
        </w:rPr>
        <w:t>El proceso de la comercialización agropecuaria</w:t>
      </w:r>
    </w:p>
    <w:p>
      <w:pPr>
        <w:pStyle w:val="BodyText"/>
        <w:spacing w:line="273" w:lineRule="auto" w:before="185"/>
        <w:ind w:left="113" w:right="111"/>
        <w:jc w:val="both"/>
      </w:pPr>
      <w:r>
        <w:rPr>
          <w:color w:val="231F20"/>
        </w:rPr>
        <w:t>Para analizar el proceso de comercialización en el sector agropecuario re- sulta</w:t>
      </w:r>
      <w:r>
        <w:rPr>
          <w:color w:val="231F20"/>
          <w:spacing w:val="-6"/>
        </w:rPr>
        <w:t> </w:t>
      </w:r>
      <w:r>
        <w:rPr>
          <w:color w:val="231F20"/>
        </w:rPr>
        <w:t>indispensable</w:t>
      </w:r>
      <w:r>
        <w:rPr>
          <w:color w:val="231F20"/>
          <w:spacing w:val="-6"/>
        </w:rPr>
        <w:t> </w:t>
      </w:r>
      <w:r>
        <w:rPr>
          <w:color w:val="231F20"/>
        </w:rPr>
        <w:t>conocer</w:t>
      </w:r>
      <w:r>
        <w:rPr>
          <w:color w:val="231F20"/>
          <w:spacing w:val="-6"/>
        </w:rPr>
        <w:t> </w:t>
      </w:r>
      <w:r>
        <w:rPr>
          <w:color w:val="231F20"/>
        </w:rPr>
        <w:t>conceptos</w:t>
      </w:r>
      <w:r>
        <w:rPr>
          <w:color w:val="231F20"/>
          <w:spacing w:val="-6"/>
        </w:rPr>
        <w:t> </w:t>
      </w:r>
      <w:r>
        <w:rPr>
          <w:color w:val="231F20"/>
        </w:rPr>
        <w:t>relacionados</w:t>
      </w:r>
      <w:r>
        <w:rPr>
          <w:color w:val="231F20"/>
          <w:spacing w:val="-6"/>
        </w:rPr>
        <w:t> </w:t>
      </w:r>
      <w:r>
        <w:rPr>
          <w:color w:val="231F20"/>
        </w:rPr>
        <w:t>al</w:t>
      </w:r>
      <w:r>
        <w:rPr>
          <w:color w:val="231F20"/>
          <w:spacing w:val="-6"/>
        </w:rPr>
        <w:t> </w:t>
      </w:r>
      <w:r>
        <w:rPr>
          <w:color w:val="231F20"/>
        </w:rPr>
        <w:t>tema</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son</w:t>
      </w:r>
      <w:r>
        <w:rPr>
          <w:color w:val="231F20"/>
          <w:spacing w:val="-6"/>
        </w:rPr>
        <w:t> </w:t>
      </w:r>
      <w:r>
        <w:rPr>
          <w:color w:val="231F20"/>
        </w:rPr>
        <w:t>la intermediación, los agentes que en ella participan, así como los conceptos de canal y margen de</w:t>
      </w:r>
      <w:r>
        <w:rPr>
          <w:color w:val="231F20"/>
          <w:spacing w:val="-11"/>
        </w:rPr>
        <w:t> </w:t>
      </w:r>
      <w:r>
        <w:rPr>
          <w:color w:val="231F20"/>
        </w:rPr>
        <w:t>comercialización.</w:t>
      </w:r>
    </w:p>
    <w:p>
      <w:pPr>
        <w:spacing w:after="0" w:line="273" w:lineRule="auto"/>
        <w:jc w:val="both"/>
        <w:sectPr>
          <w:pgSz w:w="7940" w:h="11910"/>
          <w:pgMar w:header="0" w:footer="469" w:top="500" w:bottom="660" w:left="1020" w:right="1020"/>
        </w:sectPr>
      </w:pPr>
    </w:p>
    <w:p>
      <w:pPr>
        <w:spacing w:before="60"/>
        <w:ind w:left="597" w:right="102" w:firstLine="0"/>
        <w:jc w:val="left"/>
        <w:rPr>
          <w:sz w:val="14"/>
        </w:rPr>
      </w:pPr>
      <w:r>
        <w:rPr>
          <w:color w:val="231F20"/>
          <w:sz w:val="18"/>
        </w:rPr>
        <w:t>F. G</w:t>
      </w:r>
      <w:r>
        <w:rPr>
          <w:color w:val="231F20"/>
          <w:sz w:val="14"/>
        </w:rPr>
        <w:t>ONZÁLEZ-</w:t>
      </w:r>
      <w:r>
        <w:rPr>
          <w:color w:val="231F20"/>
          <w:sz w:val="18"/>
        </w:rPr>
        <w:t>R</w:t>
      </w:r>
      <w:r>
        <w:rPr>
          <w:color w:val="231F20"/>
          <w:sz w:val="14"/>
        </w:rPr>
        <w:t>AZO</w:t>
      </w:r>
      <w:r>
        <w:rPr>
          <w:color w:val="231F20"/>
          <w:sz w:val="18"/>
        </w:rPr>
        <w:t>, S. R</w:t>
      </w:r>
      <w:r>
        <w:rPr>
          <w:color w:val="231F20"/>
          <w:sz w:val="14"/>
        </w:rPr>
        <w:t>EBOLLAR</w:t>
      </w:r>
      <w:r>
        <w:rPr>
          <w:color w:val="231F20"/>
          <w:sz w:val="18"/>
        </w:rPr>
        <w:t>-R</w:t>
      </w:r>
      <w:r>
        <w:rPr>
          <w:color w:val="231F20"/>
          <w:sz w:val="14"/>
        </w:rPr>
        <w:t>EBOLLAR</w:t>
      </w:r>
      <w:r>
        <w:rPr>
          <w:color w:val="231F20"/>
          <w:sz w:val="18"/>
        </w:rPr>
        <w:t>, J</w:t>
      </w:r>
      <w:r>
        <w:rPr>
          <w:color w:val="231F20"/>
          <w:sz w:val="14"/>
        </w:rPr>
        <w:t>. </w:t>
      </w:r>
      <w:r>
        <w:rPr>
          <w:color w:val="231F20"/>
          <w:sz w:val="18"/>
        </w:rPr>
        <w:t>H</w:t>
      </w:r>
      <w:r>
        <w:rPr>
          <w:color w:val="231F20"/>
          <w:sz w:val="14"/>
        </w:rPr>
        <w:t>ERNÁNDEZ-</w:t>
      </w:r>
      <w:r>
        <w:rPr>
          <w:color w:val="231F20"/>
          <w:sz w:val="18"/>
        </w:rPr>
        <w:t>M</w:t>
      </w:r>
      <w:r>
        <w:rPr>
          <w:color w:val="231F20"/>
          <w:sz w:val="14"/>
        </w:rPr>
        <w:t>ARTÍNEZ</w:t>
      </w:r>
    </w:p>
    <w:p>
      <w:pPr>
        <w:pStyle w:val="BodyText"/>
        <w:spacing w:before="11"/>
        <w:rPr>
          <w:sz w:val="22"/>
        </w:rPr>
      </w:pPr>
    </w:p>
    <w:p>
      <w:pPr>
        <w:pStyle w:val="Heading4"/>
        <w:spacing w:before="66"/>
        <w:ind w:left="1941" w:right="102"/>
        <w:jc w:val="left"/>
      </w:pPr>
      <w:r>
        <w:rPr>
          <w:color w:val="231F20"/>
        </w:rPr>
        <w:t>La intermediación</w:t>
      </w:r>
    </w:p>
    <w:p>
      <w:pPr>
        <w:spacing w:line="240" w:lineRule="exact" w:before="164"/>
        <w:ind w:left="113" w:right="111" w:firstLine="0"/>
        <w:jc w:val="both"/>
        <w:rPr>
          <w:sz w:val="14"/>
        </w:rPr>
      </w:pPr>
      <w:r>
        <w:rPr>
          <w:color w:val="231F20"/>
          <w:sz w:val="18"/>
        </w:rPr>
        <w:t>De acuerdo con Mendoza (1987), la intermediación es la institucionaliza- ción</w:t>
      </w:r>
      <w:r>
        <w:rPr>
          <w:color w:val="231F20"/>
          <w:spacing w:val="-8"/>
          <w:sz w:val="18"/>
        </w:rPr>
        <w:t> </w:t>
      </w:r>
      <w:r>
        <w:rPr>
          <w:color w:val="231F20"/>
          <w:sz w:val="18"/>
        </w:rPr>
        <w:t>de</w:t>
      </w:r>
      <w:r>
        <w:rPr>
          <w:color w:val="231F20"/>
          <w:spacing w:val="-8"/>
          <w:sz w:val="18"/>
        </w:rPr>
        <w:t> </w:t>
      </w:r>
      <w:r>
        <w:rPr>
          <w:color w:val="231F20"/>
          <w:sz w:val="18"/>
        </w:rPr>
        <w:t>la</w:t>
      </w:r>
      <w:r>
        <w:rPr>
          <w:color w:val="231F20"/>
          <w:spacing w:val="-8"/>
          <w:sz w:val="18"/>
        </w:rPr>
        <w:t> </w:t>
      </w:r>
      <w:r>
        <w:rPr>
          <w:color w:val="231F20"/>
          <w:sz w:val="18"/>
        </w:rPr>
        <w:t>actividad</w:t>
      </w:r>
      <w:r>
        <w:rPr>
          <w:color w:val="231F20"/>
          <w:spacing w:val="-8"/>
          <w:sz w:val="18"/>
        </w:rPr>
        <w:t> </w:t>
      </w:r>
      <w:r>
        <w:rPr>
          <w:color w:val="231F20"/>
          <w:sz w:val="18"/>
        </w:rPr>
        <w:t>de</w:t>
      </w:r>
      <w:r>
        <w:rPr>
          <w:color w:val="231F20"/>
          <w:spacing w:val="-8"/>
          <w:sz w:val="18"/>
        </w:rPr>
        <w:t> </w:t>
      </w:r>
      <w:r>
        <w:rPr>
          <w:color w:val="231F20"/>
          <w:sz w:val="18"/>
        </w:rPr>
        <w:t>quienes</w:t>
      </w:r>
      <w:r>
        <w:rPr>
          <w:color w:val="231F20"/>
          <w:spacing w:val="-9"/>
          <w:sz w:val="18"/>
        </w:rPr>
        <w:t> </w:t>
      </w:r>
      <w:r>
        <w:rPr>
          <w:color w:val="231F20"/>
          <w:sz w:val="18"/>
        </w:rPr>
        <w:t>actúan</w:t>
      </w:r>
      <w:r>
        <w:rPr>
          <w:color w:val="231F20"/>
          <w:spacing w:val="-8"/>
          <w:sz w:val="18"/>
        </w:rPr>
        <w:t> </w:t>
      </w:r>
      <w:r>
        <w:rPr>
          <w:color w:val="231F20"/>
          <w:sz w:val="18"/>
        </w:rPr>
        <w:t>como</w:t>
      </w:r>
      <w:r>
        <w:rPr>
          <w:color w:val="231F20"/>
          <w:spacing w:val="-8"/>
          <w:sz w:val="18"/>
        </w:rPr>
        <w:t> </w:t>
      </w:r>
      <w:r>
        <w:rPr>
          <w:color w:val="231F20"/>
          <w:sz w:val="18"/>
        </w:rPr>
        <w:t>intermediarios</w:t>
      </w:r>
      <w:r>
        <w:rPr>
          <w:color w:val="231F20"/>
          <w:spacing w:val="-9"/>
          <w:sz w:val="18"/>
        </w:rPr>
        <w:t> </w:t>
      </w:r>
      <w:r>
        <w:rPr>
          <w:color w:val="231F20"/>
          <w:sz w:val="18"/>
        </w:rPr>
        <w:t>en</w:t>
      </w:r>
      <w:r>
        <w:rPr>
          <w:color w:val="231F20"/>
          <w:spacing w:val="-8"/>
          <w:sz w:val="18"/>
        </w:rPr>
        <w:t> </w:t>
      </w:r>
      <w:r>
        <w:rPr>
          <w:color w:val="231F20"/>
          <w:sz w:val="18"/>
        </w:rPr>
        <w:t>la</w:t>
      </w:r>
      <w:r>
        <w:rPr>
          <w:color w:val="231F20"/>
          <w:spacing w:val="-8"/>
          <w:sz w:val="18"/>
        </w:rPr>
        <w:t> </w:t>
      </w:r>
      <w:r>
        <w:rPr>
          <w:color w:val="231F20"/>
          <w:sz w:val="18"/>
        </w:rPr>
        <w:t>comercia- lización.</w:t>
      </w:r>
      <w:r>
        <w:rPr>
          <w:color w:val="231F20"/>
          <w:spacing w:val="-7"/>
          <w:sz w:val="18"/>
        </w:rPr>
        <w:t> </w:t>
      </w:r>
      <w:r>
        <w:rPr>
          <w:color w:val="231F20"/>
          <w:sz w:val="18"/>
        </w:rPr>
        <w:t>En</w:t>
      </w:r>
      <w:r>
        <w:rPr>
          <w:color w:val="231F20"/>
          <w:spacing w:val="-8"/>
          <w:sz w:val="18"/>
        </w:rPr>
        <w:t> </w:t>
      </w:r>
      <w:r>
        <w:rPr>
          <w:color w:val="231F20"/>
          <w:sz w:val="18"/>
        </w:rPr>
        <w:t>general</w:t>
      </w:r>
      <w:r>
        <w:rPr>
          <w:color w:val="231F20"/>
          <w:spacing w:val="-8"/>
          <w:sz w:val="18"/>
        </w:rPr>
        <w:t> </w:t>
      </w:r>
      <w:r>
        <w:rPr>
          <w:color w:val="231F20"/>
          <w:sz w:val="18"/>
        </w:rPr>
        <w:t>se</w:t>
      </w:r>
      <w:r>
        <w:rPr>
          <w:color w:val="231F20"/>
          <w:spacing w:val="-8"/>
          <w:sz w:val="18"/>
        </w:rPr>
        <w:t> </w:t>
      </w:r>
      <w:r>
        <w:rPr>
          <w:color w:val="231F20"/>
          <w:sz w:val="18"/>
        </w:rPr>
        <w:t>habla</w:t>
      </w:r>
      <w:r>
        <w:rPr>
          <w:color w:val="231F20"/>
          <w:spacing w:val="-9"/>
          <w:sz w:val="18"/>
        </w:rPr>
        <w:t> </w:t>
      </w:r>
      <w:r>
        <w:rPr>
          <w:color w:val="231F20"/>
          <w:sz w:val="18"/>
        </w:rPr>
        <w:t>de</w:t>
      </w:r>
      <w:r>
        <w:rPr>
          <w:color w:val="231F20"/>
          <w:spacing w:val="-8"/>
          <w:sz w:val="18"/>
        </w:rPr>
        <w:t> </w:t>
      </w:r>
      <w:r>
        <w:rPr>
          <w:color w:val="231F20"/>
          <w:sz w:val="18"/>
        </w:rPr>
        <w:t>dos</w:t>
      </w:r>
      <w:r>
        <w:rPr>
          <w:color w:val="231F20"/>
          <w:spacing w:val="-8"/>
          <w:sz w:val="18"/>
        </w:rPr>
        <w:t> </w:t>
      </w:r>
      <w:r>
        <w:rPr>
          <w:color w:val="231F20"/>
          <w:sz w:val="18"/>
        </w:rPr>
        <w:t>clases</w:t>
      </w:r>
      <w:r>
        <w:rPr>
          <w:color w:val="231F20"/>
          <w:spacing w:val="-8"/>
          <w:sz w:val="18"/>
        </w:rPr>
        <w:t> </w:t>
      </w:r>
      <w:r>
        <w:rPr>
          <w:color w:val="231F20"/>
          <w:sz w:val="18"/>
        </w:rPr>
        <w:t>de</w:t>
      </w:r>
      <w:r>
        <w:rPr>
          <w:color w:val="231F20"/>
          <w:spacing w:val="-8"/>
          <w:sz w:val="18"/>
        </w:rPr>
        <w:t> </w:t>
      </w:r>
      <w:r>
        <w:rPr>
          <w:color w:val="231F20"/>
          <w:sz w:val="18"/>
        </w:rPr>
        <w:t>intermediarios:</w:t>
      </w:r>
      <w:r>
        <w:rPr>
          <w:color w:val="231F20"/>
          <w:spacing w:val="-9"/>
          <w:sz w:val="18"/>
        </w:rPr>
        <w:t> </w:t>
      </w:r>
      <w:r>
        <w:rPr>
          <w:color w:val="231F20"/>
          <w:sz w:val="18"/>
        </w:rPr>
        <w:t>comerciantes y</w:t>
      </w:r>
      <w:r>
        <w:rPr>
          <w:color w:val="231F20"/>
          <w:spacing w:val="-4"/>
          <w:sz w:val="18"/>
        </w:rPr>
        <w:t> </w:t>
      </w:r>
      <w:r>
        <w:rPr>
          <w:color w:val="231F20"/>
          <w:sz w:val="18"/>
        </w:rPr>
        <w:t>corredores.</w:t>
      </w:r>
      <w:r>
        <w:rPr>
          <w:color w:val="231F20"/>
          <w:spacing w:val="-4"/>
          <w:sz w:val="18"/>
        </w:rPr>
        <w:t> </w:t>
      </w:r>
      <w:r>
        <w:rPr>
          <w:color w:val="231F20"/>
          <w:sz w:val="18"/>
        </w:rPr>
        <w:t>Los</w:t>
      </w:r>
      <w:r>
        <w:rPr>
          <w:color w:val="231F20"/>
          <w:spacing w:val="-4"/>
          <w:sz w:val="18"/>
        </w:rPr>
        <w:t> </w:t>
      </w:r>
      <w:r>
        <w:rPr>
          <w:color w:val="231F20"/>
          <w:sz w:val="18"/>
        </w:rPr>
        <w:t>primeros</w:t>
      </w:r>
      <w:r>
        <w:rPr>
          <w:color w:val="231F20"/>
          <w:spacing w:val="-4"/>
          <w:sz w:val="18"/>
        </w:rPr>
        <w:t> </w:t>
      </w:r>
      <w:r>
        <w:rPr>
          <w:color w:val="231F20"/>
          <w:sz w:val="18"/>
        </w:rPr>
        <w:t>compran</w:t>
      </w:r>
      <w:r>
        <w:rPr>
          <w:color w:val="231F20"/>
          <w:spacing w:val="-4"/>
          <w:sz w:val="18"/>
        </w:rPr>
        <w:t> </w:t>
      </w:r>
      <w:r>
        <w:rPr>
          <w:color w:val="231F20"/>
          <w:sz w:val="18"/>
        </w:rPr>
        <w:t>y</w:t>
      </w:r>
      <w:r>
        <w:rPr>
          <w:color w:val="231F20"/>
          <w:spacing w:val="-4"/>
          <w:sz w:val="18"/>
        </w:rPr>
        <w:t> </w:t>
      </w:r>
      <w:r>
        <w:rPr>
          <w:color w:val="231F20"/>
          <w:sz w:val="18"/>
        </w:rPr>
        <w:t>venden</w:t>
      </w:r>
      <w:r>
        <w:rPr>
          <w:color w:val="231F20"/>
          <w:spacing w:val="-4"/>
          <w:sz w:val="18"/>
        </w:rPr>
        <w:t> </w:t>
      </w:r>
      <w:r>
        <w:rPr>
          <w:color w:val="231F20"/>
          <w:sz w:val="18"/>
        </w:rPr>
        <w:t>bajo</w:t>
      </w:r>
      <w:r>
        <w:rPr>
          <w:color w:val="231F20"/>
          <w:spacing w:val="-3"/>
          <w:sz w:val="18"/>
        </w:rPr>
        <w:t> </w:t>
      </w:r>
      <w:r>
        <w:rPr>
          <w:color w:val="231F20"/>
          <w:sz w:val="18"/>
        </w:rPr>
        <w:t>su</w:t>
      </w:r>
      <w:r>
        <w:rPr>
          <w:color w:val="231F20"/>
          <w:spacing w:val="-4"/>
          <w:sz w:val="18"/>
        </w:rPr>
        <w:t> </w:t>
      </w:r>
      <w:r>
        <w:rPr>
          <w:color w:val="231F20"/>
          <w:sz w:val="18"/>
        </w:rPr>
        <w:t>estricta</w:t>
      </w:r>
      <w:r>
        <w:rPr>
          <w:color w:val="231F20"/>
          <w:spacing w:val="-4"/>
          <w:sz w:val="18"/>
        </w:rPr>
        <w:t> </w:t>
      </w:r>
      <w:r>
        <w:rPr>
          <w:color w:val="231F20"/>
          <w:sz w:val="18"/>
        </w:rPr>
        <w:t>responsabi- lidad</w:t>
      </w:r>
      <w:r>
        <w:rPr>
          <w:color w:val="231F20"/>
          <w:spacing w:val="-4"/>
          <w:sz w:val="18"/>
        </w:rPr>
        <w:t> </w:t>
      </w:r>
      <w:r>
        <w:rPr>
          <w:color w:val="231F20"/>
          <w:sz w:val="18"/>
        </w:rPr>
        <w:t>y</w:t>
      </w:r>
      <w:r>
        <w:rPr>
          <w:color w:val="231F20"/>
          <w:spacing w:val="-4"/>
          <w:sz w:val="18"/>
        </w:rPr>
        <w:t> </w:t>
      </w:r>
      <w:r>
        <w:rPr>
          <w:color w:val="231F20"/>
          <w:sz w:val="18"/>
        </w:rPr>
        <w:t>asumen</w:t>
      </w:r>
      <w:r>
        <w:rPr>
          <w:color w:val="231F20"/>
          <w:spacing w:val="-4"/>
          <w:sz w:val="18"/>
        </w:rPr>
        <w:t> </w:t>
      </w:r>
      <w:r>
        <w:rPr>
          <w:color w:val="231F20"/>
          <w:sz w:val="18"/>
        </w:rPr>
        <w:t>los</w:t>
      </w:r>
      <w:r>
        <w:rPr>
          <w:color w:val="231F20"/>
          <w:spacing w:val="-4"/>
          <w:sz w:val="18"/>
        </w:rPr>
        <w:t> </w:t>
      </w:r>
      <w:r>
        <w:rPr>
          <w:color w:val="231F20"/>
          <w:sz w:val="18"/>
        </w:rPr>
        <w:t>riesgos</w:t>
      </w:r>
      <w:r>
        <w:rPr>
          <w:color w:val="231F20"/>
          <w:spacing w:val="-5"/>
          <w:sz w:val="18"/>
        </w:rPr>
        <w:t> </w:t>
      </w:r>
      <w:r>
        <w:rPr>
          <w:color w:val="231F20"/>
          <w:sz w:val="18"/>
        </w:rPr>
        <w:t>de</w:t>
      </w:r>
      <w:r>
        <w:rPr>
          <w:color w:val="231F20"/>
          <w:spacing w:val="-4"/>
          <w:sz w:val="18"/>
        </w:rPr>
        <w:t> </w:t>
      </w:r>
      <w:r>
        <w:rPr>
          <w:color w:val="231F20"/>
          <w:sz w:val="18"/>
        </w:rPr>
        <w:t>la</w:t>
      </w:r>
      <w:r>
        <w:rPr>
          <w:color w:val="231F20"/>
          <w:spacing w:val="-4"/>
          <w:sz w:val="18"/>
        </w:rPr>
        <w:t> </w:t>
      </w:r>
      <w:r>
        <w:rPr>
          <w:color w:val="231F20"/>
          <w:sz w:val="18"/>
        </w:rPr>
        <w:t>comercialización;</w:t>
      </w:r>
      <w:r>
        <w:rPr>
          <w:color w:val="231F20"/>
          <w:spacing w:val="-4"/>
          <w:sz w:val="18"/>
        </w:rPr>
        <w:t> </w:t>
      </w:r>
      <w:r>
        <w:rPr>
          <w:color w:val="231F20"/>
          <w:sz w:val="14"/>
        </w:rPr>
        <w:t>BUSCAN</w:t>
      </w:r>
      <w:r>
        <w:rPr>
          <w:color w:val="231F20"/>
          <w:spacing w:val="-4"/>
          <w:sz w:val="14"/>
        </w:rPr>
        <w:t> </w:t>
      </w:r>
      <w:r>
        <w:rPr>
          <w:color w:val="231F20"/>
          <w:sz w:val="14"/>
        </w:rPr>
        <w:t>UN</w:t>
      </w:r>
      <w:r>
        <w:rPr>
          <w:color w:val="231F20"/>
          <w:spacing w:val="-4"/>
          <w:sz w:val="14"/>
        </w:rPr>
        <w:t> </w:t>
      </w:r>
      <w:r>
        <w:rPr>
          <w:color w:val="231F20"/>
          <w:sz w:val="14"/>
        </w:rPr>
        <w:t>BENEFICIO</w:t>
      </w:r>
      <w:r>
        <w:rPr>
          <w:color w:val="231F20"/>
          <w:spacing w:val="-3"/>
          <w:sz w:val="14"/>
        </w:rPr>
        <w:t> </w:t>
      </w:r>
      <w:r>
        <w:rPr>
          <w:color w:val="231F20"/>
          <w:sz w:val="14"/>
        </w:rPr>
        <w:t>COMO RETRIBUCIÓN.</w:t>
      </w:r>
      <w:r>
        <w:rPr>
          <w:color w:val="231F20"/>
          <w:spacing w:val="-6"/>
          <w:sz w:val="14"/>
        </w:rPr>
        <w:t> </w:t>
      </w:r>
      <w:r>
        <w:rPr>
          <w:color w:val="231F20"/>
          <w:sz w:val="14"/>
        </w:rPr>
        <w:t>POR</w:t>
      </w:r>
      <w:r>
        <w:rPr>
          <w:color w:val="231F20"/>
          <w:spacing w:val="-6"/>
          <w:sz w:val="14"/>
        </w:rPr>
        <w:t> </w:t>
      </w:r>
      <w:r>
        <w:rPr>
          <w:color w:val="231F20"/>
          <w:sz w:val="14"/>
        </w:rPr>
        <w:t>SU</w:t>
      </w:r>
      <w:r>
        <w:rPr>
          <w:color w:val="231F20"/>
          <w:spacing w:val="-6"/>
          <w:sz w:val="14"/>
        </w:rPr>
        <w:t> </w:t>
      </w:r>
      <w:r>
        <w:rPr>
          <w:color w:val="231F20"/>
          <w:spacing w:val="-3"/>
          <w:sz w:val="14"/>
        </w:rPr>
        <w:t>PARTE,</w:t>
      </w:r>
      <w:r>
        <w:rPr>
          <w:color w:val="231F20"/>
          <w:spacing w:val="-6"/>
          <w:sz w:val="14"/>
        </w:rPr>
        <w:t> </w:t>
      </w:r>
      <w:r>
        <w:rPr>
          <w:color w:val="231F20"/>
          <w:sz w:val="14"/>
        </w:rPr>
        <w:t>LOS</w:t>
      </w:r>
      <w:r>
        <w:rPr>
          <w:color w:val="231F20"/>
          <w:spacing w:val="-6"/>
          <w:sz w:val="14"/>
        </w:rPr>
        <w:t> </w:t>
      </w:r>
      <w:r>
        <w:rPr>
          <w:color w:val="231F20"/>
          <w:sz w:val="14"/>
        </w:rPr>
        <w:t>CORREDORES</w:t>
      </w:r>
      <w:r>
        <w:rPr>
          <w:color w:val="231F20"/>
          <w:spacing w:val="-6"/>
          <w:sz w:val="14"/>
        </w:rPr>
        <w:t> </w:t>
      </w:r>
      <w:r>
        <w:rPr>
          <w:color w:val="231F20"/>
          <w:sz w:val="14"/>
        </w:rPr>
        <w:t>SON</w:t>
      </w:r>
      <w:r>
        <w:rPr>
          <w:color w:val="231F20"/>
          <w:spacing w:val="-6"/>
          <w:sz w:val="14"/>
        </w:rPr>
        <w:t> </w:t>
      </w:r>
      <w:r>
        <w:rPr>
          <w:color w:val="231F20"/>
          <w:sz w:val="14"/>
        </w:rPr>
        <w:t>COMISIONISTAS</w:t>
      </w:r>
      <w:r>
        <w:rPr>
          <w:color w:val="231F20"/>
          <w:spacing w:val="-6"/>
          <w:sz w:val="14"/>
        </w:rPr>
        <w:t> </w:t>
      </w:r>
      <w:r>
        <w:rPr>
          <w:color w:val="231F20"/>
          <w:sz w:val="14"/>
        </w:rPr>
        <w:t>EN</w:t>
      </w:r>
      <w:r>
        <w:rPr>
          <w:color w:val="231F20"/>
          <w:spacing w:val="-6"/>
          <w:sz w:val="14"/>
        </w:rPr>
        <w:t> </w:t>
      </w:r>
      <w:r>
        <w:rPr>
          <w:color w:val="231F20"/>
          <w:sz w:val="14"/>
        </w:rPr>
        <w:t>LA</w:t>
      </w:r>
      <w:r>
        <w:rPr>
          <w:color w:val="231F20"/>
          <w:spacing w:val="-6"/>
          <w:sz w:val="14"/>
        </w:rPr>
        <w:t> </w:t>
      </w:r>
      <w:r>
        <w:rPr>
          <w:color w:val="231F20"/>
          <w:sz w:val="14"/>
        </w:rPr>
        <w:t>COMPRA</w:t>
      </w:r>
      <w:r>
        <w:rPr>
          <w:color w:val="231F20"/>
          <w:spacing w:val="-6"/>
          <w:sz w:val="14"/>
        </w:rPr>
        <w:t> </w:t>
      </w:r>
      <w:r>
        <w:rPr>
          <w:color w:val="231F20"/>
          <w:sz w:val="14"/>
        </w:rPr>
        <w:t>Y</w:t>
      </w:r>
      <w:r>
        <w:rPr>
          <w:color w:val="231F20"/>
          <w:spacing w:val="-6"/>
          <w:sz w:val="14"/>
        </w:rPr>
        <w:t> </w:t>
      </w:r>
      <w:r>
        <w:rPr>
          <w:color w:val="231F20"/>
          <w:sz w:val="14"/>
        </w:rPr>
        <w:t>VEN-</w:t>
      </w:r>
    </w:p>
    <w:p>
      <w:pPr>
        <w:pStyle w:val="BodyText"/>
        <w:spacing w:line="273" w:lineRule="auto" w:before="21"/>
        <w:ind w:left="113" w:right="111"/>
        <w:jc w:val="both"/>
      </w:pPr>
      <w:r>
        <w:rPr>
          <w:color w:val="231F20"/>
          <w:spacing w:val="-4"/>
          <w:sz w:val="14"/>
        </w:rPr>
        <w:t>TA,</w:t>
      </w:r>
      <w:r>
        <w:rPr>
          <w:color w:val="231F20"/>
          <w:spacing w:val="-5"/>
          <w:sz w:val="14"/>
        </w:rPr>
        <w:t> </w:t>
      </w:r>
      <w:r>
        <w:rPr>
          <w:color w:val="231F20"/>
          <w:spacing w:val="-3"/>
          <w:sz w:val="14"/>
        </w:rPr>
        <w:t>TANTO</w:t>
      </w:r>
      <w:r>
        <w:rPr>
          <w:color w:val="231F20"/>
          <w:spacing w:val="-5"/>
          <w:sz w:val="14"/>
        </w:rPr>
        <w:t> </w:t>
      </w:r>
      <w:r>
        <w:rPr>
          <w:color w:val="231F20"/>
          <w:sz w:val="14"/>
        </w:rPr>
        <w:t>DE</w:t>
      </w:r>
      <w:r>
        <w:rPr>
          <w:color w:val="231F20"/>
          <w:spacing w:val="-5"/>
          <w:sz w:val="14"/>
        </w:rPr>
        <w:t> </w:t>
      </w:r>
      <w:r>
        <w:rPr>
          <w:color w:val="231F20"/>
          <w:sz w:val="14"/>
        </w:rPr>
        <w:t>LOS</w:t>
      </w:r>
      <w:r>
        <w:rPr>
          <w:color w:val="231F20"/>
          <w:spacing w:val="-5"/>
          <w:sz w:val="14"/>
        </w:rPr>
        <w:t> </w:t>
      </w:r>
      <w:r>
        <w:rPr>
          <w:color w:val="231F20"/>
          <w:sz w:val="14"/>
        </w:rPr>
        <w:t>PRODUCTORES</w:t>
      </w:r>
      <w:r>
        <w:rPr>
          <w:color w:val="231F20"/>
          <w:spacing w:val="-4"/>
          <w:sz w:val="14"/>
        </w:rPr>
        <w:t> </w:t>
      </w:r>
      <w:r>
        <w:rPr>
          <w:color w:val="231F20"/>
        </w:rPr>
        <w:t>como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comerciantes</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industriales; no compran ni venden para sí sino para otros, y es usual que no asuman riesgos, ya que éstos recaen en sus representados. Perciben una comisión fija o variable por su actuación y no participan en los beneficios ni en los riesgos.</w:t>
      </w:r>
    </w:p>
    <w:p>
      <w:pPr>
        <w:pStyle w:val="BodyText"/>
        <w:spacing w:line="273" w:lineRule="auto"/>
        <w:ind w:left="113" w:right="111" w:firstLine="283"/>
        <w:jc w:val="both"/>
      </w:pPr>
      <w:r>
        <w:rPr>
          <w:color w:val="231F20"/>
        </w:rPr>
        <w:t>La intermediación surge ya que en general, los agricultores no pueden llevar los productos a los mercados y venderlos directamente a los con- sumidores; mientras que éstos últimos tampoco están en condiciones de trasladarse al campo a comprar los alimentos a los productores. El desa- rrollo urbano es el principal responsable de promover una separación en- tre productores y consumidores.</w:t>
      </w:r>
    </w:p>
    <w:p>
      <w:pPr>
        <w:pStyle w:val="BodyText"/>
        <w:spacing w:line="273" w:lineRule="auto"/>
        <w:ind w:left="113" w:right="111" w:firstLine="283"/>
        <w:jc w:val="both"/>
      </w:pPr>
      <w:r>
        <w:rPr>
          <w:color w:val="231F20"/>
        </w:rPr>
        <w:t>En este sentido, la intermediación ejecuta funciones de comercializa- ción que son, principalmente, de promoción y transformación. Con la pro- moción el intermediario abre nuevos mercados; crea nuevas necesidades de</w:t>
      </w:r>
      <w:r>
        <w:rPr>
          <w:color w:val="231F20"/>
          <w:spacing w:val="-4"/>
        </w:rPr>
        <w:t> </w:t>
      </w:r>
      <w:r>
        <w:rPr>
          <w:color w:val="231F20"/>
        </w:rPr>
        <w:t>consumo</w:t>
      </w:r>
      <w:r>
        <w:rPr>
          <w:color w:val="231F20"/>
          <w:spacing w:val="-5"/>
        </w:rPr>
        <w:t> </w:t>
      </w:r>
      <w:r>
        <w:rPr>
          <w:color w:val="231F20"/>
        </w:rPr>
        <w:t>mediante</w:t>
      </w:r>
      <w:r>
        <w:rPr>
          <w:color w:val="231F20"/>
          <w:spacing w:val="-4"/>
        </w:rPr>
        <w:t> </w:t>
      </w:r>
      <w:r>
        <w:rPr>
          <w:color w:val="231F20"/>
        </w:rPr>
        <w:t>la</w:t>
      </w:r>
      <w:r>
        <w:rPr>
          <w:color w:val="231F20"/>
          <w:spacing w:val="-4"/>
        </w:rPr>
        <w:t> </w:t>
      </w:r>
      <w:r>
        <w:rPr>
          <w:color w:val="231F20"/>
        </w:rPr>
        <w:t>propaganda</w:t>
      </w:r>
      <w:r>
        <w:rPr>
          <w:color w:val="231F20"/>
          <w:spacing w:val="-4"/>
        </w:rPr>
        <w:t> </w:t>
      </w:r>
      <w:r>
        <w:rPr>
          <w:color w:val="231F20"/>
        </w:rPr>
        <w:t>y</w:t>
      </w:r>
      <w:r>
        <w:rPr>
          <w:color w:val="231F20"/>
          <w:spacing w:val="-4"/>
        </w:rPr>
        <w:t> </w:t>
      </w:r>
      <w:r>
        <w:rPr>
          <w:color w:val="231F20"/>
        </w:rPr>
        <w:t>difusión</w:t>
      </w:r>
      <w:r>
        <w:rPr>
          <w:color w:val="231F20"/>
          <w:spacing w:val="-5"/>
        </w:rPr>
        <w:t> </w:t>
      </w:r>
      <w:r>
        <w:rPr>
          <w:color w:val="231F20"/>
        </w:rPr>
        <w:t>de</w:t>
      </w:r>
      <w:r>
        <w:rPr>
          <w:color w:val="231F20"/>
          <w:spacing w:val="-4"/>
        </w:rPr>
        <w:t> </w:t>
      </w:r>
      <w:r>
        <w:rPr>
          <w:color w:val="231F20"/>
        </w:rPr>
        <w:t>nuevas</w:t>
      </w:r>
      <w:r>
        <w:rPr>
          <w:color w:val="231F20"/>
          <w:spacing w:val="-4"/>
        </w:rPr>
        <w:t> </w:t>
      </w:r>
      <w:r>
        <w:rPr>
          <w:color w:val="231F20"/>
        </w:rPr>
        <w:t>variedades.</w:t>
      </w:r>
      <w:r>
        <w:rPr>
          <w:color w:val="231F20"/>
          <w:spacing w:val="-4"/>
        </w:rPr>
        <w:t> </w:t>
      </w:r>
      <w:r>
        <w:rPr>
          <w:color w:val="231F20"/>
        </w:rPr>
        <w:t>Con la transformación se agrega valor al producto, se le da utilidad de </w:t>
      </w:r>
      <w:r>
        <w:rPr>
          <w:color w:val="231F20"/>
          <w:spacing w:val="-4"/>
        </w:rPr>
        <w:t>lugar, </w:t>
      </w:r>
      <w:r>
        <w:rPr>
          <w:color w:val="231F20"/>
        </w:rPr>
        <w:t>tiempo y</w:t>
      </w:r>
      <w:r>
        <w:rPr>
          <w:color w:val="231F20"/>
          <w:spacing w:val="-9"/>
        </w:rPr>
        <w:t> </w:t>
      </w:r>
      <w:r>
        <w:rPr>
          <w:color w:val="231F20"/>
        </w:rPr>
        <w:t>forma.</w:t>
      </w:r>
    </w:p>
    <w:p>
      <w:pPr>
        <w:pStyle w:val="BodyText"/>
        <w:spacing w:line="273" w:lineRule="auto"/>
        <w:ind w:left="113" w:right="110" w:firstLine="283"/>
        <w:jc w:val="both"/>
      </w:pPr>
      <w:r>
        <w:rPr>
          <w:color w:val="231F20"/>
        </w:rPr>
        <w:t>La</w:t>
      </w:r>
      <w:r>
        <w:rPr>
          <w:color w:val="231F20"/>
          <w:spacing w:val="-4"/>
        </w:rPr>
        <w:t> </w:t>
      </w:r>
      <w:r>
        <w:rPr>
          <w:color w:val="231F20"/>
        </w:rPr>
        <w:t>gestión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intermediarios</w:t>
      </w:r>
      <w:r>
        <w:rPr>
          <w:color w:val="231F20"/>
          <w:spacing w:val="-5"/>
        </w:rPr>
        <w:t> </w:t>
      </w:r>
      <w:r>
        <w:rPr>
          <w:color w:val="231F20"/>
        </w:rPr>
        <w:t>es</w:t>
      </w:r>
      <w:r>
        <w:rPr>
          <w:color w:val="231F20"/>
          <w:spacing w:val="-4"/>
        </w:rPr>
        <w:t> </w:t>
      </w:r>
      <w:r>
        <w:rPr>
          <w:color w:val="231F20"/>
        </w:rPr>
        <w:t>muy</w:t>
      </w:r>
      <w:r>
        <w:rPr>
          <w:color w:val="231F20"/>
          <w:spacing w:val="-4"/>
        </w:rPr>
        <w:t> </w:t>
      </w:r>
      <w:r>
        <w:rPr>
          <w:color w:val="231F20"/>
        </w:rPr>
        <w:t>discutida</w:t>
      </w:r>
      <w:r>
        <w:rPr>
          <w:color w:val="231F20"/>
          <w:spacing w:val="-5"/>
        </w:rPr>
        <w:t> </w:t>
      </w:r>
      <w:r>
        <w:rPr>
          <w:color w:val="231F20"/>
        </w:rPr>
        <w:t>en</w:t>
      </w:r>
      <w:r>
        <w:rPr>
          <w:color w:val="231F20"/>
          <w:spacing w:val="-4"/>
        </w:rPr>
        <w:t> </w:t>
      </w:r>
      <w:r>
        <w:rPr>
          <w:color w:val="231F20"/>
        </w:rPr>
        <w:t>todas</w:t>
      </w:r>
      <w:r>
        <w:rPr>
          <w:color w:val="231F20"/>
          <w:spacing w:val="-4"/>
        </w:rPr>
        <w:t> </w:t>
      </w:r>
      <w:r>
        <w:rPr>
          <w:color w:val="231F20"/>
        </w:rPr>
        <w:t>las</w:t>
      </w:r>
      <w:r>
        <w:rPr>
          <w:color w:val="231F20"/>
          <w:spacing w:val="-4"/>
        </w:rPr>
        <w:t> </w:t>
      </w:r>
      <w:r>
        <w:rPr>
          <w:color w:val="231F20"/>
        </w:rPr>
        <w:t>socieda- des;</w:t>
      </w:r>
      <w:r>
        <w:rPr>
          <w:color w:val="231F20"/>
          <w:spacing w:val="-10"/>
        </w:rPr>
        <w:t> </w:t>
      </w:r>
      <w:r>
        <w:rPr>
          <w:color w:val="231F20"/>
        </w:rPr>
        <w:t>pero</w:t>
      </w:r>
      <w:r>
        <w:rPr>
          <w:color w:val="231F20"/>
          <w:spacing w:val="-10"/>
        </w:rPr>
        <w:t> </w:t>
      </w:r>
      <w:r>
        <w:rPr>
          <w:color w:val="231F20"/>
        </w:rPr>
        <w:t>se</w:t>
      </w:r>
      <w:r>
        <w:rPr>
          <w:color w:val="231F20"/>
          <w:spacing w:val="-10"/>
        </w:rPr>
        <w:t> </w:t>
      </w:r>
      <w:r>
        <w:rPr>
          <w:color w:val="231F20"/>
        </w:rPr>
        <w:t>reconoce</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funciones</w:t>
      </w:r>
      <w:r>
        <w:rPr>
          <w:color w:val="231F20"/>
          <w:spacing w:val="-10"/>
        </w:rPr>
        <w:t> </w:t>
      </w:r>
      <w:r>
        <w:rPr>
          <w:color w:val="231F20"/>
        </w:rPr>
        <w:t>de</w:t>
      </w:r>
      <w:r>
        <w:rPr>
          <w:color w:val="231F20"/>
          <w:spacing w:val="-10"/>
        </w:rPr>
        <w:t> </w:t>
      </w:r>
      <w:r>
        <w:rPr>
          <w:color w:val="231F20"/>
        </w:rPr>
        <w:t>comercialización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transpor- te,</w:t>
      </w:r>
      <w:r>
        <w:rPr>
          <w:color w:val="231F20"/>
          <w:spacing w:val="-6"/>
        </w:rPr>
        <w:t> </w:t>
      </w:r>
      <w:r>
        <w:rPr>
          <w:color w:val="231F20"/>
        </w:rPr>
        <w:t>almacenamiento</w:t>
      </w:r>
      <w:r>
        <w:rPr>
          <w:color w:val="231F20"/>
          <w:spacing w:val="-6"/>
        </w:rPr>
        <w:t> </w:t>
      </w:r>
      <w:r>
        <w:rPr>
          <w:color w:val="231F20"/>
        </w:rPr>
        <w:t>y</w:t>
      </w:r>
      <w:r>
        <w:rPr>
          <w:color w:val="231F20"/>
          <w:spacing w:val="-6"/>
        </w:rPr>
        <w:t> </w:t>
      </w:r>
      <w:r>
        <w:rPr>
          <w:color w:val="231F20"/>
        </w:rPr>
        <w:t>procesamiento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provisión</w:t>
      </w:r>
      <w:r>
        <w:rPr>
          <w:color w:val="231F20"/>
          <w:spacing w:val="-6"/>
        </w:rPr>
        <w:t> </w:t>
      </w:r>
      <w:r>
        <w:rPr>
          <w:color w:val="231F20"/>
        </w:rPr>
        <w:t>de</w:t>
      </w:r>
      <w:r>
        <w:rPr>
          <w:color w:val="231F20"/>
          <w:spacing w:val="-6"/>
        </w:rPr>
        <w:t> </w:t>
      </w:r>
      <w:r>
        <w:rPr>
          <w:color w:val="231F20"/>
        </w:rPr>
        <w:t>utilidades</w:t>
      </w:r>
      <w:r>
        <w:rPr>
          <w:color w:val="231F20"/>
          <w:spacing w:val="-5"/>
        </w:rPr>
        <w:t> </w:t>
      </w:r>
      <w:r>
        <w:rPr>
          <w:color w:val="231F20"/>
        </w:rPr>
        <w:t>de</w:t>
      </w:r>
      <w:r>
        <w:rPr>
          <w:color w:val="231F20"/>
          <w:spacing w:val="-6"/>
        </w:rPr>
        <w:t> </w:t>
      </w:r>
      <w:r>
        <w:rPr>
          <w:color w:val="231F20"/>
          <w:spacing w:val="-4"/>
        </w:rPr>
        <w:t>lugar, </w:t>
      </w:r>
      <w:r>
        <w:rPr>
          <w:color w:val="231F20"/>
        </w:rPr>
        <w:t>tiempo y forma son esenciales, sea quien fuere quien las desempeñe. En este sentido, el sistema de comercialización realiza un número de funcio- nes en toda la economía de un país. En primer término ejecuta la función recíproca de proveer una salida para los productores y suministra mer- cancías para los consumidores; en segundo </w:t>
      </w:r>
      <w:r>
        <w:rPr>
          <w:color w:val="231F20"/>
          <w:spacing w:val="-4"/>
        </w:rPr>
        <w:t>lugar, </w:t>
      </w:r>
      <w:r>
        <w:rPr>
          <w:color w:val="231F20"/>
        </w:rPr>
        <w:t>provee la subsistencia para la gente que ejecuta las actividades de comercialización y devuelve un razonable retorno al capital y a la habilidad empresarial dedicada a</w:t>
      </w:r>
      <w:r>
        <w:rPr>
          <w:color w:val="231F20"/>
          <w:spacing w:val="-26"/>
        </w:rPr>
        <w:t> </w:t>
      </w:r>
      <w:r>
        <w:rPr>
          <w:color w:val="231F20"/>
        </w:rPr>
        <w:t>esa función. Los conceptos negativos hacia la intermediación, tanto por par- te del público como de las autoridades, limitan y dificultan el progreso de políticas gubernamentales permanentes y efectivas, en materia de comer- cialización.</w:t>
      </w:r>
    </w:p>
    <w:p>
      <w:pPr>
        <w:spacing w:after="0" w:line="273" w:lineRule="auto"/>
        <w:jc w:val="both"/>
        <w:sectPr>
          <w:footerReference w:type="default" r:id="rId11"/>
          <w:pgSz w:w="7940" w:h="11910"/>
          <w:pgMar w:footer="469" w:header="0" w:top="480" w:bottom="660" w:left="1020" w:right="1020"/>
        </w:sectPr>
      </w:pPr>
    </w:p>
    <w:p>
      <w:pPr>
        <w:spacing w:before="50"/>
        <w:ind w:left="1227" w:right="102" w:firstLine="0"/>
        <w:jc w:val="left"/>
        <w:rPr>
          <w:sz w:val="14"/>
        </w:rPr>
      </w:pPr>
      <w:r>
        <w:rPr>
          <w:color w:val="231F20"/>
          <w:sz w:val="18"/>
        </w:rPr>
        <w:t>L</w:t>
      </w:r>
      <w:r>
        <w:rPr>
          <w:color w:val="231F20"/>
          <w:sz w:val="14"/>
        </w:rPr>
        <w:t>A PORCICULTURA EN EL SUR DEL </w:t>
      </w:r>
      <w:r>
        <w:rPr>
          <w:color w:val="231F20"/>
          <w:sz w:val="18"/>
        </w:rPr>
        <w:t>E</w:t>
      </w:r>
      <w:r>
        <w:rPr>
          <w:color w:val="231F20"/>
          <w:sz w:val="14"/>
        </w:rPr>
        <w:t>STADO DE </w:t>
      </w:r>
      <w:r>
        <w:rPr>
          <w:color w:val="231F20"/>
          <w:sz w:val="18"/>
        </w:rPr>
        <w:t>M</w:t>
      </w:r>
      <w:r>
        <w:rPr>
          <w:color w:val="231F20"/>
          <w:sz w:val="14"/>
        </w:rPr>
        <w:t>ÉXICO</w:t>
      </w:r>
    </w:p>
    <w:p>
      <w:pPr>
        <w:pStyle w:val="BodyText"/>
        <w:spacing w:before="1"/>
        <w:rPr>
          <w:sz w:val="22"/>
        </w:rPr>
      </w:pPr>
    </w:p>
    <w:p>
      <w:pPr>
        <w:pStyle w:val="Heading4"/>
        <w:spacing w:before="66"/>
      </w:pPr>
      <w:r>
        <w:rPr>
          <w:color w:val="231F20"/>
        </w:rPr>
        <w:t>Canal de comercialización</w:t>
      </w:r>
    </w:p>
    <w:p>
      <w:pPr>
        <w:pStyle w:val="BodyText"/>
        <w:spacing w:line="273" w:lineRule="auto" w:before="185"/>
        <w:ind w:left="113" w:right="111"/>
        <w:jc w:val="both"/>
      </w:pPr>
      <w:r>
        <w:rPr>
          <w:color w:val="231F20"/>
        </w:rPr>
        <w:t>Un</w:t>
      </w:r>
      <w:r>
        <w:rPr>
          <w:color w:val="231F20"/>
          <w:spacing w:val="-10"/>
        </w:rPr>
        <w:t> </w:t>
      </w:r>
      <w:r>
        <w:rPr>
          <w:color w:val="231F20"/>
        </w:rPr>
        <w:t>canal</w:t>
      </w:r>
      <w:r>
        <w:rPr>
          <w:color w:val="231F20"/>
          <w:spacing w:val="-10"/>
        </w:rPr>
        <w:t> </w:t>
      </w:r>
      <w:r>
        <w:rPr>
          <w:color w:val="231F20"/>
        </w:rPr>
        <w:t>de</w:t>
      </w:r>
      <w:r>
        <w:rPr>
          <w:color w:val="231F20"/>
          <w:spacing w:val="-10"/>
        </w:rPr>
        <w:t> </w:t>
      </w:r>
      <w:r>
        <w:rPr>
          <w:color w:val="231F20"/>
        </w:rPr>
        <w:t>comercialización</w:t>
      </w:r>
      <w:r>
        <w:rPr>
          <w:color w:val="231F20"/>
          <w:spacing w:val="-10"/>
        </w:rPr>
        <w:t> </w:t>
      </w:r>
      <w:r>
        <w:rPr>
          <w:color w:val="231F20"/>
        </w:rPr>
        <w:t>comprende</w:t>
      </w:r>
      <w:r>
        <w:rPr>
          <w:color w:val="231F20"/>
          <w:spacing w:val="-10"/>
        </w:rPr>
        <w:t> </w:t>
      </w:r>
      <w:r>
        <w:rPr>
          <w:color w:val="231F20"/>
        </w:rPr>
        <w:t>etapas</w:t>
      </w:r>
      <w:r>
        <w:rPr>
          <w:color w:val="231F20"/>
          <w:spacing w:val="-10"/>
        </w:rPr>
        <w:t> </w:t>
      </w:r>
      <w:r>
        <w:rPr>
          <w:color w:val="231F20"/>
        </w:rPr>
        <w:t>por</w:t>
      </w:r>
      <w:r>
        <w:rPr>
          <w:color w:val="231F20"/>
          <w:spacing w:val="-10"/>
        </w:rPr>
        <w:t> </w:t>
      </w:r>
      <w:r>
        <w:rPr>
          <w:color w:val="231F20"/>
        </w:rPr>
        <w:t>las</w:t>
      </w:r>
      <w:r>
        <w:rPr>
          <w:color w:val="231F20"/>
          <w:spacing w:val="-9"/>
        </w:rPr>
        <w:t> </w:t>
      </w:r>
      <w:r>
        <w:rPr>
          <w:color w:val="231F20"/>
        </w:rPr>
        <w:t>cuales</w:t>
      </w:r>
      <w:r>
        <w:rPr>
          <w:color w:val="231F20"/>
          <w:spacing w:val="-10"/>
        </w:rPr>
        <w:t> </w:t>
      </w:r>
      <w:r>
        <w:rPr>
          <w:color w:val="231F20"/>
        </w:rPr>
        <w:t>deben</w:t>
      </w:r>
      <w:r>
        <w:rPr>
          <w:color w:val="231F20"/>
          <w:spacing w:val="-10"/>
        </w:rPr>
        <w:t> </w:t>
      </w:r>
      <w:r>
        <w:rPr>
          <w:color w:val="231F20"/>
        </w:rPr>
        <w:t>pasar los bienes en el proceso de transferencia entre productor y consumidor final. A los canales se les conoce también como “circuitos” o “canales de </w:t>
      </w:r>
      <w:r>
        <w:rPr>
          <w:color w:val="231F20"/>
          <w:spacing w:val="-3"/>
        </w:rPr>
        <w:t>mercadeo”, </w:t>
      </w:r>
      <w:r>
        <w:rPr>
          <w:color w:val="231F20"/>
        </w:rPr>
        <w:t>“canal de distribución”, y “cadena de intermediarios” (Mendo- za,</w:t>
      </w:r>
      <w:r>
        <w:rPr>
          <w:color w:val="231F20"/>
          <w:spacing w:val="-1"/>
        </w:rPr>
        <w:t> </w:t>
      </w:r>
      <w:r>
        <w:rPr>
          <w:color w:val="231F20"/>
        </w:rPr>
        <w:t>1987).</w:t>
      </w:r>
    </w:p>
    <w:p>
      <w:pPr>
        <w:pStyle w:val="BodyText"/>
        <w:spacing w:line="278" w:lineRule="auto"/>
        <w:ind w:left="113" w:right="111" w:firstLine="283"/>
        <w:jc w:val="both"/>
        <w:rPr>
          <w:rFonts w:ascii="Times New Roman" w:hAnsi="Times New Roman"/>
        </w:rPr>
      </w:pPr>
      <w:r>
        <w:rPr>
          <w:rFonts w:ascii="Times New Roman" w:hAnsi="Times New Roman"/>
          <w:color w:val="231F20"/>
        </w:rPr>
        <w:t>En</w:t>
      </w:r>
      <w:r>
        <w:rPr>
          <w:rFonts w:ascii="Times New Roman" w:hAnsi="Times New Roman"/>
          <w:color w:val="231F20"/>
          <w:spacing w:val="-11"/>
        </w:rPr>
        <w:t> </w:t>
      </w:r>
      <w:r>
        <w:rPr>
          <w:rFonts w:ascii="Times New Roman" w:hAnsi="Times New Roman"/>
          <w:color w:val="231F20"/>
        </w:rPr>
        <w:t>este</w:t>
      </w:r>
      <w:r>
        <w:rPr>
          <w:rFonts w:ascii="Times New Roman" w:hAnsi="Times New Roman"/>
          <w:color w:val="231F20"/>
          <w:spacing w:val="-11"/>
        </w:rPr>
        <w:t> </w:t>
      </w:r>
      <w:r>
        <w:rPr>
          <w:rFonts w:ascii="Times New Roman" w:hAnsi="Times New Roman"/>
          <w:color w:val="231F20"/>
        </w:rPr>
        <w:t>sentido,</w:t>
      </w:r>
      <w:r>
        <w:rPr>
          <w:rFonts w:ascii="Times New Roman" w:hAnsi="Times New Roman"/>
          <w:color w:val="231F20"/>
          <w:spacing w:val="-11"/>
        </w:rPr>
        <w:t> </w:t>
      </w:r>
      <w:r>
        <w:rPr>
          <w:rFonts w:ascii="Times New Roman" w:hAnsi="Times New Roman"/>
          <w:color w:val="231F20"/>
        </w:rPr>
        <w:t>Harrison</w:t>
      </w:r>
      <w:r>
        <w:rPr>
          <w:rFonts w:ascii="Times New Roman" w:hAnsi="Times New Roman"/>
          <w:color w:val="231F20"/>
          <w:spacing w:val="-11"/>
        </w:rPr>
        <w:t> </w:t>
      </w:r>
      <w:r>
        <w:rPr>
          <w:i/>
          <w:color w:val="231F20"/>
        </w:rPr>
        <w:t>et</w:t>
      </w:r>
      <w:r>
        <w:rPr>
          <w:i/>
          <w:color w:val="231F20"/>
          <w:spacing w:val="-10"/>
        </w:rPr>
        <w:t> </w:t>
      </w:r>
      <w:r>
        <w:rPr>
          <w:i/>
          <w:color w:val="231F20"/>
        </w:rPr>
        <w:t>al</w:t>
      </w:r>
      <w:r>
        <w:rPr>
          <w:rFonts w:ascii="Times New Roman" w:hAnsi="Times New Roman"/>
          <w:i/>
          <w:color w:val="231F20"/>
        </w:rPr>
        <w:t>.</w:t>
      </w:r>
      <w:r>
        <w:rPr>
          <w:rFonts w:ascii="Times New Roman" w:hAnsi="Times New Roman"/>
          <w:i/>
          <w:color w:val="231F20"/>
          <w:spacing w:val="-11"/>
        </w:rPr>
        <w:t> </w:t>
      </w:r>
      <w:r>
        <w:rPr>
          <w:rFonts w:ascii="Times New Roman" w:hAnsi="Times New Roman"/>
          <w:color w:val="231F20"/>
        </w:rPr>
        <w:t>(1976)</w:t>
      </w:r>
      <w:r>
        <w:rPr>
          <w:rFonts w:ascii="Times New Roman" w:hAnsi="Times New Roman"/>
          <w:color w:val="231F20"/>
          <w:spacing w:val="-11"/>
        </w:rPr>
        <w:t> </w:t>
      </w:r>
      <w:r>
        <w:rPr>
          <w:rFonts w:ascii="Times New Roman" w:hAnsi="Times New Roman"/>
          <w:color w:val="231F20"/>
        </w:rPr>
        <w:t>definen</w:t>
      </w:r>
      <w:r>
        <w:rPr>
          <w:rFonts w:ascii="Times New Roman" w:hAnsi="Times New Roman"/>
          <w:color w:val="231F20"/>
          <w:spacing w:val="-11"/>
        </w:rPr>
        <w:t> </w:t>
      </w:r>
      <w:r>
        <w:rPr>
          <w:rFonts w:ascii="Times New Roman" w:hAnsi="Times New Roman"/>
          <w:color w:val="231F20"/>
        </w:rPr>
        <w:t>el</w:t>
      </w:r>
      <w:r>
        <w:rPr>
          <w:rFonts w:ascii="Times New Roman" w:hAnsi="Times New Roman"/>
          <w:color w:val="231F20"/>
          <w:spacing w:val="-11"/>
        </w:rPr>
        <w:t> </w:t>
      </w:r>
      <w:r>
        <w:rPr>
          <w:rFonts w:ascii="Times New Roman" w:hAnsi="Times New Roman"/>
          <w:color w:val="231F20"/>
        </w:rPr>
        <w:t>canal</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distribución</w:t>
      </w:r>
      <w:r>
        <w:rPr>
          <w:rFonts w:ascii="Times New Roman" w:hAnsi="Times New Roman"/>
          <w:color w:val="231F20"/>
          <w:spacing w:val="-11"/>
        </w:rPr>
        <w:t> </w:t>
      </w:r>
      <w:r>
        <w:rPr>
          <w:rFonts w:ascii="Times New Roman" w:hAnsi="Times New Roman"/>
          <w:color w:val="231F20"/>
        </w:rPr>
        <w:t>como una</w:t>
      </w:r>
      <w:r>
        <w:rPr>
          <w:rFonts w:ascii="Times New Roman" w:hAnsi="Times New Roman"/>
          <w:color w:val="231F20"/>
          <w:spacing w:val="-5"/>
        </w:rPr>
        <w:t> </w:t>
      </w:r>
      <w:r>
        <w:rPr>
          <w:rFonts w:ascii="Times New Roman" w:hAnsi="Times New Roman"/>
          <w:color w:val="231F20"/>
        </w:rPr>
        <w:t>serie</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instituciones</w:t>
      </w:r>
      <w:r>
        <w:rPr>
          <w:rFonts w:ascii="Times New Roman" w:hAnsi="Times New Roman"/>
          <w:color w:val="231F20"/>
          <w:spacing w:val="-5"/>
        </w:rPr>
        <w:t> </w:t>
      </w:r>
      <w:r>
        <w:rPr>
          <w:rFonts w:ascii="Times New Roman" w:hAnsi="Times New Roman"/>
          <w:color w:val="231F20"/>
        </w:rPr>
        <w:t>u</w:t>
      </w:r>
      <w:r>
        <w:rPr>
          <w:rFonts w:ascii="Times New Roman" w:hAnsi="Times New Roman"/>
          <w:color w:val="231F20"/>
          <w:spacing w:val="-5"/>
        </w:rPr>
        <w:t> </w:t>
      </w:r>
      <w:r>
        <w:rPr>
          <w:rFonts w:ascii="Times New Roman" w:hAnsi="Times New Roman"/>
          <w:color w:val="231F20"/>
        </w:rPr>
        <w:t>organismos</w:t>
      </w:r>
      <w:r>
        <w:rPr>
          <w:rFonts w:ascii="Times New Roman" w:hAnsi="Times New Roman"/>
          <w:color w:val="231F20"/>
          <w:spacing w:val="-5"/>
        </w:rPr>
        <w:t> </w:t>
      </w:r>
      <w:r>
        <w:rPr>
          <w:rFonts w:ascii="Times New Roman" w:hAnsi="Times New Roman"/>
          <w:color w:val="231F20"/>
        </w:rPr>
        <w:t>que</w:t>
      </w:r>
      <w:r>
        <w:rPr>
          <w:rFonts w:ascii="Times New Roman" w:hAnsi="Times New Roman"/>
          <w:color w:val="231F20"/>
          <w:spacing w:val="-5"/>
        </w:rPr>
        <w:t> </w:t>
      </w:r>
      <w:r>
        <w:rPr>
          <w:rFonts w:ascii="Times New Roman" w:hAnsi="Times New Roman"/>
          <w:color w:val="231F20"/>
        </w:rPr>
        <w:t>manejan</w:t>
      </w:r>
      <w:r>
        <w:rPr>
          <w:rFonts w:ascii="Times New Roman" w:hAnsi="Times New Roman"/>
          <w:color w:val="231F20"/>
          <w:spacing w:val="-5"/>
        </w:rPr>
        <w:t> </w:t>
      </w:r>
      <w:r>
        <w:rPr>
          <w:rFonts w:ascii="Times New Roman" w:hAnsi="Times New Roman"/>
          <w:color w:val="231F20"/>
        </w:rPr>
        <w:t>un</w:t>
      </w:r>
      <w:r>
        <w:rPr>
          <w:rFonts w:ascii="Times New Roman" w:hAnsi="Times New Roman"/>
          <w:color w:val="231F20"/>
          <w:spacing w:val="-5"/>
        </w:rPr>
        <w:t> </w:t>
      </w:r>
      <w:r>
        <w:rPr>
          <w:rFonts w:ascii="Times New Roman" w:hAnsi="Times New Roman"/>
          <w:color w:val="231F20"/>
        </w:rPr>
        <w:t>producto</w:t>
      </w:r>
      <w:r>
        <w:rPr>
          <w:rFonts w:ascii="Times New Roman" w:hAnsi="Times New Roman"/>
          <w:color w:val="231F20"/>
          <w:spacing w:val="-4"/>
        </w:rPr>
        <w:t> </w:t>
      </w:r>
      <w:r>
        <w:rPr>
          <w:rFonts w:ascii="Times New Roman" w:hAnsi="Times New Roman"/>
          <w:color w:val="231F20"/>
        </w:rPr>
        <w:t>o</w:t>
      </w:r>
      <w:r>
        <w:rPr>
          <w:rFonts w:ascii="Times New Roman" w:hAnsi="Times New Roman"/>
          <w:color w:val="231F20"/>
          <w:spacing w:val="-5"/>
        </w:rPr>
        <w:t> </w:t>
      </w:r>
      <w:r>
        <w:rPr>
          <w:rFonts w:ascii="Times New Roman" w:hAnsi="Times New Roman"/>
          <w:color w:val="231F20"/>
        </w:rPr>
        <w:t>un</w:t>
      </w:r>
      <w:r>
        <w:rPr>
          <w:rFonts w:ascii="Times New Roman" w:hAnsi="Times New Roman"/>
          <w:color w:val="231F20"/>
          <w:spacing w:val="-5"/>
        </w:rPr>
        <w:t> </w:t>
      </w:r>
      <w:r>
        <w:rPr>
          <w:rFonts w:ascii="Times New Roman" w:hAnsi="Times New Roman"/>
          <w:color w:val="231F20"/>
        </w:rPr>
        <w:t>determi- nado grupo de productos, desde la producción hasta el consumo final. El canal de comercialización permite señalar la importancia y el papel que desempeña cada participante en el movimiento de los bienes y servicios. Cada etapa del canal señala un cambio de propiedad del producto o un tipo de servicio que se presta dentro del proceso de comercialización.</w:t>
      </w:r>
    </w:p>
    <w:p>
      <w:pPr>
        <w:pStyle w:val="BodyText"/>
        <w:rPr>
          <w:rFonts w:ascii="Times New Roman"/>
        </w:rPr>
      </w:pPr>
    </w:p>
    <w:p>
      <w:pPr>
        <w:pStyle w:val="Heading4"/>
        <w:spacing w:before="124"/>
      </w:pPr>
      <w:r>
        <w:rPr>
          <w:color w:val="231F20"/>
        </w:rPr>
        <w:t>Margen de comercialización</w:t>
      </w:r>
    </w:p>
    <w:p>
      <w:pPr>
        <w:pStyle w:val="BodyText"/>
        <w:spacing w:line="273" w:lineRule="auto" w:before="185"/>
        <w:ind w:left="113" w:right="111"/>
        <w:jc w:val="both"/>
      </w:pPr>
      <w:r>
        <w:rPr>
          <w:color w:val="231F20"/>
        </w:rPr>
        <w:t>La comercialización de productos agropecuarios está constituida por una red de estructuras que facilitan la circulación de bienes entre el productor y el consumidor en la cual intervienen distintos agentes que, al incurrir en costos por agregación de valor o movilización del producto, contribuyen a elevar el precio final del producto.</w:t>
      </w:r>
    </w:p>
    <w:p>
      <w:pPr>
        <w:pStyle w:val="BodyText"/>
        <w:spacing w:line="273" w:lineRule="auto"/>
        <w:ind w:left="113" w:right="111" w:firstLine="283"/>
        <w:jc w:val="both"/>
      </w:pPr>
      <w:r>
        <w:rPr>
          <w:color w:val="231F20"/>
        </w:rPr>
        <w:t>El margen de comercialización permite sufragar los costos y riesgos del</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comercialización</w:t>
      </w:r>
      <w:r>
        <w:rPr>
          <w:color w:val="231F20"/>
          <w:spacing w:val="-7"/>
        </w:rPr>
        <w:t> </w:t>
      </w:r>
      <w:r>
        <w:rPr>
          <w:color w:val="231F20"/>
        </w:rPr>
        <w:t>y</w:t>
      </w:r>
      <w:r>
        <w:rPr>
          <w:color w:val="231F20"/>
          <w:spacing w:val="-7"/>
        </w:rPr>
        <w:t> </w:t>
      </w:r>
      <w:r>
        <w:rPr>
          <w:color w:val="231F20"/>
        </w:rPr>
        <w:t>generar</w:t>
      </w:r>
      <w:r>
        <w:rPr>
          <w:color w:val="231F20"/>
          <w:spacing w:val="-7"/>
        </w:rPr>
        <w:t> </w:t>
      </w:r>
      <w:r>
        <w:rPr>
          <w:color w:val="231F20"/>
        </w:rPr>
        <w:t>una</w:t>
      </w:r>
      <w:r>
        <w:rPr>
          <w:color w:val="231F20"/>
          <w:spacing w:val="-7"/>
        </w:rPr>
        <w:t> </w:t>
      </w:r>
      <w:r>
        <w:rPr>
          <w:color w:val="231F20"/>
        </w:rPr>
        <w:t>retribución</w:t>
      </w:r>
      <w:r>
        <w:rPr>
          <w:color w:val="231F20"/>
          <w:spacing w:val="-7"/>
        </w:rPr>
        <w:t> </w:t>
      </w:r>
      <w:r>
        <w:rPr>
          <w:color w:val="231F20"/>
        </w:rPr>
        <w:t>o</w:t>
      </w:r>
      <w:r>
        <w:rPr>
          <w:color w:val="231F20"/>
          <w:spacing w:val="-7"/>
        </w:rPr>
        <w:t> </w:t>
      </w:r>
      <w:r>
        <w:rPr>
          <w:color w:val="231F20"/>
        </w:rPr>
        <w:t>beneficio</w:t>
      </w:r>
      <w:r>
        <w:rPr>
          <w:color w:val="231F20"/>
          <w:spacing w:val="-7"/>
        </w:rPr>
        <w:t> </w:t>
      </w:r>
      <w:r>
        <w:rPr>
          <w:color w:val="231F20"/>
        </w:rPr>
        <w:t>neto a quienes participan en dicho proceso de distribución comercial, en tanto que el margen del agricultor cubre los costos y riesgos de la producción más el beneficio neto o retribución al</w:t>
      </w:r>
      <w:r>
        <w:rPr>
          <w:color w:val="231F20"/>
          <w:spacing w:val="-5"/>
        </w:rPr>
        <w:t> </w:t>
      </w:r>
      <w:r>
        <w:rPr>
          <w:color w:val="231F20"/>
          <w:spacing w:val="-3"/>
        </w:rPr>
        <w:t>productor.</w:t>
      </w:r>
    </w:p>
    <w:p>
      <w:pPr>
        <w:pStyle w:val="BodyText"/>
        <w:spacing w:line="273" w:lineRule="auto"/>
        <w:ind w:left="113" w:right="111" w:firstLine="283"/>
        <w:jc w:val="both"/>
      </w:pPr>
      <w:r>
        <w:rPr>
          <w:color w:val="231F20"/>
        </w:rPr>
        <w:t>De acuerdo con Caldentey (1979), por margen de comercialización se entiende, en general, el aumento de precio que experimenta un producto en el proceso de comercialización o en una parte del mismo.</w:t>
      </w:r>
    </w:p>
    <w:p>
      <w:pPr>
        <w:pStyle w:val="BodyText"/>
        <w:spacing w:line="273" w:lineRule="auto"/>
        <w:ind w:left="113" w:right="111" w:firstLine="283"/>
        <w:jc w:val="both"/>
      </w:pPr>
      <w:r>
        <w:rPr>
          <w:color w:val="231F20"/>
        </w:rPr>
        <w:t>El</w:t>
      </w:r>
      <w:r>
        <w:rPr>
          <w:color w:val="231F20"/>
          <w:spacing w:val="-4"/>
        </w:rPr>
        <w:t> </w:t>
      </w:r>
      <w:r>
        <w:rPr>
          <w:color w:val="231F20"/>
        </w:rPr>
        <w:t>margen</w:t>
      </w:r>
      <w:r>
        <w:rPr>
          <w:color w:val="231F20"/>
          <w:spacing w:val="-4"/>
        </w:rPr>
        <w:t> </w:t>
      </w:r>
      <w:r>
        <w:rPr>
          <w:color w:val="231F20"/>
        </w:rPr>
        <w:t>de</w:t>
      </w:r>
      <w:r>
        <w:rPr>
          <w:color w:val="231F20"/>
          <w:spacing w:val="-5"/>
        </w:rPr>
        <w:t> </w:t>
      </w:r>
      <w:r>
        <w:rPr>
          <w:color w:val="231F20"/>
        </w:rPr>
        <w:t>comercialización</w:t>
      </w:r>
      <w:r>
        <w:rPr>
          <w:color w:val="231F20"/>
          <w:spacing w:val="-4"/>
        </w:rPr>
        <w:t> </w:t>
      </w:r>
      <w:r>
        <w:rPr>
          <w:color w:val="231F20"/>
        </w:rPr>
        <w:t>es</w:t>
      </w:r>
      <w:r>
        <w:rPr>
          <w:color w:val="231F20"/>
          <w:spacing w:val="-5"/>
        </w:rPr>
        <w:t> </w:t>
      </w:r>
      <w:r>
        <w:rPr>
          <w:color w:val="231F20"/>
        </w:rPr>
        <w:t>la</w:t>
      </w:r>
      <w:r>
        <w:rPr>
          <w:color w:val="231F20"/>
          <w:spacing w:val="-4"/>
        </w:rPr>
        <w:t> </w:t>
      </w:r>
      <w:r>
        <w:rPr>
          <w:color w:val="231F20"/>
        </w:rPr>
        <w:t>diferencia</w:t>
      </w:r>
      <w:r>
        <w:rPr>
          <w:color w:val="231F20"/>
          <w:spacing w:val="-4"/>
        </w:rPr>
        <w:t> </w:t>
      </w:r>
      <w:r>
        <w:rPr>
          <w:color w:val="231F20"/>
        </w:rPr>
        <w:t>entre</w:t>
      </w:r>
      <w:r>
        <w:rPr>
          <w:color w:val="231F20"/>
          <w:spacing w:val="-4"/>
        </w:rPr>
        <w:t> </w:t>
      </w:r>
      <w:r>
        <w:rPr>
          <w:color w:val="231F20"/>
        </w:rPr>
        <w:t>el</w:t>
      </w:r>
      <w:r>
        <w:rPr>
          <w:color w:val="231F20"/>
          <w:spacing w:val="-4"/>
        </w:rPr>
        <w:t> </w:t>
      </w:r>
      <w:r>
        <w:rPr>
          <w:color w:val="231F20"/>
        </w:rPr>
        <w:t>precio</w:t>
      </w:r>
      <w:r>
        <w:rPr>
          <w:color w:val="231F20"/>
          <w:spacing w:val="-5"/>
        </w:rPr>
        <w:t> </w:t>
      </w:r>
      <w:r>
        <w:rPr>
          <w:color w:val="231F20"/>
        </w:rPr>
        <w:t>que</w:t>
      </w:r>
      <w:r>
        <w:rPr>
          <w:color w:val="231F20"/>
          <w:spacing w:val="-4"/>
        </w:rPr>
        <w:t> </w:t>
      </w:r>
      <w:r>
        <w:rPr>
          <w:color w:val="231F20"/>
        </w:rPr>
        <w:t>paga el consumidor por un producto y el precio recibido por el </w:t>
      </w:r>
      <w:r>
        <w:rPr>
          <w:color w:val="231F20"/>
          <w:spacing w:val="-3"/>
        </w:rPr>
        <w:t>productor. </w:t>
      </w:r>
      <w:r>
        <w:rPr>
          <w:color w:val="231F20"/>
        </w:rPr>
        <w:t>Se le conoce también como “margen de </w:t>
      </w:r>
      <w:r>
        <w:rPr>
          <w:color w:val="231F20"/>
          <w:spacing w:val="-4"/>
        </w:rPr>
        <w:t>precio”, </w:t>
      </w:r>
      <w:r>
        <w:rPr>
          <w:color w:val="231F20"/>
        </w:rPr>
        <w:t>“margen bruto de comercializa- ción”</w:t>
      </w:r>
      <w:r>
        <w:rPr>
          <w:color w:val="231F20"/>
          <w:spacing w:val="-5"/>
        </w:rPr>
        <w:t> </w:t>
      </w:r>
      <w:r>
        <w:rPr>
          <w:color w:val="231F20"/>
        </w:rPr>
        <w:t>o</w:t>
      </w:r>
      <w:r>
        <w:rPr>
          <w:color w:val="231F20"/>
          <w:spacing w:val="-4"/>
        </w:rPr>
        <w:t> </w:t>
      </w:r>
      <w:r>
        <w:rPr>
          <w:color w:val="231F20"/>
        </w:rPr>
        <w:t>“margen</w:t>
      </w:r>
      <w:r>
        <w:rPr>
          <w:color w:val="231F20"/>
          <w:spacing w:val="-4"/>
        </w:rPr>
        <w:t> </w:t>
      </w:r>
      <w:r>
        <w:rPr>
          <w:color w:val="231F20"/>
        </w:rPr>
        <w:t>bruto</w:t>
      </w:r>
      <w:r>
        <w:rPr>
          <w:color w:val="231F20"/>
          <w:spacing w:val="-4"/>
        </w:rPr>
        <w:t> </w:t>
      </w:r>
      <w:r>
        <w:rPr>
          <w:color w:val="231F20"/>
        </w:rPr>
        <w:t>de</w:t>
      </w:r>
      <w:r>
        <w:rPr>
          <w:color w:val="231F20"/>
          <w:spacing w:val="-5"/>
        </w:rPr>
        <w:t> </w:t>
      </w:r>
      <w:r>
        <w:rPr>
          <w:color w:val="231F20"/>
        </w:rPr>
        <w:t>mercadeo”</w:t>
      </w:r>
      <w:r>
        <w:rPr>
          <w:color w:val="231F20"/>
          <w:spacing w:val="-5"/>
        </w:rPr>
        <w:t> </w:t>
      </w:r>
      <w:r>
        <w:rPr>
          <w:color w:val="231F20"/>
        </w:rPr>
        <w:t>(Mendoza,</w:t>
      </w:r>
      <w:r>
        <w:rPr>
          <w:color w:val="231F20"/>
          <w:spacing w:val="-5"/>
        </w:rPr>
        <w:t> </w:t>
      </w:r>
      <w:r>
        <w:rPr>
          <w:color w:val="231F20"/>
        </w:rPr>
        <w:t>1987).</w:t>
      </w:r>
    </w:p>
    <w:p>
      <w:pPr>
        <w:pStyle w:val="BodyText"/>
      </w:pPr>
    </w:p>
    <w:p>
      <w:pPr>
        <w:pStyle w:val="Heading4"/>
      </w:pPr>
      <w:r>
        <w:rPr>
          <w:color w:val="231F20"/>
        </w:rPr>
        <w:t>Cálculo del margen de comercialización</w:t>
      </w:r>
    </w:p>
    <w:p>
      <w:pPr>
        <w:pStyle w:val="BodyText"/>
        <w:spacing w:line="273" w:lineRule="auto" w:before="185"/>
        <w:ind w:left="113" w:right="111"/>
        <w:jc w:val="both"/>
      </w:pPr>
      <w:r>
        <w:rPr>
          <w:color w:val="231F20"/>
        </w:rPr>
        <w:t>Para</w:t>
      </w:r>
      <w:r>
        <w:rPr>
          <w:color w:val="231F20"/>
          <w:spacing w:val="-5"/>
        </w:rPr>
        <w:t> </w:t>
      </w:r>
      <w:r>
        <w:rPr>
          <w:color w:val="231F20"/>
          <w:spacing w:val="-3"/>
        </w:rPr>
        <w:t>Tomek</w:t>
      </w:r>
      <w:r>
        <w:rPr>
          <w:color w:val="231F20"/>
          <w:spacing w:val="-6"/>
        </w:rPr>
        <w:t> </w:t>
      </w:r>
      <w:r>
        <w:rPr>
          <w:color w:val="231F20"/>
        </w:rPr>
        <w:t>y</w:t>
      </w:r>
      <w:r>
        <w:rPr>
          <w:color w:val="231F20"/>
          <w:spacing w:val="-5"/>
        </w:rPr>
        <w:t> </w:t>
      </w:r>
      <w:r>
        <w:rPr>
          <w:color w:val="231F20"/>
        </w:rPr>
        <w:t>Robinson</w:t>
      </w:r>
      <w:r>
        <w:rPr>
          <w:color w:val="231F20"/>
          <w:spacing w:val="-6"/>
        </w:rPr>
        <w:t> </w:t>
      </w:r>
      <w:r>
        <w:rPr>
          <w:color w:val="231F20"/>
        </w:rPr>
        <w:t>(1981),</w:t>
      </w:r>
      <w:r>
        <w:rPr>
          <w:color w:val="231F20"/>
          <w:spacing w:val="-6"/>
        </w:rPr>
        <w:t> </w:t>
      </w:r>
      <w:r>
        <w:rPr>
          <w:color w:val="231F20"/>
        </w:rPr>
        <w:t>el</w:t>
      </w:r>
      <w:r>
        <w:rPr>
          <w:color w:val="231F20"/>
          <w:spacing w:val="-5"/>
        </w:rPr>
        <w:t> </w:t>
      </w:r>
      <w:r>
        <w:rPr>
          <w:color w:val="231F20"/>
        </w:rPr>
        <w:t>margen</w:t>
      </w:r>
      <w:r>
        <w:rPr>
          <w:color w:val="231F20"/>
          <w:spacing w:val="-5"/>
        </w:rPr>
        <w:t> </w:t>
      </w:r>
      <w:r>
        <w:rPr>
          <w:color w:val="231F20"/>
        </w:rPr>
        <w:t>absoluto</w:t>
      </w:r>
      <w:r>
        <w:rPr>
          <w:color w:val="231F20"/>
          <w:spacing w:val="-5"/>
        </w:rPr>
        <w:t> </w:t>
      </w:r>
      <w:r>
        <w:rPr>
          <w:color w:val="231F20"/>
        </w:rPr>
        <w:t>de</w:t>
      </w:r>
      <w:r>
        <w:rPr>
          <w:color w:val="231F20"/>
          <w:spacing w:val="-5"/>
        </w:rPr>
        <w:t> </w:t>
      </w:r>
      <w:r>
        <w:rPr>
          <w:color w:val="231F20"/>
        </w:rPr>
        <w:t>comercialización</w:t>
      </w:r>
      <w:r>
        <w:rPr>
          <w:color w:val="231F20"/>
          <w:spacing w:val="-6"/>
        </w:rPr>
        <w:t> </w:t>
      </w:r>
      <w:r>
        <w:rPr>
          <w:color w:val="231F20"/>
        </w:rPr>
        <w:t>es una diferencia entre el precio pagado por el consumidor y el obtenido por el </w:t>
      </w:r>
      <w:r>
        <w:rPr>
          <w:color w:val="231F20"/>
          <w:spacing w:val="-3"/>
        </w:rPr>
        <w:t>productor, </w:t>
      </w:r>
      <w:r>
        <w:rPr>
          <w:color w:val="231F20"/>
        </w:rPr>
        <w:t>o entre niveles intermedios, esto</w:t>
      </w:r>
      <w:r>
        <w:rPr>
          <w:color w:val="231F20"/>
          <w:spacing w:val="-10"/>
        </w:rPr>
        <w:t> </w:t>
      </w:r>
      <w:r>
        <w:rPr>
          <w:color w:val="231F20"/>
        </w:rPr>
        <w:t>es:</w:t>
      </w:r>
    </w:p>
    <w:p>
      <w:pPr>
        <w:spacing w:after="0" w:line="273" w:lineRule="auto"/>
        <w:jc w:val="both"/>
        <w:sectPr>
          <w:footerReference w:type="default" r:id="rId12"/>
          <w:pgSz w:w="7940" w:h="11910"/>
          <w:pgMar w:footer="469" w:header="0" w:top="500" w:bottom="660" w:left="1020" w:right="1020"/>
          <w:pgNumType w:start="91"/>
        </w:sectPr>
      </w:pPr>
    </w:p>
    <w:p>
      <w:pPr>
        <w:spacing w:before="60"/>
        <w:ind w:left="597" w:right="102" w:firstLine="0"/>
        <w:jc w:val="left"/>
        <w:rPr>
          <w:sz w:val="14"/>
        </w:rPr>
      </w:pPr>
      <w:r>
        <w:rPr>
          <w:color w:val="231F20"/>
          <w:sz w:val="18"/>
        </w:rPr>
        <w:t>F. G</w:t>
      </w:r>
      <w:r>
        <w:rPr>
          <w:color w:val="231F20"/>
          <w:sz w:val="14"/>
        </w:rPr>
        <w:t>ONZÁLEZ-</w:t>
      </w:r>
      <w:r>
        <w:rPr>
          <w:color w:val="231F20"/>
          <w:sz w:val="18"/>
        </w:rPr>
        <w:t>R</w:t>
      </w:r>
      <w:r>
        <w:rPr>
          <w:color w:val="231F20"/>
          <w:sz w:val="14"/>
        </w:rPr>
        <w:t>AZO</w:t>
      </w:r>
      <w:r>
        <w:rPr>
          <w:color w:val="231F20"/>
          <w:sz w:val="18"/>
        </w:rPr>
        <w:t>, S. R</w:t>
      </w:r>
      <w:r>
        <w:rPr>
          <w:color w:val="231F20"/>
          <w:sz w:val="14"/>
        </w:rPr>
        <w:t>EBOLLAR</w:t>
      </w:r>
      <w:r>
        <w:rPr>
          <w:color w:val="231F20"/>
          <w:sz w:val="18"/>
        </w:rPr>
        <w:t>-R</w:t>
      </w:r>
      <w:r>
        <w:rPr>
          <w:color w:val="231F20"/>
          <w:sz w:val="14"/>
        </w:rPr>
        <w:t>EBOLLAR</w:t>
      </w:r>
      <w:r>
        <w:rPr>
          <w:color w:val="231F20"/>
          <w:sz w:val="18"/>
        </w:rPr>
        <w:t>, J</w:t>
      </w:r>
      <w:r>
        <w:rPr>
          <w:color w:val="231F20"/>
          <w:sz w:val="14"/>
        </w:rPr>
        <w:t>. </w:t>
      </w:r>
      <w:r>
        <w:rPr>
          <w:color w:val="231F20"/>
          <w:sz w:val="18"/>
        </w:rPr>
        <w:t>H</w:t>
      </w:r>
      <w:r>
        <w:rPr>
          <w:color w:val="231F20"/>
          <w:sz w:val="14"/>
        </w:rPr>
        <w:t>ERNÁNDEZ-</w:t>
      </w:r>
      <w:r>
        <w:rPr>
          <w:color w:val="231F20"/>
          <w:sz w:val="18"/>
        </w:rPr>
        <w:t>M</w:t>
      </w:r>
      <w:r>
        <w:rPr>
          <w:color w:val="231F20"/>
          <w:sz w:val="14"/>
        </w:rPr>
        <w:t>ARTÍNEZ</w:t>
      </w:r>
    </w:p>
    <w:p>
      <w:pPr>
        <w:pStyle w:val="BodyText"/>
        <w:spacing w:before="1"/>
        <w:rPr>
          <w:sz w:val="23"/>
        </w:rPr>
      </w:pPr>
    </w:p>
    <w:p>
      <w:pPr>
        <w:pStyle w:val="BodyText"/>
        <w:spacing w:before="75"/>
        <w:ind w:left="397" w:right="102"/>
      </w:pPr>
      <w:r>
        <w:rPr>
          <w:color w:val="231F20"/>
        </w:rPr>
        <w:t>M = Pc – Pp</w:t>
      </w:r>
    </w:p>
    <w:p>
      <w:pPr>
        <w:pStyle w:val="BodyText"/>
        <w:spacing w:before="29"/>
        <w:ind w:left="397" w:right="102"/>
      </w:pPr>
      <w:r>
        <w:rPr>
          <w:color w:val="231F20"/>
        </w:rPr>
        <w:t>Donde:</w:t>
      </w:r>
    </w:p>
    <w:p>
      <w:pPr>
        <w:pStyle w:val="BodyText"/>
        <w:spacing w:before="29"/>
        <w:ind w:left="397" w:right="102"/>
      </w:pPr>
      <w:r>
        <w:rPr>
          <w:color w:val="231F20"/>
        </w:rPr>
        <w:t>M: Margen absoluto</w:t>
      </w:r>
    </w:p>
    <w:p>
      <w:pPr>
        <w:pStyle w:val="BodyText"/>
        <w:spacing w:line="273" w:lineRule="auto" w:before="29"/>
        <w:ind w:left="397" w:right="2467"/>
      </w:pPr>
      <w:r>
        <w:rPr>
          <w:color w:val="231F20"/>
        </w:rPr>
        <w:t>Pc: Precio pagado por el consumidor Pp: Precio pagado al productor</w:t>
      </w:r>
    </w:p>
    <w:p>
      <w:pPr>
        <w:pStyle w:val="BodyText"/>
        <w:spacing w:line="273" w:lineRule="auto"/>
        <w:ind w:left="113" w:right="111" w:firstLine="283"/>
        <w:jc w:val="both"/>
      </w:pPr>
      <w:r>
        <w:rPr>
          <w:color w:val="231F20"/>
        </w:rPr>
        <w:t>En síntesis, un margen de comercialización se refiere a la diferencia entre el precio de venta de una unidad de producto por un agente de co- mercialización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pago</w:t>
      </w:r>
      <w:r>
        <w:rPr>
          <w:color w:val="231F20"/>
          <w:spacing w:val="-5"/>
        </w:rPr>
        <w:t> </w:t>
      </w:r>
      <w:r>
        <w:rPr>
          <w:color w:val="231F20"/>
        </w:rPr>
        <w:t>realizado</w:t>
      </w:r>
      <w:r>
        <w:rPr>
          <w:color w:val="231F20"/>
          <w:spacing w:val="-5"/>
        </w:rPr>
        <w:t> </w:t>
      </w:r>
      <w:r>
        <w:rPr>
          <w:color w:val="231F20"/>
        </w:rPr>
        <w:t>en</w:t>
      </w:r>
      <w:r>
        <w:rPr>
          <w:color w:val="231F20"/>
          <w:spacing w:val="-5"/>
        </w:rPr>
        <w:t> </w:t>
      </w:r>
      <w:r>
        <w:rPr>
          <w:color w:val="231F20"/>
        </w:rPr>
        <w:t>la</w:t>
      </w:r>
      <w:r>
        <w:rPr>
          <w:color w:val="231F20"/>
          <w:spacing w:val="-4"/>
        </w:rPr>
        <w:t> </w:t>
      </w:r>
      <w:r>
        <w:rPr>
          <w:color w:val="231F20"/>
        </w:rPr>
        <w:t>compra</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cantidad</w:t>
      </w:r>
      <w:r>
        <w:rPr>
          <w:color w:val="231F20"/>
          <w:spacing w:val="-5"/>
        </w:rPr>
        <w:t> </w:t>
      </w:r>
      <w:r>
        <w:rPr>
          <w:color w:val="231F20"/>
        </w:rPr>
        <w:t>de</w:t>
      </w:r>
      <w:r>
        <w:rPr>
          <w:color w:val="231F20"/>
          <w:spacing w:val="-5"/>
        </w:rPr>
        <w:t> </w:t>
      </w:r>
      <w:r>
        <w:rPr>
          <w:color w:val="231F20"/>
        </w:rPr>
        <w:t>producto equivalente a la unidad vendida. Además, los márgenes están constituidos por una serie de componentes correspondientes a los distintos costos y beneficios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agentes,</w:t>
      </w:r>
      <w:r>
        <w:rPr>
          <w:color w:val="231F20"/>
          <w:spacing w:val="-7"/>
        </w:rPr>
        <w:t> </w:t>
      </w:r>
      <w:r>
        <w:rPr>
          <w:color w:val="231F20"/>
        </w:rPr>
        <w:t>tales</w:t>
      </w:r>
      <w:r>
        <w:rPr>
          <w:color w:val="231F20"/>
          <w:spacing w:val="-6"/>
        </w:rPr>
        <w:t> </w:t>
      </w:r>
      <w:r>
        <w:rPr>
          <w:color w:val="231F20"/>
        </w:rPr>
        <w:t>como</w:t>
      </w:r>
      <w:r>
        <w:rPr>
          <w:color w:val="231F20"/>
          <w:spacing w:val="-7"/>
        </w:rPr>
        <w:t> </w:t>
      </w:r>
      <w:r>
        <w:rPr>
          <w:color w:val="231F20"/>
        </w:rPr>
        <w:t>el</w:t>
      </w:r>
      <w:r>
        <w:rPr>
          <w:color w:val="231F20"/>
          <w:spacing w:val="-7"/>
        </w:rPr>
        <w:t> </w:t>
      </w:r>
      <w:r>
        <w:rPr>
          <w:color w:val="231F20"/>
        </w:rPr>
        <w:t>valor</w:t>
      </w:r>
      <w:r>
        <w:rPr>
          <w:color w:val="231F20"/>
          <w:spacing w:val="-7"/>
        </w:rPr>
        <w:t> </w:t>
      </w:r>
      <w:r>
        <w:rPr>
          <w:color w:val="231F20"/>
        </w:rPr>
        <w:t>en</w:t>
      </w:r>
      <w:r>
        <w:rPr>
          <w:color w:val="231F20"/>
          <w:spacing w:val="-7"/>
        </w:rPr>
        <w:t> </w:t>
      </w:r>
      <w:r>
        <w:rPr>
          <w:color w:val="231F20"/>
        </w:rPr>
        <w:t>pesos</w:t>
      </w:r>
      <w:r>
        <w:rPr>
          <w:color w:val="231F20"/>
          <w:spacing w:val="-7"/>
        </w:rPr>
        <w:t> </w:t>
      </w:r>
      <w:r>
        <w:rPr>
          <w:color w:val="231F20"/>
        </w:rPr>
        <w:t>del</w:t>
      </w:r>
      <w:r>
        <w:rPr>
          <w:color w:val="231F20"/>
          <w:spacing w:val="-7"/>
        </w:rPr>
        <w:t> </w:t>
      </w:r>
      <w:r>
        <w:rPr>
          <w:color w:val="231F20"/>
        </w:rPr>
        <w:t>trabajo</w:t>
      </w:r>
      <w:r>
        <w:rPr>
          <w:color w:val="231F20"/>
          <w:spacing w:val="-6"/>
        </w:rPr>
        <w:t> </w:t>
      </w:r>
      <w:r>
        <w:rPr>
          <w:color w:val="231F20"/>
        </w:rPr>
        <w:t>utilizado, del transporte, de los materiales, envases y embalajes utilizados, la publi- cidad, la depreciación, los impuestos, los beneficios, intereses, alquileres   y otros costos, los cuales se denominan como costos de comercialización (</w:t>
      </w:r>
      <w:r>
        <w:rPr>
          <w:color w:val="231F20"/>
          <w:sz w:val="16"/>
        </w:rPr>
        <w:t>CC</w:t>
      </w:r>
      <w:r>
        <w:rPr>
          <w:color w:val="231F20"/>
        </w:rPr>
        <w:t>). De esta manera tenemos</w:t>
      </w:r>
      <w:r>
        <w:rPr>
          <w:color w:val="231F20"/>
          <w:spacing w:val="-13"/>
        </w:rPr>
        <w:t> </w:t>
      </w:r>
      <w:r>
        <w:rPr>
          <w:color w:val="231F20"/>
        </w:rPr>
        <w:t>que:</w:t>
      </w:r>
    </w:p>
    <w:p>
      <w:pPr>
        <w:spacing w:line="210" w:lineRule="exact" w:before="0"/>
        <w:ind w:left="397" w:right="102" w:firstLine="0"/>
        <w:jc w:val="left"/>
        <w:rPr>
          <w:sz w:val="18"/>
        </w:rPr>
      </w:pPr>
      <w:r>
        <w:rPr>
          <w:color w:val="231F20"/>
          <w:sz w:val="14"/>
        </w:rPr>
        <w:t>M = P</w:t>
      </w:r>
      <w:r>
        <w:rPr>
          <w:color w:val="231F20"/>
          <w:sz w:val="18"/>
        </w:rPr>
        <w:t>v – Pc - CC</w:t>
      </w:r>
    </w:p>
    <w:p>
      <w:pPr>
        <w:pStyle w:val="BodyText"/>
        <w:spacing w:before="29"/>
        <w:ind w:left="397" w:right="102"/>
      </w:pPr>
      <w:r>
        <w:rPr>
          <w:color w:val="231F20"/>
        </w:rPr>
        <w:t>Donde:</w:t>
      </w:r>
    </w:p>
    <w:p>
      <w:pPr>
        <w:pStyle w:val="BodyText"/>
        <w:spacing w:line="273" w:lineRule="auto" w:before="29"/>
        <w:ind w:left="397" w:right="3829"/>
      </w:pPr>
      <w:r>
        <w:rPr>
          <w:color w:val="231F20"/>
        </w:rPr>
        <w:t>Pv: Precio de venta Pc: Precio de compra</w:t>
      </w:r>
    </w:p>
    <w:p>
      <w:pPr>
        <w:pStyle w:val="BodyText"/>
        <w:spacing w:line="210" w:lineRule="exact"/>
        <w:ind w:left="397" w:right="102"/>
      </w:pPr>
      <w:r>
        <w:rPr>
          <w:color w:val="231F20"/>
        </w:rPr>
        <w:t>CC: Costos de comercialización</w:t>
      </w:r>
    </w:p>
    <w:p>
      <w:pPr>
        <w:pStyle w:val="BodyText"/>
      </w:pPr>
    </w:p>
    <w:p>
      <w:pPr>
        <w:pStyle w:val="BodyText"/>
        <w:spacing w:before="8"/>
      </w:pPr>
    </w:p>
    <w:p>
      <w:pPr>
        <w:pStyle w:val="Heading3"/>
      </w:pPr>
      <w:r>
        <w:rPr>
          <w:color w:val="231F20"/>
        </w:rPr>
        <w:t>METODOLOGÍA</w:t>
      </w:r>
    </w:p>
    <w:p>
      <w:pPr>
        <w:pStyle w:val="BodyText"/>
        <w:rPr>
          <w:b/>
          <w:sz w:val="25"/>
        </w:rPr>
      </w:pPr>
    </w:p>
    <w:p>
      <w:pPr>
        <w:pStyle w:val="BodyText"/>
        <w:spacing w:line="278" w:lineRule="auto"/>
        <w:ind w:left="113" w:right="111" w:firstLine="283"/>
        <w:jc w:val="both"/>
        <w:rPr>
          <w:rFonts w:ascii="Times New Roman" w:hAnsi="Times New Roman"/>
        </w:rPr>
      </w:pPr>
      <w:r>
        <w:rPr>
          <w:rFonts w:ascii="Times New Roman" w:hAnsi="Times New Roman"/>
          <w:color w:val="231F20"/>
        </w:rPr>
        <w:t>El presente trabajo tuvo como año de referencia el 2007, en el cual se recabó la información de campo; se realizó un muestreo irrestricto aleatorio (Scheaffer </w:t>
      </w:r>
      <w:r>
        <w:rPr>
          <w:i/>
          <w:color w:val="231F20"/>
        </w:rPr>
        <w:t>et al.</w:t>
      </w:r>
      <w:r>
        <w:rPr>
          <w:rFonts w:ascii="Times New Roman" w:hAnsi="Times New Roman"/>
          <w:color w:val="231F20"/>
        </w:rPr>
        <w:t>, 1996) en el cual se encuestaron a 17 productores de cerdo, dos acopiadores, 28 detallistas y 37 consumidores de carne de cerdo. La inten- ción de las encuestas consistió en recabar información referente al proceso de producción, agentes participantes, precios y costos de comercialización, para posteriormente determinar los márgenes de comercialización y la caracteriza- ción</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4"/>
        </w:rPr>
        <w:t> </w:t>
      </w:r>
      <w:r>
        <w:rPr>
          <w:rFonts w:ascii="Times New Roman" w:hAnsi="Times New Roman"/>
          <w:color w:val="231F20"/>
        </w:rPr>
        <w:t>la</w:t>
      </w:r>
      <w:r>
        <w:rPr>
          <w:rFonts w:ascii="Times New Roman" w:hAnsi="Times New Roman"/>
          <w:color w:val="231F20"/>
          <w:spacing w:val="-4"/>
        </w:rPr>
        <w:t> </w:t>
      </w:r>
      <w:r>
        <w:rPr>
          <w:rFonts w:ascii="Times New Roman" w:hAnsi="Times New Roman"/>
          <w:color w:val="231F20"/>
        </w:rPr>
        <w:t>producción</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4"/>
        </w:rPr>
        <w:t> </w:t>
      </w:r>
      <w:r>
        <w:rPr>
          <w:rFonts w:ascii="Times New Roman" w:hAnsi="Times New Roman"/>
          <w:color w:val="231F20"/>
        </w:rPr>
        <w:t>la</w:t>
      </w:r>
      <w:r>
        <w:rPr>
          <w:rFonts w:ascii="Times New Roman" w:hAnsi="Times New Roman"/>
          <w:color w:val="231F20"/>
          <w:spacing w:val="-4"/>
        </w:rPr>
        <w:t> </w:t>
      </w:r>
      <w:r>
        <w:rPr>
          <w:rFonts w:ascii="Times New Roman" w:hAnsi="Times New Roman"/>
          <w:color w:val="231F20"/>
        </w:rPr>
        <w:t>porcicultura</w:t>
      </w:r>
      <w:r>
        <w:rPr>
          <w:rFonts w:ascii="Times New Roman" w:hAnsi="Times New Roman"/>
          <w:color w:val="231F20"/>
          <w:spacing w:val="-4"/>
        </w:rPr>
        <w:t> </w:t>
      </w:r>
      <w:r>
        <w:rPr>
          <w:rFonts w:ascii="Times New Roman" w:hAnsi="Times New Roman"/>
          <w:color w:val="231F20"/>
        </w:rPr>
        <w:t>en</w:t>
      </w:r>
      <w:r>
        <w:rPr>
          <w:rFonts w:ascii="Times New Roman" w:hAnsi="Times New Roman"/>
          <w:color w:val="231F20"/>
          <w:spacing w:val="-4"/>
        </w:rPr>
        <w:t> </w:t>
      </w:r>
      <w:r>
        <w:rPr>
          <w:rFonts w:ascii="Times New Roman" w:hAnsi="Times New Roman"/>
          <w:color w:val="231F20"/>
        </w:rPr>
        <w:t>la</w:t>
      </w:r>
      <w:r>
        <w:rPr>
          <w:rFonts w:ascii="Times New Roman" w:hAnsi="Times New Roman"/>
          <w:color w:val="231F20"/>
          <w:spacing w:val="-4"/>
        </w:rPr>
        <w:t> </w:t>
      </w:r>
      <w:r>
        <w:rPr>
          <w:rFonts w:ascii="Times New Roman" w:hAnsi="Times New Roman"/>
          <w:color w:val="231F20"/>
        </w:rPr>
        <w:t>región</w:t>
      </w:r>
      <w:r>
        <w:rPr>
          <w:rFonts w:ascii="Times New Roman" w:hAnsi="Times New Roman"/>
          <w:color w:val="231F20"/>
          <w:spacing w:val="-4"/>
        </w:rPr>
        <w:t> </w:t>
      </w:r>
      <w:r>
        <w:rPr>
          <w:rFonts w:ascii="Times New Roman" w:hAnsi="Times New Roman"/>
          <w:color w:val="231F20"/>
        </w:rPr>
        <w:t>Sur</w:t>
      </w:r>
      <w:r>
        <w:rPr>
          <w:rFonts w:ascii="Times New Roman" w:hAnsi="Times New Roman"/>
          <w:color w:val="231F20"/>
          <w:spacing w:val="-4"/>
        </w:rPr>
        <w:t> </w:t>
      </w:r>
      <w:r>
        <w:rPr>
          <w:rFonts w:ascii="Times New Roman" w:hAnsi="Times New Roman"/>
          <w:color w:val="231F20"/>
        </w:rPr>
        <w:t>del</w:t>
      </w:r>
      <w:r>
        <w:rPr>
          <w:rFonts w:ascii="Times New Roman" w:hAnsi="Times New Roman"/>
          <w:color w:val="231F20"/>
          <w:spacing w:val="-4"/>
        </w:rPr>
        <w:t> </w:t>
      </w:r>
      <w:r>
        <w:rPr>
          <w:rFonts w:ascii="Times New Roman" w:hAnsi="Times New Roman"/>
          <w:color w:val="231F20"/>
        </w:rPr>
        <w:t>Estado</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4"/>
        </w:rPr>
        <w:t> </w:t>
      </w:r>
      <w:r>
        <w:rPr>
          <w:rFonts w:ascii="Times New Roman" w:hAnsi="Times New Roman"/>
          <w:color w:val="231F20"/>
        </w:rPr>
        <w:t>México.</w:t>
      </w:r>
    </w:p>
    <w:p>
      <w:pPr>
        <w:pStyle w:val="BodyText"/>
        <w:rPr>
          <w:rFonts w:ascii="Times New Roman"/>
        </w:rPr>
      </w:pPr>
    </w:p>
    <w:p>
      <w:pPr>
        <w:pStyle w:val="Heading4"/>
        <w:spacing w:before="124"/>
      </w:pPr>
      <w:r>
        <w:rPr>
          <w:color w:val="231F20"/>
        </w:rPr>
        <w:t>La información utilizada</w:t>
      </w:r>
    </w:p>
    <w:p>
      <w:pPr>
        <w:pStyle w:val="BodyText"/>
        <w:spacing w:line="273" w:lineRule="auto" w:before="185"/>
        <w:ind w:left="113" w:right="111"/>
        <w:jc w:val="both"/>
      </w:pPr>
      <w:r>
        <w:rPr>
          <w:color w:val="231F20"/>
        </w:rPr>
        <w:t>Respecto</w:t>
      </w:r>
      <w:r>
        <w:rPr>
          <w:color w:val="231F20"/>
          <w:spacing w:val="-8"/>
        </w:rPr>
        <w:t> </w:t>
      </w:r>
      <w:r>
        <w:rPr>
          <w:color w:val="231F20"/>
        </w:rPr>
        <w:t>a</w:t>
      </w:r>
      <w:r>
        <w:rPr>
          <w:color w:val="231F20"/>
          <w:spacing w:val="-8"/>
        </w:rPr>
        <w:t> </w:t>
      </w:r>
      <w:r>
        <w:rPr>
          <w:color w:val="231F20"/>
        </w:rPr>
        <w:t>la</w:t>
      </w:r>
      <w:r>
        <w:rPr>
          <w:color w:val="231F20"/>
          <w:spacing w:val="-7"/>
        </w:rPr>
        <w:t> </w:t>
      </w:r>
      <w:r>
        <w:rPr>
          <w:color w:val="231F20"/>
        </w:rPr>
        <w:t>información</w:t>
      </w:r>
      <w:r>
        <w:rPr>
          <w:color w:val="231F20"/>
          <w:spacing w:val="-8"/>
        </w:rPr>
        <w:t> </w:t>
      </w:r>
      <w:r>
        <w:rPr>
          <w:color w:val="231F20"/>
        </w:rPr>
        <w:t>recabada,</w:t>
      </w:r>
      <w:r>
        <w:rPr>
          <w:color w:val="231F20"/>
          <w:spacing w:val="-8"/>
        </w:rPr>
        <w:t> </w:t>
      </w:r>
      <w:r>
        <w:rPr>
          <w:color w:val="231F20"/>
        </w:rPr>
        <w:t>los</w:t>
      </w:r>
      <w:r>
        <w:rPr>
          <w:color w:val="231F20"/>
          <w:spacing w:val="-7"/>
        </w:rPr>
        <w:t> </w:t>
      </w:r>
      <w:r>
        <w:rPr>
          <w:color w:val="231F20"/>
        </w:rPr>
        <w:t>precios</w:t>
      </w:r>
      <w:r>
        <w:rPr>
          <w:color w:val="231F20"/>
          <w:spacing w:val="-8"/>
        </w:rPr>
        <w:t> </w:t>
      </w:r>
      <w:r>
        <w:rPr>
          <w:color w:val="231F20"/>
        </w:rPr>
        <w:t>de</w:t>
      </w:r>
      <w:r>
        <w:rPr>
          <w:color w:val="231F20"/>
          <w:spacing w:val="-8"/>
        </w:rPr>
        <w:t> </w:t>
      </w:r>
      <w:r>
        <w:rPr>
          <w:color w:val="231F20"/>
        </w:rPr>
        <w:t>compra</w:t>
      </w:r>
      <w:r>
        <w:rPr>
          <w:color w:val="231F20"/>
          <w:spacing w:val="-8"/>
        </w:rPr>
        <w:t> </w:t>
      </w:r>
      <w:r>
        <w:rPr>
          <w:color w:val="231F20"/>
        </w:rPr>
        <w:t>y</w:t>
      </w:r>
      <w:r>
        <w:rPr>
          <w:color w:val="231F20"/>
          <w:spacing w:val="-8"/>
        </w:rPr>
        <w:t> </w:t>
      </w:r>
      <w:r>
        <w:rPr>
          <w:color w:val="231F20"/>
        </w:rPr>
        <w:t>venta</w:t>
      </w:r>
      <w:r>
        <w:rPr>
          <w:color w:val="231F20"/>
          <w:spacing w:val="-8"/>
        </w:rPr>
        <w:t> </w:t>
      </w:r>
      <w:r>
        <w:rPr>
          <w:color w:val="231F20"/>
        </w:rPr>
        <w:t>se</w:t>
      </w:r>
      <w:r>
        <w:rPr>
          <w:color w:val="231F20"/>
          <w:spacing w:val="-8"/>
        </w:rPr>
        <w:t> </w:t>
      </w:r>
      <w:r>
        <w:rPr>
          <w:color w:val="231F20"/>
        </w:rPr>
        <w:t>obtu- vieron directamente de los agentes participantes en el proceso de comer- cialización, los cuales fueron ponderados por sus respectivas cantidades compradas y vendidas de</w:t>
      </w:r>
      <w:r>
        <w:rPr>
          <w:color w:val="231F20"/>
          <w:spacing w:val="-20"/>
        </w:rPr>
        <w:t> </w:t>
      </w:r>
      <w:r>
        <w:rPr>
          <w:color w:val="231F20"/>
        </w:rPr>
        <w:t>producto.</w:t>
      </w:r>
    </w:p>
    <w:p>
      <w:pPr>
        <w:spacing w:after="0" w:line="273" w:lineRule="auto"/>
        <w:jc w:val="both"/>
        <w:sectPr>
          <w:pgSz w:w="7940" w:h="11910"/>
          <w:pgMar w:header="0" w:footer="469" w:top="480" w:bottom="660" w:left="1020" w:right="1020"/>
        </w:sectPr>
      </w:pPr>
    </w:p>
    <w:p>
      <w:pPr>
        <w:spacing w:before="50"/>
        <w:ind w:left="1227" w:right="102" w:firstLine="0"/>
        <w:jc w:val="left"/>
        <w:rPr>
          <w:sz w:val="14"/>
        </w:rPr>
      </w:pPr>
      <w:r>
        <w:rPr>
          <w:color w:val="231F20"/>
          <w:sz w:val="18"/>
        </w:rPr>
        <w:t>L</w:t>
      </w:r>
      <w:r>
        <w:rPr>
          <w:color w:val="231F20"/>
          <w:sz w:val="14"/>
        </w:rPr>
        <w:t>A PORCICULTURA EN EL SUR DEL </w:t>
      </w:r>
      <w:r>
        <w:rPr>
          <w:color w:val="231F20"/>
          <w:sz w:val="18"/>
        </w:rPr>
        <w:t>E</w:t>
      </w:r>
      <w:r>
        <w:rPr>
          <w:color w:val="231F20"/>
          <w:sz w:val="14"/>
        </w:rPr>
        <w:t>STADO DE </w:t>
      </w:r>
      <w:r>
        <w:rPr>
          <w:color w:val="231F20"/>
          <w:sz w:val="18"/>
        </w:rPr>
        <w:t>M</w:t>
      </w:r>
      <w:r>
        <w:rPr>
          <w:color w:val="231F20"/>
          <w:sz w:val="14"/>
        </w:rPr>
        <w:t>ÉXICO</w:t>
      </w:r>
    </w:p>
    <w:p>
      <w:pPr>
        <w:pStyle w:val="BodyText"/>
        <w:spacing w:before="1"/>
        <w:rPr>
          <w:sz w:val="22"/>
        </w:rPr>
      </w:pPr>
    </w:p>
    <w:p>
      <w:pPr>
        <w:pStyle w:val="Heading4"/>
        <w:spacing w:before="66"/>
      </w:pPr>
      <w:r>
        <w:rPr>
          <w:color w:val="231F20"/>
        </w:rPr>
        <w:t>El sistema de cálculo</w:t>
      </w:r>
    </w:p>
    <w:p>
      <w:pPr>
        <w:pStyle w:val="BodyText"/>
        <w:spacing w:line="273" w:lineRule="auto" w:before="185"/>
        <w:ind w:left="113" w:right="111"/>
        <w:jc w:val="both"/>
      </w:pPr>
      <w:r>
        <w:rPr>
          <w:color w:val="231F20"/>
        </w:rPr>
        <w:t>De acuerdo con García </w:t>
      </w:r>
      <w:r>
        <w:rPr>
          <w:i/>
          <w:color w:val="231F20"/>
        </w:rPr>
        <w:t>et al. </w:t>
      </w:r>
      <w:r>
        <w:rPr>
          <w:color w:val="231F20"/>
        </w:rPr>
        <w:t>(1990), para el cálculo de los márgenes de comercialización se dispone de dos sistemas: el directo y el indirecto. El sistema</w:t>
      </w:r>
      <w:r>
        <w:rPr>
          <w:color w:val="231F20"/>
          <w:spacing w:val="-5"/>
        </w:rPr>
        <w:t> </w:t>
      </w:r>
      <w:r>
        <w:rPr>
          <w:color w:val="231F20"/>
        </w:rPr>
        <w:t>más</w:t>
      </w:r>
      <w:r>
        <w:rPr>
          <w:color w:val="231F20"/>
          <w:spacing w:val="-5"/>
        </w:rPr>
        <w:t> </w:t>
      </w:r>
      <w:r>
        <w:rPr>
          <w:color w:val="231F20"/>
        </w:rPr>
        <w:t>perfecto</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directo</w:t>
      </w:r>
      <w:r>
        <w:rPr>
          <w:color w:val="231F20"/>
          <w:spacing w:val="-5"/>
        </w:rPr>
        <w:t> </w:t>
      </w:r>
      <w:r>
        <w:rPr>
          <w:color w:val="231F20"/>
        </w:rPr>
        <w:t>y</w:t>
      </w:r>
      <w:r>
        <w:rPr>
          <w:color w:val="231F20"/>
          <w:spacing w:val="-5"/>
        </w:rPr>
        <w:t> </w:t>
      </w:r>
      <w:r>
        <w:rPr>
          <w:color w:val="231F20"/>
        </w:rPr>
        <w:t>consiste</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siguiente:</w:t>
      </w:r>
      <w:r>
        <w:rPr>
          <w:color w:val="231F20"/>
          <w:spacing w:val="-5"/>
        </w:rPr>
        <w:t> </w:t>
      </w:r>
      <w:r>
        <w:rPr>
          <w:color w:val="231F20"/>
        </w:rPr>
        <w:t>a)</w:t>
      </w:r>
      <w:r>
        <w:rPr>
          <w:color w:val="231F20"/>
          <w:spacing w:val="-5"/>
        </w:rPr>
        <w:t> </w:t>
      </w:r>
      <w:r>
        <w:rPr>
          <w:color w:val="231F20"/>
        </w:rPr>
        <w:t>seguir</w:t>
      </w:r>
      <w:r>
        <w:rPr>
          <w:color w:val="231F20"/>
          <w:spacing w:val="-6"/>
        </w:rPr>
        <w:t> </w:t>
      </w:r>
      <w:r>
        <w:rPr>
          <w:color w:val="231F20"/>
        </w:rPr>
        <w:t>lotes estadísticamente representativos de productos agrícolas desde que salen de la explotación hasta que llegan al consumidor, b) tomar nota de los dis- tintos costos y precios que se van produciendo a su paso por los distintos agentes</w:t>
      </w:r>
      <w:r>
        <w:rPr>
          <w:color w:val="231F20"/>
          <w:spacing w:val="-10"/>
        </w:rPr>
        <w:t> </w:t>
      </w:r>
      <w:r>
        <w:rPr>
          <w:color w:val="231F20"/>
        </w:rPr>
        <w:t>y</w:t>
      </w:r>
      <w:r>
        <w:rPr>
          <w:color w:val="231F20"/>
          <w:spacing w:val="-10"/>
        </w:rPr>
        <w:t> </w:t>
      </w:r>
      <w:r>
        <w:rPr>
          <w:color w:val="231F20"/>
        </w:rPr>
        <w:t>c)</w:t>
      </w:r>
      <w:r>
        <w:rPr>
          <w:color w:val="231F20"/>
          <w:spacing w:val="-10"/>
        </w:rPr>
        <w:t> </w:t>
      </w:r>
      <w:r>
        <w:rPr>
          <w:color w:val="231F20"/>
        </w:rPr>
        <w:t>limitar</w:t>
      </w:r>
      <w:r>
        <w:rPr>
          <w:color w:val="231F20"/>
          <w:spacing w:val="-9"/>
        </w:rPr>
        <w:t> </w:t>
      </w:r>
      <w:r>
        <w:rPr>
          <w:color w:val="231F20"/>
        </w:rPr>
        <w:t>la</w:t>
      </w:r>
      <w:r>
        <w:rPr>
          <w:color w:val="231F20"/>
          <w:spacing w:val="-10"/>
        </w:rPr>
        <w:t> </w:t>
      </w:r>
      <w:r>
        <w:rPr>
          <w:color w:val="231F20"/>
        </w:rPr>
        <w:t>investigación</w:t>
      </w:r>
      <w:r>
        <w:rPr>
          <w:color w:val="231F20"/>
          <w:spacing w:val="-10"/>
        </w:rPr>
        <w:t> </w:t>
      </w:r>
      <w:r>
        <w:rPr>
          <w:color w:val="231F20"/>
        </w:rPr>
        <w:t>a</w:t>
      </w:r>
      <w:r>
        <w:rPr>
          <w:color w:val="231F20"/>
          <w:spacing w:val="-10"/>
        </w:rPr>
        <w:t> </w:t>
      </w:r>
      <w:r>
        <w:rPr>
          <w:color w:val="231F20"/>
        </w:rPr>
        <w:t>lotes</w:t>
      </w:r>
      <w:r>
        <w:rPr>
          <w:color w:val="231F20"/>
          <w:spacing w:val="-10"/>
        </w:rPr>
        <w:t> </w:t>
      </w:r>
      <w:r>
        <w:rPr>
          <w:color w:val="231F20"/>
        </w:rPr>
        <w:t>representativos</w:t>
      </w:r>
      <w:r>
        <w:rPr>
          <w:color w:val="231F20"/>
          <w:spacing w:val="-10"/>
        </w:rPr>
        <w:t> </w:t>
      </w:r>
      <w:r>
        <w:rPr>
          <w:color w:val="231F20"/>
        </w:rPr>
        <w:t>del</w:t>
      </w:r>
      <w:r>
        <w:rPr>
          <w:color w:val="231F20"/>
          <w:spacing w:val="-10"/>
        </w:rPr>
        <w:t> </w:t>
      </w:r>
      <w:r>
        <w:rPr>
          <w:color w:val="231F20"/>
        </w:rPr>
        <w:t>movimiento de</w:t>
      </w:r>
      <w:r>
        <w:rPr>
          <w:color w:val="231F20"/>
          <w:spacing w:val="-10"/>
        </w:rPr>
        <w:t> </w:t>
      </w:r>
      <w:r>
        <w:rPr>
          <w:color w:val="231F20"/>
        </w:rPr>
        <w:t>los</w:t>
      </w:r>
      <w:r>
        <w:rPr>
          <w:color w:val="231F20"/>
          <w:spacing w:val="-9"/>
        </w:rPr>
        <w:t> </w:t>
      </w:r>
      <w:r>
        <w:rPr>
          <w:color w:val="231F20"/>
        </w:rPr>
        <w:t>productos</w:t>
      </w:r>
      <w:r>
        <w:rPr>
          <w:color w:val="231F20"/>
          <w:spacing w:val="-10"/>
        </w:rPr>
        <w:t> </w:t>
      </w:r>
      <w:r>
        <w:rPr>
          <w:color w:val="231F20"/>
        </w:rPr>
        <w:t>agrícolas,</w:t>
      </w:r>
      <w:r>
        <w:rPr>
          <w:color w:val="231F20"/>
          <w:spacing w:val="-9"/>
        </w:rPr>
        <w:t> </w:t>
      </w:r>
      <w:r>
        <w:rPr>
          <w:color w:val="231F20"/>
        </w:rPr>
        <w:t>usando</w:t>
      </w:r>
      <w:r>
        <w:rPr>
          <w:color w:val="231F20"/>
          <w:spacing w:val="-9"/>
        </w:rPr>
        <w:t> </w:t>
      </w:r>
      <w:r>
        <w:rPr>
          <w:color w:val="231F20"/>
        </w:rPr>
        <w:t>para</w:t>
      </w:r>
      <w:r>
        <w:rPr>
          <w:color w:val="231F20"/>
          <w:spacing w:val="-10"/>
        </w:rPr>
        <w:t> </w:t>
      </w:r>
      <w:r>
        <w:rPr>
          <w:color w:val="231F20"/>
        </w:rPr>
        <w:t>el</w:t>
      </w:r>
      <w:r>
        <w:rPr>
          <w:color w:val="231F20"/>
          <w:spacing w:val="-10"/>
        </w:rPr>
        <w:t> </w:t>
      </w:r>
      <w:r>
        <w:rPr>
          <w:color w:val="231F20"/>
        </w:rPr>
        <w:t>efecto</w:t>
      </w:r>
      <w:r>
        <w:rPr>
          <w:color w:val="231F20"/>
          <w:spacing w:val="-10"/>
        </w:rPr>
        <w:t> </w:t>
      </w:r>
      <w:r>
        <w:rPr>
          <w:color w:val="231F20"/>
        </w:rPr>
        <w:t>muestreo</w:t>
      </w:r>
      <w:r>
        <w:rPr>
          <w:color w:val="231F20"/>
          <w:spacing w:val="-10"/>
        </w:rPr>
        <w:t> </w:t>
      </w:r>
      <w:r>
        <w:rPr>
          <w:color w:val="231F20"/>
        </w:rPr>
        <w:t>estadístico</w:t>
      </w:r>
      <w:r>
        <w:rPr>
          <w:color w:val="231F20"/>
          <w:spacing w:val="-10"/>
        </w:rPr>
        <w:t> </w:t>
      </w:r>
      <w:r>
        <w:rPr>
          <w:color w:val="231F20"/>
        </w:rPr>
        <w:t>para seleccionar</w:t>
      </w:r>
      <w:r>
        <w:rPr>
          <w:color w:val="231F20"/>
          <w:spacing w:val="-3"/>
        </w:rPr>
        <w:t> </w:t>
      </w:r>
      <w:r>
        <w:rPr>
          <w:color w:val="231F20"/>
        </w:rPr>
        <w:t>las</w:t>
      </w:r>
      <w:r>
        <w:rPr>
          <w:color w:val="231F20"/>
          <w:spacing w:val="-3"/>
        </w:rPr>
        <w:t> </w:t>
      </w:r>
      <w:r>
        <w:rPr>
          <w:color w:val="231F20"/>
        </w:rPr>
        <w:t>partidas</w:t>
      </w:r>
      <w:r>
        <w:rPr>
          <w:color w:val="231F20"/>
          <w:spacing w:val="-3"/>
        </w:rPr>
        <w:t> </w:t>
      </w:r>
      <w:r>
        <w:rPr>
          <w:color w:val="231F20"/>
        </w:rPr>
        <w:t>a</w:t>
      </w:r>
      <w:r>
        <w:rPr>
          <w:color w:val="231F20"/>
          <w:spacing w:val="-3"/>
        </w:rPr>
        <w:t> </w:t>
      </w:r>
      <w:r>
        <w:rPr>
          <w:color w:val="231F20"/>
        </w:rPr>
        <w:t>estudiar.</w:t>
      </w:r>
      <w:r>
        <w:rPr>
          <w:color w:val="231F20"/>
          <w:spacing w:val="-3"/>
        </w:rPr>
        <w:t> </w:t>
      </w:r>
      <w:r>
        <w:rPr>
          <w:color w:val="231F20"/>
        </w:rPr>
        <w:t>Esto</w:t>
      </w:r>
      <w:r>
        <w:rPr>
          <w:color w:val="231F20"/>
          <w:spacing w:val="-3"/>
        </w:rPr>
        <w:t> </w:t>
      </w:r>
      <w:r>
        <w:rPr>
          <w:color w:val="231F20"/>
        </w:rPr>
        <w:t>con</w:t>
      </w:r>
      <w:r>
        <w:rPr>
          <w:color w:val="231F20"/>
          <w:spacing w:val="-3"/>
        </w:rPr>
        <w:t> </w:t>
      </w:r>
      <w:r>
        <w:rPr>
          <w:color w:val="231F20"/>
        </w:rPr>
        <w:t>el</w:t>
      </w:r>
      <w:r>
        <w:rPr>
          <w:color w:val="231F20"/>
          <w:spacing w:val="-3"/>
        </w:rPr>
        <w:t> </w:t>
      </w:r>
      <w:r>
        <w:rPr>
          <w:color w:val="231F20"/>
        </w:rPr>
        <w:t>objeto</w:t>
      </w:r>
      <w:r>
        <w:rPr>
          <w:color w:val="231F20"/>
          <w:spacing w:val="-3"/>
        </w:rPr>
        <w:t> </w:t>
      </w:r>
      <w:r>
        <w:rPr>
          <w:color w:val="231F20"/>
        </w:rPr>
        <w:t>de</w:t>
      </w:r>
      <w:r>
        <w:rPr>
          <w:color w:val="231F20"/>
          <w:spacing w:val="-3"/>
        </w:rPr>
        <w:t> </w:t>
      </w:r>
      <w:r>
        <w:rPr>
          <w:color w:val="231F20"/>
        </w:rPr>
        <w:t>que</w:t>
      </w:r>
      <w:r>
        <w:rPr>
          <w:color w:val="231F20"/>
          <w:spacing w:val="-3"/>
        </w:rPr>
        <w:t> </w:t>
      </w:r>
      <w:r>
        <w:rPr>
          <w:color w:val="231F20"/>
        </w:rPr>
        <w:t>los</w:t>
      </w:r>
      <w:r>
        <w:rPr>
          <w:color w:val="231F20"/>
          <w:spacing w:val="-3"/>
        </w:rPr>
        <w:t> </w:t>
      </w:r>
      <w:r>
        <w:rPr>
          <w:color w:val="231F20"/>
        </w:rPr>
        <w:t>resultados puedan</w:t>
      </w:r>
      <w:r>
        <w:rPr>
          <w:color w:val="231F20"/>
          <w:spacing w:val="-5"/>
        </w:rPr>
        <w:t> </w:t>
      </w:r>
      <w:r>
        <w:rPr>
          <w:color w:val="231F20"/>
        </w:rPr>
        <w:t>considerarse</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estimación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márgenes</w:t>
      </w:r>
      <w:r>
        <w:rPr>
          <w:color w:val="231F20"/>
          <w:spacing w:val="-5"/>
        </w:rPr>
        <w:t> </w:t>
      </w:r>
      <w:r>
        <w:rPr>
          <w:color w:val="231F20"/>
        </w:rPr>
        <w:t>verdaderos.</w:t>
      </w:r>
    </w:p>
    <w:p>
      <w:pPr>
        <w:pStyle w:val="BodyText"/>
      </w:pPr>
    </w:p>
    <w:p>
      <w:pPr>
        <w:pStyle w:val="Heading4"/>
      </w:pPr>
      <w:r>
        <w:rPr>
          <w:color w:val="231F20"/>
        </w:rPr>
        <w:t>El procedimiento de estimación</w:t>
      </w:r>
    </w:p>
    <w:p>
      <w:pPr>
        <w:pStyle w:val="BodyText"/>
        <w:spacing w:line="273" w:lineRule="auto" w:before="185"/>
        <w:ind w:left="113" w:right="111" w:firstLine="283"/>
        <w:jc w:val="both"/>
      </w:pPr>
      <w:r>
        <w:rPr>
          <w:color w:val="231F20"/>
        </w:rPr>
        <w:t>Para la estimación de los márgenes de comercialización se debe tener cuidado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todo</w:t>
      </w:r>
      <w:r>
        <w:rPr>
          <w:color w:val="231F20"/>
          <w:spacing w:val="-8"/>
        </w:rPr>
        <w:t> </w:t>
      </w:r>
      <w:r>
        <w:rPr>
          <w:color w:val="231F20"/>
        </w:rPr>
        <w:t>el</w:t>
      </w:r>
      <w:r>
        <w:rPr>
          <w:color w:val="231F20"/>
          <w:spacing w:val="-8"/>
        </w:rPr>
        <w:t> </w:t>
      </w:r>
      <w:r>
        <w:rPr>
          <w:color w:val="231F20"/>
        </w:rPr>
        <w:t>proceso</w:t>
      </w:r>
      <w:r>
        <w:rPr>
          <w:color w:val="231F20"/>
          <w:spacing w:val="-8"/>
        </w:rPr>
        <w:t> </w:t>
      </w:r>
      <w:r>
        <w:rPr>
          <w:color w:val="231F20"/>
        </w:rPr>
        <w:t>la</w:t>
      </w:r>
      <w:r>
        <w:rPr>
          <w:color w:val="231F20"/>
          <w:spacing w:val="-8"/>
        </w:rPr>
        <w:t> </w:t>
      </w:r>
      <w:r>
        <w:rPr>
          <w:color w:val="231F20"/>
        </w:rPr>
        <w:t>información</w:t>
      </w:r>
      <w:r>
        <w:rPr>
          <w:color w:val="231F20"/>
          <w:spacing w:val="-8"/>
        </w:rPr>
        <w:t> </w:t>
      </w:r>
      <w:r>
        <w:rPr>
          <w:color w:val="231F20"/>
        </w:rPr>
        <w:t>utilizada</w:t>
      </w:r>
      <w:r>
        <w:rPr>
          <w:color w:val="231F20"/>
          <w:spacing w:val="-8"/>
        </w:rPr>
        <w:t> </w:t>
      </w:r>
      <w:r>
        <w:rPr>
          <w:color w:val="231F20"/>
        </w:rPr>
        <w:t>sea</w:t>
      </w:r>
      <w:r>
        <w:rPr>
          <w:color w:val="231F20"/>
          <w:spacing w:val="-8"/>
        </w:rPr>
        <w:t> </w:t>
      </w:r>
      <w:r>
        <w:rPr>
          <w:color w:val="231F20"/>
        </w:rPr>
        <w:t>comparable, es</w:t>
      </w:r>
      <w:r>
        <w:rPr>
          <w:color w:val="231F20"/>
          <w:spacing w:val="-9"/>
        </w:rPr>
        <w:t> </w:t>
      </w:r>
      <w:r>
        <w:rPr>
          <w:color w:val="231F20"/>
        </w:rPr>
        <w:t>decir</w:t>
      </w:r>
      <w:r>
        <w:rPr>
          <w:color w:val="231F20"/>
          <w:spacing w:val="-10"/>
        </w:rPr>
        <w:t> </w:t>
      </w:r>
      <w:r>
        <w:rPr>
          <w:color w:val="231F20"/>
        </w:rPr>
        <w:t>que</w:t>
      </w:r>
      <w:r>
        <w:rPr>
          <w:color w:val="231F20"/>
          <w:spacing w:val="-9"/>
        </w:rPr>
        <w:t> </w:t>
      </w:r>
      <w:r>
        <w:rPr>
          <w:color w:val="231F20"/>
        </w:rPr>
        <w:t>se</w:t>
      </w:r>
      <w:r>
        <w:rPr>
          <w:color w:val="231F20"/>
          <w:spacing w:val="-9"/>
        </w:rPr>
        <w:t> </w:t>
      </w:r>
      <w:r>
        <w:rPr>
          <w:color w:val="231F20"/>
        </w:rPr>
        <w:t>refiera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unidad</w:t>
      </w:r>
      <w:r>
        <w:rPr>
          <w:color w:val="231F20"/>
          <w:spacing w:val="-9"/>
        </w:rPr>
        <w:t> </w:t>
      </w:r>
      <w:r>
        <w:rPr>
          <w:color w:val="231F20"/>
        </w:rPr>
        <w:t>y</w:t>
      </w:r>
      <w:r>
        <w:rPr>
          <w:color w:val="231F20"/>
          <w:spacing w:val="-9"/>
        </w:rPr>
        <w:t> </w:t>
      </w:r>
      <w:r>
        <w:rPr>
          <w:color w:val="231F20"/>
        </w:rPr>
        <w:t>calidad</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productos,</w:t>
      </w:r>
      <w:r>
        <w:rPr>
          <w:color w:val="231F20"/>
          <w:spacing w:val="-9"/>
        </w:rPr>
        <w:t> </w:t>
      </w:r>
      <w:r>
        <w:rPr>
          <w:color w:val="231F20"/>
        </w:rPr>
        <w:t>ya</w:t>
      </w:r>
      <w:r>
        <w:rPr>
          <w:color w:val="231F20"/>
          <w:spacing w:val="-9"/>
        </w:rPr>
        <w:t> </w:t>
      </w:r>
      <w:r>
        <w:rPr>
          <w:color w:val="231F20"/>
        </w:rPr>
        <w:t>sean elaborados o no</w:t>
      </w:r>
      <w:r>
        <w:rPr>
          <w:color w:val="231F20"/>
          <w:spacing w:val="-17"/>
        </w:rPr>
        <w:t> </w:t>
      </w:r>
      <w:r>
        <w:rPr>
          <w:color w:val="231F20"/>
        </w:rPr>
        <w:t>elaborados.</w:t>
      </w:r>
    </w:p>
    <w:p>
      <w:pPr>
        <w:pStyle w:val="BodyText"/>
        <w:spacing w:line="273" w:lineRule="auto"/>
        <w:ind w:left="113" w:right="111" w:firstLine="283"/>
        <w:jc w:val="both"/>
      </w:pPr>
      <w:r>
        <w:rPr>
          <w:color w:val="231F20"/>
        </w:rPr>
        <w:t>En este sentido, durante el proceso de comercialización del productor hacia el consumidor final se obtienen diversos subproductos, por lo cual los precios del cerdo en pie, que recibe el </w:t>
      </w:r>
      <w:r>
        <w:rPr>
          <w:color w:val="231F20"/>
          <w:spacing w:val="-3"/>
        </w:rPr>
        <w:t>productor, </w:t>
      </w:r>
      <w:r>
        <w:rPr>
          <w:color w:val="231F20"/>
        </w:rPr>
        <w:t>no son directamente comparables con los precios de venta de la carne al consumidor final. La no comparabilidad de dichos precios se debe a que existe un proceso de transformación del cerdo en pie en el cual se obtienen diversos subpro- ductos. En este caso para el cálculo de los márgenes se tiene que resolver el</w:t>
      </w:r>
      <w:r>
        <w:rPr>
          <w:color w:val="231F20"/>
          <w:spacing w:val="-4"/>
        </w:rPr>
        <w:t> </w:t>
      </w:r>
      <w:r>
        <w:rPr>
          <w:color w:val="231F20"/>
        </w:rPr>
        <w:t>problema</w:t>
      </w:r>
      <w:r>
        <w:rPr>
          <w:color w:val="231F20"/>
          <w:spacing w:val="-4"/>
        </w:rPr>
        <w:t> </w:t>
      </w:r>
      <w:r>
        <w:rPr>
          <w:color w:val="231F20"/>
        </w:rPr>
        <w:t>consistente</w:t>
      </w:r>
      <w:r>
        <w:rPr>
          <w:color w:val="231F20"/>
          <w:spacing w:val="-4"/>
        </w:rPr>
        <w:t> </w:t>
      </w:r>
      <w:r>
        <w:rPr>
          <w:color w:val="231F20"/>
        </w:rPr>
        <w:t>en</w:t>
      </w:r>
      <w:r>
        <w:rPr>
          <w:color w:val="231F20"/>
          <w:spacing w:val="-4"/>
        </w:rPr>
        <w:t> </w:t>
      </w:r>
      <w:r>
        <w:rPr>
          <w:color w:val="231F20"/>
        </w:rPr>
        <w:t>determinar</w:t>
      </w:r>
      <w:r>
        <w:rPr>
          <w:color w:val="231F20"/>
          <w:spacing w:val="-4"/>
        </w:rPr>
        <w:t> </w:t>
      </w:r>
      <w:r>
        <w:rPr>
          <w:color w:val="231F20"/>
        </w:rPr>
        <w:t>el</w:t>
      </w:r>
      <w:r>
        <w:rPr>
          <w:color w:val="231F20"/>
          <w:spacing w:val="-4"/>
        </w:rPr>
        <w:t> </w:t>
      </w:r>
      <w:r>
        <w:rPr>
          <w:color w:val="231F20"/>
        </w:rPr>
        <w:t>valor</w:t>
      </w:r>
      <w:r>
        <w:rPr>
          <w:color w:val="231F20"/>
          <w:spacing w:val="-4"/>
        </w:rPr>
        <w:t> </w:t>
      </w:r>
      <w:r>
        <w:rPr>
          <w:color w:val="231F20"/>
        </w:rPr>
        <w:t>equivalente</w:t>
      </w:r>
      <w:r>
        <w:rPr>
          <w:color w:val="231F20"/>
          <w:spacing w:val="-4"/>
        </w:rPr>
        <w:t> </w:t>
      </w:r>
      <w:r>
        <w:rPr>
          <w:color w:val="231F20"/>
        </w:rPr>
        <w:t>a</w:t>
      </w:r>
      <w:r>
        <w:rPr>
          <w:color w:val="231F20"/>
          <w:spacing w:val="-4"/>
        </w:rPr>
        <w:t> </w:t>
      </w:r>
      <w:r>
        <w:rPr>
          <w:color w:val="231F20"/>
        </w:rPr>
        <w:t>una</w:t>
      </w:r>
      <w:r>
        <w:rPr>
          <w:color w:val="231F20"/>
          <w:spacing w:val="-4"/>
        </w:rPr>
        <w:t> </w:t>
      </w:r>
      <w:r>
        <w:rPr>
          <w:color w:val="231F20"/>
        </w:rPr>
        <w:t>tonelada de subproducto del precio recibido por el </w:t>
      </w:r>
      <w:r>
        <w:rPr>
          <w:color w:val="231F20"/>
          <w:spacing w:val="-3"/>
        </w:rPr>
        <w:t>productor, </w:t>
      </w:r>
      <w:r>
        <w:rPr>
          <w:color w:val="231F20"/>
        </w:rPr>
        <w:t>del cerdo en pie re- querido para producirlo. De esta manera, el margen absoluto total de co- mercialización (M) se calcula por diferencia entre el valor del producto en consumo (Pc) y el valor corregido en producción (Pp) más los costos de comercialización en que se incurre durante el proceso (CC); es decir M = Pc – Pp –</w:t>
      </w:r>
      <w:r>
        <w:rPr>
          <w:color w:val="231F20"/>
          <w:spacing w:val="-9"/>
        </w:rPr>
        <w:t> </w:t>
      </w:r>
      <w:r>
        <w:rPr>
          <w:color w:val="231F20"/>
        </w:rPr>
        <w:t>CC.</w:t>
      </w:r>
    </w:p>
    <w:p>
      <w:pPr>
        <w:pStyle w:val="BodyText"/>
        <w:spacing w:line="273" w:lineRule="auto"/>
        <w:ind w:left="113" w:right="111" w:firstLine="283"/>
        <w:jc w:val="both"/>
      </w:pPr>
      <w:r>
        <w:rPr>
          <w:color w:val="231F20"/>
        </w:rPr>
        <w:t>En este sentido, un margen de comercialización se refiere a la diferen- cia</w:t>
      </w:r>
      <w:r>
        <w:rPr>
          <w:color w:val="231F20"/>
          <w:spacing w:val="-9"/>
        </w:rPr>
        <w:t> </w:t>
      </w:r>
      <w:r>
        <w:rPr>
          <w:color w:val="231F20"/>
        </w:rPr>
        <w:t>entre</w:t>
      </w:r>
      <w:r>
        <w:rPr>
          <w:color w:val="231F20"/>
          <w:spacing w:val="-9"/>
        </w:rPr>
        <w:t> </w:t>
      </w:r>
      <w:r>
        <w:rPr>
          <w:color w:val="231F20"/>
        </w:rPr>
        <w:t>el</w:t>
      </w:r>
      <w:r>
        <w:rPr>
          <w:color w:val="231F20"/>
          <w:spacing w:val="-9"/>
        </w:rPr>
        <w:t> </w:t>
      </w:r>
      <w:r>
        <w:rPr>
          <w:color w:val="231F20"/>
        </w:rPr>
        <w:t>precio</w:t>
      </w:r>
      <w:r>
        <w:rPr>
          <w:color w:val="231F20"/>
          <w:spacing w:val="-9"/>
        </w:rPr>
        <w:t> </w:t>
      </w:r>
      <w:r>
        <w:rPr>
          <w:color w:val="231F20"/>
        </w:rPr>
        <w:t>de</w:t>
      </w:r>
      <w:r>
        <w:rPr>
          <w:color w:val="231F20"/>
          <w:spacing w:val="-9"/>
        </w:rPr>
        <w:t> </w:t>
      </w:r>
      <w:r>
        <w:rPr>
          <w:color w:val="231F20"/>
        </w:rPr>
        <w:t>venta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unidad</w:t>
      </w:r>
      <w:r>
        <w:rPr>
          <w:color w:val="231F20"/>
          <w:spacing w:val="-9"/>
        </w:rPr>
        <w:t> </w:t>
      </w:r>
      <w:r>
        <w:rPr>
          <w:color w:val="231F20"/>
        </w:rPr>
        <w:t>de</w:t>
      </w:r>
      <w:r>
        <w:rPr>
          <w:color w:val="231F20"/>
          <w:spacing w:val="-9"/>
        </w:rPr>
        <w:t> </w:t>
      </w:r>
      <w:r>
        <w:rPr>
          <w:color w:val="231F20"/>
        </w:rPr>
        <w:t>producto</w:t>
      </w:r>
      <w:r>
        <w:rPr>
          <w:color w:val="231F20"/>
          <w:spacing w:val="-9"/>
        </w:rPr>
        <w:t> </w:t>
      </w:r>
      <w:r>
        <w:rPr>
          <w:color w:val="231F20"/>
        </w:rPr>
        <w:t>por</w:t>
      </w:r>
      <w:r>
        <w:rPr>
          <w:color w:val="231F20"/>
          <w:spacing w:val="-9"/>
        </w:rPr>
        <w:t> </w:t>
      </w:r>
      <w:r>
        <w:rPr>
          <w:color w:val="231F20"/>
        </w:rPr>
        <w:t>un</w:t>
      </w:r>
      <w:r>
        <w:rPr>
          <w:color w:val="231F20"/>
          <w:spacing w:val="-9"/>
        </w:rPr>
        <w:t> </w:t>
      </w:r>
      <w:r>
        <w:rPr>
          <w:color w:val="231F20"/>
        </w:rPr>
        <w:t>agente</w:t>
      </w:r>
      <w:r>
        <w:rPr>
          <w:color w:val="231F20"/>
          <w:spacing w:val="-9"/>
        </w:rPr>
        <w:t> </w:t>
      </w:r>
      <w:r>
        <w:rPr>
          <w:color w:val="231F20"/>
        </w:rPr>
        <w:t>de</w:t>
      </w:r>
      <w:r>
        <w:rPr>
          <w:color w:val="231F20"/>
          <w:spacing w:val="-9"/>
        </w:rPr>
        <w:t> </w:t>
      </w:r>
      <w:r>
        <w:rPr>
          <w:color w:val="231F20"/>
        </w:rPr>
        <w:t>co- mercialización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pago</w:t>
      </w:r>
      <w:r>
        <w:rPr>
          <w:color w:val="231F20"/>
          <w:spacing w:val="-5"/>
        </w:rPr>
        <w:t> </w:t>
      </w:r>
      <w:r>
        <w:rPr>
          <w:color w:val="231F20"/>
        </w:rPr>
        <w:t>realizado</w:t>
      </w:r>
      <w:r>
        <w:rPr>
          <w:color w:val="231F20"/>
          <w:spacing w:val="-5"/>
        </w:rPr>
        <w:t> </w:t>
      </w:r>
      <w:r>
        <w:rPr>
          <w:color w:val="231F20"/>
        </w:rPr>
        <w:t>en</w:t>
      </w:r>
      <w:r>
        <w:rPr>
          <w:color w:val="231F20"/>
          <w:spacing w:val="-5"/>
        </w:rPr>
        <w:t> </w:t>
      </w:r>
      <w:r>
        <w:rPr>
          <w:color w:val="231F20"/>
        </w:rPr>
        <w:t>la</w:t>
      </w:r>
      <w:r>
        <w:rPr>
          <w:color w:val="231F20"/>
          <w:spacing w:val="-4"/>
        </w:rPr>
        <w:t> </w:t>
      </w:r>
      <w:r>
        <w:rPr>
          <w:color w:val="231F20"/>
        </w:rPr>
        <w:t>compra</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cantidad</w:t>
      </w:r>
      <w:r>
        <w:rPr>
          <w:color w:val="231F20"/>
          <w:spacing w:val="-5"/>
        </w:rPr>
        <w:t> </w:t>
      </w:r>
      <w:r>
        <w:rPr>
          <w:color w:val="231F20"/>
        </w:rPr>
        <w:t>de</w:t>
      </w:r>
      <w:r>
        <w:rPr>
          <w:color w:val="231F20"/>
          <w:spacing w:val="-5"/>
        </w:rPr>
        <w:t> </w:t>
      </w:r>
      <w:r>
        <w:rPr>
          <w:color w:val="231F20"/>
        </w:rPr>
        <w:t>producto equivalente a la unidad vendida. Además, los márgenes están constituidos por una serie de componentes correspondientes a los distintos costos y beneficios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agentes,</w:t>
      </w:r>
      <w:r>
        <w:rPr>
          <w:color w:val="231F20"/>
          <w:spacing w:val="-7"/>
        </w:rPr>
        <w:t> </w:t>
      </w:r>
      <w:r>
        <w:rPr>
          <w:color w:val="231F20"/>
        </w:rPr>
        <w:t>tales</w:t>
      </w:r>
      <w:r>
        <w:rPr>
          <w:color w:val="231F20"/>
          <w:spacing w:val="-6"/>
        </w:rPr>
        <w:t> </w:t>
      </w:r>
      <w:r>
        <w:rPr>
          <w:color w:val="231F20"/>
        </w:rPr>
        <w:t>como</w:t>
      </w:r>
      <w:r>
        <w:rPr>
          <w:color w:val="231F20"/>
          <w:spacing w:val="-7"/>
        </w:rPr>
        <w:t> </w:t>
      </w:r>
      <w:r>
        <w:rPr>
          <w:color w:val="231F20"/>
        </w:rPr>
        <w:t>el</w:t>
      </w:r>
      <w:r>
        <w:rPr>
          <w:color w:val="231F20"/>
          <w:spacing w:val="-7"/>
        </w:rPr>
        <w:t> </w:t>
      </w:r>
      <w:r>
        <w:rPr>
          <w:color w:val="231F20"/>
        </w:rPr>
        <w:t>valor</w:t>
      </w:r>
      <w:r>
        <w:rPr>
          <w:color w:val="231F20"/>
          <w:spacing w:val="-7"/>
        </w:rPr>
        <w:t> </w:t>
      </w:r>
      <w:r>
        <w:rPr>
          <w:color w:val="231F20"/>
        </w:rPr>
        <w:t>en</w:t>
      </w:r>
      <w:r>
        <w:rPr>
          <w:color w:val="231F20"/>
          <w:spacing w:val="-7"/>
        </w:rPr>
        <w:t> </w:t>
      </w:r>
      <w:r>
        <w:rPr>
          <w:color w:val="231F20"/>
        </w:rPr>
        <w:t>pesos</w:t>
      </w:r>
      <w:r>
        <w:rPr>
          <w:color w:val="231F20"/>
          <w:spacing w:val="-7"/>
        </w:rPr>
        <w:t> </w:t>
      </w:r>
      <w:r>
        <w:rPr>
          <w:color w:val="231F20"/>
        </w:rPr>
        <w:t>del</w:t>
      </w:r>
      <w:r>
        <w:rPr>
          <w:color w:val="231F20"/>
          <w:spacing w:val="-7"/>
        </w:rPr>
        <w:t> </w:t>
      </w:r>
      <w:r>
        <w:rPr>
          <w:color w:val="231F20"/>
        </w:rPr>
        <w:t>trabajo</w:t>
      </w:r>
      <w:r>
        <w:rPr>
          <w:color w:val="231F20"/>
          <w:spacing w:val="-6"/>
        </w:rPr>
        <w:t> </w:t>
      </w:r>
      <w:r>
        <w:rPr>
          <w:color w:val="231F20"/>
        </w:rPr>
        <w:t>utilizado, del transporte, de los materiales, envases y embalajes utilizados, la</w:t>
      </w:r>
      <w:r>
        <w:rPr>
          <w:color w:val="231F20"/>
          <w:spacing w:val="30"/>
        </w:rPr>
        <w:t> </w:t>
      </w:r>
      <w:r>
        <w:rPr>
          <w:color w:val="231F20"/>
        </w:rPr>
        <w:t>publi-</w:t>
      </w:r>
    </w:p>
    <w:p>
      <w:pPr>
        <w:spacing w:after="0" w:line="273" w:lineRule="auto"/>
        <w:jc w:val="both"/>
        <w:sectPr>
          <w:pgSz w:w="7940" w:h="11910"/>
          <w:pgMar w:header="0" w:footer="469" w:top="500" w:bottom="660" w:left="1020" w:right="1020"/>
        </w:sectPr>
      </w:pPr>
    </w:p>
    <w:p>
      <w:pPr>
        <w:spacing w:before="60"/>
        <w:ind w:left="597" w:right="102" w:firstLine="0"/>
        <w:jc w:val="left"/>
        <w:rPr>
          <w:sz w:val="14"/>
        </w:rPr>
      </w:pPr>
      <w:r>
        <w:rPr>
          <w:color w:val="231F20"/>
          <w:sz w:val="18"/>
        </w:rPr>
        <w:t>F. G</w:t>
      </w:r>
      <w:r>
        <w:rPr>
          <w:color w:val="231F20"/>
          <w:sz w:val="14"/>
        </w:rPr>
        <w:t>ONZÁLEZ-</w:t>
      </w:r>
      <w:r>
        <w:rPr>
          <w:color w:val="231F20"/>
          <w:sz w:val="18"/>
        </w:rPr>
        <w:t>R</w:t>
      </w:r>
      <w:r>
        <w:rPr>
          <w:color w:val="231F20"/>
          <w:sz w:val="14"/>
        </w:rPr>
        <w:t>AZO</w:t>
      </w:r>
      <w:r>
        <w:rPr>
          <w:color w:val="231F20"/>
          <w:sz w:val="18"/>
        </w:rPr>
        <w:t>, S. R</w:t>
      </w:r>
      <w:r>
        <w:rPr>
          <w:color w:val="231F20"/>
          <w:sz w:val="14"/>
        </w:rPr>
        <w:t>EBOLLAR</w:t>
      </w:r>
      <w:r>
        <w:rPr>
          <w:color w:val="231F20"/>
          <w:sz w:val="18"/>
        </w:rPr>
        <w:t>-R</w:t>
      </w:r>
      <w:r>
        <w:rPr>
          <w:color w:val="231F20"/>
          <w:sz w:val="14"/>
        </w:rPr>
        <w:t>EBOLLAR</w:t>
      </w:r>
      <w:r>
        <w:rPr>
          <w:color w:val="231F20"/>
          <w:sz w:val="18"/>
        </w:rPr>
        <w:t>, J</w:t>
      </w:r>
      <w:r>
        <w:rPr>
          <w:color w:val="231F20"/>
          <w:sz w:val="14"/>
        </w:rPr>
        <w:t>. </w:t>
      </w:r>
      <w:r>
        <w:rPr>
          <w:color w:val="231F20"/>
          <w:sz w:val="18"/>
        </w:rPr>
        <w:t>H</w:t>
      </w:r>
      <w:r>
        <w:rPr>
          <w:color w:val="231F20"/>
          <w:sz w:val="14"/>
        </w:rPr>
        <w:t>ERNÁNDEZ-</w:t>
      </w:r>
      <w:r>
        <w:rPr>
          <w:color w:val="231F20"/>
          <w:sz w:val="18"/>
        </w:rPr>
        <w:t>M</w:t>
      </w:r>
      <w:r>
        <w:rPr>
          <w:color w:val="231F20"/>
          <w:sz w:val="14"/>
        </w:rPr>
        <w:t>ARTÍNEZ</w:t>
      </w:r>
    </w:p>
    <w:p>
      <w:pPr>
        <w:pStyle w:val="BodyText"/>
        <w:spacing w:before="1"/>
        <w:rPr>
          <w:sz w:val="23"/>
        </w:rPr>
      </w:pPr>
    </w:p>
    <w:p>
      <w:pPr>
        <w:pStyle w:val="BodyText"/>
        <w:spacing w:line="273" w:lineRule="auto" w:before="75"/>
        <w:ind w:left="113" w:right="111"/>
        <w:jc w:val="both"/>
      </w:pPr>
      <w:r>
        <w:rPr>
          <w:color w:val="231F20"/>
        </w:rPr>
        <w:t>cidad, la depreciación, los impuestos, los beneficios, intereses, alquileres   y otros costos, los cuales se denominan como costos de comercialización (CC) (García et al.,</w:t>
      </w:r>
      <w:r>
        <w:rPr>
          <w:color w:val="231F20"/>
          <w:spacing w:val="-11"/>
        </w:rPr>
        <w:t> </w:t>
      </w:r>
      <w:r>
        <w:rPr>
          <w:color w:val="231F20"/>
        </w:rPr>
        <w:t>1990).</w:t>
      </w:r>
    </w:p>
    <w:p>
      <w:pPr>
        <w:pStyle w:val="BodyText"/>
      </w:pPr>
    </w:p>
    <w:p>
      <w:pPr>
        <w:pStyle w:val="Heading4"/>
      </w:pPr>
      <w:r>
        <w:rPr>
          <w:color w:val="231F20"/>
        </w:rPr>
        <w:t>El coeficiente de transformación</w:t>
      </w:r>
    </w:p>
    <w:p>
      <w:pPr>
        <w:pStyle w:val="BodyText"/>
        <w:spacing w:line="273" w:lineRule="auto" w:before="185"/>
        <w:ind w:left="113" w:right="111"/>
        <w:jc w:val="both"/>
      </w:pPr>
      <w:r>
        <w:rPr>
          <w:color w:val="231F20"/>
        </w:rPr>
        <w:t>En el presente trabajo, el coeficiente de transformación se definió como  la cantidad de producto final obtenido (medida en kilogramos) por cada kilogramo de cerdo en</w:t>
      </w:r>
      <w:r>
        <w:rPr>
          <w:color w:val="231F20"/>
          <w:spacing w:val="-20"/>
        </w:rPr>
        <w:t> </w:t>
      </w:r>
      <w:r>
        <w:rPr>
          <w:color w:val="231F20"/>
        </w:rPr>
        <w:t>pie.</w:t>
      </w:r>
    </w:p>
    <w:p>
      <w:pPr>
        <w:pStyle w:val="BodyText"/>
        <w:spacing w:line="273" w:lineRule="auto"/>
        <w:ind w:left="113" w:right="111" w:firstLine="283"/>
        <w:jc w:val="both"/>
      </w:pPr>
      <w:r>
        <w:rPr>
          <w:color w:val="231F20"/>
        </w:rPr>
        <w:t>En</w:t>
      </w:r>
      <w:r>
        <w:rPr>
          <w:color w:val="231F20"/>
          <w:spacing w:val="-5"/>
        </w:rPr>
        <w:t> </w:t>
      </w:r>
      <w:r>
        <w:rPr>
          <w:color w:val="231F20"/>
        </w:rPr>
        <w:t>este</w:t>
      </w:r>
      <w:r>
        <w:rPr>
          <w:color w:val="231F20"/>
          <w:spacing w:val="-5"/>
        </w:rPr>
        <w:t> </w:t>
      </w:r>
      <w:r>
        <w:rPr>
          <w:color w:val="231F20"/>
        </w:rPr>
        <w:t>sentido,</w:t>
      </w:r>
      <w:r>
        <w:rPr>
          <w:color w:val="231F20"/>
          <w:spacing w:val="-5"/>
        </w:rPr>
        <w:t> </w:t>
      </w:r>
      <w:r>
        <w:rPr>
          <w:color w:val="231F20"/>
        </w:rPr>
        <w:t>Alonso</w:t>
      </w:r>
      <w:r>
        <w:rPr>
          <w:color w:val="231F20"/>
          <w:spacing w:val="-5"/>
        </w:rPr>
        <w:t> </w:t>
      </w:r>
      <w:r>
        <w:rPr>
          <w:color w:val="231F20"/>
        </w:rPr>
        <w:t>et</w:t>
      </w:r>
      <w:r>
        <w:rPr>
          <w:color w:val="231F20"/>
          <w:spacing w:val="-5"/>
        </w:rPr>
        <w:t> </w:t>
      </w:r>
      <w:r>
        <w:rPr>
          <w:color w:val="231F20"/>
        </w:rPr>
        <w:t>al.</w:t>
      </w:r>
      <w:r>
        <w:rPr>
          <w:color w:val="231F20"/>
          <w:spacing w:val="-5"/>
        </w:rPr>
        <w:t> </w:t>
      </w:r>
      <w:r>
        <w:rPr>
          <w:color w:val="231F20"/>
        </w:rPr>
        <w:t>(2005)</w:t>
      </w:r>
      <w:r>
        <w:rPr>
          <w:color w:val="231F20"/>
          <w:spacing w:val="-5"/>
        </w:rPr>
        <w:t> </w:t>
      </w:r>
      <w:r>
        <w:rPr>
          <w:color w:val="231F20"/>
        </w:rPr>
        <w:t>señalan</w:t>
      </w:r>
      <w:r>
        <w:rPr>
          <w:color w:val="231F20"/>
          <w:spacing w:val="-5"/>
        </w:rPr>
        <w:t> </w:t>
      </w:r>
      <w:r>
        <w:rPr>
          <w:color w:val="231F20"/>
        </w:rPr>
        <w:t>que</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cerdo</w:t>
      </w:r>
      <w:r>
        <w:rPr>
          <w:color w:val="231F20"/>
          <w:spacing w:val="-5"/>
        </w:rPr>
        <w:t> </w:t>
      </w:r>
      <w:r>
        <w:rPr>
          <w:color w:val="231F20"/>
        </w:rPr>
        <w:t>de</w:t>
      </w:r>
      <w:r>
        <w:rPr>
          <w:color w:val="231F20"/>
          <w:spacing w:val="-5"/>
        </w:rPr>
        <w:t> </w:t>
      </w:r>
      <w:r>
        <w:rPr>
          <w:color w:val="231F20"/>
        </w:rPr>
        <w:t>100</w:t>
      </w:r>
      <w:r>
        <w:rPr>
          <w:color w:val="231F20"/>
          <w:spacing w:val="-5"/>
        </w:rPr>
        <w:t> </w:t>
      </w:r>
      <w:r>
        <w:rPr>
          <w:color w:val="231F20"/>
        </w:rPr>
        <w:t>kg de peso vivo se obtiene en promedio el 79.80% de rendimiento.</w:t>
      </w:r>
      <w:r>
        <w:rPr>
          <w:color w:val="231F20"/>
          <w:spacing w:val="-19"/>
        </w:rPr>
        <w:t> </w:t>
      </w:r>
      <w:r>
        <w:rPr>
          <w:color w:val="231F20"/>
        </w:rPr>
        <w:t>Asimismo Flores y Agraz (1982) señalan que del peso total en vivo de un cerdo de 100 kg se consigue únicamente y como máximo un rendimiento en canal del 76.20%. Por su parte, ASERCA (1996) menciona que en promedio el rendimiento de un animal con un peso de 100 kg es del 79.90%, dato que se</w:t>
      </w:r>
      <w:r>
        <w:rPr>
          <w:color w:val="231F20"/>
          <w:spacing w:val="-9"/>
        </w:rPr>
        <w:t> </w:t>
      </w:r>
      <w:r>
        <w:rPr>
          <w:color w:val="231F20"/>
        </w:rPr>
        <w:t>utilizó</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presente</w:t>
      </w:r>
      <w:r>
        <w:rPr>
          <w:color w:val="231F20"/>
          <w:spacing w:val="-9"/>
        </w:rPr>
        <w:t> </w:t>
      </w:r>
      <w:r>
        <w:rPr>
          <w:color w:val="231F20"/>
        </w:rPr>
        <w:t>estudio</w:t>
      </w:r>
      <w:r>
        <w:rPr>
          <w:color w:val="231F20"/>
          <w:spacing w:val="-9"/>
        </w:rPr>
        <w:t> </w:t>
      </w:r>
      <w:r>
        <w:rPr>
          <w:color w:val="231F20"/>
        </w:rPr>
        <w:t>para</w:t>
      </w:r>
      <w:r>
        <w:rPr>
          <w:color w:val="231F20"/>
          <w:spacing w:val="-9"/>
        </w:rPr>
        <w:t> </w:t>
      </w:r>
      <w:r>
        <w:rPr>
          <w:color w:val="231F20"/>
        </w:rPr>
        <w:t>determinar</w:t>
      </w:r>
      <w:r>
        <w:rPr>
          <w:color w:val="231F20"/>
          <w:spacing w:val="-9"/>
        </w:rPr>
        <w:t> </w:t>
      </w:r>
      <w:r>
        <w:rPr>
          <w:color w:val="231F20"/>
        </w:rPr>
        <w:t>la</w:t>
      </w:r>
      <w:r>
        <w:rPr>
          <w:color w:val="231F20"/>
          <w:spacing w:val="-9"/>
        </w:rPr>
        <w:t> </w:t>
      </w:r>
      <w:r>
        <w:rPr>
          <w:color w:val="231F20"/>
        </w:rPr>
        <w:t>cantidad</w:t>
      </w:r>
      <w:r>
        <w:rPr>
          <w:color w:val="231F20"/>
          <w:spacing w:val="-9"/>
        </w:rPr>
        <w:t> </w:t>
      </w:r>
      <w:r>
        <w:rPr>
          <w:color w:val="231F20"/>
        </w:rPr>
        <w:t>equivalente,</w:t>
      </w:r>
      <w:r>
        <w:rPr>
          <w:color w:val="231F20"/>
          <w:spacing w:val="-9"/>
        </w:rPr>
        <w:t> </w:t>
      </w:r>
      <w:r>
        <w:rPr>
          <w:color w:val="231F20"/>
        </w:rPr>
        <w:t>el cual resulta similar a los rendimientos antes</w:t>
      </w:r>
      <w:r>
        <w:rPr>
          <w:color w:val="231F20"/>
          <w:spacing w:val="-19"/>
        </w:rPr>
        <w:t> </w:t>
      </w:r>
      <w:r>
        <w:rPr>
          <w:color w:val="231F20"/>
        </w:rPr>
        <w:t>mencionados.</w:t>
      </w:r>
    </w:p>
    <w:p>
      <w:pPr>
        <w:pStyle w:val="BodyText"/>
      </w:pPr>
    </w:p>
    <w:p>
      <w:pPr>
        <w:pStyle w:val="Heading4"/>
      </w:pPr>
      <w:r>
        <w:rPr>
          <w:color w:val="231F20"/>
        </w:rPr>
        <w:t>Los costos de comercialización</w:t>
      </w:r>
    </w:p>
    <w:p>
      <w:pPr>
        <w:pStyle w:val="BodyText"/>
        <w:spacing w:line="273" w:lineRule="auto" w:before="185"/>
        <w:ind w:left="113" w:right="111"/>
        <w:jc w:val="both"/>
      </w:pPr>
      <w:r>
        <w:rPr>
          <w:color w:val="231F20"/>
        </w:rPr>
        <w:t>Para el cálculo de los márgenes de comercialización se definieron como componentes de los costos de comercialización (</w:t>
      </w:r>
      <w:r>
        <w:rPr>
          <w:color w:val="231F20"/>
          <w:sz w:val="16"/>
        </w:rPr>
        <w:t>CC</w:t>
      </w:r>
      <w:r>
        <w:rPr>
          <w:color w:val="231F20"/>
        </w:rPr>
        <w:t>), incurridos por los di- ferentes</w:t>
      </w:r>
      <w:r>
        <w:rPr>
          <w:color w:val="231F20"/>
          <w:spacing w:val="-5"/>
        </w:rPr>
        <w:t> </w:t>
      </w:r>
      <w:r>
        <w:rPr>
          <w:color w:val="231F20"/>
        </w:rPr>
        <w:t>agentes</w:t>
      </w:r>
      <w:r>
        <w:rPr>
          <w:color w:val="231F20"/>
          <w:spacing w:val="-5"/>
        </w:rPr>
        <w:t> </w:t>
      </w:r>
      <w:r>
        <w:rPr>
          <w:color w:val="231F20"/>
        </w:rPr>
        <w:t>participantes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proceso,</w:t>
      </w:r>
      <w:r>
        <w:rPr>
          <w:color w:val="231F20"/>
          <w:spacing w:val="-5"/>
        </w:rPr>
        <w:t> </w:t>
      </w:r>
      <w:r>
        <w:rPr>
          <w:color w:val="231F20"/>
        </w:rPr>
        <w:t>a</w:t>
      </w:r>
      <w:r>
        <w:rPr>
          <w:color w:val="231F20"/>
          <w:spacing w:val="-5"/>
        </w:rPr>
        <w:t> </w:t>
      </w:r>
      <w:r>
        <w:rPr>
          <w:color w:val="231F20"/>
        </w:rPr>
        <w:t>la</w:t>
      </w:r>
      <w:r>
        <w:rPr>
          <w:color w:val="231F20"/>
          <w:spacing w:val="-4"/>
        </w:rPr>
        <w:t> </w:t>
      </w:r>
      <w:r>
        <w:rPr>
          <w:color w:val="231F20"/>
        </w:rPr>
        <w:t>mano</w:t>
      </w:r>
      <w:r>
        <w:rPr>
          <w:color w:val="231F20"/>
          <w:spacing w:val="-5"/>
        </w:rPr>
        <w:t> </w:t>
      </w:r>
      <w:r>
        <w:rPr>
          <w:color w:val="231F20"/>
        </w:rPr>
        <w:t>de</w:t>
      </w:r>
      <w:r>
        <w:rPr>
          <w:color w:val="231F20"/>
          <w:spacing w:val="-5"/>
        </w:rPr>
        <w:t> </w:t>
      </w:r>
      <w:r>
        <w:rPr>
          <w:color w:val="231F20"/>
        </w:rPr>
        <w:t>obra</w:t>
      </w:r>
      <w:r>
        <w:rPr>
          <w:color w:val="231F20"/>
          <w:spacing w:val="-5"/>
        </w:rPr>
        <w:t> </w:t>
      </w:r>
      <w:r>
        <w:rPr>
          <w:color w:val="231F20"/>
        </w:rPr>
        <w:t>directa,</w:t>
      </w:r>
      <w:r>
        <w:rPr>
          <w:color w:val="231F20"/>
          <w:spacing w:val="-5"/>
        </w:rPr>
        <w:t> </w:t>
      </w:r>
      <w:r>
        <w:rPr>
          <w:color w:val="231F20"/>
        </w:rPr>
        <w:t>los costos de acarreo, la energía eléctrica, el agua, la depreciación de la ma- quinaria, gastos administrativos diversos, mano de obra indirecta y otros costos.</w:t>
      </w:r>
    </w:p>
    <w:p>
      <w:pPr>
        <w:pStyle w:val="BodyText"/>
      </w:pPr>
    </w:p>
    <w:p>
      <w:pPr>
        <w:pStyle w:val="BodyText"/>
        <w:spacing w:before="2"/>
        <w:rPr>
          <w:sz w:val="16"/>
        </w:rPr>
      </w:pPr>
    </w:p>
    <w:p>
      <w:pPr>
        <w:pStyle w:val="Heading3"/>
      </w:pPr>
      <w:r>
        <w:rPr>
          <w:color w:val="231F20"/>
        </w:rPr>
        <w:t>RESULTADOS Y DISCUSIÓN</w:t>
      </w:r>
    </w:p>
    <w:p>
      <w:pPr>
        <w:pStyle w:val="Heading4"/>
        <w:spacing w:before="56"/>
      </w:pPr>
      <w:r>
        <w:rPr>
          <w:color w:val="231F20"/>
        </w:rPr>
        <w:t>El sistema de producción</w:t>
      </w:r>
    </w:p>
    <w:p>
      <w:pPr>
        <w:pStyle w:val="BodyText"/>
        <w:spacing w:line="273" w:lineRule="auto" w:before="185"/>
        <w:ind w:left="113" w:right="111"/>
        <w:jc w:val="both"/>
      </w:pPr>
      <w:r>
        <w:rPr>
          <w:color w:val="231F20"/>
        </w:rPr>
        <w:t>En la región Sur del Estado de México predomina la porcicultura de tras- patio o extensiva en un 63.63%, con piaras de 5 a 50 cerdos por unidad. Por</w:t>
      </w:r>
      <w:r>
        <w:rPr>
          <w:color w:val="231F20"/>
          <w:spacing w:val="-11"/>
        </w:rPr>
        <w:t> </w:t>
      </w:r>
      <w:r>
        <w:rPr>
          <w:color w:val="231F20"/>
        </w:rPr>
        <w:t>su</w:t>
      </w:r>
      <w:r>
        <w:rPr>
          <w:color w:val="231F20"/>
          <w:spacing w:val="-11"/>
        </w:rPr>
        <w:t> </w:t>
      </w:r>
      <w:r>
        <w:rPr>
          <w:color w:val="231F20"/>
        </w:rPr>
        <w:t>parte,</w:t>
      </w:r>
      <w:r>
        <w:rPr>
          <w:color w:val="231F20"/>
          <w:spacing w:val="-11"/>
        </w:rPr>
        <w:t> </w:t>
      </w:r>
      <w:r>
        <w:rPr>
          <w:color w:val="231F20"/>
        </w:rPr>
        <w:t>el</w:t>
      </w:r>
      <w:r>
        <w:rPr>
          <w:color w:val="231F20"/>
          <w:spacing w:val="-11"/>
        </w:rPr>
        <w:t> </w:t>
      </w:r>
      <w:r>
        <w:rPr>
          <w:color w:val="231F20"/>
        </w:rPr>
        <w:t>sistema</w:t>
      </w:r>
      <w:r>
        <w:rPr>
          <w:color w:val="231F20"/>
          <w:spacing w:val="-11"/>
        </w:rPr>
        <w:t> </w:t>
      </w:r>
      <w:r>
        <w:rPr>
          <w:color w:val="231F20"/>
        </w:rPr>
        <w:t>semi-intensivo</w:t>
      </w:r>
      <w:r>
        <w:rPr>
          <w:color w:val="231F20"/>
          <w:spacing w:val="-11"/>
        </w:rPr>
        <w:t> </w:t>
      </w:r>
      <w:r>
        <w:rPr>
          <w:color w:val="231F20"/>
        </w:rPr>
        <w:t>o</w:t>
      </w:r>
      <w:r>
        <w:rPr>
          <w:color w:val="231F20"/>
          <w:spacing w:val="-11"/>
        </w:rPr>
        <w:t> </w:t>
      </w:r>
      <w:r>
        <w:rPr>
          <w:color w:val="231F20"/>
        </w:rPr>
        <w:t>semi-tecnificado</w:t>
      </w:r>
      <w:r>
        <w:rPr>
          <w:color w:val="231F20"/>
          <w:spacing w:val="-11"/>
        </w:rPr>
        <w:t> </w:t>
      </w:r>
      <w:r>
        <w:rPr>
          <w:color w:val="231F20"/>
        </w:rPr>
        <w:t>ocupa</w:t>
      </w:r>
      <w:r>
        <w:rPr>
          <w:color w:val="231F20"/>
          <w:spacing w:val="-11"/>
        </w:rPr>
        <w:t> </w:t>
      </w:r>
      <w:r>
        <w:rPr>
          <w:color w:val="231F20"/>
        </w:rPr>
        <w:t>el</w:t>
      </w:r>
      <w:r>
        <w:rPr>
          <w:color w:val="231F20"/>
          <w:spacing w:val="-11"/>
        </w:rPr>
        <w:t> </w:t>
      </w:r>
      <w:r>
        <w:rPr>
          <w:color w:val="231F20"/>
        </w:rPr>
        <w:t>restante 36.37% de la producción local. Resulta importante destacar que la porci- cultura intensiva no es practicada en la región debido a que no se cuentan con</w:t>
      </w:r>
      <w:r>
        <w:rPr>
          <w:color w:val="231F20"/>
          <w:spacing w:val="-4"/>
        </w:rPr>
        <w:t> </w:t>
      </w:r>
      <w:r>
        <w:rPr>
          <w:color w:val="231F20"/>
        </w:rPr>
        <w:t>las</w:t>
      </w:r>
      <w:r>
        <w:rPr>
          <w:color w:val="231F20"/>
          <w:spacing w:val="-4"/>
        </w:rPr>
        <w:t> </w:t>
      </w:r>
      <w:r>
        <w:rPr>
          <w:color w:val="231F20"/>
        </w:rPr>
        <w:t>condiciones</w:t>
      </w:r>
      <w:r>
        <w:rPr>
          <w:color w:val="231F20"/>
          <w:spacing w:val="-4"/>
        </w:rPr>
        <w:t> </w:t>
      </w:r>
      <w:r>
        <w:rPr>
          <w:color w:val="231F20"/>
        </w:rPr>
        <w:t>necesarias</w:t>
      </w:r>
      <w:r>
        <w:rPr>
          <w:color w:val="231F20"/>
          <w:spacing w:val="-4"/>
        </w:rPr>
        <w:t> </w:t>
      </w:r>
      <w:r>
        <w:rPr>
          <w:color w:val="231F20"/>
        </w:rPr>
        <w:t>para</w:t>
      </w:r>
      <w:r>
        <w:rPr>
          <w:color w:val="231F20"/>
          <w:spacing w:val="-4"/>
        </w:rPr>
        <w:t> </w:t>
      </w:r>
      <w:r>
        <w:rPr>
          <w:color w:val="231F20"/>
        </w:rPr>
        <w:t>su</w:t>
      </w:r>
      <w:r>
        <w:rPr>
          <w:color w:val="231F20"/>
          <w:spacing w:val="-4"/>
        </w:rPr>
        <w:t> </w:t>
      </w:r>
      <w:r>
        <w:rPr>
          <w:color w:val="231F20"/>
        </w:rPr>
        <w:t>desarrollo</w:t>
      </w:r>
      <w:r>
        <w:rPr>
          <w:color w:val="231F20"/>
          <w:spacing w:val="-4"/>
        </w:rPr>
        <w:t> </w:t>
      </w:r>
      <w:r>
        <w:rPr>
          <w:color w:val="231F20"/>
        </w:rPr>
        <w:t>(véase</w:t>
      </w:r>
      <w:r>
        <w:rPr>
          <w:color w:val="231F20"/>
          <w:spacing w:val="-4"/>
        </w:rPr>
        <w:t> </w:t>
      </w:r>
      <w:r>
        <w:rPr>
          <w:color w:val="231F20"/>
        </w:rPr>
        <w:t>cuadro</w:t>
      </w:r>
      <w:r>
        <w:rPr>
          <w:color w:val="231F20"/>
          <w:spacing w:val="-4"/>
        </w:rPr>
        <w:t> </w:t>
      </w:r>
      <w:r>
        <w:rPr>
          <w:color w:val="231F20"/>
        </w:rPr>
        <w:t>30).</w:t>
      </w:r>
    </w:p>
    <w:p>
      <w:pPr>
        <w:spacing w:after="0" w:line="273" w:lineRule="auto"/>
        <w:jc w:val="both"/>
        <w:sectPr>
          <w:pgSz w:w="7940" w:h="11910"/>
          <w:pgMar w:header="0" w:footer="469" w:top="480" w:bottom="660" w:left="1020" w:right="1020"/>
        </w:sectPr>
      </w:pPr>
    </w:p>
    <w:p>
      <w:pPr>
        <w:spacing w:before="50"/>
        <w:ind w:left="1227" w:right="102" w:firstLine="0"/>
        <w:jc w:val="left"/>
        <w:rPr>
          <w:sz w:val="14"/>
        </w:rPr>
      </w:pPr>
      <w:r>
        <w:rPr>
          <w:color w:val="231F20"/>
          <w:sz w:val="18"/>
        </w:rPr>
        <w:t>L</w:t>
      </w:r>
      <w:r>
        <w:rPr>
          <w:color w:val="231F20"/>
          <w:sz w:val="14"/>
        </w:rPr>
        <w:t>A PORCICULTURA EN EL SUR DEL </w:t>
      </w:r>
      <w:r>
        <w:rPr>
          <w:color w:val="231F20"/>
          <w:sz w:val="18"/>
        </w:rPr>
        <w:t>E</w:t>
      </w:r>
      <w:r>
        <w:rPr>
          <w:color w:val="231F20"/>
          <w:sz w:val="14"/>
        </w:rPr>
        <w:t>STADO DE </w:t>
      </w:r>
      <w:r>
        <w:rPr>
          <w:color w:val="231F20"/>
          <w:sz w:val="18"/>
        </w:rPr>
        <w:t>M</w:t>
      </w:r>
      <w:r>
        <w:rPr>
          <w:color w:val="231F20"/>
          <w:sz w:val="14"/>
        </w:rPr>
        <w:t>ÉXICO</w:t>
      </w:r>
    </w:p>
    <w:p>
      <w:pPr>
        <w:pStyle w:val="BodyText"/>
        <w:spacing w:before="1"/>
        <w:rPr>
          <w:sz w:val="22"/>
        </w:rPr>
      </w:pPr>
    </w:p>
    <w:p>
      <w:pPr>
        <w:pStyle w:val="Heading5"/>
        <w:spacing w:before="70"/>
      </w:pPr>
      <w:r>
        <w:rPr>
          <w:color w:val="231F20"/>
        </w:rPr>
        <w:t>Cuadro 30</w:t>
      </w:r>
    </w:p>
    <w:p>
      <w:pPr>
        <w:spacing w:line="268" w:lineRule="auto" w:before="32"/>
        <w:ind w:left="402" w:right="400" w:firstLine="0"/>
        <w:jc w:val="center"/>
        <w:rPr>
          <w:b/>
          <w:sz w:val="22"/>
        </w:rPr>
      </w:pPr>
      <w:r>
        <w:rPr>
          <w:b/>
          <w:color w:val="231F20"/>
          <w:sz w:val="22"/>
        </w:rPr>
        <w:t>Sistema de producción de la porcicultura en el Sur del Estado de México</w:t>
      </w:r>
    </w:p>
    <w:p>
      <w:pPr>
        <w:pStyle w:val="BodyText"/>
        <w:spacing w:before="6"/>
        <w:rPr>
          <w:b/>
          <w:sz w:val="8"/>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57"/>
        <w:gridCol w:w="2213"/>
      </w:tblGrid>
      <w:tr>
        <w:trPr>
          <w:trHeight w:val="310" w:hRule="exact"/>
        </w:trPr>
        <w:tc>
          <w:tcPr>
            <w:tcW w:w="3457" w:type="dxa"/>
            <w:tcBorders>
              <w:top w:val="single" w:sz="8" w:space="0" w:color="231F20"/>
              <w:bottom w:val="single" w:sz="8" w:space="0" w:color="231F20"/>
            </w:tcBorders>
          </w:tcPr>
          <w:p>
            <w:pPr>
              <w:pStyle w:val="TableParagraph"/>
              <w:spacing w:before="72"/>
              <w:ind w:left="451" w:right="382"/>
              <w:rPr>
                <w:b/>
                <w:sz w:val="18"/>
              </w:rPr>
            </w:pPr>
            <w:r>
              <w:rPr>
                <w:b/>
                <w:color w:val="231F20"/>
                <w:sz w:val="18"/>
              </w:rPr>
              <w:t>Tipo de explotación</w:t>
            </w:r>
          </w:p>
        </w:tc>
        <w:tc>
          <w:tcPr>
            <w:tcW w:w="2213" w:type="dxa"/>
            <w:tcBorders>
              <w:top w:val="single" w:sz="8" w:space="0" w:color="231F20"/>
              <w:bottom w:val="single" w:sz="8" w:space="0" w:color="231F20"/>
            </w:tcBorders>
          </w:tcPr>
          <w:p>
            <w:pPr>
              <w:pStyle w:val="TableParagraph"/>
              <w:spacing w:before="72"/>
              <w:ind w:left="385" w:right="316"/>
              <w:rPr>
                <w:b/>
                <w:sz w:val="18"/>
              </w:rPr>
            </w:pPr>
            <w:r>
              <w:rPr>
                <w:b/>
                <w:color w:val="231F20"/>
                <w:sz w:val="18"/>
              </w:rPr>
              <w:t>Participación (%)</w:t>
            </w:r>
          </w:p>
        </w:tc>
      </w:tr>
      <w:tr>
        <w:trPr>
          <w:trHeight w:val="268" w:hRule="exact"/>
        </w:trPr>
        <w:tc>
          <w:tcPr>
            <w:tcW w:w="3457" w:type="dxa"/>
            <w:tcBorders>
              <w:top w:val="single" w:sz="8" w:space="0" w:color="231F20"/>
            </w:tcBorders>
          </w:tcPr>
          <w:p>
            <w:pPr>
              <w:pStyle w:val="TableParagraph"/>
              <w:spacing w:before="15"/>
              <w:ind w:left="451" w:right="382"/>
              <w:rPr>
                <w:sz w:val="18"/>
              </w:rPr>
            </w:pPr>
            <w:r>
              <w:rPr>
                <w:color w:val="231F20"/>
                <w:sz w:val="18"/>
              </w:rPr>
              <w:t>Extensiva (traspatio)</w:t>
            </w:r>
          </w:p>
        </w:tc>
        <w:tc>
          <w:tcPr>
            <w:tcW w:w="2213" w:type="dxa"/>
            <w:tcBorders>
              <w:top w:val="single" w:sz="8" w:space="0" w:color="231F20"/>
            </w:tcBorders>
          </w:tcPr>
          <w:p>
            <w:pPr>
              <w:pStyle w:val="TableParagraph"/>
              <w:spacing w:before="15"/>
              <w:ind w:left="385" w:right="315"/>
              <w:rPr>
                <w:sz w:val="18"/>
              </w:rPr>
            </w:pPr>
            <w:r>
              <w:rPr>
                <w:color w:val="231F20"/>
                <w:sz w:val="18"/>
              </w:rPr>
              <w:t>63.63</w:t>
            </w:r>
          </w:p>
        </w:tc>
      </w:tr>
      <w:tr>
        <w:trPr>
          <w:trHeight w:val="253" w:hRule="exact"/>
        </w:trPr>
        <w:tc>
          <w:tcPr>
            <w:tcW w:w="3457" w:type="dxa"/>
          </w:tcPr>
          <w:p>
            <w:pPr>
              <w:pStyle w:val="TableParagraph"/>
              <w:spacing w:before="11"/>
              <w:ind w:left="451" w:right="382"/>
              <w:rPr>
                <w:sz w:val="18"/>
              </w:rPr>
            </w:pPr>
            <w:r>
              <w:rPr>
                <w:color w:val="231F20"/>
                <w:sz w:val="18"/>
              </w:rPr>
              <w:t>Semi-intensiva (semi-tecnificada)</w:t>
            </w:r>
          </w:p>
        </w:tc>
        <w:tc>
          <w:tcPr>
            <w:tcW w:w="2213" w:type="dxa"/>
          </w:tcPr>
          <w:p>
            <w:pPr>
              <w:pStyle w:val="TableParagraph"/>
              <w:spacing w:before="11"/>
              <w:ind w:left="385" w:right="315"/>
              <w:rPr>
                <w:sz w:val="18"/>
              </w:rPr>
            </w:pPr>
            <w:r>
              <w:rPr>
                <w:color w:val="231F20"/>
                <w:sz w:val="18"/>
              </w:rPr>
              <w:t>36.37</w:t>
            </w:r>
          </w:p>
        </w:tc>
      </w:tr>
      <w:tr>
        <w:trPr>
          <w:trHeight w:val="253" w:hRule="exact"/>
        </w:trPr>
        <w:tc>
          <w:tcPr>
            <w:tcW w:w="3457" w:type="dxa"/>
          </w:tcPr>
          <w:p>
            <w:pPr>
              <w:pStyle w:val="TableParagraph"/>
              <w:spacing w:before="11"/>
              <w:ind w:left="451" w:right="382"/>
              <w:rPr>
                <w:sz w:val="18"/>
              </w:rPr>
            </w:pPr>
            <w:r>
              <w:rPr>
                <w:color w:val="231F20"/>
                <w:sz w:val="18"/>
              </w:rPr>
              <w:t>Intensiva (tecnificada)</w:t>
            </w:r>
          </w:p>
        </w:tc>
        <w:tc>
          <w:tcPr>
            <w:tcW w:w="2213" w:type="dxa"/>
          </w:tcPr>
          <w:p>
            <w:pPr>
              <w:pStyle w:val="TableParagraph"/>
              <w:spacing w:before="11"/>
              <w:ind w:left="385" w:right="316"/>
              <w:rPr>
                <w:sz w:val="18"/>
              </w:rPr>
            </w:pPr>
            <w:r>
              <w:rPr>
                <w:color w:val="231F20"/>
                <w:sz w:val="18"/>
              </w:rPr>
              <w:t>0.00</w:t>
            </w:r>
          </w:p>
        </w:tc>
      </w:tr>
      <w:tr>
        <w:trPr>
          <w:trHeight w:val="239" w:hRule="exact"/>
        </w:trPr>
        <w:tc>
          <w:tcPr>
            <w:tcW w:w="3457" w:type="dxa"/>
            <w:tcBorders>
              <w:bottom w:val="single" w:sz="8" w:space="0" w:color="231F20"/>
            </w:tcBorders>
          </w:tcPr>
          <w:p>
            <w:pPr>
              <w:pStyle w:val="TableParagraph"/>
              <w:spacing w:before="11"/>
              <w:ind w:left="451" w:right="382"/>
              <w:rPr>
                <w:sz w:val="18"/>
              </w:rPr>
            </w:pPr>
            <w:r>
              <w:rPr>
                <w:color w:val="231F20"/>
                <w:sz w:val="18"/>
              </w:rPr>
              <w:t>Total</w:t>
            </w:r>
          </w:p>
        </w:tc>
        <w:tc>
          <w:tcPr>
            <w:tcW w:w="2213" w:type="dxa"/>
            <w:tcBorders>
              <w:bottom w:val="single" w:sz="8" w:space="0" w:color="231F20"/>
            </w:tcBorders>
          </w:tcPr>
          <w:p>
            <w:pPr>
              <w:pStyle w:val="TableParagraph"/>
              <w:spacing w:before="11"/>
              <w:ind w:left="385" w:right="315"/>
              <w:rPr>
                <w:sz w:val="18"/>
              </w:rPr>
            </w:pPr>
            <w:r>
              <w:rPr>
                <w:color w:val="231F20"/>
                <w:sz w:val="18"/>
              </w:rPr>
              <w:t>100.00</w:t>
            </w:r>
          </w:p>
        </w:tc>
      </w:tr>
    </w:tbl>
    <w:p>
      <w:pPr>
        <w:pStyle w:val="BodyText"/>
        <w:spacing w:before="1"/>
        <w:rPr>
          <w:b/>
          <w:sz w:val="7"/>
        </w:rPr>
      </w:pPr>
    </w:p>
    <w:p>
      <w:pPr>
        <w:spacing w:before="78"/>
        <w:ind w:left="113" w:right="0" w:firstLine="0"/>
        <w:jc w:val="both"/>
        <w:rPr>
          <w:sz w:val="16"/>
        </w:rPr>
      </w:pPr>
      <w:r>
        <w:rPr>
          <w:color w:val="231F20"/>
          <w:sz w:val="16"/>
        </w:rPr>
        <w:t>Fuente: Elaboración propia con base en información de campo</w:t>
      </w:r>
    </w:p>
    <w:p>
      <w:pPr>
        <w:pStyle w:val="BodyText"/>
        <w:rPr>
          <w:sz w:val="16"/>
        </w:rPr>
      </w:pPr>
    </w:p>
    <w:p>
      <w:pPr>
        <w:pStyle w:val="BodyText"/>
        <w:spacing w:before="3"/>
        <w:rPr>
          <w:sz w:val="15"/>
        </w:rPr>
      </w:pPr>
    </w:p>
    <w:p>
      <w:pPr>
        <w:pStyle w:val="Heading4"/>
        <w:spacing w:before="0"/>
      </w:pPr>
      <w:r>
        <w:rPr>
          <w:color w:val="231F20"/>
        </w:rPr>
        <w:t>Los canales de comercialización</w:t>
      </w:r>
    </w:p>
    <w:p>
      <w:pPr>
        <w:pStyle w:val="BodyText"/>
        <w:spacing w:line="273" w:lineRule="auto" w:before="185"/>
        <w:ind w:left="113" w:right="111"/>
        <w:jc w:val="both"/>
      </w:pPr>
      <w:r>
        <w:rPr>
          <w:color w:val="231F20"/>
        </w:rPr>
        <w:t>Los canales de comercialización son todos los pasos que sigue el producto desde que sale de la granja hasta que llega al consumidor final.</w:t>
      </w:r>
    </w:p>
    <w:p>
      <w:pPr>
        <w:pStyle w:val="BodyText"/>
        <w:spacing w:line="273" w:lineRule="auto"/>
        <w:ind w:left="113" w:right="111" w:firstLine="283"/>
        <w:jc w:val="both"/>
      </w:pPr>
      <w:r>
        <w:rPr>
          <w:color w:val="231F20"/>
        </w:rPr>
        <w:t>En la actividad porcícola hay diversas formas de comercialización del producto, dichas formas están íntimamente relacionadas con el tipo de</w:t>
      </w:r>
      <w:r>
        <w:rPr>
          <w:color w:val="231F20"/>
          <w:spacing w:val="-24"/>
        </w:rPr>
        <w:t> </w:t>
      </w:r>
      <w:r>
        <w:rPr>
          <w:color w:val="231F20"/>
          <w:spacing w:val="-4"/>
        </w:rPr>
        <w:t>ex- </w:t>
      </w:r>
      <w:r>
        <w:rPr>
          <w:color w:val="231F20"/>
        </w:rPr>
        <w:t>plotación (tecnificadas, semitecnificadas y de</w:t>
      </w:r>
      <w:r>
        <w:rPr>
          <w:color w:val="231F20"/>
          <w:spacing w:val="-13"/>
        </w:rPr>
        <w:t> </w:t>
      </w:r>
      <w:r>
        <w:rPr>
          <w:color w:val="231F20"/>
        </w:rPr>
        <w:t>traspatio).</w:t>
      </w:r>
    </w:p>
    <w:p>
      <w:pPr>
        <w:pStyle w:val="BodyText"/>
        <w:spacing w:line="198" w:lineRule="exact"/>
        <w:ind w:left="113" w:firstLine="283"/>
        <w:jc w:val="both"/>
      </w:pPr>
      <w:r>
        <w:rPr>
          <w:color w:val="231F20"/>
        </w:rPr>
        <w:t>El canal de comercialización tradicional que sigue la  comercialización</w:t>
      </w:r>
    </w:p>
    <w:p>
      <w:pPr>
        <w:pStyle w:val="BodyText"/>
        <w:spacing w:line="259" w:lineRule="auto" w:before="17"/>
        <w:ind w:left="113" w:right="111"/>
        <w:jc w:val="both"/>
      </w:pPr>
      <w:r>
        <w:rPr>
          <w:color w:val="231F20"/>
        </w:rPr>
        <w:t>de la carne de cerdo en el Sur del Estado de México es: de la finca (pro- ductor) al </w:t>
      </w:r>
      <w:r>
        <w:rPr>
          <w:color w:val="231F20"/>
          <w:spacing w:val="-3"/>
        </w:rPr>
        <w:t>acopiador, </w:t>
      </w:r>
      <w:r>
        <w:rPr>
          <w:color w:val="231F20"/>
        </w:rPr>
        <w:t>al rastro municipal, a las carnicerías y al consumidor final. Una variante de dicho canal de comercialización es, antes de que el producto</w:t>
      </w:r>
      <w:r>
        <w:rPr>
          <w:color w:val="231F20"/>
          <w:spacing w:val="-10"/>
        </w:rPr>
        <w:t> </w:t>
      </w:r>
      <w:r>
        <w:rPr>
          <w:color w:val="231F20"/>
        </w:rPr>
        <w:t>llegue</w:t>
      </w:r>
      <w:r>
        <w:rPr>
          <w:color w:val="231F20"/>
          <w:spacing w:val="-10"/>
        </w:rPr>
        <w:t> </w:t>
      </w:r>
      <w:r>
        <w:rPr>
          <w:color w:val="231F20"/>
        </w:rPr>
        <w:t>al</w:t>
      </w:r>
      <w:r>
        <w:rPr>
          <w:color w:val="231F20"/>
          <w:spacing w:val="-10"/>
        </w:rPr>
        <w:t> </w:t>
      </w:r>
      <w:r>
        <w:rPr>
          <w:color w:val="231F20"/>
        </w:rPr>
        <w:t>consumidor</w:t>
      </w:r>
      <w:r>
        <w:rPr>
          <w:color w:val="231F20"/>
          <w:spacing w:val="-11"/>
        </w:rPr>
        <w:t> </w:t>
      </w:r>
      <w:r>
        <w:rPr>
          <w:color w:val="231F20"/>
        </w:rPr>
        <w:t>final</w:t>
      </w:r>
      <w:r>
        <w:rPr>
          <w:color w:val="231F20"/>
          <w:spacing w:val="-10"/>
        </w:rPr>
        <w:t> </w:t>
      </w:r>
      <w:r>
        <w:rPr>
          <w:color w:val="231F20"/>
        </w:rPr>
        <w:t>pasa</w:t>
      </w:r>
      <w:r>
        <w:rPr>
          <w:color w:val="231F20"/>
          <w:spacing w:val="-10"/>
        </w:rPr>
        <w:t> </w:t>
      </w:r>
      <w:r>
        <w:rPr>
          <w:color w:val="231F20"/>
        </w:rPr>
        <w:t>por</w:t>
      </w:r>
      <w:r>
        <w:rPr>
          <w:color w:val="231F20"/>
          <w:spacing w:val="-10"/>
        </w:rPr>
        <w:t> </w:t>
      </w:r>
      <w:r>
        <w:rPr>
          <w:color w:val="231F20"/>
        </w:rPr>
        <w:t>los</w:t>
      </w:r>
      <w:r>
        <w:rPr>
          <w:color w:val="231F20"/>
          <w:spacing w:val="-10"/>
        </w:rPr>
        <w:t> </w:t>
      </w:r>
      <w:r>
        <w:rPr>
          <w:color w:val="231F20"/>
        </w:rPr>
        <w:t>restauranteros</w:t>
      </w:r>
      <w:r>
        <w:rPr>
          <w:color w:val="231F20"/>
          <w:spacing w:val="-10"/>
        </w:rPr>
        <w:t> </w:t>
      </w:r>
      <w:r>
        <w:rPr>
          <w:color w:val="231F20"/>
        </w:rPr>
        <w:t>y</w:t>
      </w:r>
      <w:r>
        <w:rPr>
          <w:color w:val="231F20"/>
          <w:spacing w:val="-10"/>
        </w:rPr>
        <w:t> </w:t>
      </w:r>
      <w:r>
        <w:rPr>
          <w:color w:val="231F20"/>
        </w:rPr>
        <w:t>taqueros, los cuales adquieren el producto directamente del acopiador y solo lo lle- van</w:t>
      </w:r>
      <w:r>
        <w:rPr>
          <w:color w:val="231F20"/>
          <w:spacing w:val="-3"/>
        </w:rPr>
        <w:t> </w:t>
      </w:r>
      <w:r>
        <w:rPr>
          <w:color w:val="231F20"/>
        </w:rPr>
        <w:t>al</w:t>
      </w:r>
      <w:r>
        <w:rPr>
          <w:color w:val="231F20"/>
          <w:spacing w:val="-3"/>
        </w:rPr>
        <w:t> </w:t>
      </w:r>
      <w:r>
        <w:rPr>
          <w:color w:val="231F20"/>
        </w:rPr>
        <w:t>rastro</w:t>
      </w:r>
      <w:r>
        <w:rPr>
          <w:color w:val="231F20"/>
          <w:spacing w:val="-3"/>
        </w:rPr>
        <w:t> </w:t>
      </w:r>
      <w:r>
        <w:rPr>
          <w:color w:val="231F20"/>
        </w:rPr>
        <w:t>para</w:t>
      </w:r>
      <w:r>
        <w:rPr>
          <w:color w:val="231F20"/>
          <w:spacing w:val="-3"/>
        </w:rPr>
        <w:t> </w:t>
      </w:r>
      <w:r>
        <w:rPr>
          <w:color w:val="231F20"/>
        </w:rPr>
        <w:t>que</w:t>
      </w:r>
      <w:r>
        <w:rPr>
          <w:color w:val="231F20"/>
          <w:spacing w:val="-3"/>
        </w:rPr>
        <w:t> </w:t>
      </w:r>
      <w:r>
        <w:rPr>
          <w:color w:val="231F20"/>
        </w:rPr>
        <w:t>les</w:t>
      </w:r>
      <w:r>
        <w:rPr>
          <w:color w:val="231F20"/>
          <w:spacing w:val="-3"/>
        </w:rPr>
        <w:t> </w:t>
      </w:r>
      <w:r>
        <w:rPr>
          <w:color w:val="231F20"/>
        </w:rPr>
        <w:t>presten</w:t>
      </w:r>
      <w:r>
        <w:rPr>
          <w:color w:val="231F20"/>
          <w:spacing w:val="-3"/>
        </w:rPr>
        <w:t> </w:t>
      </w:r>
      <w:r>
        <w:rPr>
          <w:color w:val="231F20"/>
        </w:rPr>
        <w:t>el</w:t>
      </w:r>
      <w:r>
        <w:rPr>
          <w:color w:val="231F20"/>
          <w:spacing w:val="-3"/>
        </w:rPr>
        <w:t> </w:t>
      </w:r>
      <w:r>
        <w:rPr>
          <w:color w:val="231F20"/>
        </w:rPr>
        <w:t>servicio</w:t>
      </w:r>
      <w:r>
        <w:rPr>
          <w:color w:val="231F20"/>
          <w:spacing w:val="-3"/>
        </w:rPr>
        <w:t> </w:t>
      </w:r>
      <w:r>
        <w:rPr>
          <w:color w:val="231F20"/>
        </w:rPr>
        <w:t>de</w:t>
      </w:r>
      <w:r>
        <w:rPr>
          <w:color w:val="231F20"/>
          <w:spacing w:val="-3"/>
        </w:rPr>
        <w:t> </w:t>
      </w:r>
      <w:r>
        <w:rPr>
          <w:color w:val="231F20"/>
        </w:rPr>
        <w:t>matanza.</w:t>
      </w:r>
    </w:p>
    <w:p>
      <w:pPr>
        <w:pStyle w:val="BodyText"/>
        <w:spacing w:line="259" w:lineRule="auto"/>
        <w:ind w:left="113" w:right="111" w:firstLine="283"/>
        <w:jc w:val="both"/>
      </w:pPr>
      <w:r>
        <w:rPr>
          <w:color w:val="231F20"/>
        </w:rPr>
        <w:t>Asimismo, se identificó un canal de comercialización alternativo, en el cual participan los siguientes agentes: del productor, a las carnicerías y al consumidor final; la matanza de los animales se realiza </w:t>
      </w:r>
      <w:r>
        <w:rPr>
          <w:i/>
          <w:color w:val="231F20"/>
        </w:rPr>
        <w:t>in situ </w:t>
      </w:r>
      <w:r>
        <w:rPr>
          <w:color w:val="231F20"/>
        </w:rPr>
        <w:t>por los car- niceros, los cuales abastecen a su vez a restaurantes y taquerías locales (véase figura 10).</w:t>
      </w:r>
    </w:p>
    <w:p>
      <w:pPr>
        <w:pStyle w:val="BodyText"/>
        <w:spacing w:before="6"/>
        <w:rPr>
          <w:sz w:val="16"/>
        </w:rPr>
      </w:pPr>
    </w:p>
    <w:p>
      <w:pPr>
        <w:pStyle w:val="Heading5"/>
        <w:spacing w:before="0"/>
      </w:pPr>
      <w:r>
        <w:rPr>
          <w:color w:val="231F20"/>
        </w:rPr>
        <w:t>Los precios de venta</w:t>
      </w:r>
    </w:p>
    <w:p>
      <w:pPr>
        <w:pStyle w:val="BodyText"/>
        <w:spacing w:line="273" w:lineRule="auto" w:before="190"/>
        <w:ind w:left="113" w:right="112"/>
        <w:jc w:val="both"/>
      </w:pPr>
      <w:r>
        <w:rPr>
          <w:color w:val="231F20"/>
        </w:rPr>
        <w:t>En el presente apartado se analizan los precios de venta alcanzados por los diferentes actores participantes en la cadena de comercialización de la carne de cerdo producida en el Sur del Estado de México.</w:t>
      </w:r>
    </w:p>
    <w:p>
      <w:pPr>
        <w:pStyle w:val="BodyText"/>
        <w:spacing w:line="273" w:lineRule="auto"/>
        <w:ind w:left="113" w:right="111" w:firstLine="283"/>
        <w:jc w:val="both"/>
      </w:pPr>
      <w:r>
        <w:rPr>
          <w:color w:val="231F20"/>
        </w:rPr>
        <w:t>En este sentido, el precio de venta promedio alcanzado por el produc- tor fue de 10.33 $/kg, mientras que el intermediario registró un precio promedio de 11.92 $/kg, esto es, un 15.39% más que lo alcanzado por el productor; por su parte, las carnicerías obtuvieron un precio promedio</w:t>
      </w:r>
    </w:p>
    <w:p>
      <w:pPr>
        <w:spacing w:after="0" w:line="273" w:lineRule="auto"/>
        <w:jc w:val="both"/>
        <w:sectPr>
          <w:pgSz w:w="7940" w:h="11910"/>
          <w:pgMar w:header="0" w:footer="469" w:top="500" w:bottom="660" w:left="1020" w:right="1020"/>
        </w:sectPr>
      </w:pPr>
    </w:p>
    <w:p>
      <w:pPr>
        <w:spacing w:before="60"/>
        <w:ind w:left="597" w:right="102" w:firstLine="0"/>
        <w:jc w:val="left"/>
        <w:rPr>
          <w:sz w:val="14"/>
        </w:rPr>
      </w:pPr>
      <w:r>
        <w:rPr>
          <w:color w:val="231F20"/>
          <w:sz w:val="18"/>
        </w:rPr>
        <w:t>F. G</w:t>
      </w:r>
      <w:r>
        <w:rPr>
          <w:color w:val="231F20"/>
          <w:sz w:val="14"/>
        </w:rPr>
        <w:t>ONZÁLEZ-</w:t>
      </w:r>
      <w:r>
        <w:rPr>
          <w:color w:val="231F20"/>
          <w:sz w:val="18"/>
        </w:rPr>
        <w:t>R</w:t>
      </w:r>
      <w:r>
        <w:rPr>
          <w:color w:val="231F20"/>
          <w:sz w:val="14"/>
        </w:rPr>
        <w:t>AZO</w:t>
      </w:r>
      <w:r>
        <w:rPr>
          <w:color w:val="231F20"/>
          <w:sz w:val="18"/>
        </w:rPr>
        <w:t>, S. R</w:t>
      </w:r>
      <w:r>
        <w:rPr>
          <w:color w:val="231F20"/>
          <w:sz w:val="14"/>
        </w:rPr>
        <w:t>EBOLLAR</w:t>
      </w:r>
      <w:r>
        <w:rPr>
          <w:color w:val="231F20"/>
          <w:sz w:val="18"/>
        </w:rPr>
        <w:t>-R</w:t>
      </w:r>
      <w:r>
        <w:rPr>
          <w:color w:val="231F20"/>
          <w:sz w:val="14"/>
        </w:rPr>
        <w:t>EBOLLAR</w:t>
      </w:r>
      <w:r>
        <w:rPr>
          <w:color w:val="231F20"/>
          <w:sz w:val="18"/>
        </w:rPr>
        <w:t>, J</w:t>
      </w:r>
      <w:r>
        <w:rPr>
          <w:color w:val="231F20"/>
          <w:sz w:val="14"/>
        </w:rPr>
        <w:t>. </w:t>
      </w:r>
      <w:r>
        <w:rPr>
          <w:color w:val="231F20"/>
          <w:sz w:val="18"/>
        </w:rPr>
        <w:t>H</w:t>
      </w:r>
      <w:r>
        <w:rPr>
          <w:color w:val="231F20"/>
          <w:sz w:val="14"/>
        </w:rPr>
        <w:t>ERNÁNDEZ-</w:t>
      </w:r>
      <w:r>
        <w:rPr>
          <w:color w:val="231F20"/>
          <w:sz w:val="18"/>
        </w:rPr>
        <w:t>M</w:t>
      </w:r>
      <w:r>
        <w:rPr>
          <w:color w:val="231F20"/>
          <w:sz w:val="14"/>
        </w:rPr>
        <w:t>ARTÍNEZ</w:t>
      </w:r>
    </w:p>
    <w:p>
      <w:pPr>
        <w:pStyle w:val="BodyText"/>
        <w:rPr>
          <w:sz w:val="23"/>
        </w:rPr>
      </w:pPr>
    </w:p>
    <w:p>
      <w:pPr>
        <w:pStyle w:val="Heading5"/>
        <w:spacing w:before="69"/>
      </w:pPr>
      <w:r>
        <w:rPr>
          <w:color w:val="231F20"/>
        </w:rPr>
        <w:t>Figura 10</w:t>
      </w:r>
    </w:p>
    <w:p>
      <w:pPr>
        <w:spacing w:line="268" w:lineRule="auto" w:before="32"/>
        <w:ind w:left="83" w:right="80" w:firstLine="0"/>
        <w:jc w:val="center"/>
        <w:rPr>
          <w:b/>
          <w:sz w:val="22"/>
        </w:rPr>
      </w:pPr>
      <w:r>
        <w:rPr>
          <w:b/>
          <w:color w:val="231F20"/>
          <w:sz w:val="22"/>
        </w:rPr>
        <w:t>Agentes participantes en la cadena de comercialización de la carne de cerdo en el Sur del Estado de México</w:t>
      </w:r>
    </w:p>
    <w:p>
      <w:pPr>
        <w:tabs>
          <w:tab w:pos="1819" w:val="left" w:leader="none"/>
          <w:tab w:pos="3536" w:val="left" w:leader="none"/>
        </w:tabs>
        <w:spacing w:before="27"/>
        <w:ind w:left="187" w:right="0" w:firstLine="0"/>
        <w:jc w:val="center"/>
        <w:rPr>
          <w:rFonts w:ascii="Times New Roman"/>
          <w:i/>
          <w:sz w:val="16"/>
        </w:rPr>
      </w:pPr>
      <w:r>
        <w:rPr/>
        <w:pict>
          <v:group style="position:absolute;margin-left:128.352402pt;margin-top:16.281267pt;width:60.4pt;height:37.9pt;mso-position-horizontal-relative:page;mso-position-vertical-relative:paragraph;z-index:1288;mso-wrap-distance-left:0;mso-wrap-distance-right:0" coordorigin="2567,326" coordsize="1208,758">
            <v:line style="position:absolute" from="2574,333" to="3718,1047" stroked="true" strokeweight=".663052pt" strokecolor="#000000"/>
            <v:shape style="position:absolute;left:3686;top:1007;width:90;height:76" coordorigin="3686,1007" coordsize="90,76" path="m3775,1083l3686,1074,3728,1007,3775,1083xe" filled="true" fillcolor="#000000" stroked="false">
              <v:path arrowok="t"/>
              <v:fill type="solid"/>
            </v:shape>
            <w10:wrap type="topAndBottom"/>
          </v:group>
        </w:pict>
      </w:r>
      <w:r>
        <w:rPr/>
        <w:pict>
          <v:group style="position:absolute;margin-left:110.34169pt;margin-top:12.463619pt;width:162.450pt;height:131.2pt;mso-position-horizontal-relative:page;mso-position-vertical-relative:paragraph;z-index:-39664" coordorigin="2207,249" coordsize="3249,2624">
            <v:shape style="position:absolute;left:2379;top:2030;width:75;height:89" coordorigin="2379,2030" coordsize="75,89" path="m2454,2119l2379,2070,2449,2030,2454,2119xe" filled="true" fillcolor="#000000" stroked="false">
              <v:path arrowok="t"/>
              <v:fill type="solid"/>
            </v:shape>
            <v:line style="position:absolute" from="2214,2833" to="3108,2833" stroked="true" strokeweight=".661482pt" strokecolor="#000000"/>
            <v:shape style="position:absolute;left:3094;top:2793;width:81;height:80" coordorigin="3094,2793" coordsize="81,80" path="m3094,2873l3094,2793,3174,2833,3094,2873xe" filled="true" fillcolor="#000000" stroked="false">
              <v:path arrowok="t"/>
              <v:fill type="solid"/>
            </v:shape>
            <v:line style="position:absolute" from="2214,2833" to="2214,333" stroked="true" strokeweight=".500297pt" strokecolor="#000000"/>
            <v:line style="position:absolute" from="2454,368" to="2454,2035" stroked="true" strokeweight=".500297pt" strokecolor="#000000"/>
            <v:line style="position:absolute" from="4015,1404" to="4015,2648" stroked="true" strokeweight=".667077pt" strokecolor="#000000"/>
            <v:shape style="position:absolute;left:3975;top:2635;width:81;height:80" coordorigin="3975,2635" coordsize="81,80" path="m4015,2714l3975,2635,4055,2635,4015,2714xe" filled="true" fillcolor="#000000" stroked="false">
              <v:path arrowok="t"/>
              <v:fill type="solid"/>
            </v:shape>
            <v:line style="position:absolute" from="2454,2035" to="5029,2035" stroked="true" strokeweight=".661482pt" strokecolor="#000000"/>
            <v:shape style="position:absolute;left:5015;top:1996;width:81;height:80" coordorigin="5015,1996" coordsize="81,80" path="m5015,2075l5016,1996,5096,2035,5015,2075xe" filled="true" fillcolor="#000000" stroked="false">
              <v:path arrowok="t"/>
              <v:fill type="solid"/>
            </v:shape>
            <v:line style="position:absolute" from="4191,1047" to="5399,285" stroked="true" strokeweight=".663075pt" strokecolor="#000000"/>
            <v:shape style="position:absolute;left:4135;top:249;width:1321;height:834" coordorigin="4135,249" coordsize="1321,834" path="m4224,1074l4181,1007,4135,1083,4224,1074m5456,249l5367,258,5410,325,5456,249e" filled="true" fillcolor="#000000" stroked="false">
              <v:path arrowok="t"/>
              <v:fill type="solid"/>
            </v:shape>
            <w10:wrap type="none"/>
          </v:group>
        </w:pict>
      </w:r>
      <w:r>
        <w:rPr/>
        <w:pict>
          <v:group style="position:absolute;margin-left:140.359543pt;margin-top:4.525856pt;width:30.4pt;height:4pt;mso-position-horizontal-relative:page;mso-position-vertical-relative:paragraph;z-index:-39640" coordorigin="2807,91" coordsize="608,80">
            <v:line style="position:absolute" from="2814,130" to="3348,130" stroked="true" strokeweight=".661482pt" strokecolor="#000000"/>
            <v:shape style="position:absolute;left:3334;top:91;width:81;height:80" coordorigin="3334,91" coordsize="81,80" path="m3334,170l3335,91,3415,130,3334,170xe" filled="true" fillcolor="#000000" stroked="false">
              <v:path arrowok="t"/>
              <v:fill type="solid"/>
            </v:shape>
            <w10:wrap type="none"/>
          </v:group>
        </w:pict>
      </w:r>
      <w:r>
        <w:rPr/>
        <w:pict>
          <v:group style="position:absolute;margin-left:230.413086pt;margin-top:4.525856pt;width:30.4pt;height:4pt;mso-position-horizontal-relative:page;mso-position-vertical-relative:paragraph;z-index:-39616" coordorigin="4608,91" coordsize="608,80">
            <v:line style="position:absolute" from="4615,130" to="5149,130" stroked="true" strokeweight=".661482pt" strokecolor="#000000"/>
            <v:shape style="position:absolute;left:5136;top:91;width:81;height:80" coordorigin="5136,91" coordsize="81,80" path="m5136,170l5136,91,5216,130,5136,170xe" filled="true" fillcolor="#000000" stroked="false">
              <v:path arrowok="t"/>
              <v:fill type="solid"/>
            </v:shape>
            <w10:wrap type="none"/>
          </v:group>
        </w:pict>
      </w:r>
      <w:r>
        <w:rPr/>
        <w:pict>
          <v:group style="position:absolute;margin-left:282.79364pt;margin-top:11.867911pt;width:4.05pt;height:77.4pt;mso-position-horizontal-relative:page;mso-position-vertical-relative:paragraph;z-index:1432" coordorigin="5656,237" coordsize="81,1548">
            <v:line style="position:absolute" from="5696,304" to="5696,1719" stroked="true" strokeweight=".667077pt" strokecolor="#000000"/>
            <v:shape style="position:absolute;left:5656;top:237;width:81;height:1548" coordorigin="5656,237" coordsize="81,1548" path="m5736,1706l5656,1706,5696,1785,5736,1706m5736,317l5696,237,5656,317,5736,317e" filled="true" fillcolor="#000000" stroked="false">
              <v:path arrowok="t"/>
              <v:fill type="solid"/>
            </v:shape>
            <w10:wrap type="none"/>
          </v:group>
        </w:pict>
      </w:r>
      <w:r>
        <w:rPr>
          <w:rFonts w:ascii="Times New Roman"/>
          <w:sz w:val="16"/>
        </w:rPr>
        <w:t>Productor</w:t>
        <w:tab/>
        <w:t>Acopiador</w:t>
        <w:tab/>
      </w:r>
      <w:r>
        <w:rPr>
          <w:rFonts w:ascii="Times New Roman"/>
          <w:i/>
          <w:sz w:val="16"/>
        </w:rPr>
        <w:t>Rastro</w:t>
      </w:r>
    </w:p>
    <w:p>
      <w:pPr>
        <w:spacing w:before="10"/>
        <w:ind w:left="496" w:right="350" w:firstLine="0"/>
        <w:jc w:val="center"/>
        <w:rPr>
          <w:rFonts w:ascii="Times New Roman"/>
          <w:sz w:val="16"/>
        </w:rPr>
      </w:pPr>
      <w:r>
        <w:rPr>
          <w:rFonts w:ascii="Times New Roman"/>
          <w:sz w:val="16"/>
        </w:rPr>
        <w:t>Detallista</w:t>
      </w:r>
    </w:p>
    <w:p>
      <w:pPr>
        <w:pStyle w:val="BodyText"/>
        <w:rPr>
          <w:rFonts w:ascii="Times New Roman"/>
          <w:sz w:val="16"/>
        </w:rPr>
      </w:pPr>
    </w:p>
    <w:p>
      <w:pPr>
        <w:pStyle w:val="BodyText"/>
        <w:rPr>
          <w:rFonts w:ascii="Times New Roman"/>
          <w:sz w:val="16"/>
        </w:rPr>
      </w:pPr>
    </w:p>
    <w:p>
      <w:pPr>
        <w:pStyle w:val="BodyText"/>
        <w:spacing w:before="5"/>
        <w:rPr>
          <w:rFonts w:ascii="Times New Roman"/>
          <w:sz w:val="23"/>
        </w:rPr>
      </w:pPr>
    </w:p>
    <w:p>
      <w:pPr>
        <w:spacing w:before="0"/>
        <w:ind w:left="4195" w:right="102" w:firstLine="0"/>
        <w:jc w:val="left"/>
        <w:rPr>
          <w:rFonts w:ascii="Times New Roman"/>
          <w:sz w:val="16"/>
        </w:rPr>
      </w:pPr>
      <w:r>
        <w:rPr/>
        <w:pict>
          <v:group style="position:absolute;margin-left:218.40596pt;margin-top:-33.282303pt;width:60.4pt;height:30.15pt;mso-position-horizontal-relative:page;mso-position-vertical-relative:paragraph;z-index:1384" coordorigin="4368,-666" coordsize="1208,603">
            <v:line style="position:absolute" from="4375,-659" to="5516,-93" stroked="true" strokeweight=".662586pt" strokecolor="#000000"/>
            <v:shape style="position:absolute;left:5486;top:-134;width:90;height:71" coordorigin="5486,-134" coordsize="90,71" path="m5576,-63l5486,-63,5522,-134,5576,-63xe" filled="true" fillcolor="#000000" stroked="false">
              <v:path arrowok="t"/>
              <v:fill type="solid"/>
            </v:shape>
            <w10:wrap type="none"/>
          </v:group>
        </w:pict>
      </w:r>
      <w:r>
        <w:rPr/>
        <w:pict>
          <v:group style="position:absolute;margin-left:236.766632pt;margin-top:14.443413pt;width:48.4pt;height:32pt;mso-position-horizontal-relative:page;mso-position-vertical-relative:paragraph;z-index:1408" coordorigin="4735,289" coordsize="968,640">
            <v:line style="position:absolute" from="5696,294" to="5696,889" stroked="true" strokeweight=".500297pt" strokecolor="#000000"/>
            <v:line style="position:absolute" from="5696,889" to="4802,889" stroked="true" strokeweight=".661482pt" strokecolor="#000000"/>
            <v:shape style="position:absolute;left:4735;top:849;width:81;height:80" coordorigin="4735,849" coordsize="81,80" path="m4815,929l4735,889,4815,849,4815,929xe" filled="true" fillcolor="#000000" stroked="false">
              <v:path arrowok="t"/>
              <v:fill type="solid"/>
            </v:shape>
            <w10:wrap type="none"/>
          </v:group>
        </w:pict>
      </w:r>
      <w:r>
        <w:rPr>
          <w:rFonts w:ascii="Times New Roman"/>
          <w:sz w:val="16"/>
        </w:rPr>
        <w:t>Restaurantes</w:t>
      </w:r>
    </w:p>
    <w:p>
      <w:pPr>
        <w:pStyle w:val="BodyText"/>
        <w:rPr>
          <w:rFonts w:ascii="Times New Roman"/>
          <w:sz w:val="16"/>
        </w:rPr>
      </w:pPr>
    </w:p>
    <w:p>
      <w:pPr>
        <w:pStyle w:val="BodyText"/>
        <w:rPr>
          <w:rFonts w:ascii="Times New Roman"/>
          <w:sz w:val="16"/>
        </w:rPr>
      </w:pPr>
    </w:p>
    <w:p>
      <w:pPr>
        <w:pStyle w:val="BodyText"/>
        <w:spacing w:before="5"/>
        <w:rPr>
          <w:rFonts w:ascii="Times New Roman"/>
          <w:sz w:val="23"/>
        </w:rPr>
      </w:pPr>
    </w:p>
    <w:p>
      <w:pPr>
        <w:spacing w:before="0"/>
        <w:ind w:left="475" w:right="495" w:firstLine="0"/>
        <w:jc w:val="center"/>
        <w:rPr>
          <w:rFonts w:ascii="Times New Roman"/>
          <w:sz w:val="16"/>
        </w:rPr>
      </w:pPr>
      <w:r>
        <w:rPr>
          <w:rFonts w:ascii="Times New Roman"/>
          <w:sz w:val="16"/>
        </w:rPr>
        <w:t>Consumidor final</w:t>
      </w:r>
    </w:p>
    <w:p>
      <w:pPr>
        <w:spacing w:before="103"/>
        <w:ind w:left="113" w:right="0" w:firstLine="0"/>
        <w:jc w:val="both"/>
        <w:rPr>
          <w:sz w:val="16"/>
        </w:rPr>
      </w:pPr>
      <w:r>
        <w:rPr>
          <w:color w:val="231F20"/>
          <w:sz w:val="16"/>
        </w:rPr>
        <w:t>Fuente: Elaboración propia con base en información de campo.</w:t>
      </w:r>
    </w:p>
    <w:p>
      <w:pPr>
        <w:pStyle w:val="BodyText"/>
        <w:rPr>
          <w:sz w:val="16"/>
        </w:rPr>
      </w:pPr>
    </w:p>
    <w:p>
      <w:pPr>
        <w:pStyle w:val="BodyText"/>
        <w:spacing w:before="10"/>
        <w:rPr>
          <w:sz w:val="20"/>
        </w:rPr>
      </w:pPr>
    </w:p>
    <w:p>
      <w:pPr>
        <w:pStyle w:val="BodyText"/>
        <w:ind w:left="83" w:right="83"/>
        <w:jc w:val="center"/>
      </w:pPr>
      <w:r>
        <w:rPr>
          <w:color w:val="231F20"/>
        </w:rPr>
        <w:t>de venta de 39.39 $/kg (281.31% más que lo registrado por el productor)</w:t>
      </w:r>
    </w:p>
    <w:p>
      <w:pPr>
        <w:pStyle w:val="BodyText"/>
        <w:spacing w:before="29"/>
        <w:ind w:left="113"/>
        <w:jc w:val="both"/>
      </w:pPr>
      <w:r>
        <w:rPr>
          <w:color w:val="231F20"/>
        </w:rPr>
        <w:t>(véase cuadro 31).</w:t>
      </w:r>
    </w:p>
    <w:p>
      <w:pPr>
        <w:pStyle w:val="BodyText"/>
        <w:spacing w:line="273" w:lineRule="auto" w:before="29"/>
        <w:ind w:left="113" w:right="111" w:firstLine="283"/>
        <w:jc w:val="both"/>
      </w:pPr>
      <w:r>
        <w:rPr>
          <w:color w:val="231F20"/>
        </w:rPr>
        <w:t>Respecto a la participación de los gentes en el precio de venta final, se concluye que los productores sólo participan con el 26.22% del precio de venta final; los intermediarios con el 4.04% y los detallistas obtienen una mayor participación con el 69.73% (véanse cuadro 30 y figura 11).</w:t>
      </w:r>
    </w:p>
    <w:p>
      <w:pPr>
        <w:pStyle w:val="BodyText"/>
      </w:pPr>
    </w:p>
    <w:p>
      <w:pPr>
        <w:pStyle w:val="Heading4"/>
      </w:pPr>
      <w:r>
        <w:rPr>
          <w:color w:val="231F20"/>
        </w:rPr>
        <w:t>El margen bruto de comercialización (MBC)</w:t>
      </w:r>
    </w:p>
    <w:p>
      <w:pPr>
        <w:pStyle w:val="BodyText"/>
        <w:spacing w:line="273" w:lineRule="auto" w:before="185"/>
        <w:ind w:left="113" w:right="111"/>
        <w:jc w:val="both"/>
      </w:pPr>
      <w:r>
        <w:rPr>
          <w:color w:val="231F20"/>
        </w:rPr>
        <w:t>El margen bruto de comercialización (MBC) indica que por cada peso que paga el consumidor al adquirir un kilogramo de carne de cerdo, los inter- mediarios,</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caso,</w:t>
      </w:r>
      <w:r>
        <w:rPr>
          <w:color w:val="231F20"/>
          <w:spacing w:val="-4"/>
        </w:rPr>
        <w:t> </w:t>
      </w:r>
      <w:r>
        <w:rPr>
          <w:color w:val="231F20"/>
        </w:rPr>
        <w:t>los</w:t>
      </w:r>
      <w:r>
        <w:rPr>
          <w:color w:val="231F20"/>
          <w:spacing w:val="-4"/>
        </w:rPr>
        <w:t> </w:t>
      </w:r>
      <w:r>
        <w:rPr>
          <w:color w:val="231F20"/>
        </w:rPr>
        <w:t>acopiadores</w:t>
      </w:r>
      <w:r>
        <w:rPr>
          <w:color w:val="231F20"/>
          <w:spacing w:val="-4"/>
        </w:rPr>
        <w:t> </w:t>
      </w:r>
      <w:r>
        <w:rPr>
          <w:color w:val="231F20"/>
        </w:rPr>
        <w:t>de</w:t>
      </w:r>
      <w:r>
        <w:rPr>
          <w:color w:val="231F20"/>
          <w:spacing w:val="-4"/>
        </w:rPr>
        <w:t> </w:t>
      </w:r>
      <w:r>
        <w:rPr>
          <w:color w:val="231F20"/>
        </w:rPr>
        <w:t>cerdo</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detallistas,</w:t>
      </w:r>
      <w:r>
        <w:rPr>
          <w:color w:val="231F20"/>
          <w:spacing w:val="-5"/>
        </w:rPr>
        <w:t> </w:t>
      </w:r>
      <w:r>
        <w:rPr>
          <w:color w:val="231F20"/>
        </w:rPr>
        <w:t>obtuvie- ron el 73.78% del precio final, el cual equivale a 29.06 $/kg de producto vendido, mientras que los productores únicamente participaron con el 26.22% del precio pagado por el consumidor (véase cuadro</w:t>
      </w:r>
      <w:r>
        <w:rPr>
          <w:color w:val="231F20"/>
          <w:spacing w:val="-25"/>
        </w:rPr>
        <w:t> </w:t>
      </w:r>
      <w:r>
        <w:rPr>
          <w:color w:val="231F20"/>
        </w:rPr>
        <w:t>32).</w:t>
      </w:r>
    </w:p>
    <w:p>
      <w:pPr>
        <w:spacing w:after="0" w:line="273" w:lineRule="auto"/>
        <w:jc w:val="both"/>
        <w:sectPr>
          <w:pgSz w:w="7940" w:h="11910"/>
          <w:pgMar w:header="0" w:footer="469" w:top="480" w:bottom="660" w:left="1020" w:right="1020"/>
        </w:sectPr>
      </w:pPr>
    </w:p>
    <w:p>
      <w:pPr>
        <w:spacing w:before="50"/>
        <w:ind w:left="1227" w:right="102" w:firstLine="0"/>
        <w:jc w:val="left"/>
        <w:rPr>
          <w:sz w:val="14"/>
        </w:rPr>
      </w:pPr>
      <w:r>
        <w:rPr>
          <w:color w:val="231F20"/>
          <w:sz w:val="18"/>
        </w:rPr>
        <w:t>L</w:t>
      </w:r>
      <w:r>
        <w:rPr>
          <w:color w:val="231F20"/>
          <w:sz w:val="14"/>
        </w:rPr>
        <w:t>A PORCICULTURA EN EL SUR DEL </w:t>
      </w:r>
      <w:r>
        <w:rPr>
          <w:color w:val="231F20"/>
          <w:sz w:val="18"/>
        </w:rPr>
        <w:t>E</w:t>
      </w:r>
      <w:r>
        <w:rPr>
          <w:color w:val="231F20"/>
          <w:sz w:val="14"/>
        </w:rPr>
        <w:t>STADO DE </w:t>
      </w:r>
      <w:r>
        <w:rPr>
          <w:color w:val="231F20"/>
          <w:sz w:val="18"/>
        </w:rPr>
        <w:t>M</w:t>
      </w:r>
      <w:r>
        <w:rPr>
          <w:color w:val="231F20"/>
          <w:sz w:val="14"/>
        </w:rPr>
        <w:t>ÉXICO</w:t>
      </w:r>
    </w:p>
    <w:p>
      <w:pPr>
        <w:pStyle w:val="BodyText"/>
        <w:spacing w:before="1"/>
        <w:rPr>
          <w:sz w:val="22"/>
        </w:rPr>
      </w:pPr>
    </w:p>
    <w:p>
      <w:pPr>
        <w:pStyle w:val="Heading5"/>
        <w:spacing w:before="70"/>
      </w:pPr>
      <w:r>
        <w:rPr>
          <w:color w:val="231F20"/>
        </w:rPr>
        <w:t>Cuadro 31</w:t>
      </w:r>
    </w:p>
    <w:p>
      <w:pPr>
        <w:spacing w:line="268" w:lineRule="auto" w:before="32"/>
        <w:ind w:left="402" w:right="400" w:firstLine="0"/>
        <w:jc w:val="center"/>
        <w:rPr>
          <w:b/>
          <w:sz w:val="22"/>
        </w:rPr>
      </w:pPr>
      <w:r>
        <w:rPr>
          <w:b/>
          <w:color w:val="231F20"/>
          <w:sz w:val="22"/>
        </w:rPr>
        <w:t>Participación de los agentes en el precio de venta de la carne de cerdo</w:t>
      </w:r>
    </w:p>
    <w:p>
      <w:pPr>
        <w:pStyle w:val="BodyText"/>
        <w:spacing w:before="8"/>
        <w:rPr>
          <w:b/>
          <w:sz w:val="19"/>
        </w:rPr>
      </w:pPr>
    </w:p>
    <w:p>
      <w:pPr>
        <w:pStyle w:val="Heading6"/>
        <w:tabs>
          <w:tab w:pos="2881" w:val="left" w:leader="none"/>
        </w:tabs>
        <w:spacing w:before="75"/>
        <w:ind w:left="1236" w:right="102"/>
      </w:pPr>
      <w:r>
        <w:rPr/>
        <w:pict>
          <v:shape style="position:absolute;margin-left:56.692902pt;margin-top:-6.533434pt;width:283.5pt;height:197.45pt;mso-position-horizontal-relative:page;mso-position-vertical-relative:paragraph;z-index:14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3"/>
                    <w:gridCol w:w="892"/>
                    <w:gridCol w:w="784"/>
                    <w:gridCol w:w="857"/>
                    <w:gridCol w:w="630"/>
                    <w:gridCol w:w="1025"/>
                    <w:gridCol w:w="680"/>
                  </w:tblGrid>
                  <w:tr>
                    <w:trPr>
                      <w:trHeight w:val="366" w:hRule="exact"/>
                    </w:trPr>
                    <w:tc>
                      <w:tcPr>
                        <w:tcW w:w="3965" w:type="dxa"/>
                        <w:gridSpan w:val="5"/>
                        <w:tcBorders>
                          <w:top w:val="single" w:sz="8" w:space="0" w:color="231F20"/>
                        </w:tcBorders>
                      </w:tcPr>
                      <w:p>
                        <w:pPr>
                          <w:pStyle w:val="TableParagraph"/>
                          <w:tabs>
                            <w:tab w:pos="920" w:val="left" w:leader="none"/>
                            <w:tab w:pos="1894" w:val="left" w:leader="none"/>
                            <w:tab w:pos="2603" w:val="left" w:leader="none"/>
                            <w:tab w:pos="3458" w:val="left" w:leader="none"/>
                          </w:tabs>
                          <w:spacing w:before="15"/>
                          <w:ind w:left="186"/>
                          <w:jc w:val="left"/>
                          <w:rPr>
                            <w:b/>
                            <w:sz w:val="18"/>
                          </w:rPr>
                        </w:pPr>
                        <w:r>
                          <w:rPr>
                            <w:b/>
                            <w:color w:val="231F20"/>
                            <w:position w:val="-8"/>
                            <w:sz w:val="18"/>
                          </w:rPr>
                          <w:t>Mes/</w:t>
                          <w:tab/>
                        </w:r>
                        <w:r>
                          <w:rPr>
                            <w:b/>
                            <w:color w:val="231F20"/>
                            <w:sz w:val="18"/>
                          </w:rPr>
                          <w:t>Produc-</w:t>
                          <w:tab/>
                        </w:r>
                        <w:r>
                          <w:rPr>
                            <w:b/>
                            <w:color w:val="231F20"/>
                            <w:position w:val="-8"/>
                            <w:sz w:val="18"/>
                          </w:rPr>
                          <w:t>Part.</w:t>
                          <w:tab/>
                        </w:r>
                        <w:r>
                          <w:rPr>
                            <w:b/>
                            <w:color w:val="231F20"/>
                            <w:sz w:val="18"/>
                          </w:rPr>
                          <w:t>Acopia-</w:t>
                          <w:tab/>
                        </w:r>
                        <w:r>
                          <w:rPr>
                            <w:b/>
                            <w:color w:val="231F20"/>
                            <w:position w:val="-8"/>
                            <w:sz w:val="18"/>
                          </w:rPr>
                          <w:t>Part.</w:t>
                        </w:r>
                      </w:p>
                    </w:tc>
                    <w:tc>
                      <w:tcPr>
                        <w:tcW w:w="1025" w:type="dxa"/>
                        <w:tcBorders>
                          <w:top w:val="single" w:sz="8" w:space="0" w:color="231F20"/>
                        </w:tcBorders>
                      </w:tcPr>
                      <w:p>
                        <w:pPr>
                          <w:pStyle w:val="TableParagraph"/>
                          <w:spacing w:before="105"/>
                          <w:ind w:left="92" w:right="96"/>
                          <w:rPr>
                            <w:b/>
                            <w:sz w:val="18"/>
                          </w:rPr>
                        </w:pPr>
                        <w:r>
                          <w:rPr>
                            <w:b/>
                            <w:color w:val="231F20"/>
                            <w:sz w:val="18"/>
                          </w:rPr>
                          <w:t>Detallista</w:t>
                        </w:r>
                      </w:p>
                    </w:tc>
                    <w:tc>
                      <w:tcPr>
                        <w:tcW w:w="680" w:type="dxa"/>
                        <w:tcBorders>
                          <w:top w:val="single" w:sz="8" w:space="0" w:color="231F20"/>
                        </w:tcBorders>
                      </w:tcPr>
                      <w:p>
                        <w:pPr>
                          <w:pStyle w:val="TableParagraph"/>
                          <w:spacing w:before="105"/>
                          <w:ind w:left="136"/>
                          <w:jc w:val="left"/>
                          <w:rPr>
                            <w:b/>
                            <w:sz w:val="18"/>
                          </w:rPr>
                        </w:pPr>
                        <w:r>
                          <w:rPr>
                            <w:b/>
                            <w:color w:val="231F20"/>
                            <w:sz w:val="18"/>
                          </w:rPr>
                          <w:t>Part.</w:t>
                        </w:r>
                      </w:p>
                    </w:tc>
                  </w:tr>
                  <w:tr>
                    <w:trPr>
                      <w:trHeight w:val="248" w:hRule="exact"/>
                    </w:trPr>
                    <w:tc>
                      <w:tcPr>
                        <w:tcW w:w="803" w:type="dxa"/>
                        <w:tcBorders>
                          <w:bottom w:val="single" w:sz="8" w:space="0" w:color="231F20"/>
                        </w:tcBorders>
                      </w:tcPr>
                      <w:p>
                        <w:pPr>
                          <w:pStyle w:val="TableParagraph"/>
                          <w:spacing w:line="141" w:lineRule="exact" w:before="0"/>
                          <w:ind w:left="109"/>
                          <w:jc w:val="left"/>
                          <w:rPr>
                            <w:b/>
                            <w:sz w:val="18"/>
                          </w:rPr>
                        </w:pPr>
                        <w:r>
                          <w:rPr>
                            <w:b/>
                            <w:color w:val="231F20"/>
                            <w:sz w:val="18"/>
                          </w:rPr>
                          <w:t>Agente</w:t>
                        </w:r>
                      </w:p>
                    </w:tc>
                    <w:tc>
                      <w:tcPr>
                        <w:tcW w:w="892" w:type="dxa"/>
                        <w:tcBorders>
                          <w:bottom w:val="single" w:sz="8" w:space="0" w:color="231F20"/>
                        </w:tcBorders>
                      </w:tcPr>
                      <w:p>
                        <w:pPr>
                          <w:pStyle w:val="TableParagraph"/>
                          <w:spacing w:before="20"/>
                          <w:ind w:left="158" w:right="158"/>
                          <w:rPr>
                            <w:b/>
                            <w:sz w:val="18"/>
                          </w:rPr>
                        </w:pPr>
                        <w:r>
                          <w:rPr>
                            <w:b/>
                            <w:color w:val="231F20"/>
                            <w:sz w:val="18"/>
                          </w:rPr>
                          <w:t>($/kg)</w:t>
                        </w:r>
                      </w:p>
                    </w:tc>
                    <w:tc>
                      <w:tcPr>
                        <w:tcW w:w="784" w:type="dxa"/>
                        <w:tcBorders>
                          <w:bottom w:val="single" w:sz="8" w:space="0" w:color="231F20"/>
                        </w:tcBorders>
                      </w:tcPr>
                      <w:p>
                        <w:pPr>
                          <w:pStyle w:val="TableParagraph"/>
                          <w:spacing w:line="141" w:lineRule="exact" w:before="0"/>
                          <w:ind w:left="236"/>
                          <w:jc w:val="left"/>
                          <w:rPr>
                            <w:b/>
                            <w:sz w:val="18"/>
                          </w:rPr>
                        </w:pPr>
                        <w:r>
                          <w:rPr>
                            <w:b/>
                            <w:color w:val="231F20"/>
                            <w:sz w:val="18"/>
                          </w:rPr>
                          <w:t>(%)</w:t>
                        </w:r>
                      </w:p>
                    </w:tc>
                    <w:tc>
                      <w:tcPr>
                        <w:tcW w:w="857" w:type="dxa"/>
                        <w:tcBorders>
                          <w:bottom w:val="single" w:sz="8" w:space="0" w:color="231F20"/>
                        </w:tcBorders>
                      </w:tcPr>
                      <w:p>
                        <w:pPr>
                          <w:pStyle w:val="TableParagraph"/>
                          <w:spacing w:before="20"/>
                          <w:ind w:left="168"/>
                          <w:jc w:val="left"/>
                          <w:rPr>
                            <w:b/>
                            <w:sz w:val="18"/>
                          </w:rPr>
                        </w:pPr>
                        <w:r>
                          <w:rPr>
                            <w:b/>
                            <w:color w:val="231F20"/>
                            <w:sz w:val="18"/>
                          </w:rPr>
                          <w:t>($/kg)</w:t>
                        </w:r>
                      </w:p>
                    </w:tc>
                    <w:tc>
                      <w:tcPr>
                        <w:tcW w:w="630" w:type="dxa"/>
                        <w:tcBorders>
                          <w:bottom w:val="single" w:sz="8" w:space="0" w:color="231F20"/>
                        </w:tcBorders>
                      </w:tcPr>
                      <w:p>
                        <w:pPr>
                          <w:pStyle w:val="TableParagraph"/>
                          <w:spacing w:line="141" w:lineRule="exact" w:before="0"/>
                          <w:ind w:left="132" w:right="119"/>
                          <w:rPr>
                            <w:b/>
                            <w:sz w:val="18"/>
                          </w:rPr>
                        </w:pPr>
                        <w:r>
                          <w:rPr>
                            <w:b/>
                            <w:color w:val="231F20"/>
                            <w:sz w:val="18"/>
                          </w:rPr>
                          <w:t>(%)</w:t>
                        </w:r>
                      </w:p>
                    </w:tc>
                    <w:tc>
                      <w:tcPr>
                        <w:tcW w:w="1025" w:type="dxa"/>
                        <w:tcBorders>
                          <w:bottom w:val="single" w:sz="8" w:space="0" w:color="231F20"/>
                        </w:tcBorders>
                      </w:tcPr>
                      <w:p>
                        <w:pPr>
                          <w:pStyle w:val="TableParagraph"/>
                          <w:spacing w:line="141" w:lineRule="exact" w:before="0"/>
                          <w:ind w:left="91" w:right="96"/>
                          <w:rPr>
                            <w:b/>
                            <w:sz w:val="18"/>
                          </w:rPr>
                        </w:pPr>
                        <w:r>
                          <w:rPr>
                            <w:b/>
                            <w:color w:val="231F20"/>
                            <w:sz w:val="18"/>
                          </w:rPr>
                          <w:t>($/kg)</w:t>
                        </w:r>
                      </w:p>
                    </w:tc>
                    <w:tc>
                      <w:tcPr>
                        <w:tcW w:w="680" w:type="dxa"/>
                        <w:tcBorders>
                          <w:bottom w:val="single" w:sz="8" w:space="0" w:color="231F20"/>
                        </w:tcBorders>
                      </w:tcPr>
                      <w:p>
                        <w:pPr>
                          <w:pStyle w:val="TableParagraph"/>
                          <w:spacing w:line="141" w:lineRule="exact" w:before="0"/>
                          <w:ind w:left="172"/>
                          <w:jc w:val="left"/>
                          <w:rPr>
                            <w:b/>
                            <w:sz w:val="18"/>
                          </w:rPr>
                        </w:pPr>
                        <w:r>
                          <w:rPr>
                            <w:b/>
                            <w:color w:val="231F20"/>
                            <w:sz w:val="18"/>
                          </w:rPr>
                          <w:t>(%)</w:t>
                        </w:r>
                      </w:p>
                    </w:tc>
                  </w:tr>
                  <w:tr>
                    <w:trPr>
                      <w:trHeight w:val="269" w:hRule="exact"/>
                    </w:trPr>
                    <w:tc>
                      <w:tcPr>
                        <w:tcW w:w="803" w:type="dxa"/>
                        <w:tcBorders>
                          <w:top w:val="single" w:sz="8" w:space="0" w:color="231F20"/>
                        </w:tcBorders>
                      </w:tcPr>
                      <w:p>
                        <w:pPr>
                          <w:pStyle w:val="TableParagraph"/>
                          <w:spacing w:before="16"/>
                          <w:ind w:left="250"/>
                          <w:jc w:val="left"/>
                          <w:rPr>
                            <w:sz w:val="18"/>
                          </w:rPr>
                        </w:pPr>
                        <w:r>
                          <w:rPr>
                            <w:color w:val="231F20"/>
                            <w:sz w:val="18"/>
                          </w:rPr>
                          <w:t>Ene</w:t>
                        </w:r>
                      </w:p>
                    </w:tc>
                    <w:tc>
                      <w:tcPr>
                        <w:tcW w:w="892" w:type="dxa"/>
                        <w:tcBorders>
                          <w:top w:val="single" w:sz="8" w:space="0" w:color="231F20"/>
                        </w:tcBorders>
                      </w:tcPr>
                      <w:p>
                        <w:pPr>
                          <w:pStyle w:val="TableParagraph"/>
                          <w:spacing w:before="16"/>
                          <w:ind w:left="158" w:right="158"/>
                          <w:rPr>
                            <w:sz w:val="18"/>
                          </w:rPr>
                        </w:pPr>
                        <w:r>
                          <w:rPr>
                            <w:color w:val="231F20"/>
                            <w:sz w:val="18"/>
                          </w:rPr>
                          <w:t>10.22</w:t>
                        </w:r>
                      </w:p>
                    </w:tc>
                    <w:tc>
                      <w:tcPr>
                        <w:tcW w:w="784" w:type="dxa"/>
                        <w:tcBorders>
                          <w:top w:val="single" w:sz="8" w:space="0" w:color="231F20"/>
                        </w:tcBorders>
                      </w:tcPr>
                      <w:p>
                        <w:pPr>
                          <w:pStyle w:val="TableParagraph"/>
                          <w:spacing w:before="16"/>
                          <w:ind w:left="179"/>
                          <w:jc w:val="left"/>
                          <w:rPr>
                            <w:sz w:val="18"/>
                          </w:rPr>
                        </w:pPr>
                        <w:r>
                          <w:rPr>
                            <w:color w:val="231F20"/>
                            <w:sz w:val="18"/>
                          </w:rPr>
                          <w:t>26.08</w:t>
                        </w:r>
                      </w:p>
                    </w:tc>
                    <w:tc>
                      <w:tcPr>
                        <w:tcW w:w="857" w:type="dxa"/>
                        <w:tcBorders>
                          <w:top w:val="single" w:sz="8" w:space="0" w:color="231F20"/>
                        </w:tcBorders>
                      </w:tcPr>
                      <w:p>
                        <w:pPr>
                          <w:pStyle w:val="TableParagraph"/>
                          <w:spacing w:before="16"/>
                          <w:ind w:left="217"/>
                          <w:jc w:val="left"/>
                          <w:rPr>
                            <w:sz w:val="18"/>
                          </w:rPr>
                        </w:pPr>
                        <w:r>
                          <w:rPr>
                            <w:color w:val="231F20"/>
                            <w:sz w:val="18"/>
                          </w:rPr>
                          <w:t>11.78</w:t>
                        </w:r>
                      </w:p>
                    </w:tc>
                    <w:tc>
                      <w:tcPr>
                        <w:tcW w:w="630" w:type="dxa"/>
                        <w:tcBorders>
                          <w:top w:val="single" w:sz="8" w:space="0" w:color="231F20"/>
                        </w:tcBorders>
                      </w:tcPr>
                      <w:p>
                        <w:pPr>
                          <w:pStyle w:val="TableParagraph"/>
                          <w:spacing w:before="16"/>
                          <w:ind w:left="133" w:right="119"/>
                          <w:rPr>
                            <w:sz w:val="18"/>
                          </w:rPr>
                        </w:pPr>
                        <w:r>
                          <w:rPr>
                            <w:color w:val="231F20"/>
                            <w:sz w:val="18"/>
                          </w:rPr>
                          <w:t>3.96</w:t>
                        </w:r>
                      </w:p>
                    </w:tc>
                    <w:tc>
                      <w:tcPr>
                        <w:tcW w:w="1025" w:type="dxa"/>
                        <w:tcBorders>
                          <w:top w:val="single" w:sz="8" w:space="0" w:color="231F20"/>
                        </w:tcBorders>
                      </w:tcPr>
                      <w:p>
                        <w:pPr>
                          <w:pStyle w:val="TableParagraph"/>
                          <w:spacing w:before="16"/>
                          <w:ind w:left="91" w:right="96"/>
                          <w:rPr>
                            <w:sz w:val="18"/>
                          </w:rPr>
                        </w:pPr>
                        <w:r>
                          <w:rPr>
                            <w:color w:val="231F20"/>
                            <w:sz w:val="18"/>
                          </w:rPr>
                          <w:t>39.21</w:t>
                        </w:r>
                      </w:p>
                    </w:tc>
                    <w:tc>
                      <w:tcPr>
                        <w:tcW w:w="680" w:type="dxa"/>
                        <w:tcBorders>
                          <w:top w:val="single" w:sz="8" w:space="0" w:color="231F20"/>
                        </w:tcBorders>
                      </w:tcPr>
                      <w:p>
                        <w:pPr>
                          <w:pStyle w:val="TableParagraph"/>
                          <w:spacing w:before="16"/>
                          <w:ind w:left="116"/>
                          <w:jc w:val="left"/>
                          <w:rPr>
                            <w:sz w:val="18"/>
                          </w:rPr>
                        </w:pPr>
                        <w:r>
                          <w:rPr>
                            <w:color w:val="231F20"/>
                            <w:sz w:val="18"/>
                          </w:rPr>
                          <w:t>69.96</w:t>
                        </w:r>
                      </w:p>
                    </w:tc>
                  </w:tr>
                  <w:tr>
                    <w:trPr>
                      <w:trHeight w:val="255" w:hRule="exact"/>
                    </w:trPr>
                    <w:tc>
                      <w:tcPr>
                        <w:tcW w:w="803" w:type="dxa"/>
                      </w:tcPr>
                      <w:p>
                        <w:pPr>
                          <w:pStyle w:val="TableParagraph"/>
                          <w:ind w:left="258"/>
                          <w:jc w:val="left"/>
                          <w:rPr>
                            <w:sz w:val="18"/>
                          </w:rPr>
                        </w:pPr>
                        <w:r>
                          <w:rPr>
                            <w:color w:val="231F20"/>
                            <w:sz w:val="18"/>
                          </w:rPr>
                          <w:t>Feb</w:t>
                        </w:r>
                      </w:p>
                    </w:tc>
                    <w:tc>
                      <w:tcPr>
                        <w:tcW w:w="892" w:type="dxa"/>
                      </w:tcPr>
                      <w:p>
                        <w:pPr>
                          <w:pStyle w:val="TableParagraph"/>
                          <w:ind w:left="158" w:right="158"/>
                          <w:rPr>
                            <w:sz w:val="18"/>
                          </w:rPr>
                        </w:pPr>
                        <w:r>
                          <w:rPr>
                            <w:color w:val="231F20"/>
                            <w:sz w:val="18"/>
                          </w:rPr>
                          <w:t>10.27</w:t>
                        </w:r>
                      </w:p>
                    </w:tc>
                    <w:tc>
                      <w:tcPr>
                        <w:tcW w:w="784" w:type="dxa"/>
                      </w:tcPr>
                      <w:p>
                        <w:pPr>
                          <w:pStyle w:val="TableParagraph"/>
                          <w:ind w:left="179"/>
                          <w:jc w:val="left"/>
                          <w:rPr>
                            <w:sz w:val="18"/>
                          </w:rPr>
                        </w:pPr>
                        <w:r>
                          <w:rPr>
                            <w:color w:val="231F20"/>
                            <w:sz w:val="18"/>
                          </w:rPr>
                          <w:t>26.34</w:t>
                        </w:r>
                      </w:p>
                    </w:tc>
                    <w:tc>
                      <w:tcPr>
                        <w:tcW w:w="857" w:type="dxa"/>
                      </w:tcPr>
                      <w:p>
                        <w:pPr>
                          <w:pStyle w:val="TableParagraph"/>
                          <w:ind w:left="217"/>
                          <w:jc w:val="left"/>
                          <w:rPr>
                            <w:sz w:val="18"/>
                          </w:rPr>
                        </w:pPr>
                        <w:r>
                          <w:rPr>
                            <w:color w:val="231F20"/>
                            <w:sz w:val="18"/>
                          </w:rPr>
                          <w:t>11.78</w:t>
                        </w:r>
                      </w:p>
                    </w:tc>
                    <w:tc>
                      <w:tcPr>
                        <w:tcW w:w="630" w:type="dxa"/>
                      </w:tcPr>
                      <w:p>
                        <w:pPr>
                          <w:pStyle w:val="TableParagraph"/>
                          <w:ind w:left="133" w:right="119"/>
                          <w:rPr>
                            <w:sz w:val="18"/>
                          </w:rPr>
                        </w:pPr>
                        <w:r>
                          <w:rPr>
                            <w:color w:val="231F20"/>
                            <w:sz w:val="18"/>
                          </w:rPr>
                          <w:t>3.85</w:t>
                        </w:r>
                      </w:p>
                    </w:tc>
                    <w:tc>
                      <w:tcPr>
                        <w:tcW w:w="1025" w:type="dxa"/>
                      </w:tcPr>
                      <w:p>
                        <w:pPr>
                          <w:pStyle w:val="TableParagraph"/>
                          <w:ind w:left="91" w:right="96"/>
                          <w:rPr>
                            <w:sz w:val="18"/>
                          </w:rPr>
                        </w:pPr>
                        <w:r>
                          <w:rPr>
                            <w:color w:val="231F20"/>
                            <w:sz w:val="18"/>
                          </w:rPr>
                          <w:t>39.01</w:t>
                        </w:r>
                      </w:p>
                    </w:tc>
                    <w:tc>
                      <w:tcPr>
                        <w:tcW w:w="680" w:type="dxa"/>
                      </w:tcPr>
                      <w:p>
                        <w:pPr>
                          <w:pStyle w:val="TableParagraph"/>
                          <w:ind w:left="116"/>
                          <w:jc w:val="left"/>
                          <w:rPr>
                            <w:sz w:val="18"/>
                          </w:rPr>
                        </w:pPr>
                        <w:r>
                          <w:rPr>
                            <w:color w:val="231F20"/>
                            <w:sz w:val="18"/>
                          </w:rPr>
                          <w:t>69.81</w:t>
                        </w:r>
                      </w:p>
                    </w:tc>
                  </w:tr>
                  <w:tr>
                    <w:trPr>
                      <w:trHeight w:val="255" w:hRule="exact"/>
                    </w:trPr>
                    <w:tc>
                      <w:tcPr>
                        <w:tcW w:w="803" w:type="dxa"/>
                      </w:tcPr>
                      <w:p>
                        <w:pPr>
                          <w:pStyle w:val="TableParagraph"/>
                          <w:ind w:left="242"/>
                          <w:jc w:val="left"/>
                          <w:rPr>
                            <w:sz w:val="18"/>
                          </w:rPr>
                        </w:pPr>
                        <w:r>
                          <w:rPr>
                            <w:color w:val="231F20"/>
                            <w:sz w:val="18"/>
                          </w:rPr>
                          <w:t>Mar</w:t>
                        </w:r>
                      </w:p>
                    </w:tc>
                    <w:tc>
                      <w:tcPr>
                        <w:tcW w:w="892" w:type="dxa"/>
                      </w:tcPr>
                      <w:p>
                        <w:pPr>
                          <w:pStyle w:val="TableParagraph"/>
                          <w:ind w:left="158" w:right="158"/>
                          <w:rPr>
                            <w:sz w:val="18"/>
                          </w:rPr>
                        </w:pPr>
                        <w:r>
                          <w:rPr>
                            <w:color w:val="231F20"/>
                            <w:sz w:val="18"/>
                          </w:rPr>
                          <w:t>10.30</w:t>
                        </w:r>
                      </w:p>
                    </w:tc>
                    <w:tc>
                      <w:tcPr>
                        <w:tcW w:w="784" w:type="dxa"/>
                      </w:tcPr>
                      <w:p>
                        <w:pPr>
                          <w:pStyle w:val="TableParagraph"/>
                          <w:ind w:left="179"/>
                          <w:jc w:val="left"/>
                          <w:rPr>
                            <w:sz w:val="18"/>
                          </w:rPr>
                        </w:pPr>
                        <w:r>
                          <w:rPr>
                            <w:color w:val="231F20"/>
                            <w:sz w:val="18"/>
                          </w:rPr>
                          <w:t>26.27</w:t>
                        </w:r>
                      </w:p>
                    </w:tc>
                    <w:tc>
                      <w:tcPr>
                        <w:tcW w:w="857" w:type="dxa"/>
                      </w:tcPr>
                      <w:p>
                        <w:pPr>
                          <w:pStyle w:val="TableParagraph"/>
                          <w:ind w:left="217"/>
                          <w:jc w:val="left"/>
                          <w:rPr>
                            <w:sz w:val="18"/>
                          </w:rPr>
                        </w:pPr>
                        <w:r>
                          <w:rPr>
                            <w:color w:val="231F20"/>
                            <w:sz w:val="18"/>
                          </w:rPr>
                          <w:t>11.79</w:t>
                        </w:r>
                      </w:p>
                    </w:tc>
                    <w:tc>
                      <w:tcPr>
                        <w:tcW w:w="630" w:type="dxa"/>
                      </w:tcPr>
                      <w:p>
                        <w:pPr>
                          <w:pStyle w:val="TableParagraph"/>
                          <w:ind w:left="133" w:right="119"/>
                          <w:rPr>
                            <w:sz w:val="18"/>
                          </w:rPr>
                        </w:pPr>
                        <w:r>
                          <w:rPr>
                            <w:color w:val="231F20"/>
                            <w:sz w:val="18"/>
                          </w:rPr>
                          <w:t>3.79</w:t>
                        </w:r>
                      </w:p>
                    </w:tc>
                    <w:tc>
                      <w:tcPr>
                        <w:tcW w:w="1025" w:type="dxa"/>
                      </w:tcPr>
                      <w:p>
                        <w:pPr>
                          <w:pStyle w:val="TableParagraph"/>
                          <w:ind w:left="91" w:right="96"/>
                          <w:rPr>
                            <w:sz w:val="18"/>
                          </w:rPr>
                        </w:pPr>
                        <w:r>
                          <w:rPr>
                            <w:color w:val="231F20"/>
                            <w:sz w:val="18"/>
                          </w:rPr>
                          <w:t>39.21</w:t>
                        </w:r>
                      </w:p>
                    </w:tc>
                    <w:tc>
                      <w:tcPr>
                        <w:tcW w:w="680" w:type="dxa"/>
                      </w:tcPr>
                      <w:p>
                        <w:pPr>
                          <w:pStyle w:val="TableParagraph"/>
                          <w:ind w:left="116"/>
                          <w:jc w:val="left"/>
                          <w:rPr>
                            <w:sz w:val="18"/>
                          </w:rPr>
                        </w:pPr>
                        <w:r>
                          <w:rPr>
                            <w:color w:val="231F20"/>
                            <w:sz w:val="18"/>
                          </w:rPr>
                          <w:t>69.95</w:t>
                        </w:r>
                      </w:p>
                    </w:tc>
                  </w:tr>
                  <w:tr>
                    <w:trPr>
                      <w:trHeight w:val="255" w:hRule="exact"/>
                    </w:trPr>
                    <w:tc>
                      <w:tcPr>
                        <w:tcW w:w="803" w:type="dxa"/>
                      </w:tcPr>
                      <w:p>
                        <w:pPr>
                          <w:pStyle w:val="TableParagraph"/>
                          <w:ind w:left="254"/>
                          <w:jc w:val="left"/>
                          <w:rPr>
                            <w:sz w:val="18"/>
                          </w:rPr>
                        </w:pPr>
                        <w:r>
                          <w:rPr>
                            <w:color w:val="231F20"/>
                            <w:sz w:val="18"/>
                          </w:rPr>
                          <w:t>Abr</w:t>
                        </w:r>
                      </w:p>
                    </w:tc>
                    <w:tc>
                      <w:tcPr>
                        <w:tcW w:w="892" w:type="dxa"/>
                      </w:tcPr>
                      <w:p>
                        <w:pPr>
                          <w:pStyle w:val="TableParagraph"/>
                          <w:ind w:left="158" w:right="158"/>
                          <w:rPr>
                            <w:sz w:val="18"/>
                          </w:rPr>
                        </w:pPr>
                        <w:r>
                          <w:rPr>
                            <w:color w:val="231F20"/>
                            <w:sz w:val="18"/>
                          </w:rPr>
                          <w:t>10.25</w:t>
                        </w:r>
                      </w:p>
                    </w:tc>
                    <w:tc>
                      <w:tcPr>
                        <w:tcW w:w="784" w:type="dxa"/>
                      </w:tcPr>
                      <w:p>
                        <w:pPr>
                          <w:pStyle w:val="TableParagraph"/>
                          <w:ind w:left="179"/>
                          <w:jc w:val="left"/>
                          <w:rPr>
                            <w:sz w:val="18"/>
                          </w:rPr>
                        </w:pPr>
                        <w:r>
                          <w:rPr>
                            <w:color w:val="231F20"/>
                            <w:sz w:val="18"/>
                          </w:rPr>
                          <w:t>26.25</w:t>
                        </w:r>
                      </w:p>
                    </w:tc>
                    <w:tc>
                      <w:tcPr>
                        <w:tcW w:w="857" w:type="dxa"/>
                      </w:tcPr>
                      <w:p>
                        <w:pPr>
                          <w:pStyle w:val="TableParagraph"/>
                          <w:ind w:left="217"/>
                          <w:jc w:val="left"/>
                          <w:rPr>
                            <w:sz w:val="18"/>
                          </w:rPr>
                        </w:pPr>
                        <w:r>
                          <w:rPr>
                            <w:color w:val="231F20"/>
                            <w:sz w:val="18"/>
                          </w:rPr>
                          <w:t>11.79</w:t>
                        </w:r>
                      </w:p>
                    </w:tc>
                    <w:tc>
                      <w:tcPr>
                        <w:tcW w:w="630" w:type="dxa"/>
                      </w:tcPr>
                      <w:p>
                        <w:pPr>
                          <w:pStyle w:val="TableParagraph"/>
                          <w:ind w:left="133" w:right="119"/>
                          <w:rPr>
                            <w:sz w:val="18"/>
                          </w:rPr>
                        </w:pPr>
                        <w:r>
                          <w:rPr>
                            <w:color w:val="231F20"/>
                            <w:sz w:val="18"/>
                          </w:rPr>
                          <w:t>3.94</w:t>
                        </w:r>
                      </w:p>
                    </w:tc>
                    <w:tc>
                      <w:tcPr>
                        <w:tcW w:w="1025" w:type="dxa"/>
                      </w:tcPr>
                      <w:p>
                        <w:pPr>
                          <w:pStyle w:val="TableParagraph"/>
                          <w:ind w:left="91" w:right="96"/>
                          <w:rPr>
                            <w:sz w:val="18"/>
                          </w:rPr>
                        </w:pPr>
                        <w:r>
                          <w:rPr>
                            <w:color w:val="231F20"/>
                            <w:sz w:val="18"/>
                          </w:rPr>
                          <w:t>39.04</w:t>
                        </w:r>
                      </w:p>
                    </w:tc>
                    <w:tc>
                      <w:tcPr>
                        <w:tcW w:w="680" w:type="dxa"/>
                      </w:tcPr>
                      <w:p>
                        <w:pPr>
                          <w:pStyle w:val="TableParagraph"/>
                          <w:ind w:left="116"/>
                          <w:jc w:val="left"/>
                          <w:rPr>
                            <w:sz w:val="18"/>
                          </w:rPr>
                        </w:pPr>
                        <w:r>
                          <w:rPr>
                            <w:color w:val="231F20"/>
                            <w:sz w:val="18"/>
                          </w:rPr>
                          <w:t>69.81</w:t>
                        </w:r>
                      </w:p>
                    </w:tc>
                  </w:tr>
                  <w:tr>
                    <w:trPr>
                      <w:trHeight w:val="255" w:hRule="exact"/>
                    </w:trPr>
                    <w:tc>
                      <w:tcPr>
                        <w:tcW w:w="803" w:type="dxa"/>
                      </w:tcPr>
                      <w:p>
                        <w:pPr>
                          <w:pStyle w:val="TableParagraph"/>
                          <w:ind w:left="235"/>
                          <w:jc w:val="left"/>
                          <w:rPr>
                            <w:sz w:val="18"/>
                          </w:rPr>
                        </w:pPr>
                        <w:r>
                          <w:rPr>
                            <w:color w:val="231F20"/>
                            <w:sz w:val="18"/>
                          </w:rPr>
                          <w:t>May</w:t>
                        </w:r>
                      </w:p>
                    </w:tc>
                    <w:tc>
                      <w:tcPr>
                        <w:tcW w:w="892" w:type="dxa"/>
                      </w:tcPr>
                      <w:p>
                        <w:pPr>
                          <w:pStyle w:val="TableParagraph"/>
                          <w:ind w:left="158" w:right="158"/>
                          <w:rPr>
                            <w:sz w:val="18"/>
                          </w:rPr>
                        </w:pPr>
                        <w:r>
                          <w:rPr>
                            <w:color w:val="231F20"/>
                            <w:sz w:val="18"/>
                          </w:rPr>
                          <w:t>10.27</w:t>
                        </w:r>
                      </w:p>
                    </w:tc>
                    <w:tc>
                      <w:tcPr>
                        <w:tcW w:w="784" w:type="dxa"/>
                      </w:tcPr>
                      <w:p>
                        <w:pPr>
                          <w:pStyle w:val="TableParagraph"/>
                          <w:ind w:left="179"/>
                          <w:jc w:val="left"/>
                          <w:rPr>
                            <w:sz w:val="18"/>
                          </w:rPr>
                        </w:pPr>
                        <w:r>
                          <w:rPr>
                            <w:color w:val="231F20"/>
                            <w:sz w:val="18"/>
                          </w:rPr>
                          <w:t>25.96</w:t>
                        </w:r>
                      </w:p>
                    </w:tc>
                    <w:tc>
                      <w:tcPr>
                        <w:tcW w:w="857" w:type="dxa"/>
                      </w:tcPr>
                      <w:p>
                        <w:pPr>
                          <w:pStyle w:val="TableParagraph"/>
                          <w:ind w:left="217"/>
                          <w:jc w:val="left"/>
                          <w:rPr>
                            <w:sz w:val="18"/>
                          </w:rPr>
                        </w:pPr>
                        <w:r>
                          <w:rPr>
                            <w:color w:val="231F20"/>
                            <w:sz w:val="18"/>
                          </w:rPr>
                          <w:t>11.78</w:t>
                        </w:r>
                      </w:p>
                    </w:tc>
                    <w:tc>
                      <w:tcPr>
                        <w:tcW w:w="630" w:type="dxa"/>
                      </w:tcPr>
                      <w:p>
                        <w:pPr>
                          <w:pStyle w:val="TableParagraph"/>
                          <w:ind w:left="133" w:right="119"/>
                          <w:rPr>
                            <w:sz w:val="18"/>
                          </w:rPr>
                        </w:pPr>
                        <w:r>
                          <w:rPr>
                            <w:color w:val="231F20"/>
                            <w:sz w:val="18"/>
                          </w:rPr>
                          <w:t>3.80</w:t>
                        </w:r>
                      </w:p>
                    </w:tc>
                    <w:tc>
                      <w:tcPr>
                        <w:tcW w:w="1025" w:type="dxa"/>
                      </w:tcPr>
                      <w:p>
                        <w:pPr>
                          <w:pStyle w:val="TableParagraph"/>
                          <w:ind w:left="91" w:right="96"/>
                          <w:rPr>
                            <w:sz w:val="18"/>
                          </w:rPr>
                        </w:pPr>
                        <w:r>
                          <w:rPr>
                            <w:color w:val="231F20"/>
                            <w:sz w:val="18"/>
                          </w:rPr>
                          <w:t>39.57</w:t>
                        </w:r>
                      </w:p>
                    </w:tc>
                    <w:tc>
                      <w:tcPr>
                        <w:tcW w:w="680" w:type="dxa"/>
                      </w:tcPr>
                      <w:p>
                        <w:pPr>
                          <w:pStyle w:val="TableParagraph"/>
                          <w:ind w:left="116"/>
                          <w:jc w:val="left"/>
                          <w:rPr>
                            <w:sz w:val="18"/>
                          </w:rPr>
                        </w:pPr>
                        <w:r>
                          <w:rPr>
                            <w:color w:val="231F20"/>
                            <w:sz w:val="18"/>
                          </w:rPr>
                          <w:t>70.24</w:t>
                        </w:r>
                      </w:p>
                    </w:tc>
                  </w:tr>
                  <w:tr>
                    <w:trPr>
                      <w:trHeight w:val="255" w:hRule="exact"/>
                    </w:trPr>
                    <w:tc>
                      <w:tcPr>
                        <w:tcW w:w="803" w:type="dxa"/>
                      </w:tcPr>
                      <w:p>
                        <w:pPr>
                          <w:pStyle w:val="TableParagraph"/>
                          <w:ind w:left="248" w:right="254"/>
                          <w:rPr>
                            <w:sz w:val="18"/>
                          </w:rPr>
                        </w:pPr>
                        <w:r>
                          <w:rPr>
                            <w:color w:val="231F20"/>
                            <w:sz w:val="18"/>
                          </w:rPr>
                          <w:t>Jun</w:t>
                        </w:r>
                      </w:p>
                    </w:tc>
                    <w:tc>
                      <w:tcPr>
                        <w:tcW w:w="892" w:type="dxa"/>
                      </w:tcPr>
                      <w:p>
                        <w:pPr>
                          <w:pStyle w:val="TableParagraph"/>
                          <w:ind w:left="158" w:right="158"/>
                          <w:rPr>
                            <w:sz w:val="18"/>
                          </w:rPr>
                        </w:pPr>
                        <w:r>
                          <w:rPr>
                            <w:color w:val="231F20"/>
                            <w:sz w:val="18"/>
                          </w:rPr>
                          <w:t>10.25</w:t>
                        </w:r>
                      </w:p>
                    </w:tc>
                    <w:tc>
                      <w:tcPr>
                        <w:tcW w:w="784" w:type="dxa"/>
                      </w:tcPr>
                      <w:p>
                        <w:pPr>
                          <w:pStyle w:val="TableParagraph"/>
                          <w:ind w:left="179"/>
                          <w:jc w:val="left"/>
                          <w:rPr>
                            <w:sz w:val="18"/>
                          </w:rPr>
                        </w:pPr>
                        <w:r>
                          <w:rPr>
                            <w:color w:val="231F20"/>
                            <w:sz w:val="18"/>
                          </w:rPr>
                          <w:t>26.03</w:t>
                        </w:r>
                      </w:p>
                    </w:tc>
                    <w:tc>
                      <w:tcPr>
                        <w:tcW w:w="857" w:type="dxa"/>
                      </w:tcPr>
                      <w:p>
                        <w:pPr>
                          <w:pStyle w:val="TableParagraph"/>
                          <w:ind w:left="217"/>
                          <w:jc w:val="left"/>
                          <w:rPr>
                            <w:sz w:val="18"/>
                          </w:rPr>
                        </w:pPr>
                        <w:r>
                          <w:rPr>
                            <w:color w:val="231F20"/>
                            <w:sz w:val="18"/>
                          </w:rPr>
                          <w:t>11.78</w:t>
                        </w:r>
                      </w:p>
                    </w:tc>
                    <w:tc>
                      <w:tcPr>
                        <w:tcW w:w="630" w:type="dxa"/>
                      </w:tcPr>
                      <w:p>
                        <w:pPr>
                          <w:pStyle w:val="TableParagraph"/>
                          <w:ind w:left="133" w:right="119"/>
                          <w:rPr>
                            <w:sz w:val="18"/>
                          </w:rPr>
                        </w:pPr>
                        <w:r>
                          <w:rPr>
                            <w:color w:val="231F20"/>
                            <w:sz w:val="18"/>
                          </w:rPr>
                          <w:t>3.87</w:t>
                        </w:r>
                      </w:p>
                    </w:tc>
                    <w:tc>
                      <w:tcPr>
                        <w:tcW w:w="1025" w:type="dxa"/>
                      </w:tcPr>
                      <w:p>
                        <w:pPr>
                          <w:pStyle w:val="TableParagraph"/>
                          <w:ind w:left="91" w:right="96"/>
                          <w:rPr>
                            <w:sz w:val="18"/>
                          </w:rPr>
                        </w:pPr>
                        <w:r>
                          <w:rPr>
                            <w:color w:val="231F20"/>
                            <w:sz w:val="18"/>
                          </w:rPr>
                          <w:t>39.39</w:t>
                        </w:r>
                      </w:p>
                    </w:tc>
                    <w:tc>
                      <w:tcPr>
                        <w:tcW w:w="680" w:type="dxa"/>
                      </w:tcPr>
                      <w:p>
                        <w:pPr>
                          <w:pStyle w:val="TableParagraph"/>
                          <w:ind w:left="116"/>
                          <w:jc w:val="left"/>
                          <w:rPr>
                            <w:sz w:val="18"/>
                          </w:rPr>
                        </w:pPr>
                        <w:r>
                          <w:rPr>
                            <w:color w:val="231F20"/>
                            <w:sz w:val="18"/>
                          </w:rPr>
                          <w:t>70.10</w:t>
                        </w:r>
                      </w:p>
                    </w:tc>
                  </w:tr>
                  <w:tr>
                    <w:trPr>
                      <w:trHeight w:val="255" w:hRule="exact"/>
                    </w:trPr>
                    <w:tc>
                      <w:tcPr>
                        <w:tcW w:w="803" w:type="dxa"/>
                      </w:tcPr>
                      <w:p>
                        <w:pPr>
                          <w:pStyle w:val="TableParagraph"/>
                          <w:ind w:left="248" w:right="254"/>
                          <w:rPr>
                            <w:sz w:val="18"/>
                          </w:rPr>
                        </w:pPr>
                        <w:r>
                          <w:rPr>
                            <w:color w:val="231F20"/>
                            <w:sz w:val="18"/>
                          </w:rPr>
                          <w:t>Jul</w:t>
                        </w:r>
                      </w:p>
                    </w:tc>
                    <w:tc>
                      <w:tcPr>
                        <w:tcW w:w="892" w:type="dxa"/>
                      </w:tcPr>
                      <w:p>
                        <w:pPr>
                          <w:pStyle w:val="TableParagraph"/>
                          <w:ind w:left="158" w:right="158"/>
                          <w:rPr>
                            <w:sz w:val="18"/>
                          </w:rPr>
                        </w:pPr>
                        <w:r>
                          <w:rPr>
                            <w:color w:val="231F20"/>
                            <w:sz w:val="18"/>
                          </w:rPr>
                          <w:t>10.24</w:t>
                        </w:r>
                      </w:p>
                    </w:tc>
                    <w:tc>
                      <w:tcPr>
                        <w:tcW w:w="784" w:type="dxa"/>
                      </w:tcPr>
                      <w:p>
                        <w:pPr>
                          <w:pStyle w:val="TableParagraph"/>
                          <w:ind w:left="179"/>
                          <w:jc w:val="left"/>
                          <w:rPr>
                            <w:sz w:val="18"/>
                          </w:rPr>
                        </w:pPr>
                        <w:r>
                          <w:rPr>
                            <w:color w:val="231F20"/>
                            <w:sz w:val="18"/>
                          </w:rPr>
                          <w:t>26.19</w:t>
                        </w:r>
                      </w:p>
                    </w:tc>
                    <w:tc>
                      <w:tcPr>
                        <w:tcW w:w="857" w:type="dxa"/>
                      </w:tcPr>
                      <w:p>
                        <w:pPr>
                          <w:pStyle w:val="TableParagraph"/>
                          <w:ind w:left="217"/>
                          <w:jc w:val="left"/>
                          <w:rPr>
                            <w:sz w:val="18"/>
                          </w:rPr>
                        </w:pPr>
                        <w:r>
                          <w:rPr>
                            <w:color w:val="231F20"/>
                            <w:sz w:val="18"/>
                          </w:rPr>
                          <w:t>11.78</w:t>
                        </w:r>
                      </w:p>
                    </w:tc>
                    <w:tc>
                      <w:tcPr>
                        <w:tcW w:w="630" w:type="dxa"/>
                      </w:tcPr>
                      <w:p>
                        <w:pPr>
                          <w:pStyle w:val="TableParagraph"/>
                          <w:ind w:left="133" w:right="119"/>
                          <w:rPr>
                            <w:sz w:val="18"/>
                          </w:rPr>
                        </w:pPr>
                        <w:r>
                          <w:rPr>
                            <w:color w:val="231F20"/>
                            <w:sz w:val="18"/>
                          </w:rPr>
                          <w:t>3.94</w:t>
                        </w:r>
                      </w:p>
                    </w:tc>
                    <w:tc>
                      <w:tcPr>
                        <w:tcW w:w="1025" w:type="dxa"/>
                      </w:tcPr>
                      <w:p>
                        <w:pPr>
                          <w:pStyle w:val="TableParagraph"/>
                          <w:ind w:left="91" w:right="96"/>
                          <w:rPr>
                            <w:sz w:val="18"/>
                          </w:rPr>
                        </w:pPr>
                        <w:r>
                          <w:rPr>
                            <w:color w:val="231F20"/>
                            <w:sz w:val="18"/>
                          </w:rPr>
                          <w:t>39.09</w:t>
                        </w:r>
                      </w:p>
                    </w:tc>
                    <w:tc>
                      <w:tcPr>
                        <w:tcW w:w="680" w:type="dxa"/>
                      </w:tcPr>
                      <w:p>
                        <w:pPr>
                          <w:pStyle w:val="TableParagraph"/>
                          <w:ind w:left="116"/>
                          <w:jc w:val="left"/>
                          <w:rPr>
                            <w:sz w:val="18"/>
                          </w:rPr>
                        </w:pPr>
                        <w:r>
                          <w:rPr>
                            <w:color w:val="231F20"/>
                            <w:sz w:val="18"/>
                          </w:rPr>
                          <w:t>69.87</w:t>
                        </w:r>
                      </w:p>
                    </w:tc>
                  </w:tr>
                  <w:tr>
                    <w:trPr>
                      <w:trHeight w:val="255" w:hRule="exact"/>
                    </w:trPr>
                    <w:tc>
                      <w:tcPr>
                        <w:tcW w:w="803" w:type="dxa"/>
                      </w:tcPr>
                      <w:p>
                        <w:pPr>
                          <w:pStyle w:val="TableParagraph"/>
                          <w:ind w:left="248"/>
                          <w:jc w:val="left"/>
                          <w:rPr>
                            <w:sz w:val="18"/>
                          </w:rPr>
                        </w:pPr>
                        <w:r>
                          <w:rPr>
                            <w:color w:val="231F20"/>
                            <w:sz w:val="18"/>
                          </w:rPr>
                          <w:t>Ago</w:t>
                        </w:r>
                      </w:p>
                    </w:tc>
                    <w:tc>
                      <w:tcPr>
                        <w:tcW w:w="892" w:type="dxa"/>
                      </w:tcPr>
                      <w:p>
                        <w:pPr>
                          <w:pStyle w:val="TableParagraph"/>
                          <w:ind w:left="158" w:right="158"/>
                          <w:rPr>
                            <w:sz w:val="18"/>
                          </w:rPr>
                        </w:pPr>
                        <w:r>
                          <w:rPr>
                            <w:color w:val="231F20"/>
                            <w:sz w:val="18"/>
                          </w:rPr>
                          <w:t>10.24</w:t>
                        </w:r>
                      </w:p>
                    </w:tc>
                    <w:tc>
                      <w:tcPr>
                        <w:tcW w:w="784" w:type="dxa"/>
                      </w:tcPr>
                      <w:p>
                        <w:pPr>
                          <w:pStyle w:val="TableParagraph"/>
                          <w:ind w:left="179"/>
                          <w:jc w:val="left"/>
                          <w:rPr>
                            <w:sz w:val="18"/>
                          </w:rPr>
                        </w:pPr>
                        <w:r>
                          <w:rPr>
                            <w:color w:val="231F20"/>
                            <w:sz w:val="18"/>
                          </w:rPr>
                          <w:t>26.19</w:t>
                        </w:r>
                      </w:p>
                    </w:tc>
                    <w:tc>
                      <w:tcPr>
                        <w:tcW w:w="857" w:type="dxa"/>
                      </w:tcPr>
                      <w:p>
                        <w:pPr>
                          <w:pStyle w:val="TableParagraph"/>
                          <w:ind w:left="217"/>
                          <w:jc w:val="left"/>
                          <w:rPr>
                            <w:sz w:val="18"/>
                          </w:rPr>
                        </w:pPr>
                        <w:r>
                          <w:rPr>
                            <w:color w:val="231F20"/>
                            <w:sz w:val="18"/>
                          </w:rPr>
                          <w:t>11.78</w:t>
                        </w:r>
                      </w:p>
                    </w:tc>
                    <w:tc>
                      <w:tcPr>
                        <w:tcW w:w="630" w:type="dxa"/>
                      </w:tcPr>
                      <w:p>
                        <w:pPr>
                          <w:pStyle w:val="TableParagraph"/>
                          <w:ind w:left="133" w:right="119"/>
                          <w:rPr>
                            <w:sz w:val="18"/>
                          </w:rPr>
                        </w:pPr>
                        <w:r>
                          <w:rPr>
                            <w:color w:val="231F20"/>
                            <w:sz w:val="18"/>
                          </w:rPr>
                          <w:t>3.94</w:t>
                        </w:r>
                      </w:p>
                    </w:tc>
                    <w:tc>
                      <w:tcPr>
                        <w:tcW w:w="1025" w:type="dxa"/>
                      </w:tcPr>
                      <w:p>
                        <w:pPr>
                          <w:pStyle w:val="TableParagraph"/>
                          <w:ind w:left="91" w:right="96"/>
                          <w:rPr>
                            <w:sz w:val="18"/>
                          </w:rPr>
                        </w:pPr>
                        <w:r>
                          <w:rPr>
                            <w:color w:val="231F20"/>
                            <w:sz w:val="18"/>
                          </w:rPr>
                          <w:t>39.09</w:t>
                        </w:r>
                      </w:p>
                    </w:tc>
                    <w:tc>
                      <w:tcPr>
                        <w:tcW w:w="680" w:type="dxa"/>
                      </w:tcPr>
                      <w:p>
                        <w:pPr>
                          <w:pStyle w:val="TableParagraph"/>
                          <w:ind w:left="116"/>
                          <w:jc w:val="left"/>
                          <w:rPr>
                            <w:sz w:val="18"/>
                          </w:rPr>
                        </w:pPr>
                        <w:r>
                          <w:rPr>
                            <w:color w:val="231F20"/>
                            <w:sz w:val="18"/>
                          </w:rPr>
                          <w:t>69.87</w:t>
                        </w:r>
                      </w:p>
                    </w:tc>
                  </w:tr>
                  <w:tr>
                    <w:trPr>
                      <w:trHeight w:val="255" w:hRule="exact"/>
                    </w:trPr>
                    <w:tc>
                      <w:tcPr>
                        <w:tcW w:w="803" w:type="dxa"/>
                      </w:tcPr>
                      <w:p>
                        <w:pPr>
                          <w:pStyle w:val="TableParagraph"/>
                          <w:ind w:left="258"/>
                          <w:jc w:val="left"/>
                          <w:rPr>
                            <w:sz w:val="18"/>
                          </w:rPr>
                        </w:pPr>
                        <w:r>
                          <w:rPr>
                            <w:color w:val="231F20"/>
                            <w:sz w:val="18"/>
                          </w:rPr>
                          <w:t>Sep</w:t>
                        </w:r>
                      </w:p>
                    </w:tc>
                    <w:tc>
                      <w:tcPr>
                        <w:tcW w:w="892" w:type="dxa"/>
                      </w:tcPr>
                      <w:p>
                        <w:pPr>
                          <w:pStyle w:val="TableParagraph"/>
                          <w:ind w:left="158" w:right="158"/>
                          <w:rPr>
                            <w:sz w:val="18"/>
                          </w:rPr>
                        </w:pPr>
                        <w:r>
                          <w:rPr>
                            <w:color w:val="231F20"/>
                            <w:sz w:val="18"/>
                          </w:rPr>
                          <w:t>10.24</w:t>
                        </w:r>
                      </w:p>
                    </w:tc>
                    <w:tc>
                      <w:tcPr>
                        <w:tcW w:w="784" w:type="dxa"/>
                      </w:tcPr>
                      <w:p>
                        <w:pPr>
                          <w:pStyle w:val="TableParagraph"/>
                          <w:ind w:left="179"/>
                          <w:jc w:val="left"/>
                          <w:rPr>
                            <w:sz w:val="18"/>
                          </w:rPr>
                        </w:pPr>
                        <w:r>
                          <w:rPr>
                            <w:color w:val="231F20"/>
                            <w:sz w:val="18"/>
                          </w:rPr>
                          <w:t>26.13</w:t>
                        </w:r>
                      </w:p>
                    </w:tc>
                    <w:tc>
                      <w:tcPr>
                        <w:tcW w:w="857" w:type="dxa"/>
                      </w:tcPr>
                      <w:p>
                        <w:pPr>
                          <w:pStyle w:val="TableParagraph"/>
                          <w:ind w:left="217"/>
                          <w:jc w:val="left"/>
                          <w:rPr>
                            <w:sz w:val="18"/>
                          </w:rPr>
                        </w:pPr>
                        <w:r>
                          <w:rPr>
                            <w:color w:val="231F20"/>
                            <w:sz w:val="18"/>
                          </w:rPr>
                          <w:t>11.78</w:t>
                        </w:r>
                      </w:p>
                    </w:tc>
                    <w:tc>
                      <w:tcPr>
                        <w:tcW w:w="630" w:type="dxa"/>
                      </w:tcPr>
                      <w:p>
                        <w:pPr>
                          <w:pStyle w:val="TableParagraph"/>
                          <w:ind w:left="133" w:right="119"/>
                          <w:rPr>
                            <w:sz w:val="18"/>
                          </w:rPr>
                        </w:pPr>
                        <w:r>
                          <w:rPr>
                            <w:color w:val="231F20"/>
                            <w:sz w:val="18"/>
                          </w:rPr>
                          <w:t>3.93</w:t>
                        </w:r>
                      </w:p>
                    </w:tc>
                    <w:tc>
                      <w:tcPr>
                        <w:tcW w:w="1025" w:type="dxa"/>
                      </w:tcPr>
                      <w:p>
                        <w:pPr>
                          <w:pStyle w:val="TableParagraph"/>
                          <w:ind w:left="91" w:right="96"/>
                          <w:rPr>
                            <w:sz w:val="18"/>
                          </w:rPr>
                        </w:pPr>
                        <w:r>
                          <w:rPr>
                            <w:color w:val="231F20"/>
                            <w:sz w:val="18"/>
                          </w:rPr>
                          <w:t>39.18</w:t>
                        </w:r>
                      </w:p>
                    </w:tc>
                    <w:tc>
                      <w:tcPr>
                        <w:tcW w:w="680" w:type="dxa"/>
                      </w:tcPr>
                      <w:p>
                        <w:pPr>
                          <w:pStyle w:val="TableParagraph"/>
                          <w:ind w:left="116"/>
                          <w:jc w:val="left"/>
                          <w:rPr>
                            <w:sz w:val="18"/>
                          </w:rPr>
                        </w:pPr>
                        <w:r>
                          <w:rPr>
                            <w:color w:val="231F20"/>
                            <w:sz w:val="18"/>
                          </w:rPr>
                          <w:t>69.94</w:t>
                        </w:r>
                      </w:p>
                    </w:tc>
                  </w:tr>
                  <w:tr>
                    <w:trPr>
                      <w:trHeight w:val="255" w:hRule="exact"/>
                    </w:trPr>
                    <w:tc>
                      <w:tcPr>
                        <w:tcW w:w="803" w:type="dxa"/>
                      </w:tcPr>
                      <w:p>
                        <w:pPr>
                          <w:pStyle w:val="TableParagraph"/>
                          <w:ind w:left="248" w:right="255"/>
                          <w:rPr>
                            <w:sz w:val="18"/>
                          </w:rPr>
                        </w:pPr>
                        <w:r>
                          <w:rPr>
                            <w:color w:val="231F20"/>
                            <w:sz w:val="18"/>
                          </w:rPr>
                          <w:t>Oct</w:t>
                        </w:r>
                      </w:p>
                    </w:tc>
                    <w:tc>
                      <w:tcPr>
                        <w:tcW w:w="892" w:type="dxa"/>
                      </w:tcPr>
                      <w:p>
                        <w:pPr>
                          <w:pStyle w:val="TableParagraph"/>
                          <w:ind w:left="158" w:right="158"/>
                          <w:rPr>
                            <w:sz w:val="18"/>
                          </w:rPr>
                        </w:pPr>
                        <w:r>
                          <w:rPr>
                            <w:color w:val="231F20"/>
                            <w:sz w:val="18"/>
                          </w:rPr>
                          <w:t>10.49</w:t>
                        </w:r>
                      </w:p>
                    </w:tc>
                    <w:tc>
                      <w:tcPr>
                        <w:tcW w:w="784" w:type="dxa"/>
                      </w:tcPr>
                      <w:p>
                        <w:pPr>
                          <w:pStyle w:val="TableParagraph"/>
                          <w:ind w:left="179"/>
                          <w:jc w:val="left"/>
                          <w:rPr>
                            <w:sz w:val="18"/>
                          </w:rPr>
                        </w:pPr>
                        <w:r>
                          <w:rPr>
                            <w:color w:val="231F20"/>
                            <w:sz w:val="18"/>
                          </w:rPr>
                          <w:t>26.87</w:t>
                        </w:r>
                      </w:p>
                    </w:tc>
                    <w:tc>
                      <w:tcPr>
                        <w:tcW w:w="857" w:type="dxa"/>
                      </w:tcPr>
                      <w:p>
                        <w:pPr>
                          <w:pStyle w:val="TableParagraph"/>
                          <w:ind w:left="217"/>
                          <w:jc w:val="left"/>
                          <w:rPr>
                            <w:sz w:val="18"/>
                          </w:rPr>
                        </w:pPr>
                        <w:r>
                          <w:rPr>
                            <w:color w:val="231F20"/>
                            <w:sz w:val="18"/>
                          </w:rPr>
                          <w:t>11.78</w:t>
                        </w:r>
                      </w:p>
                    </w:tc>
                    <w:tc>
                      <w:tcPr>
                        <w:tcW w:w="630" w:type="dxa"/>
                      </w:tcPr>
                      <w:p>
                        <w:pPr>
                          <w:pStyle w:val="TableParagraph"/>
                          <w:ind w:left="133" w:right="119"/>
                          <w:rPr>
                            <w:sz w:val="18"/>
                          </w:rPr>
                        </w:pPr>
                        <w:r>
                          <w:rPr>
                            <w:color w:val="231F20"/>
                            <w:sz w:val="18"/>
                          </w:rPr>
                          <w:t>3.31</w:t>
                        </w:r>
                      </w:p>
                    </w:tc>
                    <w:tc>
                      <w:tcPr>
                        <w:tcW w:w="1025" w:type="dxa"/>
                      </w:tcPr>
                      <w:p>
                        <w:pPr>
                          <w:pStyle w:val="TableParagraph"/>
                          <w:ind w:left="91" w:right="96"/>
                          <w:rPr>
                            <w:sz w:val="18"/>
                          </w:rPr>
                        </w:pPr>
                        <w:r>
                          <w:rPr>
                            <w:color w:val="231F20"/>
                            <w:sz w:val="18"/>
                          </w:rPr>
                          <w:t>39.03</w:t>
                        </w:r>
                      </w:p>
                    </w:tc>
                    <w:tc>
                      <w:tcPr>
                        <w:tcW w:w="680" w:type="dxa"/>
                      </w:tcPr>
                      <w:p>
                        <w:pPr>
                          <w:pStyle w:val="TableParagraph"/>
                          <w:ind w:left="116"/>
                          <w:jc w:val="left"/>
                          <w:rPr>
                            <w:sz w:val="18"/>
                          </w:rPr>
                        </w:pPr>
                        <w:r>
                          <w:rPr>
                            <w:color w:val="231F20"/>
                            <w:sz w:val="18"/>
                          </w:rPr>
                          <w:t>69.82</w:t>
                        </w:r>
                      </w:p>
                    </w:tc>
                  </w:tr>
                  <w:tr>
                    <w:trPr>
                      <w:trHeight w:val="255" w:hRule="exact"/>
                    </w:trPr>
                    <w:tc>
                      <w:tcPr>
                        <w:tcW w:w="803" w:type="dxa"/>
                      </w:tcPr>
                      <w:p>
                        <w:pPr>
                          <w:pStyle w:val="TableParagraph"/>
                          <w:ind w:left="243"/>
                          <w:jc w:val="left"/>
                          <w:rPr>
                            <w:sz w:val="18"/>
                          </w:rPr>
                        </w:pPr>
                        <w:r>
                          <w:rPr>
                            <w:color w:val="231F20"/>
                            <w:sz w:val="18"/>
                          </w:rPr>
                          <w:t>Nov</w:t>
                        </w:r>
                      </w:p>
                    </w:tc>
                    <w:tc>
                      <w:tcPr>
                        <w:tcW w:w="892" w:type="dxa"/>
                      </w:tcPr>
                      <w:p>
                        <w:pPr>
                          <w:pStyle w:val="TableParagraph"/>
                          <w:ind w:left="158" w:right="158"/>
                          <w:rPr>
                            <w:sz w:val="18"/>
                          </w:rPr>
                        </w:pPr>
                        <w:r>
                          <w:rPr>
                            <w:color w:val="231F20"/>
                            <w:sz w:val="18"/>
                          </w:rPr>
                          <w:t>10.49</w:t>
                        </w:r>
                      </w:p>
                    </w:tc>
                    <w:tc>
                      <w:tcPr>
                        <w:tcW w:w="784" w:type="dxa"/>
                      </w:tcPr>
                      <w:p>
                        <w:pPr>
                          <w:pStyle w:val="TableParagraph"/>
                          <w:ind w:left="179"/>
                          <w:jc w:val="left"/>
                          <w:rPr>
                            <w:sz w:val="18"/>
                          </w:rPr>
                        </w:pPr>
                        <w:r>
                          <w:rPr>
                            <w:color w:val="231F20"/>
                            <w:sz w:val="18"/>
                          </w:rPr>
                          <w:t>26.16</w:t>
                        </w:r>
                      </w:p>
                    </w:tc>
                    <w:tc>
                      <w:tcPr>
                        <w:tcW w:w="857" w:type="dxa"/>
                      </w:tcPr>
                      <w:p>
                        <w:pPr>
                          <w:pStyle w:val="TableParagraph"/>
                          <w:ind w:left="217"/>
                          <w:jc w:val="left"/>
                          <w:rPr>
                            <w:sz w:val="18"/>
                          </w:rPr>
                        </w:pPr>
                        <w:r>
                          <w:rPr>
                            <w:color w:val="231F20"/>
                            <w:sz w:val="18"/>
                          </w:rPr>
                          <w:t>11.99</w:t>
                        </w:r>
                      </w:p>
                    </w:tc>
                    <w:tc>
                      <w:tcPr>
                        <w:tcW w:w="630" w:type="dxa"/>
                      </w:tcPr>
                      <w:p>
                        <w:pPr>
                          <w:pStyle w:val="TableParagraph"/>
                          <w:ind w:left="133" w:right="119"/>
                          <w:rPr>
                            <w:sz w:val="18"/>
                          </w:rPr>
                        </w:pPr>
                        <w:r>
                          <w:rPr>
                            <w:color w:val="231F20"/>
                            <w:sz w:val="18"/>
                          </w:rPr>
                          <w:t>3.74</w:t>
                        </w:r>
                      </w:p>
                    </w:tc>
                    <w:tc>
                      <w:tcPr>
                        <w:tcW w:w="1025" w:type="dxa"/>
                      </w:tcPr>
                      <w:p>
                        <w:pPr>
                          <w:pStyle w:val="TableParagraph"/>
                          <w:ind w:left="91" w:right="96"/>
                          <w:rPr>
                            <w:sz w:val="18"/>
                          </w:rPr>
                        </w:pPr>
                        <w:r>
                          <w:rPr>
                            <w:color w:val="231F20"/>
                            <w:sz w:val="18"/>
                          </w:rPr>
                          <w:t>40.08</w:t>
                        </w:r>
                      </w:p>
                    </w:tc>
                    <w:tc>
                      <w:tcPr>
                        <w:tcW w:w="680" w:type="dxa"/>
                      </w:tcPr>
                      <w:p>
                        <w:pPr>
                          <w:pStyle w:val="TableParagraph"/>
                          <w:ind w:left="116"/>
                          <w:jc w:val="left"/>
                          <w:rPr>
                            <w:sz w:val="18"/>
                          </w:rPr>
                        </w:pPr>
                        <w:r>
                          <w:rPr>
                            <w:color w:val="231F20"/>
                            <w:sz w:val="18"/>
                          </w:rPr>
                          <w:t>70.10</w:t>
                        </w:r>
                      </w:p>
                    </w:tc>
                  </w:tr>
                  <w:tr>
                    <w:trPr>
                      <w:trHeight w:val="255" w:hRule="exact"/>
                    </w:trPr>
                    <w:tc>
                      <w:tcPr>
                        <w:tcW w:w="803" w:type="dxa"/>
                      </w:tcPr>
                      <w:p>
                        <w:pPr>
                          <w:pStyle w:val="TableParagraph"/>
                          <w:ind w:left="248" w:right="254"/>
                          <w:rPr>
                            <w:sz w:val="18"/>
                          </w:rPr>
                        </w:pPr>
                        <w:r>
                          <w:rPr>
                            <w:color w:val="231F20"/>
                            <w:sz w:val="18"/>
                          </w:rPr>
                          <w:t>Dic</w:t>
                        </w:r>
                      </w:p>
                    </w:tc>
                    <w:tc>
                      <w:tcPr>
                        <w:tcW w:w="892" w:type="dxa"/>
                      </w:tcPr>
                      <w:p>
                        <w:pPr>
                          <w:pStyle w:val="TableParagraph"/>
                          <w:ind w:left="158" w:right="158"/>
                          <w:rPr>
                            <w:sz w:val="18"/>
                          </w:rPr>
                        </w:pPr>
                        <w:r>
                          <w:rPr>
                            <w:color w:val="231F20"/>
                            <w:sz w:val="18"/>
                          </w:rPr>
                          <w:t>10.70</w:t>
                        </w:r>
                      </w:p>
                    </w:tc>
                    <w:tc>
                      <w:tcPr>
                        <w:tcW w:w="784" w:type="dxa"/>
                      </w:tcPr>
                      <w:p>
                        <w:pPr>
                          <w:pStyle w:val="TableParagraph"/>
                          <w:ind w:left="179"/>
                          <w:jc w:val="left"/>
                          <w:rPr>
                            <w:sz w:val="18"/>
                          </w:rPr>
                        </w:pPr>
                        <w:r>
                          <w:rPr>
                            <w:color w:val="231F20"/>
                            <w:sz w:val="18"/>
                          </w:rPr>
                          <w:t>26.21</w:t>
                        </w:r>
                      </w:p>
                    </w:tc>
                    <w:tc>
                      <w:tcPr>
                        <w:tcW w:w="857" w:type="dxa"/>
                      </w:tcPr>
                      <w:p>
                        <w:pPr>
                          <w:pStyle w:val="TableParagraph"/>
                          <w:ind w:left="217"/>
                          <w:jc w:val="left"/>
                          <w:rPr>
                            <w:sz w:val="18"/>
                          </w:rPr>
                        </w:pPr>
                        <w:r>
                          <w:rPr>
                            <w:color w:val="231F20"/>
                            <w:sz w:val="18"/>
                          </w:rPr>
                          <w:t>13.30</w:t>
                        </w:r>
                      </w:p>
                    </w:tc>
                    <w:tc>
                      <w:tcPr>
                        <w:tcW w:w="630" w:type="dxa"/>
                      </w:tcPr>
                      <w:p>
                        <w:pPr>
                          <w:pStyle w:val="TableParagraph"/>
                          <w:ind w:left="133" w:right="119"/>
                          <w:rPr>
                            <w:sz w:val="18"/>
                          </w:rPr>
                        </w:pPr>
                        <w:r>
                          <w:rPr>
                            <w:color w:val="231F20"/>
                            <w:sz w:val="18"/>
                          </w:rPr>
                          <w:t>6.36</w:t>
                        </w:r>
                      </w:p>
                    </w:tc>
                    <w:tc>
                      <w:tcPr>
                        <w:tcW w:w="1025" w:type="dxa"/>
                      </w:tcPr>
                      <w:p>
                        <w:pPr>
                          <w:pStyle w:val="TableParagraph"/>
                          <w:ind w:left="91" w:right="96"/>
                          <w:rPr>
                            <w:sz w:val="18"/>
                          </w:rPr>
                        </w:pPr>
                        <w:r>
                          <w:rPr>
                            <w:color w:val="231F20"/>
                            <w:sz w:val="18"/>
                          </w:rPr>
                          <w:t>40.84</w:t>
                        </w:r>
                      </w:p>
                    </w:tc>
                    <w:tc>
                      <w:tcPr>
                        <w:tcW w:w="680" w:type="dxa"/>
                      </w:tcPr>
                      <w:p>
                        <w:pPr>
                          <w:pStyle w:val="TableParagraph"/>
                          <w:ind w:left="116"/>
                          <w:jc w:val="left"/>
                          <w:rPr>
                            <w:sz w:val="18"/>
                          </w:rPr>
                        </w:pPr>
                        <w:r>
                          <w:rPr>
                            <w:color w:val="231F20"/>
                            <w:sz w:val="18"/>
                          </w:rPr>
                          <w:t>67.44</w:t>
                        </w:r>
                      </w:p>
                    </w:tc>
                  </w:tr>
                  <w:tr>
                    <w:trPr>
                      <w:trHeight w:val="241" w:hRule="exact"/>
                    </w:trPr>
                    <w:tc>
                      <w:tcPr>
                        <w:tcW w:w="803" w:type="dxa"/>
                        <w:tcBorders>
                          <w:bottom w:val="single" w:sz="8" w:space="0" w:color="231F20"/>
                        </w:tcBorders>
                      </w:tcPr>
                      <w:p>
                        <w:pPr>
                          <w:pStyle w:val="TableParagraph"/>
                          <w:ind w:left="168"/>
                          <w:jc w:val="left"/>
                          <w:rPr>
                            <w:sz w:val="18"/>
                          </w:rPr>
                        </w:pPr>
                        <w:r>
                          <w:rPr>
                            <w:color w:val="231F20"/>
                            <w:sz w:val="18"/>
                          </w:rPr>
                          <w:t>Prom.</w:t>
                        </w:r>
                      </w:p>
                    </w:tc>
                    <w:tc>
                      <w:tcPr>
                        <w:tcW w:w="892" w:type="dxa"/>
                        <w:tcBorders>
                          <w:bottom w:val="single" w:sz="8" w:space="0" w:color="231F20"/>
                        </w:tcBorders>
                      </w:tcPr>
                      <w:p>
                        <w:pPr>
                          <w:pStyle w:val="TableParagraph"/>
                          <w:ind w:left="158" w:right="158"/>
                          <w:rPr>
                            <w:sz w:val="18"/>
                          </w:rPr>
                        </w:pPr>
                        <w:r>
                          <w:rPr>
                            <w:color w:val="231F20"/>
                            <w:sz w:val="18"/>
                          </w:rPr>
                          <w:t>10.33</w:t>
                        </w:r>
                      </w:p>
                    </w:tc>
                    <w:tc>
                      <w:tcPr>
                        <w:tcW w:w="784" w:type="dxa"/>
                        <w:tcBorders>
                          <w:bottom w:val="single" w:sz="8" w:space="0" w:color="231F20"/>
                        </w:tcBorders>
                      </w:tcPr>
                      <w:p>
                        <w:pPr>
                          <w:pStyle w:val="TableParagraph"/>
                          <w:ind w:left="179"/>
                          <w:jc w:val="left"/>
                          <w:rPr>
                            <w:sz w:val="18"/>
                          </w:rPr>
                        </w:pPr>
                        <w:r>
                          <w:rPr>
                            <w:color w:val="231F20"/>
                            <w:sz w:val="18"/>
                          </w:rPr>
                          <w:t>26.22</w:t>
                        </w:r>
                      </w:p>
                    </w:tc>
                    <w:tc>
                      <w:tcPr>
                        <w:tcW w:w="857" w:type="dxa"/>
                        <w:tcBorders>
                          <w:bottom w:val="single" w:sz="8" w:space="0" w:color="231F20"/>
                        </w:tcBorders>
                      </w:tcPr>
                      <w:p>
                        <w:pPr>
                          <w:pStyle w:val="TableParagraph"/>
                          <w:ind w:left="217"/>
                          <w:jc w:val="left"/>
                          <w:rPr>
                            <w:sz w:val="18"/>
                          </w:rPr>
                        </w:pPr>
                        <w:r>
                          <w:rPr>
                            <w:color w:val="231F20"/>
                            <w:sz w:val="18"/>
                          </w:rPr>
                          <w:t>11.92</w:t>
                        </w:r>
                      </w:p>
                    </w:tc>
                    <w:tc>
                      <w:tcPr>
                        <w:tcW w:w="630" w:type="dxa"/>
                        <w:tcBorders>
                          <w:bottom w:val="single" w:sz="8" w:space="0" w:color="231F20"/>
                        </w:tcBorders>
                      </w:tcPr>
                      <w:p>
                        <w:pPr>
                          <w:pStyle w:val="TableParagraph"/>
                          <w:ind w:left="133" w:right="119"/>
                          <w:rPr>
                            <w:sz w:val="18"/>
                          </w:rPr>
                        </w:pPr>
                        <w:r>
                          <w:rPr>
                            <w:color w:val="231F20"/>
                            <w:sz w:val="18"/>
                          </w:rPr>
                          <w:t>4.04</w:t>
                        </w:r>
                      </w:p>
                    </w:tc>
                    <w:tc>
                      <w:tcPr>
                        <w:tcW w:w="1025" w:type="dxa"/>
                        <w:tcBorders>
                          <w:bottom w:val="single" w:sz="8" w:space="0" w:color="231F20"/>
                        </w:tcBorders>
                      </w:tcPr>
                      <w:p>
                        <w:pPr>
                          <w:pStyle w:val="TableParagraph"/>
                          <w:ind w:left="91" w:right="96"/>
                          <w:rPr>
                            <w:sz w:val="18"/>
                          </w:rPr>
                        </w:pPr>
                        <w:r>
                          <w:rPr>
                            <w:color w:val="231F20"/>
                            <w:sz w:val="18"/>
                          </w:rPr>
                          <w:t>39.39</w:t>
                        </w:r>
                      </w:p>
                    </w:tc>
                    <w:tc>
                      <w:tcPr>
                        <w:tcW w:w="680" w:type="dxa"/>
                        <w:tcBorders>
                          <w:bottom w:val="single" w:sz="8" w:space="0" w:color="231F20"/>
                        </w:tcBorders>
                      </w:tcPr>
                      <w:p>
                        <w:pPr>
                          <w:pStyle w:val="TableParagraph"/>
                          <w:ind w:left="116"/>
                          <w:jc w:val="left"/>
                          <w:rPr>
                            <w:sz w:val="18"/>
                          </w:rPr>
                        </w:pPr>
                        <w:r>
                          <w:rPr>
                            <w:color w:val="231F20"/>
                            <w:sz w:val="18"/>
                          </w:rPr>
                          <w:t>69.73</w:t>
                        </w:r>
                      </w:p>
                    </w:tc>
                  </w:tr>
                </w:tbl>
                <w:p>
                  <w:pPr>
                    <w:pStyle w:val="BodyText"/>
                  </w:pPr>
                </w:p>
              </w:txbxContent>
            </v:textbox>
            <w10:wrap type="none"/>
          </v:shape>
        </w:pict>
      </w:r>
      <w:r>
        <w:rPr>
          <w:color w:val="231F20"/>
        </w:rPr>
        <w:t>tor</w:t>
        <w:tab/>
        <w:t>dor</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8"/>
        </w:rPr>
      </w:pPr>
    </w:p>
    <w:p>
      <w:pPr>
        <w:spacing w:before="78"/>
        <w:ind w:left="113" w:right="0" w:firstLine="0"/>
        <w:jc w:val="both"/>
        <w:rPr>
          <w:sz w:val="16"/>
        </w:rPr>
      </w:pPr>
      <w:r>
        <w:rPr>
          <w:color w:val="231F20"/>
          <w:sz w:val="16"/>
        </w:rPr>
        <w:t>Fuente: Elaboración propia con base en información de campo</w:t>
      </w:r>
    </w:p>
    <w:p>
      <w:pPr>
        <w:pStyle w:val="BodyText"/>
        <w:spacing w:before="1"/>
        <w:rPr>
          <w:sz w:val="17"/>
        </w:rPr>
      </w:pPr>
    </w:p>
    <w:p>
      <w:pPr>
        <w:pStyle w:val="Heading4"/>
        <w:spacing w:line="247" w:lineRule="auto" w:before="0"/>
        <w:ind w:left="653" w:right="650"/>
      </w:pPr>
      <w:r>
        <w:rPr>
          <w:color w:val="231F20"/>
        </w:rPr>
        <w:t>Los márgenes brutos de comercialización en la intermediación</w:t>
      </w:r>
    </w:p>
    <w:p>
      <w:pPr>
        <w:pStyle w:val="BodyText"/>
        <w:spacing w:line="273" w:lineRule="auto" w:before="177"/>
        <w:ind w:left="113" w:right="111"/>
        <w:jc w:val="both"/>
      </w:pPr>
      <w:r>
        <w:rPr>
          <w:color w:val="231F20"/>
        </w:rPr>
        <w:t>De acuerdo a la información anterior se puede señalar que del total del porcentaje</w:t>
      </w:r>
      <w:r>
        <w:rPr>
          <w:color w:val="231F20"/>
          <w:spacing w:val="-7"/>
        </w:rPr>
        <w:t> </w:t>
      </w:r>
      <w:r>
        <w:rPr>
          <w:color w:val="231F20"/>
        </w:rPr>
        <w:t>de</w:t>
      </w:r>
      <w:r>
        <w:rPr>
          <w:color w:val="231F20"/>
          <w:spacing w:val="-7"/>
        </w:rPr>
        <w:t> </w:t>
      </w:r>
      <w:r>
        <w:rPr>
          <w:color w:val="231F20"/>
        </w:rPr>
        <w:t>utilidad</w:t>
      </w:r>
      <w:r>
        <w:rPr>
          <w:color w:val="231F20"/>
          <w:spacing w:val="-7"/>
        </w:rPr>
        <w:t> </w:t>
      </w:r>
      <w:r>
        <w:rPr>
          <w:color w:val="231F20"/>
        </w:rPr>
        <w:t>bruta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obtiene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intermediación</w:t>
      </w:r>
      <w:r>
        <w:rPr>
          <w:color w:val="231F20"/>
          <w:spacing w:val="-7"/>
        </w:rPr>
        <w:t> </w:t>
      </w:r>
      <w:r>
        <w:rPr>
          <w:color w:val="231F20"/>
        </w:rPr>
        <w:t>(73.78%), los detallistas logran un mayor margen de comercialización, ya que por cada kg de carne vendida obtienen $27.47 de utilidad y participan con el 69.74%</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utilidad</w:t>
      </w:r>
      <w:r>
        <w:rPr>
          <w:color w:val="231F20"/>
          <w:spacing w:val="15"/>
        </w:rPr>
        <w:t> </w:t>
      </w:r>
      <w:r>
        <w:rPr>
          <w:color w:val="231F20"/>
        </w:rPr>
        <w:t>bruta;</w:t>
      </w:r>
      <w:r>
        <w:rPr>
          <w:color w:val="231F20"/>
          <w:spacing w:val="15"/>
        </w:rPr>
        <w:t> </w:t>
      </w:r>
      <w:r>
        <w:rPr>
          <w:color w:val="231F20"/>
        </w:rPr>
        <w:t>mientras</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rPr>
        <w:t>acopiadores</w:t>
      </w:r>
      <w:r>
        <w:rPr>
          <w:color w:val="231F20"/>
          <w:spacing w:val="15"/>
        </w:rPr>
        <w:t> </w:t>
      </w:r>
      <w:r>
        <w:rPr>
          <w:color w:val="231F20"/>
        </w:rPr>
        <w:t>sólo</w:t>
      </w:r>
      <w:r>
        <w:rPr>
          <w:color w:val="231F20"/>
          <w:spacing w:val="15"/>
        </w:rPr>
        <w:t> </w:t>
      </w:r>
      <w:r>
        <w:rPr>
          <w:color w:val="231F20"/>
        </w:rPr>
        <w:t>obtienen</w:t>
      </w:r>
    </w:p>
    <w:p>
      <w:pPr>
        <w:pStyle w:val="BodyText"/>
        <w:spacing w:line="210" w:lineRule="exact"/>
        <w:ind w:left="113"/>
        <w:jc w:val="both"/>
      </w:pPr>
      <w:r>
        <w:rPr>
          <w:color w:val="231F20"/>
        </w:rPr>
        <w:t>1.59 $/kg, es decir, consiguen el 4% de dicha utilidad (véase cuadro 33).</w:t>
      </w:r>
    </w:p>
    <w:p>
      <w:pPr>
        <w:pStyle w:val="BodyText"/>
        <w:spacing w:line="273" w:lineRule="auto" w:before="29"/>
        <w:ind w:left="113" w:right="111" w:firstLine="283"/>
        <w:jc w:val="both"/>
      </w:pPr>
      <w:r>
        <w:rPr>
          <w:color w:val="231F20"/>
        </w:rPr>
        <w:t>Cabe mencionar que a pesar de que los detallistas obtienen una mayor ganancia bruta, también incurre en mayores costos de comercialización, ocasionados por el acarreo del producto, la renta de locales, mano de obra y energía eléctrica, entre otros.</w:t>
      </w:r>
    </w:p>
    <w:p>
      <w:pPr>
        <w:pStyle w:val="BodyText"/>
        <w:spacing w:before="5"/>
        <w:rPr>
          <w:sz w:val="15"/>
        </w:rPr>
      </w:pPr>
    </w:p>
    <w:p>
      <w:pPr>
        <w:pStyle w:val="Heading5"/>
        <w:spacing w:before="0"/>
      </w:pPr>
      <w:r>
        <w:rPr>
          <w:color w:val="231F20"/>
        </w:rPr>
        <w:t>Los márgenes de comercialización totales</w:t>
      </w:r>
    </w:p>
    <w:p>
      <w:pPr>
        <w:pStyle w:val="BodyText"/>
        <w:spacing w:before="190"/>
        <w:ind w:left="113"/>
        <w:jc w:val="both"/>
      </w:pPr>
      <w:r>
        <w:rPr>
          <w:color w:val="231F20"/>
        </w:rPr>
        <w:t>Al analizar los márgenes de comercialización totales, esto es, al incluir a la</w:t>
      </w:r>
    </w:p>
    <w:p>
      <w:pPr>
        <w:pStyle w:val="BodyText"/>
        <w:spacing w:before="29"/>
        <w:ind w:left="113"/>
        <w:jc w:val="both"/>
      </w:pPr>
      <w:r>
        <w:rPr>
          <w:color w:val="231F20"/>
        </w:rPr>
        <w:t>diferencia de precios los costos de comercialización (CC), se encontró que</w:t>
      </w:r>
    </w:p>
    <w:p>
      <w:pPr>
        <w:spacing w:after="0"/>
        <w:jc w:val="both"/>
        <w:sectPr>
          <w:pgSz w:w="7940" w:h="11910"/>
          <w:pgMar w:header="0" w:footer="469" w:top="500" w:bottom="660" w:left="1020" w:right="1020"/>
        </w:sectPr>
      </w:pPr>
    </w:p>
    <w:p>
      <w:pPr>
        <w:spacing w:before="60"/>
        <w:ind w:left="597" w:right="102" w:firstLine="0"/>
        <w:jc w:val="left"/>
        <w:rPr>
          <w:sz w:val="14"/>
        </w:rPr>
      </w:pPr>
      <w:r>
        <w:rPr>
          <w:color w:val="231F20"/>
          <w:sz w:val="18"/>
        </w:rPr>
        <w:t>F. G</w:t>
      </w:r>
      <w:r>
        <w:rPr>
          <w:color w:val="231F20"/>
          <w:sz w:val="14"/>
        </w:rPr>
        <w:t>ONZÁLEZ-</w:t>
      </w:r>
      <w:r>
        <w:rPr>
          <w:color w:val="231F20"/>
          <w:sz w:val="18"/>
        </w:rPr>
        <w:t>R</w:t>
      </w:r>
      <w:r>
        <w:rPr>
          <w:color w:val="231F20"/>
          <w:sz w:val="14"/>
        </w:rPr>
        <w:t>AZO</w:t>
      </w:r>
      <w:r>
        <w:rPr>
          <w:color w:val="231F20"/>
          <w:sz w:val="18"/>
        </w:rPr>
        <w:t>, S. R</w:t>
      </w:r>
      <w:r>
        <w:rPr>
          <w:color w:val="231F20"/>
          <w:sz w:val="14"/>
        </w:rPr>
        <w:t>EBOLLAR</w:t>
      </w:r>
      <w:r>
        <w:rPr>
          <w:color w:val="231F20"/>
          <w:sz w:val="18"/>
        </w:rPr>
        <w:t>-R</w:t>
      </w:r>
      <w:r>
        <w:rPr>
          <w:color w:val="231F20"/>
          <w:sz w:val="14"/>
        </w:rPr>
        <w:t>EBOLLAR</w:t>
      </w:r>
      <w:r>
        <w:rPr>
          <w:color w:val="231F20"/>
          <w:sz w:val="18"/>
        </w:rPr>
        <w:t>, J</w:t>
      </w:r>
      <w:r>
        <w:rPr>
          <w:color w:val="231F20"/>
          <w:sz w:val="14"/>
        </w:rPr>
        <w:t>. </w:t>
      </w:r>
      <w:r>
        <w:rPr>
          <w:color w:val="231F20"/>
          <w:sz w:val="18"/>
        </w:rPr>
        <w:t>H</w:t>
      </w:r>
      <w:r>
        <w:rPr>
          <w:color w:val="231F20"/>
          <w:sz w:val="14"/>
        </w:rPr>
        <w:t>ERNÁNDEZ-</w:t>
      </w:r>
      <w:r>
        <w:rPr>
          <w:color w:val="231F20"/>
          <w:sz w:val="18"/>
        </w:rPr>
        <w:t>M</w:t>
      </w:r>
      <w:r>
        <w:rPr>
          <w:color w:val="231F20"/>
          <w:sz w:val="14"/>
        </w:rPr>
        <w:t>ARTÍNEZ</w:t>
      </w:r>
    </w:p>
    <w:p>
      <w:pPr>
        <w:pStyle w:val="BodyText"/>
        <w:rPr>
          <w:sz w:val="23"/>
        </w:rPr>
      </w:pPr>
    </w:p>
    <w:p>
      <w:pPr>
        <w:pStyle w:val="Heading5"/>
        <w:spacing w:before="69"/>
      </w:pPr>
      <w:r>
        <w:rPr>
          <w:color w:val="231F20"/>
        </w:rPr>
        <w:t>Cuadro 32</w:t>
      </w:r>
    </w:p>
    <w:p>
      <w:pPr>
        <w:spacing w:before="32"/>
        <w:ind w:left="83" w:right="83" w:firstLine="0"/>
        <w:jc w:val="center"/>
        <w:rPr>
          <w:b/>
          <w:sz w:val="22"/>
        </w:rPr>
      </w:pPr>
      <w:r>
        <w:rPr/>
        <w:pict>
          <v:group style="position:absolute;margin-left:56.192902pt;margin-top:20.556038pt;width:284.5pt;height:1pt;mso-position-horizontal-relative:page;mso-position-vertical-relative:paragraph;z-index:1480;mso-wrap-distance-left:0;mso-wrap-distance-right:0" coordorigin="1124,411" coordsize="5690,20">
            <v:line style="position:absolute" from="1134,421" to="2551,421" stroked="true" strokeweight="1pt" strokecolor="#231f20"/>
            <v:line style="position:absolute" from="2551,421" to="3969,421" stroked="true" strokeweight="1pt" strokecolor="#231f20"/>
            <v:line style="position:absolute" from="3969,421" to="5386,421" stroked="true" strokeweight="1pt" strokecolor="#231f20"/>
            <v:line style="position:absolute" from="5386,421" to="6803,421" stroked="true" strokeweight="1pt" strokecolor="#231f20"/>
            <w10:wrap type="topAndBottom"/>
          </v:group>
        </w:pict>
      </w:r>
      <w:r>
        <w:rPr/>
        <w:pict>
          <v:shape style="position:absolute;margin-left:56.692902pt;margin-top:33.806038pt;width:283.5pt;height:179.5pt;mso-position-horizontal-relative:page;mso-position-vertical-relative:paragraph;z-index:16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7"/>
                    <w:gridCol w:w="1429"/>
                    <w:gridCol w:w="1406"/>
                    <w:gridCol w:w="1417"/>
                  </w:tblGrid>
                  <w:tr>
                    <w:trPr>
                      <w:trHeight w:val="255" w:hRule="exact"/>
                    </w:trPr>
                    <w:tc>
                      <w:tcPr>
                        <w:tcW w:w="1417" w:type="dxa"/>
                        <w:tcBorders>
                          <w:bottom w:val="single" w:sz="8" w:space="0" w:color="231F20"/>
                        </w:tcBorders>
                      </w:tcPr>
                      <w:p>
                        <w:pPr>
                          <w:pStyle w:val="TableParagraph"/>
                          <w:spacing w:line="110" w:lineRule="exact" w:before="0"/>
                          <w:ind w:right="311"/>
                          <w:rPr>
                            <w:b/>
                            <w:sz w:val="18"/>
                          </w:rPr>
                        </w:pPr>
                        <w:r>
                          <w:rPr>
                            <w:b/>
                            <w:color w:val="231F20"/>
                            <w:sz w:val="18"/>
                          </w:rPr>
                          <w:t>Mes</w:t>
                        </w:r>
                      </w:p>
                    </w:tc>
                    <w:tc>
                      <w:tcPr>
                        <w:tcW w:w="1429" w:type="dxa"/>
                        <w:tcBorders>
                          <w:top w:val="single" w:sz="8" w:space="0" w:color="231F20"/>
                          <w:bottom w:val="single" w:sz="8" w:space="0" w:color="231F20"/>
                        </w:tcBorders>
                      </w:tcPr>
                      <w:p>
                        <w:pPr>
                          <w:pStyle w:val="TableParagraph"/>
                          <w:spacing w:before="16"/>
                          <w:ind w:left="266" w:right="275"/>
                          <w:rPr>
                            <w:b/>
                            <w:sz w:val="18"/>
                          </w:rPr>
                        </w:pPr>
                        <w:r>
                          <w:rPr>
                            <w:b/>
                            <w:color w:val="231F20"/>
                            <w:sz w:val="18"/>
                          </w:rPr>
                          <w:t>Productor</w:t>
                        </w:r>
                      </w:p>
                    </w:tc>
                    <w:tc>
                      <w:tcPr>
                        <w:tcW w:w="1406" w:type="dxa"/>
                        <w:tcBorders>
                          <w:top w:val="single" w:sz="8" w:space="0" w:color="231F20"/>
                          <w:bottom w:val="single" w:sz="8" w:space="0" w:color="231F20"/>
                        </w:tcBorders>
                      </w:tcPr>
                      <w:p>
                        <w:pPr>
                          <w:pStyle w:val="TableParagraph"/>
                          <w:spacing w:before="16"/>
                          <w:ind w:left="280" w:right="288"/>
                          <w:rPr>
                            <w:b/>
                            <w:sz w:val="18"/>
                          </w:rPr>
                        </w:pPr>
                        <w:r>
                          <w:rPr>
                            <w:b/>
                            <w:color w:val="231F20"/>
                            <w:sz w:val="18"/>
                          </w:rPr>
                          <w:t>Detallista</w:t>
                        </w:r>
                      </w:p>
                    </w:tc>
                    <w:tc>
                      <w:tcPr>
                        <w:tcW w:w="1417" w:type="dxa"/>
                        <w:tcBorders>
                          <w:bottom w:val="single" w:sz="8" w:space="0" w:color="231F20"/>
                        </w:tcBorders>
                      </w:tcPr>
                      <w:p>
                        <w:pPr>
                          <w:pStyle w:val="TableParagraph"/>
                          <w:spacing w:line="200" w:lineRule="exact" w:before="0"/>
                          <w:ind w:right="311"/>
                          <w:rPr>
                            <w:b/>
                            <w:sz w:val="18"/>
                          </w:rPr>
                        </w:pPr>
                        <w:r>
                          <w:rPr>
                            <w:b/>
                            <w:color w:val="231F20"/>
                            <w:sz w:val="18"/>
                          </w:rPr>
                          <w:t>(MBC)</w:t>
                        </w:r>
                      </w:p>
                    </w:tc>
                  </w:tr>
                  <w:tr>
                    <w:trPr>
                      <w:trHeight w:val="269" w:hRule="exact"/>
                    </w:trPr>
                    <w:tc>
                      <w:tcPr>
                        <w:tcW w:w="1417" w:type="dxa"/>
                        <w:tcBorders>
                          <w:top w:val="single" w:sz="8" w:space="0" w:color="231F20"/>
                        </w:tcBorders>
                      </w:tcPr>
                      <w:p>
                        <w:pPr>
                          <w:pStyle w:val="TableParagraph"/>
                          <w:spacing w:before="16"/>
                          <w:ind w:right="311"/>
                          <w:rPr>
                            <w:sz w:val="18"/>
                          </w:rPr>
                        </w:pPr>
                        <w:r>
                          <w:rPr>
                            <w:color w:val="231F20"/>
                            <w:sz w:val="18"/>
                          </w:rPr>
                          <w:t>Ene</w:t>
                        </w:r>
                      </w:p>
                    </w:tc>
                    <w:tc>
                      <w:tcPr>
                        <w:tcW w:w="1429" w:type="dxa"/>
                        <w:tcBorders>
                          <w:top w:val="single" w:sz="8" w:space="0" w:color="231F20"/>
                        </w:tcBorders>
                      </w:tcPr>
                      <w:p>
                        <w:pPr>
                          <w:pStyle w:val="TableParagraph"/>
                          <w:spacing w:before="16"/>
                          <w:ind w:left="266" w:right="274"/>
                          <w:rPr>
                            <w:sz w:val="18"/>
                          </w:rPr>
                        </w:pPr>
                        <w:r>
                          <w:rPr>
                            <w:color w:val="231F20"/>
                            <w:sz w:val="18"/>
                          </w:rPr>
                          <w:t>10.22</w:t>
                        </w:r>
                      </w:p>
                    </w:tc>
                    <w:tc>
                      <w:tcPr>
                        <w:tcW w:w="1406" w:type="dxa"/>
                        <w:tcBorders>
                          <w:top w:val="single" w:sz="8" w:space="0" w:color="231F20"/>
                        </w:tcBorders>
                      </w:tcPr>
                      <w:p>
                        <w:pPr>
                          <w:pStyle w:val="TableParagraph"/>
                          <w:spacing w:before="16"/>
                          <w:ind w:left="280" w:right="288"/>
                          <w:rPr>
                            <w:sz w:val="18"/>
                          </w:rPr>
                        </w:pPr>
                        <w:r>
                          <w:rPr>
                            <w:color w:val="231F20"/>
                            <w:sz w:val="18"/>
                          </w:rPr>
                          <w:t>39.21</w:t>
                        </w:r>
                      </w:p>
                    </w:tc>
                    <w:tc>
                      <w:tcPr>
                        <w:tcW w:w="1417" w:type="dxa"/>
                        <w:tcBorders>
                          <w:top w:val="single" w:sz="8" w:space="0" w:color="231F20"/>
                        </w:tcBorders>
                      </w:tcPr>
                      <w:p>
                        <w:pPr>
                          <w:pStyle w:val="TableParagraph"/>
                          <w:spacing w:before="16"/>
                          <w:ind w:right="311"/>
                          <w:rPr>
                            <w:sz w:val="18"/>
                          </w:rPr>
                        </w:pPr>
                        <w:r>
                          <w:rPr>
                            <w:color w:val="231F20"/>
                            <w:sz w:val="18"/>
                          </w:rPr>
                          <w:t>73.94</w:t>
                        </w:r>
                      </w:p>
                    </w:tc>
                  </w:tr>
                  <w:tr>
                    <w:trPr>
                      <w:trHeight w:val="255" w:hRule="exact"/>
                    </w:trPr>
                    <w:tc>
                      <w:tcPr>
                        <w:tcW w:w="1417" w:type="dxa"/>
                      </w:tcPr>
                      <w:p>
                        <w:pPr>
                          <w:pStyle w:val="TableParagraph"/>
                          <w:ind w:right="311"/>
                          <w:rPr>
                            <w:sz w:val="18"/>
                          </w:rPr>
                        </w:pPr>
                        <w:r>
                          <w:rPr>
                            <w:color w:val="231F20"/>
                            <w:sz w:val="18"/>
                          </w:rPr>
                          <w:t>Feb</w:t>
                        </w:r>
                      </w:p>
                    </w:tc>
                    <w:tc>
                      <w:tcPr>
                        <w:tcW w:w="1429" w:type="dxa"/>
                      </w:tcPr>
                      <w:p>
                        <w:pPr>
                          <w:pStyle w:val="TableParagraph"/>
                          <w:ind w:left="266" w:right="274"/>
                          <w:rPr>
                            <w:sz w:val="18"/>
                          </w:rPr>
                        </w:pPr>
                        <w:r>
                          <w:rPr>
                            <w:color w:val="231F20"/>
                            <w:sz w:val="18"/>
                          </w:rPr>
                          <w:t>10.27</w:t>
                        </w:r>
                      </w:p>
                    </w:tc>
                    <w:tc>
                      <w:tcPr>
                        <w:tcW w:w="1406" w:type="dxa"/>
                      </w:tcPr>
                      <w:p>
                        <w:pPr>
                          <w:pStyle w:val="TableParagraph"/>
                          <w:ind w:left="280" w:right="288"/>
                          <w:rPr>
                            <w:sz w:val="18"/>
                          </w:rPr>
                        </w:pPr>
                        <w:r>
                          <w:rPr>
                            <w:color w:val="231F20"/>
                            <w:sz w:val="18"/>
                          </w:rPr>
                          <w:t>39.01</w:t>
                        </w:r>
                      </w:p>
                    </w:tc>
                    <w:tc>
                      <w:tcPr>
                        <w:tcW w:w="1417" w:type="dxa"/>
                      </w:tcPr>
                      <w:p>
                        <w:pPr>
                          <w:pStyle w:val="TableParagraph"/>
                          <w:ind w:right="311"/>
                          <w:rPr>
                            <w:sz w:val="18"/>
                          </w:rPr>
                        </w:pPr>
                        <w:r>
                          <w:rPr>
                            <w:color w:val="231F20"/>
                            <w:sz w:val="18"/>
                          </w:rPr>
                          <w:t>73.67</w:t>
                        </w:r>
                      </w:p>
                    </w:tc>
                  </w:tr>
                  <w:tr>
                    <w:trPr>
                      <w:trHeight w:val="255" w:hRule="exact"/>
                    </w:trPr>
                    <w:tc>
                      <w:tcPr>
                        <w:tcW w:w="1417" w:type="dxa"/>
                      </w:tcPr>
                      <w:p>
                        <w:pPr>
                          <w:pStyle w:val="TableParagraph"/>
                          <w:ind w:right="311"/>
                          <w:rPr>
                            <w:sz w:val="18"/>
                          </w:rPr>
                        </w:pPr>
                        <w:r>
                          <w:rPr>
                            <w:color w:val="231F20"/>
                            <w:sz w:val="18"/>
                          </w:rPr>
                          <w:t>Mar</w:t>
                        </w:r>
                      </w:p>
                    </w:tc>
                    <w:tc>
                      <w:tcPr>
                        <w:tcW w:w="1429" w:type="dxa"/>
                      </w:tcPr>
                      <w:p>
                        <w:pPr>
                          <w:pStyle w:val="TableParagraph"/>
                          <w:ind w:left="266" w:right="274"/>
                          <w:rPr>
                            <w:sz w:val="18"/>
                          </w:rPr>
                        </w:pPr>
                        <w:r>
                          <w:rPr>
                            <w:color w:val="231F20"/>
                            <w:sz w:val="18"/>
                          </w:rPr>
                          <w:t>10.30</w:t>
                        </w:r>
                      </w:p>
                    </w:tc>
                    <w:tc>
                      <w:tcPr>
                        <w:tcW w:w="1406" w:type="dxa"/>
                      </w:tcPr>
                      <w:p>
                        <w:pPr>
                          <w:pStyle w:val="TableParagraph"/>
                          <w:ind w:left="280" w:right="288"/>
                          <w:rPr>
                            <w:sz w:val="18"/>
                          </w:rPr>
                        </w:pPr>
                        <w:r>
                          <w:rPr>
                            <w:color w:val="231F20"/>
                            <w:sz w:val="18"/>
                          </w:rPr>
                          <w:t>39.21</w:t>
                        </w:r>
                      </w:p>
                    </w:tc>
                    <w:tc>
                      <w:tcPr>
                        <w:tcW w:w="1417" w:type="dxa"/>
                      </w:tcPr>
                      <w:p>
                        <w:pPr>
                          <w:pStyle w:val="TableParagraph"/>
                          <w:ind w:right="311"/>
                          <w:rPr>
                            <w:sz w:val="18"/>
                          </w:rPr>
                        </w:pPr>
                        <w:r>
                          <w:rPr>
                            <w:color w:val="231F20"/>
                            <w:sz w:val="18"/>
                          </w:rPr>
                          <w:t>73.73</w:t>
                        </w:r>
                      </w:p>
                    </w:tc>
                  </w:tr>
                  <w:tr>
                    <w:trPr>
                      <w:trHeight w:val="255" w:hRule="exact"/>
                    </w:trPr>
                    <w:tc>
                      <w:tcPr>
                        <w:tcW w:w="1417" w:type="dxa"/>
                      </w:tcPr>
                      <w:p>
                        <w:pPr>
                          <w:pStyle w:val="TableParagraph"/>
                          <w:ind w:right="311"/>
                          <w:rPr>
                            <w:sz w:val="18"/>
                          </w:rPr>
                        </w:pPr>
                        <w:r>
                          <w:rPr>
                            <w:color w:val="231F20"/>
                            <w:sz w:val="18"/>
                          </w:rPr>
                          <w:t>Abr</w:t>
                        </w:r>
                      </w:p>
                    </w:tc>
                    <w:tc>
                      <w:tcPr>
                        <w:tcW w:w="1429" w:type="dxa"/>
                      </w:tcPr>
                      <w:p>
                        <w:pPr>
                          <w:pStyle w:val="TableParagraph"/>
                          <w:ind w:left="266" w:right="274"/>
                          <w:rPr>
                            <w:sz w:val="18"/>
                          </w:rPr>
                        </w:pPr>
                        <w:r>
                          <w:rPr>
                            <w:color w:val="231F20"/>
                            <w:sz w:val="18"/>
                          </w:rPr>
                          <w:t>10.25</w:t>
                        </w:r>
                      </w:p>
                    </w:tc>
                    <w:tc>
                      <w:tcPr>
                        <w:tcW w:w="1406" w:type="dxa"/>
                      </w:tcPr>
                      <w:p>
                        <w:pPr>
                          <w:pStyle w:val="TableParagraph"/>
                          <w:ind w:left="280" w:right="288"/>
                          <w:rPr>
                            <w:sz w:val="18"/>
                          </w:rPr>
                        </w:pPr>
                        <w:r>
                          <w:rPr>
                            <w:color w:val="231F20"/>
                            <w:sz w:val="18"/>
                          </w:rPr>
                          <w:t>39.04</w:t>
                        </w:r>
                      </w:p>
                    </w:tc>
                    <w:tc>
                      <w:tcPr>
                        <w:tcW w:w="1417" w:type="dxa"/>
                      </w:tcPr>
                      <w:p>
                        <w:pPr>
                          <w:pStyle w:val="TableParagraph"/>
                          <w:ind w:right="311"/>
                          <w:rPr>
                            <w:sz w:val="18"/>
                          </w:rPr>
                        </w:pPr>
                        <w:r>
                          <w:rPr>
                            <w:color w:val="231F20"/>
                            <w:sz w:val="18"/>
                          </w:rPr>
                          <w:t>73.74</w:t>
                        </w:r>
                      </w:p>
                    </w:tc>
                  </w:tr>
                  <w:tr>
                    <w:trPr>
                      <w:trHeight w:val="255" w:hRule="exact"/>
                    </w:trPr>
                    <w:tc>
                      <w:tcPr>
                        <w:tcW w:w="1417" w:type="dxa"/>
                      </w:tcPr>
                      <w:p>
                        <w:pPr>
                          <w:pStyle w:val="TableParagraph"/>
                          <w:ind w:left="310" w:right="311"/>
                          <w:rPr>
                            <w:sz w:val="18"/>
                          </w:rPr>
                        </w:pPr>
                        <w:r>
                          <w:rPr>
                            <w:color w:val="231F20"/>
                            <w:sz w:val="18"/>
                          </w:rPr>
                          <w:t>May</w:t>
                        </w:r>
                      </w:p>
                    </w:tc>
                    <w:tc>
                      <w:tcPr>
                        <w:tcW w:w="1429" w:type="dxa"/>
                      </w:tcPr>
                      <w:p>
                        <w:pPr>
                          <w:pStyle w:val="TableParagraph"/>
                          <w:ind w:left="266" w:right="274"/>
                          <w:rPr>
                            <w:sz w:val="18"/>
                          </w:rPr>
                        </w:pPr>
                        <w:r>
                          <w:rPr>
                            <w:color w:val="231F20"/>
                            <w:sz w:val="18"/>
                          </w:rPr>
                          <w:t>10.27</w:t>
                        </w:r>
                      </w:p>
                    </w:tc>
                    <w:tc>
                      <w:tcPr>
                        <w:tcW w:w="1406" w:type="dxa"/>
                      </w:tcPr>
                      <w:p>
                        <w:pPr>
                          <w:pStyle w:val="TableParagraph"/>
                          <w:ind w:left="280" w:right="288"/>
                          <w:rPr>
                            <w:sz w:val="18"/>
                          </w:rPr>
                        </w:pPr>
                        <w:r>
                          <w:rPr>
                            <w:color w:val="231F20"/>
                            <w:sz w:val="18"/>
                          </w:rPr>
                          <w:t>39.57</w:t>
                        </w:r>
                      </w:p>
                    </w:tc>
                    <w:tc>
                      <w:tcPr>
                        <w:tcW w:w="1417" w:type="dxa"/>
                      </w:tcPr>
                      <w:p>
                        <w:pPr>
                          <w:pStyle w:val="TableParagraph"/>
                          <w:ind w:right="311"/>
                          <w:rPr>
                            <w:sz w:val="18"/>
                          </w:rPr>
                        </w:pPr>
                        <w:r>
                          <w:rPr>
                            <w:color w:val="231F20"/>
                            <w:sz w:val="18"/>
                          </w:rPr>
                          <w:t>74.05</w:t>
                        </w:r>
                      </w:p>
                    </w:tc>
                  </w:tr>
                  <w:tr>
                    <w:trPr>
                      <w:trHeight w:val="255" w:hRule="exact"/>
                    </w:trPr>
                    <w:tc>
                      <w:tcPr>
                        <w:tcW w:w="1417" w:type="dxa"/>
                      </w:tcPr>
                      <w:p>
                        <w:pPr>
                          <w:pStyle w:val="TableParagraph"/>
                          <w:ind w:right="311"/>
                          <w:rPr>
                            <w:sz w:val="18"/>
                          </w:rPr>
                        </w:pPr>
                        <w:r>
                          <w:rPr>
                            <w:color w:val="231F20"/>
                            <w:sz w:val="18"/>
                          </w:rPr>
                          <w:t>Jun</w:t>
                        </w:r>
                      </w:p>
                    </w:tc>
                    <w:tc>
                      <w:tcPr>
                        <w:tcW w:w="1429" w:type="dxa"/>
                      </w:tcPr>
                      <w:p>
                        <w:pPr>
                          <w:pStyle w:val="TableParagraph"/>
                          <w:ind w:left="266" w:right="274"/>
                          <w:rPr>
                            <w:sz w:val="18"/>
                          </w:rPr>
                        </w:pPr>
                        <w:r>
                          <w:rPr>
                            <w:color w:val="231F20"/>
                            <w:sz w:val="18"/>
                          </w:rPr>
                          <w:t>10.25</w:t>
                        </w:r>
                      </w:p>
                    </w:tc>
                    <w:tc>
                      <w:tcPr>
                        <w:tcW w:w="1406" w:type="dxa"/>
                      </w:tcPr>
                      <w:p>
                        <w:pPr>
                          <w:pStyle w:val="TableParagraph"/>
                          <w:ind w:left="280" w:right="288"/>
                          <w:rPr>
                            <w:sz w:val="18"/>
                          </w:rPr>
                        </w:pPr>
                        <w:r>
                          <w:rPr>
                            <w:color w:val="231F20"/>
                            <w:sz w:val="18"/>
                          </w:rPr>
                          <w:t>39.39</w:t>
                        </w:r>
                      </w:p>
                    </w:tc>
                    <w:tc>
                      <w:tcPr>
                        <w:tcW w:w="1417" w:type="dxa"/>
                      </w:tcPr>
                      <w:p>
                        <w:pPr>
                          <w:pStyle w:val="TableParagraph"/>
                          <w:ind w:right="311"/>
                          <w:rPr>
                            <w:sz w:val="18"/>
                          </w:rPr>
                        </w:pPr>
                        <w:r>
                          <w:rPr>
                            <w:color w:val="231F20"/>
                            <w:sz w:val="18"/>
                          </w:rPr>
                          <w:t>73.98</w:t>
                        </w:r>
                      </w:p>
                    </w:tc>
                  </w:tr>
                  <w:tr>
                    <w:trPr>
                      <w:trHeight w:val="255" w:hRule="exact"/>
                    </w:trPr>
                    <w:tc>
                      <w:tcPr>
                        <w:tcW w:w="1417" w:type="dxa"/>
                      </w:tcPr>
                      <w:p>
                        <w:pPr>
                          <w:pStyle w:val="TableParagraph"/>
                          <w:ind w:right="311"/>
                          <w:rPr>
                            <w:sz w:val="18"/>
                          </w:rPr>
                        </w:pPr>
                        <w:r>
                          <w:rPr>
                            <w:color w:val="231F20"/>
                            <w:sz w:val="18"/>
                          </w:rPr>
                          <w:t>Jul</w:t>
                        </w:r>
                      </w:p>
                    </w:tc>
                    <w:tc>
                      <w:tcPr>
                        <w:tcW w:w="1429" w:type="dxa"/>
                      </w:tcPr>
                      <w:p>
                        <w:pPr>
                          <w:pStyle w:val="TableParagraph"/>
                          <w:ind w:left="266" w:right="274"/>
                          <w:rPr>
                            <w:sz w:val="18"/>
                          </w:rPr>
                        </w:pPr>
                        <w:r>
                          <w:rPr>
                            <w:color w:val="231F20"/>
                            <w:sz w:val="18"/>
                          </w:rPr>
                          <w:t>10.24</w:t>
                        </w:r>
                      </w:p>
                    </w:tc>
                    <w:tc>
                      <w:tcPr>
                        <w:tcW w:w="1406" w:type="dxa"/>
                      </w:tcPr>
                      <w:p>
                        <w:pPr>
                          <w:pStyle w:val="TableParagraph"/>
                          <w:ind w:left="280" w:right="288"/>
                          <w:rPr>
                            <w:sz w:val="18"/>
                          </w:rPr>
                        </w:pPr>
                        <w:r>
                          <w:rPr>
                            <w:color w:val="231F20"/>
                            <w:sz w:val="18"/>
                          </w:rPr>
                          <w:t>39.09</w:t>
                        </w:r>
                      </w:p>
                    </w:tc>
                    <w:tc>
                      <w:tcPr>
                        <w:tcW w:w="1417" w:type="dxa"/>
                      </w:tcPr>
                      <w:p>
                        <w:pPr>
                          <w:pStyle w:val="TableParagraph"/>
                          <w:ind w:right="311"/>
                          <w:rPr>
                            <w:sz w:val="18"/>
                          </w:rPr>
                        </w:pPr>
                        <w:r>
                          <w:rPr>
                            <w:color w:val="231F20"/>
                            <w:sz w:val="18"/>
                          </w:rPr>
                          <w:t>73.80</w:t>
                        </w:r>
                      </w:p>
                    </w:tc>
                  </w:tr>
                  <w:tr>
                    <w:trPr>
                      <w:trHeight w:val="255" w:hRule="exact"/>
                    </w:trPr>
                    <w:tc>
                      <w:tcPr>
                        <w:tcW w:w="1417" w:type="dxa"/>
                      </w:tcPr>
                      <w:p>
                        <w:pPr>
                          <w:pStyle w:val="TableParagraph"/>
                          <w:ind w:right="311"/>
                          <w:rPr>
                            <w:sz w:val="18"/>
                          </w:rPr>
                        </w:pPr>
                        <w:r>
                          <w:rPr>
                            <w:color w:val="231F20"/>
                            <w:sz w:val="18"/>
                          </w:rPr>
                          <w:t>Ago</w:t>
                        </w:r>
                      </w:p>
                    </w:tc>
                    <w:tc>
                      <w:tcPr>
                        <w:tcW w:w="1429" w:type="dxa"/>
                      </w:tcPr>
                      <w:p>
                        <w:pPr>
                          <w:pStyle w:val="TableParagraph"/>
                          <w:ind w:left="266" w:right="274"/>
                          <w:rPr>
                            <w:sz w:val="18"/>
                          </w:rPr>
                        </w:pPr>
                        <w:r>
                          <w:rPr>
                            <w:color w:val="231F20"/>
                            <w:sz w:val="18"/>
                          </w:rPr>
                          <w:t>10.24</w:t>
                        </w:r>
                      </w:p>
                    </w:tc>
                    <w:tc>
                      <w:tcPr>
                        <w:tcW w:w="1406" w:type="dxa"/>
                      </w:tcPr>
                      <w:p>
                        <w:pPr>
                          <w:pStyle w:val="TableParagraph"/>
                          <w:ind w:left="280" w:right="288"/>
                          <w:rPr>
                            <w:sz w:val="18"/>
                          </w:rPr>
                        </w:pPr>
                        <w:r>
                          <w:rPr>
                            <w:color w:val="231F20"/>
                            <w:sz w:val="18"/>
                          </w:rPr>
                          <w:t>39.09</w:t>
                        </w:r>
                      </w:p>
                    </w:tc>
                    <w:tc>
                      <w:tcPr>
                        <w:tcW w:w="1417" w:type="dxa"/>
                      </w:tcPr>
                      <w:p>
                        <w:pPr>
                          <w:pStyle w:val="TableParagraph"/>
                          <w:ind w:right="311"/>
                          <w:rPr>
                            <w:sz w:val="18"/>
                          </w:rPr>
                        </w:pPr>
                        <w:r>
                          <w:rPr>
                            <w:color w:val="231F20"/>
                            <w:sz w:val="18"/>
                          </w:rPr>
                          <w:t>73.80</w:t>
                        </w:r>
                      </w:p>
                    </w:tc>
                  </w:tr>
                  <w:tr>
                    <w:trPr>
                      <w:trHeight w:val="255" w:hRule="exact"/>
                    </w:trPr>
                    <w:tc>
                      <w:tcPr>
                        <w:tcW w:w="1417" w:type="dxa"/>
                      </w:tcPr>
                      <w:p>
                        <w:pPr>
                          <w:pStyle w:val="TableParagraph"/>
                          <w:ind w:right="311"/>
                          <w:rPr>
                            <w:sz w:val="18"/>
                          </w:rPr>
                        </w:pPr>
                        <w:r>
                          <w:rPr>
                            <w:color w:val="231F20"/>
                            <w:sz w:val="18"/>
                          </w:rPr>
                          <w:t>Sep</w:t>
                        </w:r>
                      </w:p>
                    </w:tc>
                    <w:tc>
                      <w:tcPr>
                        <w:tcW w:w="1429" w:type="dxa"/>
                      </w:tcPr>
                      <w:p>
                        <w:pPr>
                          <w:pStyle w:val="TableParagraph"/>
                          <w:ind w:left="266" w:right="274"/>
                          <w:rPr>
                            <w:sz w:val="18"/>
                          </w:rPr>
                        </w:pPr>
                        <w:r>
                          <w:rPr>
                            <w:color w:val="231F20"/>
                            <w:sz w:val="18"/>
                          </w:rPr>
                          <w:t>10.24</w:t>
                        </w:r>
                      </w:p>
                    </w:tc>
                    <w:tc>
                      <w:tcPr>
                        <w:tcW w:w="1406" w:type="dxa"/>
                      </w:tcPr>
                      <w:p>
                        <w:pPr>
                          <w:pStyle w:val="TableParagraph"/>
                          <w:ind w:left="280" w:right="288"/>
                          <w:rPr>
                            <w:sz w:val="18"/>
                          </w:rPr>
                        </w:pPr>
                        <w:r>
                          <w:rPr>
                            <w:color w:val="231F20"/>
                            <w:sz w:val="18"/>
                          </w:rPr>
                          <w:t>39.18</w:t>
                        </w:r>
                      </w:p>
                    </w:tc>
                    <w:tc>
                      <w:tcPr>
                        <w:tcW w:w="1417" w:type="dxa"/>
                      </w:tcPr>
                      <w:p>
                        <w:pPr>
                          <w:pStyle w:val="TableParagraph"/>
                          <w:ind w:right="311"/>
                          <w:rPr>
                            <w:sz w:val="18"/>
                          </w:rPr>
                        </w:pPr>
                        <w:r>
                          <w:rPr>
                            <w:color w:val="231F20"/>
                            <w:sz w:val="18"/>
                          </w:rPr>
                          <w:t>73.86</w:t>
                        </w:r>
                      </w:p>
                    </w:tc>
                  </w:tr>
                  <w:tr>
                    <w:trPr>
                      <w:trHeight w:val="255" w:hRule="exact"/>
                    </w:trPr>
                    <w:tc>
                      <w:tcPr>
                        <w:tcW w:w="1417" w:type="dxa"/>
                      </w:tcPr>
                      <w:p>
                        <w:pPr>
                          <w:pStyle w:val="TableParagraph"/>
                          <w:ind w:right="311"/>
                          <w:rPr>
                            <w:sz w:val="18"/>
                          </w:rPr>
                        </w:pPr>
                        <w:r>
                          <w:rPr>
                            <w:color w:val="231F20"/>
                            <w:sz w:val="18"/>
                          </w:rPr>
                          <w:t>Oct</w:t>
                        </w:r>
                      </w:p>
                    </w:tc>
                    <w:tc>
                      <w:tcPr>
                        <w:tcW w:w="1429" w:type="dxa"/>
                      </w:tcPr>
                      <w:p>
                        <w:pPr>
                          <w:pStyle w:val="TableParagraph"/>
                          <w:ind w:left="266" w:right="274"/>
                          <w:rPr>
                            <w:sz w:val="18"/>
                          </w:rPr>
                        </w:pPr>
                        <w:r>
                          <w:rPr>
                            <w:color w:val="231F20"/>
                            <w:sz w:val="18"/>
                          </w:rPr>
                          <w:t>10.49</w:t>
                        </w:r>
                      </w:p>
                    </w:tc>
                    <w:tc>
                      <w:tcPr>
                        <w:tcW w:w="1406" w:type="dxa"/>
                      </w:tcPr>
                      <w:p>
                        <w:pPr>
                          <w:pStyle w:val="TableParagraph"/>
                          <w:ind w:left="280" w:right="288"/>
                          <w:rPr>
                            <w:sz w:val="18"/>
                          </w:rPr>
                        </w:pPr>
                        <w:r>
                          <w:rPr>
                            <w:color w:val="231F20"/>
                            <w:sz w:val="18"/>
                          </w:rPr>
                          <w:t>39.03</w:t>
                        </w:r>
                      </w:p>
                    </w:tc>
                    <w:tc>
                      <w:tcPr>
                        <w:tcW w:w="1417" w:type="dxa"/>
                      </w:tcPr>
                      <w:p>
                        <w:pPr>
                          <w:pStyle w:val="TableParagraph"/>
                          <w:ind w:right="311"/>
                          <w:rPr>
                            <w:sz w:val="18"/>
                          </w:rPr>
                        </w:pPr>
                        <w:r>
                          <w:rPr>
                            <w:color w:val="231F20"/>
                            <w:sz w:val="18"/>
                          </w:rPr>
                          <w:t>73.12</w:t>
                        </w:r>
                      </w:p>
                    </w:tc>
                  </w:tr>
                  <w:tr>
                    <w:trPr>
                      <w:trHeight w:val="255" w:hRule="exact"/>
                    </w:trPr>
                    <w:tc>
                      <w:tcPr>
                        <w:tcW w:w="1417" w:type="dxa"/>
                      </w:tcPr>
                      <w:p>
                        <w:pPr>
                          <w:pStyle w:val="TableParagraph"/>
                          <w:ind w:right="311"/>
                          <w:rPr>
                            <w:sz w:val="18"/>
                          </w:rPr>
                        </w:pPr>
                        <w:r>
                          <w:rPr>
                            <w:color w:val="231F20"/>
                            <w:sz w:val="18"/>
                          </w:rPr>
                          <w:t>Nov</w:t>
                        </w:r>
                      </w:p>
                    </w:tc>
                    <w:tc>
                      <w:tcPr>
                        <w:tcW w:w="1429" w:type="dxa"/>
                      </w:tcPr>
                      <w:p>
                        <w:pPr>
                          <w:pStyle w:val="TableParagraph"/>
                          <w:ind w:left="266" w:right="274"/>
                          <w:rPr>
                            <w:sz w:val="18"/>
                          </w:rPr>
                        </w:pPr>
                        <w:r>
                          <w:rPr>
                            <w:color w:val="231F20"/>
                            <w:sz w:val="18"/>
                          </w:rPr>
                          <w:t>10.49</w:t>
                        </w:r>
                      </w:p>
                    </w:tc>
                    <w:tc>
                      <w:tcPr>
                        <w:tcW w:w="1406" w:type="dxa"/>
                      </w:tcPr>
                      <w:p>
                        <w:pPr>
                          <w:pStyle w:val="TableParagraph"/>
                          <w:ind w:left="280" w:right="288"/>
                          <w:rPr>
                            <w:sz w:val="18"/>
                          </w:rPr>
                        </w:pPr>
                        <w:r>
                          <w:rPr>
                            <w:color w:val="231F20"/>
                            <w:sz w:val="18"/>
                          </w:rPr>
                          <w:t>40.08</w:t>
                        </w:r>
                      </w:p>
                    </w:tc>
                    <w:tc>
                      <w:tcPr>
                        <w:tcW w:w="1417" w:type="dxa"/>
                      </w:tcPr>
                      <w:p>
                        <w:pPr>
                          <w:pStyle w:val="TableParagraph"/>
                          <w:ind w:right="311"/>
                          <w:rPr>
                            <w:sz w:val="18"/>
                          </w:rPr>
                        </w:pPr>
                        <w:r>
                          <w:rPr>
                            <w:color w:val="231F20"/>
                            <w:sz w:val="18"/>
                          </w:rPr>
                          <w:t>73.83</w:t>
                        </w:r>
                      </w:p>
                    </w:tc>
                  </w:tr>
                  <w:tr>
                    <w:trPr>
                      <w:trHeight w:val="255" w:hRule="exact"/>
                    </w:trPr>
                    <w:tc>
                      <w:tcPr>
                        <w:tcW w:w="1417" w:type="dxa"/>
                      </w:tcPr>
                      <w:p>
                        <w:pPr>
                          <w:pStyle w:val="TableParagraph"/>
                          <w:ind w:right="311"/>
                          <w:rPr>
                            <w:sz w:val="18"/>
                          </w:rPr>
                        </w:pPr>
                        <w:r>
                          <w:rPr>
                            <w:color w:val="231F20"/>
                            <w:sz w:val="18"/>
                          </w:rPr>
                          <w:t>Dic</w:t>
                        </w:r>
                      </w:p>
                    </w:tc>
                    <w:tc>
                      <w:tcPr>
                        <w:tcW w:w="1429" w:type="dxa"/>
                      </w:tcPr>
                      <w:p>
                        <w:pPr>
                          <w:pStyle w:val="TableParagraph"/>
                          <w:ind w:left="266" w:right="274"/>
                          <w:rPr>
                            <w:sz w:val="18"/>
                          </w:rPr>
                        </w:pPr>
                        <w:r>
                          <w:rPr>
                            <w:color w:val="231F20"/>
                            <w:sz w:val="18"/>
                          </w:rPr>
                          <w:t>10.70</w:t>
                        </w:r>
                      </w:p>
                    </w:tc>
                    <w:tc>
                      <w:tcPr>
                        <w:tcW w:w="1406" w:type="dxa"/>
                      </w:tcPr>
                      <w:p>
                        <w:pPr>
                          <w:pStyle w:val="TableParagraph"/>
                          <w:ind w:left="280" w:right="288"/>
                          <w:rPr>
                            <w:sz w:val="18"/>
                          </w:rPr>
                        </w:pPr>
                        <w:r>
                          <w:rPr>
                            <w:color w:val="231F20"/>
                            <w:sz w:val="18"/>
                          </w:rPr>
                          <w:t>40.84</w:t>
                        </w:r>
                      </w:p>
                    </w:tc>
                    <w:tc>
                      <w:tcPr>
                        <w:tcW w:w="1417" w:type="dxa"/>
                      </w:tcPr>
                      <w:p>
                        <w:pPr>
                          <w:pStyle w:val="TableParagraph"/>
                          <w:ind w:right="311"/>
                          <w:rPr>
                            <w:sz w:val="18"/>
                          </w:rPr>
                        </w:pPr>
                        <w:r>
                          <w:rPr>
                            <w:color w:val="231F20"/>
                            <w:sz w:val="18"/>
                          </w:rPr>
                          <w:t>73.80</w:t>
                        </w:r>
                      </w:p>
                    </w:tc>
                  </w:tr>
                  <w:tr>
                    <w:trPr>
                      <w:trHeight w:val="241" w:hRule="exact"/>
                    </w:trPr>
                    <w:tc>
                      <w:tcPr>
                        <w:tcW w:w="1417" w:type="dxa"/>
                        <w:tcBorders>
                          <w:bottom w:val="single" w:sz="8" w:space="0" w:color="231F20"/>
                        </w:tcBorders>
                      </w:tcPr>
                      <w:p>
                        <w:pPr>
                          <w:pStyle w:val="TableParagraph"/>
                          <w:ind w:right="311"/>
                          <w:rPr>
                            <w:sz w:val="18"/>
                          </w:rPr>
                        </w:pPr>
                        <w:r>
                          <w:rPr>
                            <w:color w:val="231F20"/>
                            <w:sz w:val="18"/>
                          </w:rPr>
                          <w:t>Promedio</w:t>
                        </w:r>
                      </w:p>
                    </w:tc>
                    <w:tc>
                      <w:tcPr>
                        <w:tcW w:w="1429" w:type="dxa"/>
                        <w:tcBorders>
                          <w:bottom w:val="single" w:sz="8" w:space="0" w:color="231F20"/>
                        </w:tcBorders>
                      </w:tcPr>
                      <w:p>
                        <w:pPr>
                          <w:pStyle w:val="TableParagraph"/>
                          <w:ind w:left="266" w:right="274"/>
                          <w:rPr>
                            <w:sz w:val="18"/>
                          </w:rPr>
                        </w:pPr>
                        <w:r>
                          <w:rPr>
                            <w:color w:val="231F20"/>
                            <w:sz w:val="18"/>
                          </w:rPr>
                          <w:t>10.33</w:t>
                        </w:r>
                      </w:p>
                    </w:tc>
                    <w:tc>
                      <w:tcPr>
                        <w:tcW w:w="1406" w:type="dxa"/>
                        <w:tcBorders>
                          <w:bottom w:val="single" w:sz="8" w:space="0" w:color="231F20"/>
                        </w:tcBorders>
                      </w:tcPr>
                      <w:p>
                        <w:pPr>
                          <w:pStyle w:val="TableParagraph"/>
                          <w:ind w:left="280" w:right="288"/>
                          <w:rPr>
                            <w:sz w:val="18"/>
                          </w:rPr>
                        </w:pPr>
                        <w:r>
                          <w:rPr>
                            <w:color w:val="231F20"/>
                            <w:sz w:val="18"/>
                          </w:rPr>
                          <w:t>39.39</w:t>
                        </w:r>
                      </w:p>
                    </w:tc>
                    <w:tc>
                      <w:tcPr>
                        <w:tcW w:w="1417" w:type="dxa"/>
                        <w:tcBorders>
                          <w:bottom w:val="single" w:sz="8" w:space="0" w:color="231F20"/>
                        </w:tcBorders>
                      </w:tcPr>
                      <w:p>
                        <w:pPr>
                          <w:pStyle w:val="TableParagraph"/>
                          <w:ind w:right="311"/>
                          <w:rPr>
                            <w:sz w:val="18"/>
                          </w:rPr>
                        </w:pPr>
                        <w:r>
                          <w:rPr>
                            <w:color w:val="231F20"/>
                            <w:sz w:val="18"/>
                          </w:rPr>
                          <w:t>73.78</w:t>
                        </w:r>
                      </w:p>
                    </w:tc>
                  </w:tr>
                </w:tbl>
                <w:p>
                  <w:pPr>
                    <w:pStyle w:val="BodyText"/>
                  </w:pPr>
                </w:p>
              </w:txbxContent>
            </v:textbox>
            <w10:wrap type="none"/>
          </v:shape>
        </w:pict>
      </w:r>
      <w:r>
        <w:rPr>
          <w:b/>
          <w:color w:val="231F20"/>
          <w:sz w:val="22"/>
        </w:rPr>
        <w:t>Cálculo del Margen Bruto de Comercialización (MBC)</w:t>
      </w:r>
    </w:p>
    <w:p>
      <w:pPr>
        <w:pStyle w:val="Heading6"/>
        <w:tabs>
          <w:tab w:pos="4579" w:val="left" w:leader="none"/>
        </w:tabs>
        <w:ind w:left="2027" w:right="102"/>
      </w:pPr>
      <w:r>
        <w:rPr>
          <w:color w:val="231F20"/>
        </w:rPr>
        <w:t>Precio de</w:t>
      </w:r>
      <w:r>
        <w:rPr>
          <w:color w:val="231F20"/>
          <w:spacing w:val="-6"/>
        </w:rPr>
        <w:t> </w:t>
      </w:r>
      <w:r>
        <w:rPr>
          <w:color w:val="231F20"/>
        </w:rPr>
        <w:t>venta</w:t>
      </w:r>
      <w:r>
        <w:rPr>
          <w:color w:val="231F20"/>
          <w:spacing w:val="-4"/>
        </w:rPr>
        <w:t> </w:t>
      </w:r>
      <w:r>
        <w:rPr>
          <w:color w:val="231F20"/>
        </w:rPr>
        <w:t>($/kg)</w:t>
        <w:tab/>
      </w:r>
      <w:r>
        <w:rPr>
          <w:color w:val="231F20"/>
          <w:position w:val="-3"/>
        </w:rPr>
        <w:t>Margen</w:t>
      </w:r>
      <w:r>
        <w:rPr>
          <w:color w:val="231F20"/>
          <w:spacing w:val="-7"/>
          <w:position w:val="-3"/>
        </w:rPr>
        <w:t> </w:t>
      </w:r>
      <w:r>
        <w:rPr>
          <w:color w:val="231F20"/>
          <w:position w:val="-3"/>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6"/>
        </w:rPr>
      </w:pPr>
    </w:p>
    <w:p>
      <w:pPr>
        <w:spacing w:line="268" w:lineRule="auto" w:before="77"/>
        <w:ind w:left="113" w:right="102" w:firstLine="0"/>
        <w:jc w:val="left"/>
        <w:rPr>
          <w:sz w:val="16"/>
        </w:rPr>
      </w:pPr>
      <w:r>
        <w:rPr>
          <w:color w:val="231F20"/>
          <w:sz w:val="16"/>
        </w:rPr>
        <w:t>MBC= (Precio al consumidor-Precio al productor) / Precio al último consumidor x 100</w:t>
      </w:r>
    </w:p>
    <w:p>
      <w:pPr>
        <w:spacing w:before="0"/>
        <w:ind w:left="113" w:right="102" w:firstLine="0"/>
        <w:jc w:val="left"/>
        <w:rPr>
          <w:sz w:val="16"/>
        </w:rPr>
      </w:pPr>
      <w:r>
        <w:rPr>
          <w:color w:val="231F20"/>
          <w:sz w:val="16"/>
        </w:rPr>
        <w:t>Fuente: Elaboración propia con base en información de campo.</w:t>
      </w:r>
    </w:p>
    <w:p>
      <w:pPr>
        <w:pStyle w:val="Heading5"/>
        <w:spacing w:before="104"/>
      </w:pPr>
      <w:r>
        <w:rPr>
          <w:color w:val="231F20"/>
        </w:rPr>
        <w:t>Figura 11</w:t>
      </w:r>
    </w:p>
    <w:p>
      <w:pPr>
        <w:spacing w:line="268" w:lineRule="auto" w:before="32"/>
        <w:ind w:left="402" w:right="400" w:firstLine="0"/>
        <w:jc w:val="center"/>
        <w:rPr>
          <w:b/>
          <w:sz w:val="22"/>
        </w:rPr>
      </w:pPr>
      <w:r>
        <w:rPr>
          <w:b/>
          <w:color w:val="231F20"/>
          <w:sz w:val="22"/>
        </w:rPr>
        <w:t>Participación de los agentes en el precio de venta de la carne de cerdo</w:t>
      </w:r>
    </w:p>
    <w:p>
      <w:pPr>
        <w:spacing w:before="54"/>
        <w:ind w:left="662" w:right="102" w:firstLine="0"/>
        <w:jc w:val="left"/>
        <w:rPr>
          <w:rFonts w:ascii="Arial"/>
          <w:sz w:val="9"/>
        </w:rPr>
      </w:pPr>
      <w:r>
        <w:rPr/>
        <w:pict>
          <v:shape style="position:absolute;margin-left:98.02330pt;margin-top:5.037409pt;width:229.7pt;height:105.2pt;mso-position-horizontal-relative:page;mso-position-vertical-relative:paragraph;z-index:1648"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03"/>
                    <w:gridCol w:w="176"/>
                    <w:gridCol w:w="207"/>
                    <w:gridCol w:w="183"/>
                    <w:gridCol w:w="207"/>
                    <w:gridCol w:w="176"/>
                    <w:gridCol w:w="207"/>
                    <w:gridCol w:w="176"/>
                    <w:gridCol w:w="207"/>
                    <w:gridCol w:w="183"/>
                    <w:gridCol w:w="207"/>
                    <w:gridCol w:w="176"/>
                    <w:gridCol w:w="207"/>
                    <w:gridCol w:w="176"/>
                    <w:gridCol w:w="207"/>
                    <w:gridCol w:w="183"/>
                    <w:gridCol w:w="207"/>
                    <w:gridCol w:w="176"/>
                    <w:gridCol w:w="207"/>
                    <w:gridCol w:w="176"/>
                    <w:gridCol w:w="191"/>
                    <w:gridCol w:w="199"/>
                    <w:gridCol w:w="207"/>
                    <w:gridCol w:w="141"/>
                  </w:tblGrid>
                  <w:tr>
                    <w:trPr>
                      <w:trHeight w:val="1504" w:hRule="exact"/>
                    </w:trPr>
                    <w:tc>
                      <w:tcPr>
                        <w:tcW w:w="203" w:type="dxa"/>
                        <w:tcBorders>
                          <w:top w:val="single" w:sz="3" w:space="0" w:color="7A7D81"/>
                          <w:left w:val="single" w:sz="3" w:space="0" w:color="7A7D81"/>
                          <w:bottom w:val="single" w:sz="34" w:space="0" w:color="AEAFB3"/>
                        </w:tcBorders>
                      </w:tcPr>
                      <w:p>
                        <w:pPr/>
                      </w:p>
                    </w:tc>
                    <w:tc>
                      <w:tcPr>
                        <w:tcW w:w="176" w:type="dxa"/>
                        <w:tcBorders>
                          <w:bottom w:val="single" w:sz="34" w:space="0" w:color="AEAFB3"/>
                        </w:tcBorders>
                        <w:shd w:val="clear" w:color="auto" w:fill="9B9EA2"/>
                      </w:tcPr>
                      <w:p>
                        <w:pPr/>
                      </w:p>
                    </w:tc>
                    <w:tc>
                      <w:tcPr>
                        <w:tcW w:w="207" w:type="dxa"/>
                        <w:tcBorders>
                          <w:top w:val="single" w:sz="3" w:space="0" w:color="7A7D81"/>
                          <w:bottom w:val="single" w:sz="31" w:space="0" w:color="AEAFB3"/>
                        </w:tcBorders>
                      </w:tcPr>
                      <w:p>
                        <w:pPr/>
                      </w:p>
                    </w:tc>
                    <w:tc>
                      <w:tcPr>
                        <w:tcW w:w="183" w:type="dxa"/>
                        <w:tcBorders>
                          <w:bottom w:val="single" w:sz="31" w:space="0" w:color="AEAFB3"/>
                        </w:tcBorders>
                        <w:shd w:val="clear" w:color="auto" w:fill="9B9EA2"/>
                      </w:tcPr>
                      <w:p>
                        <w:pPr/>
                      </w:p>
                    </w:tc>
                    <w:tc>
                      <w:tcPr>
                        <w:tcW w:w="207" w:type="dxa"/>
                        <w:tcBorders>
                          <w:top w:val="single" w:sz="3" w:space="0" w:color="7A7D81"/>
                          <w:bottom w:val="single" w:sz="34" w:space="0" w:color="AEAFB3"/>
                        </w:tcBorders>
                      </w:tcPr>
                      <w:p>
                        <w:pPr/>
                      </w:p>
                    </w:tc>
                    <w:tc>
                      <w:tcPr>
                        <w:tcW w:w="176" w:type="dxa"/>
                        <w:tcBorders>
                          <w:bottom w:val="single" w:sz="34" w:space="0" w:color="AEAFB3"/>
                        </w:tcBorders>
                        <w:shd w:val="clear" w:color="auto" w:fill="9B9EA2"/>
                      </w:tcPr>
                      <w:p>
                        <w:pPr/>
                      </w:p>
                    </w:tc>
                    <w:tc>
                      <w:tcPr>
                        <w:tcW w:w="207" w:type="dxa"/>
                        <w:tcBorders>
                          <w:top w:val="single" w:sz="3" w:space="0" w:color="7A7D81"/>
                          <w:bottom w:val="single" w:sz="34" w:space="0" w:color="AEAFB3"/>
                        </w:tcBorders>
                      </w:tcPr>
                      <w:p>
                        <w:pPr/>
                      </w:p>
                    </w:tc>
                    <w:tc>
                      <w:tcPr>
                        <w:tcW w:w="176" w:type="dxa"/>
                        <w:tcBorders>
                          <w:bottom w:val="single" w:sz="34" w:space="0" w:color="AEAFB3"/>
                        </w:tcBorders>
                        <w:shd w:val="clear" w:color="auto" w:fill="9B9EA2"/>
                      </w:tcPr>
                      <w:p>
                        <w:pPr/>
                      </w:p>
                    </w:tc>
                    <w:tc>
                      <w:tcPr>
                        <w:tcW w:w="207" w:type="dxa"/>
                        <w:tcBorders>
                          <w:top w:val="single" w:sz="3" w:space="0" w:color="7A7D81"/>
                          <w:bottom w:val="single" w:sz="31" w:space="0" w:color="AEAFB3"/>
                        </w:tcBorders>
                      </w:tcPr>
                      <w:p>
                        <w:pPr/>
                      </w:p>
                    </w:tc>
                    <w:tc>
                      <w:tcPr>
                        <w:tcW w:w="183" w:type="dxa"/>
                        <w:tcBorders>
                          <w:bottom w:val="single" w:sz="31" w:space="0" w:color="AEAFB3"/>
                        </w:tcBorders>
                        <w:shd w:val="clear" w:color="auto" w:fill="9B9EA2"/>
                      </w:tcPr>
                      <w:p>
                        <w:pPr/>
                      </w:p>
                    </w:tc>
                    <w:tc>
                      <w:tcPr>
                        <w:tcW w:w="207" w:type="dxa"/>
                        <w:tcBorders>
                          <w:top w:val="single" w:sz="3" w:space="0" w:color="7A7D81"/>
                          <w:bottom w:val="single" w:sz="31" w:space="0" w:color="AEAFB3"/>
                        </w:tcBorders>
                      </w:tcPr>
                      <w:p>
                        <w:pPr/>
                      </w:p>
                    </w:tc>
                    <w:tc>
                      <w:tcPr>
                        <w:tcW w:w="176" w:type="dxa"/>
                        <w:tcBorders>
                          <w:bottom w:val="single" w:sz="31" w:space="0" w:color="AEAFB3"/>
                        </w:tcBorders>
                        <w:shd w:val="clear" w:color="auto" w:fill="9B9EA2"/>
                      </w:tcPr>
                      <w:p>
                        <w:pPr/>
                      </w:p>
                    </w:tc>
                    <w:tc>
                      <w:tcPr>
                        <w:tcW w:w="207" w:type="dxa"/>
                        <w:tcBorders>
                          <w:top w:val="single" w:sz="3" w:space="0" w:color="7A7D81"/>
                          <w:bottom w:val="single" w:sz="34" w:space="0" w:color="AEAFB3"/>
                        </w:tcBorders>
                      </w:tcPr>
                      <w:p>
                        <w:pPr/>
                      </w:p>
                    </w:tc>
                    <w:tc>
                      <w:tcPr>
                        <w:tcW w:w="176" w:type="dxa"/>
                        <w:tcBorders>
                          <w:bottom w:val="single" w:sz="34" w:space="0" w:color="AEAFB3"/>
                        </w:tcBorders>
                        <w:shd w:val="clear" w:color="auto" w:fill="9B9EA2"/>
                      </w:tcPr>
                      <w:p>
                        <w:pPr/>
                      </w:p>
                    </w:tc>
                    <w:tc>
                      <w:tcPr>
                        <w:tcW w:w="207" w:type="dxa"/>
                        <w:tcBorders>
                          <w:top w:val="single" w:sz="3" w:space="0" w:color="7A7D81"/>
                          <w:bottom w:val="single" w:sz="34" w:space="0" w:color="AEAFB3"/>
                        </w:tcBorders>
                      </w:tcPr>
                      <w:p>
                        <w:pPr/>
                      </w:p>
                    </w:tc>
                    <w:tc>
                      <w:tcPr>
                        <w:tcW w:w="183" w:type="dxa"/>
                        <w:tcBorders>
                          <w:bottom w:val="single" w:sz="34" w:space="0" w:color="AEAFB3"/>
                        </w:tcBorders>
                        <w:shd w:val="clear" w:color="auto" w:fill="9B9EA2"/>
                      </w:tcPr>
                      <w:p>
                        <w:pPr/>
                      </w:p>
                    </w:tc>
                    <w:tc>
                      <w:tcPr>
                        <w:tcW w:w="207" w:type="dxa"/>
                        <w:tcBorders>
                          <w:top w:val="single" w:sz="3" w:space="0" w:color="7A7D81"/>
                          <w:bottom w:val="single" w:sz="34" w:space="0" w:color="AEAFB3"/>
                        </w:tcBorders>
                      </w:tcPr>
                      <w:p>
                        <w:pPr/>
                      </w:p>
                    </w:tc>
                    <w:tc>
                      <w:tcPr>
                        <w:tcW w:w="176" w:type="dxa"/>
                        <w:tcBorders>
                          <w:bottom w:val="single" w:sz="34" w:space="0" w:color="AEAFB3"/>
                        </w:tcBorders>
                        <w:shd w:val="clear" w:color="auto" w:fill="9B9EA2"/>
                      </w:tcPr>
                      <w:p>
                        <w:pPr/>
                      </w:p>
                    </w:tc>
                    <w:tc>
                      <w:tcPr>
                        <w:tcW w:w="207" w:type="dxa"/>
                        <w:tcBorders>
                          <w:top w:val="single" w:sz="3" w:space="0" w:color="7A7D81"/>
                          <w:bottom w:val="single" w:sz="27" w:space="0" w:color="AEAFB3"/>
                        </w:tcBorders>
                      </w:tcPr>
                      <w:p>
                        <w:pPr/>
                      </w:p>
                    </w:tc>
                    <w:tc>
                      <w:tcPr>
                        <w:tcW w:w="176" w:type="dxa"/>
                        <w:tcBorders>
                          <w:bottom w:val="single" w:sz="27" w:space="0" w:color="AEAFB3"/>
                        </w:tcBorders>
                        <w:shd w:val="clear" w:color="auto" w:fill="9B9EA2"/>
                      </w:tcPr>
                      <w:p>
                        <w:pPr/>
                      </w:p>
                    </w:tc>
                    <w:tc>
                      <w:tcPr>
                        <w:tcW w:w="191" w:type="dxa"/>
                        <w:tcBorders>
                          <w:top w:val="single" w:sz="3" w:space="0" w:color="7A7D81"/>
                        </w:tcBorders>
                      </w:tcPr>
                      <w:p>
                        <w:pPr/>
                      </w:p>
                    </w:tc>
                    <w:tc>
                      <w:tcPr>
                        <w:tcW w:w="199" w:type="dxa"/>
                        <w:shd w:val="clear" w:color="auto" w:fill="9B9EA2"/>
                      </w:tcPr>
                      <w:p>
                        <w:pPr/>
                      </w:p>
                    </w:tc>
                    <w:tc>
                      <w:tcPr>
                        <w:tcW w:w="207" w:type="dxa"/>
                        <w:tcBorders>
                          <w:top w:val="single" w:sz="3" w:space="0" w:color="7A7D81"/>
                        </w:tcBorders>
                      </w:tcPr>
                      <w:p>
                        <w:pPr/>
                      </w:p>
                    </w:tc>
                    <w:tc>
                      <w:tcPr>
                        <w:tcW w:w="141" w:type="dxa"/>
                        <w:tcBorders>
                          <w:right w:val="nil"/>
                        </w:tcBorders>
                        <w:shd w:val="clear" w:color="auto" w:fill="9B9EA2"/>
                      </w:tcPr>
                      <w:p>
                        <w:pPr/>
                      </w:p>
                    </w:tc>
                  </w:tr>
                  <w:tr>
                    <w:trPr>
                      <w:trHeight w:val="592" w:hRule="exact"/>
                    </w:trPr>
                    <w:tc>
                      <w:tcPr>
                        <w:tcW w:w="203" w:type="dxa"/>
                        <w:tcBorders>
                          <w:top w:val="single" w:sz="34" w:space="0" w:color="AEAFB3"/>
                        </w:tcBorders>
                        <w:shd w:val="clear" w:color="auto" w:fill="7A7D81"/>
                      </w:tcPr>
                      <w:p>
                        <w:pPr/>
                      </w:p>
                    </w:tc>
                    <w:tc>
                      <w:tcPr>
                        <w:tcW w:w="176" w:type="dxa"/>
                        <w:tcBorders>
                          <w:top w:val="single" w:sz="34" w:space="0" w:color="AEAFB3"/>
                          <w:bottom w:val="single" w:sz="3" w:space="0" w:color="7A7D81"/>
                        </w:tcBorders>
                      </w:tcPr>
                      <w:p>
                        <w:pPr/>
                      </w:p>
                    </w:tc>
                    <w:tc>
                      <w:tcPr>
                        <w:tcW w:w="207" w:type="dxa"/>
                        <w:tcBorders>
                          <w:top w:val="single" w:sz="31" w:space="0" w:color="AEAFB3"/>
                        </w:tcBorders>
                        <w:shd w:val="clear" w:color="auto" w:fill="7A7D81"/>
                      </w:tcPr>
                      <w:p>
                        <w:pPr/>
                      </w:p>
                    </w:tc>
                    <w:tc>
                      <w:tcPr>
                        <w:tcW w:w="183" w:type="dxa"/>
                        <w:tcBorders>
                          <w:top w:val="single" w:sz="31" w:space="0" w:color="AEAFB3"/>
                          <w:bottom w:val="single" w:sz="3" w:space="0" w:color="7A7D81"/>
                        </w:tcBorders>
                      </w:tcPr>
                      <w:p>
                        <w:pPr/>
                      </w:p>
                    </w:tc>
                    <w:tc>
                      <w:tcPr>
                        <w:tcW w:w="207" w:type="dxa"/>
                        <w:tcBorders>
                          <w:top w:val="single" w:sz="34" w:space="0" w:color="AEAFB3"/>
                        </w:tcBorders>
                        <w:shd w:val="clear" w:color="auto" w:fill="7A7D81"/>
                      </w:tcPr>
                      <w:p>
                        <w:pPr/>
                      </w:p>
                    </w:tc>
                    <w:tc>
                      <w:tcPr>
                        <w:tcW w:w="176" w:type="dxa"/>
                        <w:tcBorders>
                          <w:top w:val="single" w:sz="34" w:space="0" w:color="AEAFB3"/>
                          <w:bottom w:val="single" w:sz="3" w:space="0" w:color="7A7D81"/>
                        </w:tcBorders>
                      </w:tcPr>
                      <w:p>
                        <w:pPr/>
                      </w:p>
                    </w:tc>
                    <w:tc>
                      <w:tcPr>
                        <w:tcW w:w="207" w:type="dxa"/>
                        <w:tcBorders>
                          <w:top w:val="single" w:sz="34" w:space="0" w:color="AEAFB3"/>
                        </w:tcBorders>
                        <w:shd w:val="clear" w:color="auto" w:fill="7A7D81"/>
                      </w:tcPr>
                      <w:p>
                        <w:pPr/>
                      </w:p>
                    </w:tc>
                    <w:tc>
                      <w:tcPr>
                        <w:tcW w:w="176" w:type="dxa"/>
                        <w:tcBorders>
                          <w:top w:val="single" w:sz="34" w:space="0" w:color="AEAFB3"/>
                          <w:bottom w:val="single" w:sz="3" w:space="0" w:color="7A7D81"/>
                        </w:tcBorders>
                      </w:tcPr>
                      <w:p>
                        <w:pPr/>
                      </w:p>
                    </w:tc>
                    <w:tc>
                      <w:tcPr>
                        <w:tcW w:w="207" w:type="dxa"/>
                        <w:tcBorders>
                          <w:top w:val="single" w:sz="31" w:space="0" w:color="AEAFB3"/>
                        </w:tcBorders>
                        <w:shd w:val="clear" w:color="auto" w:fill="7A7D81"/>
                      </w:tcPr>
                      <w:p>
                        <w:pPr/>
                      </w:p>
                    </w:tc>
                    <w:tc>
                      <w:tcPr>
                        <w:tcW w:w="183" w:type="dxa"/>
                        <w:tcBorders>
                          <w:top w:val="single" w:sz="31" w:space="0" w:color="AEAFB3"/>
                          <w:bottom w:val="single" w:sz="3" w:space="0" w:color="7A7D81"/>
                        </w:tcBorders>
                      </w:tcPr>
                      <w:p>
                        <w:pPr/>
                      </w:p>
                    </w:tc>
                    <w:tc>
                      <w:tcPr>
                        <w:tcW w:w="207" w:type="dxa"/>
                        <w:tcBorders>
                          <w:top w:val="single" w:sz="31" w:space="0" w:color="AEAFB3"/>
                        </w:tcBorders>
                        <w:shd w:val="clear" w:color="auto" w:fill="7A7D81"/>
                      </w:tcPr>
                      <w:p>
                        <w:pPr/>
                      </w:p>
                    </w:tc>
                    <w:tc>
                      <w:tcPr>
                        <w:tcW w:w="176" w:type="dxa"/>
                        <w:tcBorders>
                          <w:top w:val="single" w:sz="31" w:space="0" w:color="AEAFB3"/>
                          <w:bottom w:val="single" w:sz="3" w:space="0" w:color="7A7D81"/>
                        </w:tcBorders>
                      </w:tcPr>
                      <w:p>
                        <w:pPr/>
                      </w:p>
                    </w:tc>
                    <w:tc>
                      <w:tcPr>
                        <w:tcW w:w="207" w:type="dxa"/>
                        <w:tcBorders>
                          <w:top w:val="single" w:sz="34" w:space="0" w:color="AEAFB3"/>
                        </w:tcBorders>
                        <w:shd w:val="clear" w:color="auto" w:fill="7A7D81"/>
                      </w:tcPr>
                      <w:p>
                        <w:pPr/>
                      </w:p>
                    </w:tc>
                    <w:tc>
                      <w:tcPr>
                        <w:tcW w:w="176" w:type="dxa"/>
                        <w:tcBorders>
                          <w:top w:val="single" w:sz="34" w:space="0" w:color="AEAFB3"/>
                          <w:bottom w:val="single" w:sz="3" w:space="0" w:color="7A7D81"/>
                        </w:tcBorders>
                      </w:tcPr>
                      <w:p>
                        <w:pPr/>
                      </w:p>
                    </w:tc>
                    <w:tc>
                      <w:tcPr>
                        <w:tcW w:w="207" w:type="dxa"/>
                        <w:tcBorders>
                          <w:top w:val="single" w:sz="34" w:space="0" w:color="AEAFB3"/>
                        </w:tcBorders>
                        <w:shd w:val="clear" w:color="auto" w:fill="7A7D81"/>
                      </w:tcPr>
                      <w:p>
                        <w:pPr/>
                      </w:p>
                    </w:tc>
                    <w:tc>
                      <w:tcPr>
                        <w:tcW w:w="183" w:type="dxa"/>
                        <w:tcBorders>
                          <w:top w:val="single" w:sz="34" w:space="0" w:color="AEAFB3"/>
                          <w:bottom w:val="single" w:sz="3" w:space="0" w:color="7A7D81"/>
                        </w:tcBorders>
                      </w:tcPr>
                      <w:p>
                        <w:pPr/>
                      </w:p>
                    </w:tc>
                    <w:tc>
                      <w:tcPr>
                        <w:tcW w:w="207" w:type="dxa"/>
                        <w:tcBorders>
                          <w:top w:val="single" w:sz="34" w:space="0" w:color="AEAFB3"/>
                        </w:tcBorders>
                        <w:shd w:val="clear" w:color="auto" w:fill="7A7D81"/>
                      </w:tcPr>
                      <w:p>
                        <w:pPr/>
                      </w:p>
                    </w:tc>
                    <w:tc>
                      <w:tcPr>
                        <w:tcW w:w="176" w:type="dxa"/>
                        <w:tcBorders>
                          <w:top w:val="single" w:sz="34" w:space="0" w:color="AEAFB3"/>
                          <w:bottom w:val="single" w:sz="3" w:space="0" w:color="7A7D81"/>
                        </w:tcBorders>
                      </w:tcPr>
                      <w:p>
                        <w:pPr/>
                      </w:p>
                    </w:tc>
                    <w:tc>
                      <w:tcPr>
                        <w:tcW w:w="207" w:type="dxa"/>
                        <w:tcBorders>
                          <w:top w:val="single" w:sz="27" w:space="0" w:color="AEAFB3"/>
                        </w:tcBorders>
                        <w:shd w:val="clear" w:color="auto" w:fill="7A7D81"/>
                      </w:tcPr>
                      <w:p>
                        <w:pPr/>
                      </w:p>
                    </w:tc>
                    <w:tc>
                      <w:tcPr>
                        <w:tcW w:w="176" w:type="dxa"/>
                        <w:tcBorders>
                          <w:top w:val="single" w:sz="27" w:space="0" w:color="AEAFB3"/>
                          <w:bottom w:val="single" w:sz="3" w:space="0" w:color="7A7D81"/>
                        </w:tcBorders>
                      </w:tcPr>
                      <w:p>
                        <w:pPr/>
                      </w:p>
                    </w:tc>
                    <w:tc>
                      <w:tcPr>
                        <w:tcW w:w="191" w:type="dxa"/>
                        <w:shd w:val="clear" w:color="auto" w:fill="7A7D81"/>
                      </w:tcPr>
                      <w:p>
                        <w:pPr/>
                      </w:p>
                    </w:tc>
                    <w:tc>
                      <w:tcPr>
                        <w:tcW w:w="199" w:type="dxa"/>
                        <w:tcBorders>
                          <w:bottom w:val="single" w:sz="3" w:space="0" w:color="7A7D81"/>
                        </w:tcBorders>
                      </w:tcPr>
                      <w:p>
                        <w:pPr/>
                      </w:p>
                    </w:tc>
                    <w:tc>
                      <w:tcPr>
                        <w:tcW w:w="207" w:type="dxa"/>
                        <w:shd w:val="clear" w:color="auto" w:fill="7A7D81"/>
                      </w:tcPr>
                      <w:p>
                        <w:pPr/>
                      </w:p>
                    </w:tc>
                    <w:tc>
                      <w:tcPr>
                        <w:tcW w:w="141" w:type="dxa"/>
                        <w:tcBorders>
                          <w:bottom w:val="single" w:sz="3" w:space="0" w:color="7A7D81"/>
                          <w:right w:val="nil"/>
                        </w:tcBorders>
                      </w:tcPr>
                      <w:p>
                        <w:pPr/>
                      </w:p>
                    </w:tc>
                  </w:tr>
                </w:tbl>
                <w:p>
                  <w:pPr>
                    <w:pStyle w:val="BodyText"/>
                  </w:pPr>
                </w:p>
              </w:txbxContent>
            </v:textbox>
            <w10:wrap type="none"/>
          </v:shape>
        </w:pict>
      </w:r>
      <w:r>
        <w:rPr>
          <w:rFonts w:ascii="Arial"/>
          <w:sz w:val="9"/>
        </w:rPr>
        <w:t>100%</w:t>
      </w:r>
    </w:p>
    <w:p>
      <w:pPr>
        <w:pStyle w:val="BodyText"/>
        <w:spacing w:before="7"/>
        <w:rPr>
          <w:rFonts w:ascii="Arial"/>
          <w:sz w:val="9"/>
        </w:rPr>
      </w:pPr>
    </w:p>
    <w:p>
      <w:pPr>
        <w:spacing w:before="0"/>
        <w:ind w:left="709" w:right="102" w:firstLine="0"/>
        <w:jc w:val="left"/>
        <w:rPr>
          <w:rFonts w:ascii="Arial"/>
          <w:sz w:val="9"/>
        </w:rPr>
      </w:pPr>
      <w:r>
        <w:rPr>
          <w:rFonts w:ascii="Arial"/>
          <w:sz w:val="9"/>
        </w:rPr>
        <w:t>90%</w:t>
      </w:r>
    </w:p>
    <w:p>
      <w:pPr>
        <w:pStyle w:val="BodyText"/>
        <w:spacing w:before="9"/>
        <w:rPr>
          <w:rFonts w:ascii="Arial"/>
          <w:sz w:val="8"/>
        </w:rPr>
      </w:pPr>
    </w:p>
    <w:p>
      <w:pPr>
        <w:spacing w:before="1"/>
        <w:ind w:left="709" w:right="102" w:firstLine="0"/>
        <w:jc w:val="left"/>
        <w:rPr>
          <w:rFonts w:ascii="Arial"/>
          <w:sz w:val="9"/>
        </w:rPr>
      </w:pPr>
      <w:r>
        <w:rPr>
          <w:rFonts w:ascii="Arial"/>
          <w:sz w:val="9"/>
        </w:rPr>
        <w:t>80%</w:t>
      </w:r>
    </w:p>
    <w:p>
      <w:pPr>
        <w:pStyle w:val="BodyText"/>
        <w:spacing w:before="6"/>
        <w:rPr>
          <w:rFonts w:ascii="Arial"/>
          <w:sz w:val="9"/>
        </w:rPr>
      </w:pPr>
    </w:p>
    <w:p>
      <w:pPr>
        <w:spacing w:before="1"/>
        <w:ind w:left="709" w:right="102" w:firstLine="0"/>
        <w:jc w:val="left"/>
        <w:rPr>
          <w:rFonts w:ascii="Arial"/>
          <w:sz w:val="9"/>
        </w:rPr>
      </w:pPr>
      <w:r>
        <w:rPr>
          <w:rFonts w:ascii="Arial"/>
          <w:sz w:val="9"/>
        </w:rPr>
        <w:t>70%</w:t>
      </w:r>
    </w:p>
    <w:p>
      <w:pPr>
        <w:pStyle w:val="BodyText"/>
        <w:spacing w:before="9"/>
        <w:rPr>
          <w:rFonts w:ascii="Arial"/>
          <w:sz w:val="8"/>
        </w:rPr>
      </w:pPr>
    </w:p>
    <w:p>
      <w:pPr>
        <w:spacing w:before="1"/>
        <w:ind w:left="709" w:right="102" w:firstLine="0"/>
        <w:jc w:val="left"/>
        <w:rPr>
          <w:rFonts w:ascii="Arial"/>
          <w:sz w:val="9"/>
        </w:rPr>
      </w:pPr>
      <w:r>
        <w:rPr>
          <w:rFonts w:ascii="Arial"/>
          <w:sz w:val="9"/>
        </w:rPr>
        <w:t>60%</w:t>
      </w:r>
    </w:p>
    <w:p>
      <w:pPr>
        <w:pStyle w:val="BodyText"/>
        <w:spacing w:before="6"/>
        <w:rPr>
          <w:rFonts w:ascii="Arial"/>
          <w:sz w:val="9"/>
        </w:rPr>
      </w:pPr>
    </w:p>
    <w:p>
      <w:pPr>
        <w:spacing w:before="1"/>
        <w:ind w:left="709" w:right="102" w:firstLine="0"/>
        <w:jc w:val="left"/>
        <w:rPr>
          <w:rFonts w:ascii="Arial"/>
          <w:sz w:val="9"/>
        </w:rPr>
      </w:pPr>
      <w:r>
        <w:rPr>
          <w:rFonts w:ascii="Arial"/>
          <w:sz w:val="9"/>
        </w:rPr>
        <w:t>50%</w:t>
      </w:r>
    </w:p>
    <w:p>
      <w:pPr>
        <w:pStyle w:val="BodyText"/>
        <w:spacing w:before="9"/>
        <w:rPr>
          <w:rFonts w:ascii="Arial"/>
          <w:sz w:val="8"/>
        </w:rPr>
      </w:pPr>
    </w:p>
    <w:p>
      <w:pPr>
        <w:spacing w:before="1"/>
        <w:ind w:left="709" w:right="102" w:firstLine="0"/>
        <w:jc w:val="left"/>
        <w:rPr>
          <w:rFonts w:ascii="Arial"/>
          <w:sz w:val="9"/>
        </w:rPr>
      </w:pPr>
      <w:r>
        <w:rPr>
          <w:rFonts w:ascii="Arial"/>
          <w:sz w:val="9"/>
        </w:rPr>
        <w:t>40%</w:t>
      </w:r>
    </w:p>
    <w:p>
      <w:pPr>
        <w:pStyle w:val="BodyText"/>
        <w:spacing w:before="6"/>
        <w:rPr>
          <w:rFonts w:ascii="Arial"/>
          <w:sz w:val="9"/>
        </w:rPr>
      </w:pPr>
    </w:p>
    <w:p>
      <w:pPr>
        <w:spacing w:before="1"/>
        <w:ind w:left="709" w:right="102" w:firstLine="0"/>
        <w:jc w:val="left"/>
        <w:rPr>
          <w:rFonts w:ascii="Arial"/>
          <w:sz w:val="9"/>
        </w:rPr>
      </w:pPr>
      <w:r>
        <w:rPr>
          <w:rFonts w:ascii="Arial"/>
          <w:sz w:val="9"/>
        </w:rPr>
        <w:t>30%</w:t>
      </w:r>
    </w:p>
    <w:p>
      <w:pPr>
        <w:pStyle w:val="BodyText"/>
        <w:spacing w:before="9"/>
        <w:rPr>
          <w:rFonts w:ascii="Arial"/>
          <w:sz w:val="8"/>
        </w:rPr>
      </w:pPr>
    </w:p>
    <w:p>
      <w:pPr>
        <w:spacing w:before="1"/>
        <w:ind w:left="709" w:right="102" w:firstLine="0"/>
        <w:jc w:val="left"/>
        <w:rPr>
          <w:rFonts w:ascii="Arial"/>
          <w:sz w:val="9"/>
        </w:rPr>
      </w:pPr>
      <w:r>
        <w:rPr>
          <w:rFonts w:ascii="Arial"/>
          <w:sz w:val="9"/>
        </w:rPr>
        <w:t>20%</w:t>
      </w:r>
    </w:p>
    <w:p>
      <w:pPr>
        <w:pStyle w:val="BodyText"/>
        <w:spacing w:before="6"/>
        <w:rPr>
          <w:rFonts w:ascii="Arial"/>
          <w:sz w:val="9"/>
        </w:rPr>
      </w:pPr>
    </w:p>
    <w:p>
      <w:pPr>
        <w:spacing w:before="1"/>
        <w:ind w:left="709" w:right="102" w:firstLine="0"/>
        <w:jc w:val="left"/>
        <w:rPr>
          <w:rFonts w:ascii="Arial"/>
          <w:sz w:val="9"/>
        </w:rPr>
      </w:pPr>
      <w:r>
        <w:rPr>
          <w:rFonts w:ascii="Arial"/>
          <w:sz w:val="9"/>
        </w:rPr>
        <w:t>10%</w:t>
      </w:r>
    </w:p>
    <w:p>
      <w:pPr>
        <w:pStyle w:val="BodyText"/>
        <w:spacing w:before="9"/>
        <w:rPr>
          <w:rFonts w:ascii="Arial"/>
          <w:sz w:val="8"/>
        </w:rPr>
      </w:pPr>
    </w:p>
    <w:p>
      <w:pPr>
        <w:spacing w:line="95" w:lineRule="exact" w:before="0"/>
        <w:ind w:left="756" w:right="102" w:firstLine="0"/>
        <w:jc w:val="left"/>
        <w:rPr>
          <w:rFonts w:ascii="Arial"/>
          <w:sz w:val="9"/>
        </w:rPr>
      </w:pPr>
      <w:r>
        <w:rPr>
          <w:rFonts w:ascii="Arial"/>
          <w:sz w:val="9"/>
        </w:rPr>
        <w:t>0%</w:t>
      </w:r>
    </w:p>
    <w:p>
      <w:pPr>
        <w:tabs>
          <w:tab w:pos="1443" w:val="left" w:leader="none"/>
          <w:tab w:pos="1834" w:val="left" w:leader="none"/>
          <w:tab w:pos="2216" w:val="left" w:leader="none"/>
          <w:tab w:pos="2591" w:val="left" w:leader="none"/>
          <w:tab w:pos="2997" w:val="left" w:leader="none"/>
          <w:tab w:pos="3395" w:val="left" w:leader="none"/>
          <w:tab w:pos="3746" w:val="left" w:leader="none"/>
          <w:tab w:pos="4145" w:val="left" w:leader="none"/>
          <w:tab w:pos="4535" w:val="left" w:leader="none"/>
          <w:tab w:pos="4910" w:val="left" w:leader="none"/>
          <w:tab w:pos="5316" w:val="left" w:leader="none"/>
        </w:tabs>
        <w:spacing w:line="95" w:lineRule="exact" w:before="0"/>
        <w:ind w:left="1061" w:right="102" w:firstLine="0"/>
        <w:jc w:val="left"/>
        <w:rPr>
          <w:rFonts w:ascii="Arial"/>
          <w:sz w:val="9"/>
        </w:rPr>
      </w:pPr>
      <w:r>
        <w:rPr>
          <w:rFonts w:ascii="Arial"/>
          <w:spacing w:val="-4"/>
          <w:sz w:val="9"/>
        </w:rPr>
        <w:t>Ene</w:t>
        <w:tab/>
      </w:r>
      <w:r>
        <w:rPr>
          <w:rFonts w:ascii="Arial"/>
          <w:spacing w:val="-3"/>
          <w:sz w:val="9"/>
        </w:rPr>
        <w:t>Feb</w:t>
        <w:tab/>
      </w:r>
      <w:r>
        <w:rPr>
          <w:rFonts w:ascii="Arial"/>
          <w:spacing w:val="-4"/>
          <w:sz w:val="9"/>
        </w:rPr>
        <w:t>Mar</w:t>
        <w:tab/>
      </w:r>
      <w:r>
        <w:rPr>
          <w:rFonts w:ascii="Arial"/>
          <w:sz w:val="9"/>
        </w:rPr>
        <w:t>Abr</w:t>
        <w:tab/>
      </w:r>
      <w:r>
        <w:rPr>
          <w:rFonts w:ascii="Arial"/>
          <w:spacing w:val="-4"/>
          <w:sz w:val="9"/>
        </w:rPr>
        <w:t>May</w:t>
        <w:tab/>
      </w:r>
      <w:r>
        <w:rPr>
          <w:rFonts w:ascii="Arial"/>
          <w:sz w:val="9"/>
        </w:rPr>
        <w:t>Jun</w:t>
        <w:tab/>
        <w:t>Jul</w:t>
        <w:tab/>
        <w:t>Ago</w:t>
        <w:tab/>
        <w:t>Sep</w:t>
        <w:tab/>
        <w:t>Oct</w:t>
        <w:tab/>
      </w:r>
      <w:r>
        <w:rPr>
          <w:rFonts w:ascii="Arial"/>
          <w:spacing w:val="-3"/>
          <w:sz w:val="9"/>
        </w:rPr>
        <w:t>Nov</w:t>
        <w:tab/>
      </w:r>
      <w:r>
        <w:rPr>
          <w:rFonts w:ascii="Arial"/>
          <w:spacing w:val="-4"/>
          <w:sz w:val="9"/>
        </w:rPr>
        <w:t>Dic</w:t>
      </w:r>
    </w:p>
    <w:p>
      <w:pPr>
        <w:spacing w:before="83"/>
        <w:ind w:left="428" w:right="102" w:firstLine="0"/>
        <w:jc w:val="left"/>
        <w:rPr>
          <w:rFonts w:ascii="Arial" w:hAnsi="Arial"/>
          <w:sz w:val="9"/>
        </w:rPr>
      </w:pPr>
      <w:r>
        <w:rPr/>
        <w:pict>
          <v:group style="position:absolute;margin-left:67.231003pt;margin-top:5.67825pt;width:4.95pt;height:3pt;mso-position-horizontal-relative:page;mso-position-vertical-relative:paragraph;z-index:1576" coordorigin="1345,114" coordsize="99,60">
            <v:line style="position:absolute" from="1371,143" to="1417,143" stroked="true" strokeweight="2.567pt" strokecolor="#9b9ea2"/>
            <v:rect style="position:absolute;left:1371;top:118;width:47;height:51" filled="false" stroked="true" strokeweight=".355pt" strokecolor="#000000"/>
            <w10:wrap type="none"/>
          </v:group>
        </w:pict>
      </w:r>
      <w:r>
        <w:rPr>
          <w:rFonts w:ascii="Arial" w:hAnsi="Arial"/>
          <w:sz w:val="9"/>
        </w:rPr>
        <w:t>Carnicería      </w:t>
      </w:r>
      <w:r>
        <w:rPr>
          <w:rFonts w:ascii="Arial" w:hAnsi="Arial"/>
          <w:position w:val="1"/>
          <w:sz w:val="9"/>
        </w:rPr>
        <w:t>69.96%   69.81%   69.95%   69.81%   70.24%   70.10%   69.87%   69.87%   69.94%   69.82%   70.10%    67.44%</w:t>
      </w:r>
    </w:p>
    <w:p>
      <w:pPr>
        <w:spacing w:before="57"/>
        <w:ind w:left="428" w:right="102" w:firstLine="0"/>
        <w:jc w:val="left"/>
        <w:rPr>
          <w:rFonts w:ascii="Arial"/>
          <w:sz w:val="9"/>
        </w:rPr>
      </w:pPr>
      <w:r>
        <w:rPr/>
        <w:pict>
          <v:group style="position:absolute;margin-left:67.231003pt;margin-top:4.375946pt;width:4.95pt;height:3pt;mso-position-horizontal-relative:page;mso-position-vertical-relative:paragraph;z-index:1600" coordorigin="1345,88" coordsize="99,60">
            <v:line style="position:absolute" from="1371,117" to="1417,117" stroked="true" strokeweight="2.567pt" strokecolor="#aeafb3"/>
            <v:rect style="position:absolute;left:1371;top:92;width:47;height:51" filled="false" stroked="true" strokeweight=".355pt" strokecolor="#000000"/>
            <w10:wrap type="none"/>
          </v:group>
        </w:pict>
      </w:r>
      <w:r>
        <w:rPr>
          <w:rFonts w:ascii="Arial"/>
          <w:sz w:val="9"/>
        </w:rPr>
        <w:t>Intermediario    </w:t>
      </w:r>
      <w:r>
        <w:rPr>
          <w:rFonts w:ascii="Arial"/>
          <w:position w:val="1"/>
          <w:sz w:val="9"/>
        </w:rPr>
        <w:t>3.96%     3.85%     3.79%     3.94%     3.80%     3.87%     3.94%     3.94%     3.93%     3.31%     3.74%      6.36%</w:t>
      </w:r>
    </w:p>
    <w:p>
      <w:pPr>
        <w:spacing w:before="57"/>
        <w:ind w:left="428" w:right="102" w:firstLine="0"/>
        <w:jc w:val="left"/>
        <w:rPr>
          <w:rFonts w:ascii="Arial"/>
          <w:sz w:val="9"/>
        </w:rPr>
      </w:pPr>
      <w:r>
        <w:rPr/>
        <w:pict>
          <v:group style="position:absolute;margin-left:67.231003pt;margin-top:4.377846pt;width:4.95pt;height:3pt;mso-position-horizontal-relative:page;mso-position-vertical-relative:paragraph;z-index:1624" coordorigin="1345,88" coordsize="99,60">
            <v:line style="position:absolute" from="1371,117" to="1417,117" stroked="true" strokeweight="2.568pt" strokecolor="#7a7d81"/>
            <v:rect style="position:absolute;left:1371;top:92;width:47;height:51" filled="false" stroked="true" strokeweight=".355pt" strokecolor="#000000"/>
            <w10:wrap type="none"/>
          </v:group>
        </w:pict>
      </w:r>
      <w:r>
        <w:rPr>
          <w:rFonts w:ascii="Arial"/>
          <w:sz w:val="9"/>
        </w:rPr>
        <w:t>Productor       </w:t>
      </w:r>
      <w:r>
        <w:rPr>
          <w:rFonts w:ascii="Arial"/>
          <w:position w:val="1"/>
          <w:sz w:val="9"/>
        </w:rPr>
        <w:t>26.08%   26.34%   26.27%   26.25%   25.96%   26.03%   26.19%   26.19%   26.13%   26.87%   26.16%    26.21%</w:t>
      </w:r>
    </w:p>
    <w:p>
      <w:pPr>
        <w:pStyle w:val="BodyText"/>
        <w:rPr>
          <w:rFonts w:ascii="Arial"/>
          <w:sz w:val="8"/>
        </w:rPr>
      </w:pPr>
    </w:p>
    <w:p>
      <w:pPr>
        <w:tabs>
          <w:tab w:pos="2903" w:val="left" w:leader="none"/>
          <w:tab w:pos="4051" w:val="left" w:leader="none"/>
        </w:tabs>
        <w:spacing w:before="52"/>
        <w:ind w:left="1865" w:right="102" w:firstLine="0"/>
        <w:jc w:val="left"/>
        <w:rPr>
          <w:rFonts w:ascii="Arial" w:hAnsi="Arial"/>
          <w:sz w:val="9"/>
        </w:rPr>
      </w:pPr>
      <w:r>
        <w:rPr/>
        <w:pict>
          <v:group style="position:absolute;margin-left:139.063004pt;margin-top:3.623446pt;width:4.95pt;height:3pt;mso-position-horizontal-relative:page;mso-position-vertical-relative:paragraph;z-index:1504" coordorigin="2781,72" coordsize="99,60">
            <v:line style="position:absolute" from="2807,102" to="2854,102" stroked="true" strokeweight="2.567pt" strokecolor="#7a7d81"/>
            <v:rect style="position:absolute;left:2807;top:76;width:47;height:51" filled="false" stroked="true" strokeweight=".355pt" strokecolor="#000000"/>
            <w10:wrap type="none"/>
          </v:group>
        </w:pict>
      </w:r>
      <w:r>
        <w:rPr/>
        <w:pict>
          <v:group style="position:absolute;margin-left:190.985001pt;margin-top:3.623446pt;width:4.95pt;height:3pt;mso-position-horizontal-relative:page;mso-position-vertical-relative:paragraph;z-index:-39448" coordorigin="3820,72" coordsize="99,60">
            <v:line style="position:absolute" from="3846,102" to="3893,102" stroked="true" strokeweight="2.567pt" strokecolor="#aeafb3"/>
            <v:rect style="position:absolute;left:3846;top:76;width:47;height:51" filled="false" stroked="true" strokeweight=".355pt" strokecolor="#000000"/>
            <w10:wrap type="none"/>
          </v:group>
        </w:pict>
      </w:r>
      <w:r>
        <w:rPr/>
        <w:pict>
          <v:group style="position:absolute;margin-left:248.373001pt;margin-top:3.623446pt;width:4.95pt;height:3pt;mso-position-horizontal-relative:page;mso-position-vertical-relative:paragraph;z-index:-39424" coordorigin="4967,72" coordsize="99,60">
            <v:line style="position:absolute" from="4993,102" to="5040,102" stroked="true" strokeweight="2.567pt" strokecolor="#9b9ea2"/>
            <v:rect style="position:absolute;left:4993;top:76;width:47;height:51" filled="false" stroked="true" strokeweight=".355pt" strokecolor="#000000"/>
            <w10:wrap type="none"/>
          </v:group>
        </w:pict>
      </w:r>
      <w:r>
        <w:rPr>
          <w:rFonts w:ascii="Arial" w:hAnsi="Arial"/>
          <w:sz w:val="9"/>
        </w:rPr>
        <w:t>Productor</w:t>
        <w:tab/>
      </w:r>
      <w:r>
        <w:rPr>
          <w:rFonts w:ascii="Arial" w:hAnsi="Arial"/>
          <w:spacing w:val="-3"/>
          <w:sz w:val="9"/>
        </w:rPr>
        <w:t>Intermediario</w:t>
        <w:tab/>
      </w:r>
      <w:r>
        <w:rPr>
          <w:rFonts w:ascii="Arial" w:hAnsi="Arial"/>
          <w:sz w:val="9"/>
        </w:rPr>
        <w:t>Carnicería</w:t>
      </w:r>
    </w:p>
    <w:p>
      <w:pPr>
        <w:spacing w:before="11"/>
        <w:ind w:left="113" w:right="102" w:firstLine="0"/>
        <w:jc w:val="left"/>
        <w:rPr>
          <w:sz w:val="16"/>
        </w:rPr>
      </w:pPr>
      <w:r>
        <w:rPr>
          <w:color w:val="231F20"/>
          <w:sz w:val="16"/>
        </w:rPr>
        <w:t>Fuente: Elaboración propia con base en información de campo</w:t>
      </w:r>
    </w:p>
    <w:p>
      <w:pPr>
        <w:spacing w:after="0"/>
        <w:jc w:val="left"/>
        <w:rPr>
          <w:sz w:val="16"/>
        </w:rPr>
        <w:sectPr>
          <w:pgSz w:w="7940" w:h="11910"/>
          <w:pgMar w:header="0" w:footer="469" w:top="480" w:bottom="660" w:left="1020" w:right="1020"/>
        </w:sectPr>
      </w:pPr>
    </w:p>
    <w:p>
      <w:pPr>
        <w:spacing w:before="50"/>
        <w:ind w:left="1227" w:right="102" w:firstLine="0"/>
        <w:jc w:val="left"/>
        <w:rPr>
          <w:sz w:val="14"/>
        </w:rPr>
      </w:pPr>
      <w:r>
        <w:rPr>
          <w:color w:val="231F20"/>
          <w:sz w:val="18"/>
        </w:rPr>
        <w:t>L</w:t>
      </w:r>
      <w:r>
        <w:rPr>
          <w:color w:val="231F20"/>
          <w:sz w:val="14"/>
        </w:rPr>
        <w:t>A PORCICULTURA EN EL SUR DEL </w:t>
      </w:r>
      <w:r>
        <w:rPr>
          <w:color w:val="231F20"/>
          <w:sz w:val="18"/>
        </w:rPr>
        <w:t>E</w:t>
      </w:r>
      <w:r>
        <w:rPr>
          <w:color w:val="231F20"/>
          <w:sz w:val="14"/>
        </w:rPr>
        <w:t>STADO DE </w:t>
      </w:r>
      <w:r>
        <w:rPr>
          <w:color w:val="231F20"/>
          <w:sz w:val="18"/>
        </w:rPr>
        <w:t>M</w:t>
      </w:r>
      <w:r>
        <w:rPr>
          <w:color w:val="231F20"/>
          <w:sz w:val="14"/>
        </w:rPr>
        <w:t>ÉXICO</w:t>
      </w:r>
    </w:p>
    <w:p>
      <w:pPr>
        <w:pStyle w:val="BodyText"/>
        <w:spacing w:before="1"/>
        <w:rPr>
          <w:sz w:val="22"/>
        </w:rPr>
      </w:pPr>
    </w:p>
    <w:p>
      <w:pPr>
        <w:pStyle w:val="Heading5"/>
        <w:spacing w:before="70"/>
      </w:pPr>
      <w:r>
        <w:rPr>
          <w:color w:val="231F20"/>
        </w:rPr>
        <w:t>Cuadro 33</w:t>
      </w:r>
    </w:p>
    <w:p>
      <w:pPr>
        <w:spacing w:line="268" w:lineRule="auto" w:before="32"/>
        <w:ind w:left="402" w:right="400" w:firstLine="0"/>
        <w:jc w:val="center"/>
        <w:rPr>
          <w:b/>
          <w:sz w:val="22"/>
        </w:rPr>
      </w:pPr>
      <w:r>
        <w:rPr/>
        <w:pict>
          <v:group style="position:absolute;margin-left:56.192902pt;margin-top:35.056038pt;width:284.5pt;height:1pt;mso-position-horizontal-relative:page;mso-position-vertical-relative:paragraph;z-index:1696" coordorigin="1124,701" coordsize="5690,20">
            <v:line style="position:absolute" from="1134,711" to="2211,711" stroked="true" strokeweight="1pt" strokecolor="#231f20"/>
            <v:line style="position:absolute" from="2211,711" to="3141,711" stroked="true" strokeweight="1pt" strokecolor="#231f20"/>
            <v:line style="position:absolute" from="3141,711" to="4365,711" stroked="true" strokeweight="1pt" strokecolor="#231f20"/>
            <v:line style="position:absolute" from="4365,711" to="5556,711" stroked="true" strokeweight="1pt" strokecolor="#231f20"/>
            <v:line style="position:absolute" from="5556,711" to="6803,711" stroked="true" strokeweight="1pt" strokecolor="#231f20"/>
            <w10:wrap type="none"/>
          </v:group>
        </w:pict>
      </w:r>
      <w:r>
        <w:rPr>
          <w:b/>
          <w:color w:val="231F20"/>
          <w:sz w:val="22"/>
        </w:rPr>
        <w:t>Márgenes Brutos de Comercialización resultantes en el proceso de intermediación</w:t>
      </w:r>
    </w:p>
    <w:p>
      <w:pPr>
        <w:spacing w:after="0" w:line="268" w:lineRule="auto"/>
        <w:jc w:val="center"/>
        <w:rPr>
          <w:sz w:val="22"/>
        </w:rPr>
        <w:sectPr>
          <w:pgSz w:w="7940" w:h="11910"/>
          <w:pgMar w:header="0" w:footer="469" w:top="500" w:bottom="660" w:left="1020" w:right="1020"/>
        </w:sectPr>
      </w:pPr>
    </w:p>
    <w:p>
      <w:pPr>
        <w:pStyle w:val="BodyText"/>
        <w:rPr>
          <w:b/>
        </w:rPr>
      </w:pPr>
    </w:p>
    <w:p>
      <w:pPr>
        <w:pStyle w:val="Heading6"/>
        <w:spacing w:before="132"/>
        <w:ind w:left="487" w:right="-20"/>
      </w:pPr>
      <w:r>
        <w:rPr/>
        <w:pict>
          <v:shape style="position:absolute;margin-left:56.692902pt;margin-top:16.111366pt;width:283.5pt;height:192.25pt;mso-position-horizontal-relative:page;mso-position-vertical-relative:paragraph;z-index:17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77"/>
                    <w:gridCol w:w="954"/>
                    <w:gridCol w:w="1217"/>
                    <w:gridCol w:w="1164"/>
                    <w:gridCol w:w="1258"/>
                  </w:tblGrid>
                  <w:tr>
                    <w:trPr>
                      <w:trHeight w:val="255" w:hRule="exact"/>
                    </w:trPr>
                    <w:tc>
                      <w:tcPr>
                        <w:tcW w:w="1077" w:type="dxa"/>
                        <w:tcBorders>
                          <w:bottom w:val="single" w:sz="8" w:space="0" w:color="231F20"/>
                        </w:tcBorders>
                      </w:tcPr>
                      <w:p>
                        <w:pPr/>
                      </w:p>
                    </w:tc>
                    <w:tc>
                      <w:tcPr>
                        <w:tcW w:w="954" w:type="dxa"/>
                        <w:tcBorders>
                          <w:top w:val="single" w:sz="8" w:space="0" w:color="231F20"/>
                          <w:bottom w:val="single" w:sz="8" w:space="0" w:color="231F20"/>
                        </w:tcBorders>
                      </w:tcPr>
                      <w:p>
                        <w:pPr>
                          <w:pStyle w:val="TableParagraph"/>
                          <w:spacing w:before="16"/>
                          <w:ind w:left="303"/>
                          <w:jc w:val="left"/>
                          <w:rPr>
                            <w:b/>
                            <w:sz w:val="18"/>
                          </w:rPr>
                        </w:pPr>
                        <w:r>
                          <w:rPr>
                            <w:b/>
                            <w:color w:val="231F20"/>
                            <w:sz w:val="18"/>
                          </w:rPr>
                          <w:t>(%)</w:t>
                        </w:r>
                      </w:p>
                    </w:tc>
                    <w:tc>
                      <w:tcPr>
                        <w:tcW w:w="1217" w:type="dxa"/>
                        <w:tcBorders>
                          <w:top w:val="single" w:sz="8" w:space="0" w:color="231F20"/>
                          <w:bottom w:val="single" w:sz="8" w:space="0" w:color="231F20"/>
                        </w:tcBorders>
                      </w:tcPr>
                      <w:p>
                        <w:pPr>
                          <w:pStyle w:val="TableParagraph"/>
                          <w:spacing w:before="16"/>
                          <w:ind w:left="301" w:right="339"/>
                          <w:rPr>
                            <w:b/>
                            <w:sz w:val="18"/>
                          </w:rPr>
                        </w:pPr>
                        <w:r>
                          <w:rPr>
                            <w:b/>
                            <w:color w:val="231F20"/>
                            <w:sz w:val="18"/>
                          </w:rPr>
                          <w:t>($/kg)</w:t>
                        </w:r>
                      </w:p>
                    </w:tc>
                    <w:tc>
                      <w:tcPr>
                        <w:tcW w:w="1164" w:type="dxa"/>
                        <w:tcBorders>
                          <w:top w:val="single" w:sz="8" w:space="0" w:color="231F20"/>
                          <w:bottom w:val="single" w:sz="8" w:space="0" w:color="231F20"/>
                        </w:tcBorders>
                      </w:tcPr>
                      <w:p>
                        <w:pPr>
                          <w:pStyle w:val="TableParagraph"/>
                          <w:spacing w:before="16"/>
                          <w:ind w:left="417"/>
                          <w:jc w:val="left"/>
                          <w:rPr>
                            <w:b/>
                            <w:sz w:val="18"/>
                          </w:rPr>
                        </w:pPr>
                        <w:r>
                          <w:rPr>
                            <w:b/>
                            <w:color w:val="231F20"/>
                            <w:sz w:val="18"/>
                          </w:rPr>
                          <w:t>(%)</w:t>
                        </w:r>
                      </w:p>
                    </w:tc>
                    <w:tc>
                      <w:tcPr>
                        <w:tcW w:w="1258" w:type="dxa"/>
                        <w:tcBorders>
                          <w:top w:val="single" w:sz="8" w:space="0" w:color="231F20"/>
                          <w:bottom w:val="single" w:sz="8" w:space="0" w:color="231F20"/>
                        </w:tcBorders>
                      </w:tcPr>
                      <w:p>
                        <w:pPr>
                          <w:pStyle w:val="TableParagraph"/>
                          <w:spacing w:before="16"/>
                          <w:ind w:left="345" w:right="335"/>
                          <w:rPr>
                            <w:b/>
                            <w:sz w:val="18"/>
                          </w:rPr>
                        </w:pPr>
                        <w:r>
                          <w:rPr>
                            <w:b/>
                            <w:color w:val="231F20"/>
                            <w:sz w:val="18"/>
                          </w:rPr>
                          <w:t>($/kg)</w:t>
                        </w:r>
                      </w:p>
                    </w:tc>
                  </w:tr>
                  <w:tr>
                    <w:trPr>
                      <w:trHeight w:val="269" w:hRule="exact"/>
                    </w:trPr>
                    <w:tc>
                      <w:tcPr>
                        <w:tcW w:w="1077" w:type="dxa"/>
                        <w:tcBorders>
                          <w:top w:val="single" w:sz="8" w:space="0" w:color="231F20"/>
                        </w:tcBorders>
                      </w:tcPr>
                      <w:p>
                        <w:pPr>
                          <w:pStyle w:val="TableParagraph"/>
                          <w:spacing w:before="16"/>
                          <w:ind w:left="141" w:right="141"/>
                          <w:rPr>
                            <w:sz w:val="18"/>
                          </w:rPr>
                        </w:pPr>
                        <w:r>
                          <w:rPr>
                            <w:color w:val="231F20"/>
                            <w:sz w:val="18"/>
                          </w:rPr>
                          <w:t>Ene</w:t>
                        </w:r>
                      </w:p>
                    </w:tc>
                    <w:tc>
                      <w:tcPr>
                        <w:tcW w:w="954" w:type="dxa"/>
                        <w:tcBorders>
                          <w:top w:val="single" w:sz="8" w:space="0" w:color="231F20"/>
                        </w:tcBorders>
                      </w:tcPr>
                      <w:p>
                        <w:pPr>
                          <w:pStyle w:val="TableParagraph"/>
                          <w:spacing w:before="16"/>
                          <w:ind w:left="296"/>
                          <w:jc w:val="left"/>
                          <w:rPr>
                            <w:sz w:val="18"/>
                          </w:rPr>
                        </w:pPr>
                        <w:r>
                          <w:rPr>
                            <w:color w:val="231F20"/>
                            <w:sz w:val="18"/>
                          </w:rPr>
                          <w:t>3.98</w:t>
                        </w:r>
                      </w:p>
                    </w:tc>
                    <w:tc>
                      <w:tcPr>
                        <w:tcW w:w="1217" w:type="dxa"/>
                        <w:tcBorders>
                          <w:top w:val="single" w:sz="8" w:space="0" w:color="231F20"/>
                        </w:tcBorders>
                      </w:tcPr>
                      <w:p>
                        <w:pPr>
                          <w:pStyle w:val="TableParagraph"/>
                          <w:spacing w:before="16"/>
                          <w:ind w:left="301" w:right="339"/>
                          <w:rPr>
                            <w:sz w:val="18"/>
                          </w:rPr>
                        </w:pPr>
                        <w:r>
                          <w:rPr>
                            <w:color w:val="231F20"/>
                            <w:sz w:val="18"/>
                          </w:rPr>
                          <w:t>1.56</w:t>
                        </w:r>
                      </w:p>
                    </w:tc>
                    <w:tc>
                      <w:tcPr>
                        <w:tcW w:w="1164" w:type="dxa"/>
                        <w:tcBorders>
                          <w:top w:val="single" w:sz="8" w:space="0" w:color="231F20"/>
                        </w:tcBorders>
                      </w:tcPr>
                      <w:p>
                        <w:pPr>
                          <w:pStyle w:val="TableParagraph"/>
                          <w:spacing w:before="16"/>
                          <w:ind w:left="361"/>
                          <w:jc w:val="left"/>
                          <w:rPr>
                            <w:sz w:val="18"/>
                          </w:rPr>
                        </w:pPr>
                        <w:r>
                          <w:rPr>
                            <w:color w:val="231F20"/>
                            <w:sz w:val="18"/>
                          </w:rPr>
                          <w:t>69.96</w:t>
                        </w:r>
                      </w:p>
                    </w:tc>
                    <w:tc>
                      <w:tcPr>
                        <w:tcW w:w="1258" w:type="dxa"/>
                        <w:tcBorders>
                          <w:top w:val="single" w:sz="8" w:space="0" w:color="231F20"/>
                        </w:tcBorders>
                      </w:tcPr>
                      <w:p>
                        <w:pPr>
                          <w:pStyle w:val="TableParagraph"/>
                          <w:spacing w:before="16"/>
                          <w:ind w:left="345" w:right="335"/>
                          <w:rPr>
                            <w:sz w:val="18"/>
                          </w:rPr>
                        </w:pPr>
                        <w:r>
                          <w:rPr>
                            <w:color w:val="231F20"/>
                            <w:sz w:val="18"/>
                          </w:rPr>
                          <w:t>27.43</w:t>
                        </w:r>
                      </w:p>
                    </w:tc>
                  </w:tr>
                  <w:tr>
                    <w:trPr>
                      <w:trHeight w:val="255" w:hRule="exact"/>
                    </w:trPr>
                    <w:tc>
                      <w:tcPr>
                        <w:tcW w:w="1077" w:type="dxa"/>
                      </w:tcPr>
                      <w:p>
                        <w:pPr>
                          <w:pStyle w:val="TableParagraph"/>
                          <w:ind w:left="141" w:right="141"/>
                          <w:rPr>
                            <w:sz w:val="18"/>
                          </w:rPr>
                        </w:pPr>
                        <w:r>
                          <w:rPr>
                            <w:color w:val="231F20"/>
                            <w:sz w:val="18"/>
                          </w:rPr>
                          <w:t>Feb</w:t>
                        </w:r>
                      </w:p>
                    </w:tc>
                    <w:tc>
                      <w:tcPr>
                        <w:tcW w:w="954" w:type="dxa"/>
                      </w:tcPr>
                      <w:p>
                        <w:pPr>
                          <w:pStyle w:val="TableParagraph"/>
                          <w:ind w:left="296"/>
                          <w:jc w:val="left"/>
                          <w:rPr>
                            <w:sz w:val="18"/>
                          </w:rPr>
                        </w:pPr>
                        <w:r>
                          <w:rPr>
                            <w:color w:val="231F20"/>
                            <w:sz w:val="18"/>
                          </w:rPr>
                          <w:t>3.87</w:t>
                        </w:r>
                      </w:p>
                    </w:tc>
                    <w:tc>
                      <w:tcPr>
                        <w:tcW w:w="1217" w:type="dxa"/>
                      </w:tcPr>
                      <w:p>
                        <w:pPr>
                          <w:pStyle w:val="TableParagraph"/>
                          <w:ind w:left="301" w:right="339"/>
                          <w:rPr>
                            <w:sz w:val="18"/>
                          </w:rPr>
                        </w:pPr>
                        <w:r>
                          <w:rPr>
                            <w:color w:val="231F20"/>
                            <w:sz w:val="18"/>
                          </w:rPr>
                          <w:t>1.51</w:t>
                        </w:r>
                      </w:p>
                    </w:tc>
                    <w:tc>
                      <w:tcPr>
                        <w:tcW w:w="1164" w:type="dxa"/>
                      </w:tcPr>
                      <w:p>
                        <w:pPr>
                          <w:pStyle w:val="TableParagraph"/>
                          <w:ind w:left="361"/>
                          <w:jc w:val="left"/>
                          <w:rPr>
                            <w:sz w:val="18"/>
                          </w:rPr>
                        </w:pPr>
                        <w:r>
                          <w:rPr>
                            <w:color w:val="231F20"/>
                            <w:sz w:val="18"/>
                          </w:rPr>
                          <w:t>69.80</w:t>
                        </w:r>
                      </w:p>
                    </w:tc>
                    <w:tc>
                      <w:tcPr>
                        <w:tcW w:w="1258" w:type="dxa"/>
                      </w:tcPr>
                      <w:p>
                        <w:pPr>
                          <w:pStyle w:val="TableParagraph"/>
                          <w:ind w:left="345" w:right="335"/>
                          <w:rPr>
                            <w:sz w:val="18"/>
                          </w:rPr>
                        </w:pPr>
                        <w:r>
                          <w:rPr>
                            <w:color w:val="231F20"/>
                            <w:sz w:val="18"/>
                          </w:rPr>
                          <w:t>27.23</w:t>
                        </w:r>
                      </w:p>
                    </w:tc>
                  </w:tr>
                  <w:tr>
                    <w:trPr>
                      <w:trHeight w:val="255" w:hRule="exact"/>
                    </w:trPr>
                    <w:tc>
                      <w:tcPr>
                        <w:tcW w:w="1077" w:type="dxa"/>
                      </w:tcPr>
                      <w:p>
                        <w:pPr>
                          <w:pStyle w:val="TableParagraph"/>
                          <w:ind w:left="141" w:right="141"/>
                          <w:rPr>
                            <w:sz w:val="18"/>
                          </w:rPr>
                        </w:pPr>
                        <w:r>
                          <w:rPr>
                            <w:color w:val="231F20"/>
                            <w:sz w:val="18"/>
                          </w:rPr>
                          <w:t>Mar</w:t>
                        </w:r>
                      </w:p>
                    </w:tc>
                    <w:tc>
                      <w:tcPr>
                        <w:tcW w:w="954" w:type="dxa"/>
                      </w:tcPr>
                      <w:p>
                        <w:pPr>
                          <w:pStyle w:val="TableParagraph"/>
                          <w:ind w:left="296"/>
                          <w:jc w:val="left"/>
                          <w:rPr>
                            <w:sz w:val="18"/>
                          </w:rPr>
                        </w:pPr>
                        <w:r>
                          <w:rPr>
                            <w:color w:val="231F20"/>
                            <w:sz w:val="18"/>
                          </w:rPr>
                          <w:t>3.80</w:t>
                        </w:r>
                      </w:p>
                    </w:tc>
                    <w:tc>
                      <w:tcPr>
                        <w:tcW w:w="1217" w:type="dxa"/>
                      </w:tcPr>
                      <w:p>
                        <w:pPr>
                          <w:pStyle w:val="TableParagraph"/>
                          <w:ind w:left="301" w:right="339"/>
                          <w:rPr>
                            <w:sz w:val="18"/>
                          </w:rPr>
                        </w:pPr>
                        <w:r>
                          <w:rPr>
                            <w:color w:val="231F20"/>
                            <w:sz w:val="18"/>
                          </w:rPr>
                          <w:t>1.49</w:t>
                        </w:r>
                      </w:p>
                    </w:tc>
                    <w:tc>
                      <w:tcPr>
                        <w:tcW w:w="1164" w:type="dxa"/>
                      </w:tcPr>
                      <w:p>
                        <w:pPr>
                          <w:pStyle w:val="TableParagraph"/>
                          <w:ind w:left="361"/>
                          <w:jc w:val="left"/>
                          <w:rPr>
                            <w:sz w:val="18"/>
                          </w:rPr>
                        </w:pPr>
                        <w:r>
                          <w:rPr>
                            <w:color w:val="231F20"/>
                            <w:sz w:val="18"/>
                          </w:rPr>
                          <w:t>69.93</w:t>
                        </w:r>
                      </w:p>
                    </w:tc>
                    <w:tc>
                      <w:tcPr>
                        <w:tcW w:w="1258" w:type="dxa"/>
                      </w:tcPr>
                      <w:p>
                        <w:pPr>
                          <w:pStyle w:val="TableParagraph"/>
                          <w:ind w:left="345" w:right="335"/>
                          <w:rPr>
                            <w:sz w:val="18"/>
                          </w:rPr>
                        </w:pPr>
                        <w:r>
                          <w:rPr>
                            <w:color w:val="231F20"/>
                            <w:sz w:val="18"/>
                          </w:rPr>
                          <w:t>27.42</w:t>
                        </w:r>
                      </w:p>
                    </w:tc>
                  </w:tr>
                  <w:tr>
                    <w:trPr>
                      <w:trHeight w:val="255" w:hRule="exact"/>
                    </w:trPr>
                    <w:tc>
                      <w:tcPr>
                        <w:tcW w:w="1077" w:type="dxa"/>
                      </w:tcPr>
                      <w:p>
                        <w:pPr>
                          <w:pStyle w:val="TableParagraph"/>
                          <w:ind w:left="141" w:right="141"/>
                          <w:rPr>
                            <w:sz w:val="18"/>
                          </w:rPr>
                        </w:pPr>
                        <w:r>
                          <w:rPr>
                            <w:color w:val="231F20"/>
                            <w:sz w:val="18"/>
                          </w:rPr>
                          <w:t>Abr</w:t>
                        </w:r>
                      </w:p>
                    </w:tc>
                    <w:tc>
                      <w:tcPr>
                        <w:tcW w:w="954" w:type="dxa"/>
                      </w:tcPr>
                      <w:p>
                        <w:pPr>
                          <w:pStyle w:val="TableParagraph"/>
                          <w:ind w:left="296"/>
                          <w:jc w:val="left"/>
                          <w:rPr>
                            <w:sz w:val="18"/>
                          </w:rPr>
                        </w:pPr>
                        <w:r>
                          <w:rPr>
                            <w:color w:val="231F20"/>
                            <w:sz w:val="18"/>
                          </w:rPr>
                          <w:t>3.94</w:t>
                        </w:r>
                      </w:p>
                    </w:tc>
                    <w:tc>
                      <w:tcPr>
                        <w:tcW w:w="1217" w:type="dxa"/>
                      </w:tcPr>
                      <w:p>
                        <w:pPr>
                          <w:pStyle w:val="TableParagraph"/>
                          <w:ind w:left="301" w:right="339"/>
                          <w:rPr>
                            <w:sz w:val="18"/>
                          </w:rPr>
                        </w:pPr>
                        <w:r>
                          <w:rPr>
                            <w:color w:val="231F20"/>
                            <w:sz w:val="18"/>
                          </w:rPr>
                          <w:t>1.54</w:t>
                        </w:r>
                      </w:p>
                    </w:tc>
                    <w:tc>
                      <w:tcPr>
                        <w:tcW w:w="1164" w:type="dxa"/>
                      </w:tcPr>
                      <w:p>
                        <w:pPr>
                          <w:pStyle w:val="TableParagraph"/>
                          <w:ind w:left="361"/>
                          <w:jc w:val="left"/>
                          <w:rPr>
                            <w:sz w:val="18"/>
                          </w:rPr>
                        </w:pPr>
                        <w:r>
                          <w:rPr>
                            <w:color w:val="231F20"/>
                            <w:sz w:val="18"/>
                          </w:rPr>
                          <w:t>69.80</w:t>
                        </w:r>
                      </w:p>
                    </w:tc>
                    <w:tc>
                      <w:tcPr>
                        <w:tcW w:w="1258" w:type="dxa"/>
                      </w:tcPr>
                      <w:p>
                        <w:pPr>
                          <w:pStyle w:val="TableParagraph"/>
                          <w:ind w:left="345" w:right="335"/>
                          <w:rPr>
                            <w:sz w:val="18"/>
                          </w:rPr>
                        </w:pPr>
                        <w:r>
                          <w:rPr>
                            <w:color w:val="231F20"/>
                            <w:sz w:val="18"/>
                          </w:rPr>
                          <w:t>27.25</w:t>
                        </w:r>
                      </w:p>
                    </w:tc>
                  </w:tr>
                  <w:tr>
                    <w:trPr>
                      <w:trHeight w:val="255" w:hRule="exact"/>
                    </w:trPr>
                    <w:tc>
                      <w:tcPr>
                        <w:tcW w:w="1077" w:type="dxa"/>
                      </w:tcPr>
                      <w:p>
                        <w:pPr>
                          <w:pStyle w:val="TableParagraph"/>
                          <w:ind w:left="140" w:right="141"/>
                          <w:rPr>
                            <w:sz w:val="18"/>
                          </w:rPr>
                        </w:pPr>
                        <w:r>
                          <w:rPr>
                            <w:color w:val="231F20"/>
                            <w:sz w:val="18"/>
                          </w:rPr>
                          <w:t>May</w:t>
                        </w:r>
                      </w:p>
                    </w:tc>
                    <w:tc>
                      <w:tcPr>
                        <w:tcW w:w="954" w:type="dxa"/>
                      </w:tcPr>
                      <w:p>
                        <w:pPr>
                          <w:pStyle w:val="TableParagraph"/>
                          <w:ind w:left="296"/>
                          <w:jc w:val="left"/>
                          <w:rPr>
                            <w:sz w:val="18"/>
                          </w:rPr>
                        </w:pPr>
                        <w:r>
                          <w:rPr>
                            <w:color w:val="231F20"/>
                            <w:sz w:val="18"/>
                          </w:rPr>
                          <w:t>3.82</w:t>
                        </w:r>
                      </w:p>
                    </w:tc>
                    <w:tc>
                      <w:tcPr>
                        <w:tcW w:w="1217" w:type="dxa"/>
                      </w:tcPr>
                      <w:p>
                        <w:pPr>
                          <w:pStyle w:val="TableParagraph"/>
                          <w:ind w:left="301" w:right="339"/>
                          <w:rPr>
                            <w:sz w:val="18"/>
                          </w:rPr>
                        </w:pPr>
                        <w:r>
                          <w:rPr>
                            <w:color w:val="231F20"/>
                            <w:sz w:val="18"/>
                          </w:rPr>
                          <w:t>1.51</w:t>
                        </w:r>
                      </w:p>
                    </w:tc>
                    <w:tc>
                      <w:tcPr>
                        <w:tcW w:w="1164" w:type="dxa"/>
                      </w:tcPr>
                      <w:p>
                        <w:pPr>
                          <w:pStyle w:val="TableParagraph"/>
                          <w:ind w:left="361"/>
                          <w:jc w:val="left"/>
                          <w:rPr>
                            <w:sz w:val="18"/>
                          </w:rPr>
                        </w:pPr>
                        <w:r>
                          <w:rPr>
                            <w:color w:val="231F20"/>
                            <w:sz w:val="18"/>
                          </w:rPr>
                          <w:t>70.23</w:t>
                        </w:r>
                      </w:p>
                    </w:tc>
                    <w:tc>
                      <w:tcPr>
                        <w:tcW w:w="1258" w:type="dxa"/>
                      </w:tcPr>
                      <w:p>
                        <w:pPr>
                          <w:pStyle w:val="TableParagraph"/>
                          <w:ind w:left="345" w:right="335"/>
                          <w:rPr>
                            <w:sz w:val="18"/>
                          </w:rPr>
                        </w:pPr>
                        <w:r>
                          <w:rPr>
                            <w:color w:val="231F20"/>
                            <w:sz w:val="18"/>
                          </w:rPr>
                          <w:t>27.79</w:t>
                        </w:r>
                      </w:p>
                    </w:tc>
                  </w:tr>
                  <w:tr>
                    <w:trPr>
                      <w:trHeight w:val="255" w:hRule="exact"/>
                    </w:trPr>
                    <w:tc>
                      <w:tcPr>
                        <w:tcW w:w="1077" w:type="dxa"/>
                      </w:tcPr>
                      <w:p>
                        <w:pPr>
                          <w:pStyle w:val="TableParagraph"/>
                          <w:ind w:left="141" w:right="141"/>
                          <w:rPr>
                            <w:sz w:val="18"/>
                          </w:rPr>
                        </w:pPr>
                        <w:r>
                          <w:rPr>
                            <w:color w:val="231F20"/>
                            <w:sz w:val="18"/>
                          </w:rPr>
                          <w:t>Jun</w:t>
                        </w:r>
                      </w:p>
                    </w:tc>
                    <w:tc>
                      <w:tcPr>
                        <w:tcW w:w="954" w:type="dxa"/>
                      </w:tcPr>
                      <w:p>
                        <w:pPr>
                          <w:pStyle w:val="TableParagraph"/>
                          <w:ind w:left="296"/>
                          <w:jc w:val="left"/>
                          <w:rPr>
                            <w:sz w:val="18"/>
                          </w:rPr>
                        </w:pPr>
                        <w:r>
                          <w:rPr>
                            <w:color w:val="231F20"/>
                            <w:sz w:val="18"/>
                          </w:rPr>
                          <w:t>3.88</w:t>
                        </w:r>
                      </w:p>
                    </w:tc>
                    <w:tc>
                      <w:tcPr>
                        <w:tcW w:w="1217" w:type="dxa"/>
                      </w:tcPr>
                      <w:p>
                        <w:pPr>
                          <w:pStyle w:val="TableParagraph"/>
                          <w:ind w:left="301" w:right="339"/>
                          <w:rPr>
                            <w:sz w:val="18"/>
                          </w:rPr>
                        </w:pPr>
                        <w:r>
                          <w:rPr>
                            <w:color w:val="231F20"/>
                            <w:sz w:val="18"/>
                          </w:rPr>
                          <w:t>1.53</w:t>
                        </w:r>
                      </w:p>
                    </w:tc>
                    <w:tc>
                      <w:tcPr>
                        <w:tcW w:w="1164" w:type="dxa"/>
                      </w:tcPr>
                      <w:p>
                        <w:pPr>
                          <w:pStyle w:val="TableParagraph"/>
                          <w:ind w:left="361"/>
                          <w:jc w:val="left"/>
                          <w:rPr>
                            <w:sz w:val="18"/>
                          </w:rPr>
                        </w:pPr>
                        <w:r>
                          <w:rPr>
                            <w:color w:val="231F20"/>
                            <w:sz w:val="18"/>
                          </w:rPr>
                          <w:t>70.09</w:t>
                        </w:r>
                      </w:p>
                    </w:tc>
                    <w:tc>
                      <w:tcPr>
                        <w:tcW w:w="1258" w:type="dxa"/>
                      </w:tcPr>
                      <w:p>
                        <w:pPr>
                          <w:pStyle w:val="TableParagraph"/>
                          <w:ind w:left="345" w:right="335"/>
                          <w:rPr>
                            <w:sz w:val="18"/>
                          </w:rPr>
                        </w:pPr>
                        <w:r>
                          <w:rPr>
                            <w:color w:val="231F20"/>
                            <w:sz w:val="18"/>
                          </w:rPr>
                          <w:t>27.61</w:t>
                        </w:r>
                      </w:p>
                    </w:tc>
                  </w:tr>
                  <w:tr>
                    <w:trPr>
                      <w:trHeight w:val="255" w:hRule="exact"/>
                    </w:trPr>
                    <w:tc>
                      <w:tcPr>
                        <w:tcW w:w="1077" w:type="dxa"/>
                      </w:tcPr>
                      <w:p>
                        <w:pPr>
                          <w:pStyle w:val="TableParagraph"/>
                          <w:ind w:left="141" w:right="141"/>
                          <w:rPr>
                            <w:sz w:val="18"/>
                          </w:rPr>
                        </w:pPr>
                        <w:r>
                          <w:rPr>
                            <w:color w:val="231F20"/>
                            <w:sz w:val="18"/>
                          </w:rPr>
                          <w:t>Jul</w:t>
                        </w:r>
                      </w:p>
                    </w:tc>
                    <w:tc>
                      <w:tcPr>
                        <w:tcW w:w="954" w:type="dxa"/>
                      </w:tcPr>
                      <w:p>
                        <w:pPr>
                          <w:pStyle w:val="TableParagraph"/>
                          <w:ind w:left="296"/>
                          <w:jc w:val="left"/>
                          <w:rPr>
                            <w:sz w:val="18"/>
                          </w:rPr>
                        </w:pPr>
                        <w:r>
                          <w:rPr>
                            <w:color w:val="231F20"/>
                            <w:sz w:val="18"/>
                          </w:rPr>
                          <w:t>3.94</w:t>
                        </w:r>
                      </w:p>
                    </w:tc>
                    <w:tc>
                      <w:tcPr>
                        <w:tcW w:w="1217" w:type="dxa"/>
                      </w:tcPr>
                      <w:p>
                        <w:pPr>
                          <w:pStyle w:val="TableParagraph"/>
                          <w:ind w:left="301" w:right="339"/>
                          <w:rPr>
                            <w:sz w:val="18"/>
                          </w:rPr>
                        </w:pPr>
                        <w:r>
                          <w:rPr>
                            <w:color w:val="231F20"/>
                            <w:sz w:val="18"/>
                          </w:rPr>
                          <w:t>1.54</w:t>
                        </w:r>
                      </w:p>
                    </w:tc>
                    <w:tc>
                      <w:tcPr>
                        <w:tcW w:w="1164" w:type="dxa"/>
                      </w:tcPr>
                      <w:p>
                        <w:pPr>
                          <w:pStyle w:val="TableParagraph"/>
                          <w:ind w:left="361"/>
                          <w:jc w:val="left"/>
                          <w:rPr>
                            <w:sz w:val="18"/>
                          </w:rPr>
                        </w:pPr>
                        <w:r>
                          <w:rPr>
                            <w:color w:val="231F20"/>
                            <w:sz w:val="18"/>
                          </w:rPr>
                          <w:t>69.86</w:t>
                        </w:r>
                      </w:p>
                    </w:tc>
                    <w:tc>
                      <w:tcPr>
                        <w:tcW w:w="1258" w:type="dxa"/>
                      </w:tcPr>
                      <w:p>
                        <w:pPr>
                          <w:pStyle w:val="TableParagraph"/>
                          <w:ind w:left="345" w:right="335"/>
                          <w:rPr>
                            <w:sz w:val="18"/>
                          </w:rPr>
                        </w:pPr>
                        <w:r>
                          <w:rPr>
                            <w:color w:val="231F20"/>
                            <w:sz w:val="18"/>
                          </w:rPr>
                          <w:t>27.31</w:t>
                        </w:r>
                      </w:p>
                    </w:tc>
                  </w:tr>
                  <w:tr>
                    <w:trPr>
                      <w:trHeight w:val="255" w:hRule="exact"/>
                    </w:trPr>
                    <w:tc>
                      <w:tcPr>
                        <w:tcW w:w="1077" w:type="dxa"/>
                      </w:tcPr>
                      <w:p>
                        <w:pPr>
                          <w:pStyle w:val="TableParagraph"/>
                          <w:ind w:left="141" w:right="141"/>
                          <w:rPr>
                            <w:sz w:val="18"/>
                          </w:rPr>
                        </w:pPr>
                        <w:r>
                          <w:rPr>
                            <w:color w:val="231F20"/>
                            <w:sz w:val="18"/>
                          </w:rPr>
                          <w:t>Ago</w:t>
                        </w:r>
                      </w:p>
                    </w:tc>
                    <w:tc>
                      <w:tcPr>
                        <w:tcW w:w="954" w:type="dxa"/>
                      </w:tcPr>
                      <w:p>
                        <w:pPr>
                          <w:pStyle w:val="TableParagraph"/>
                          <w:ind w:left="296"/>
                          <w:jc w:val="left"/>
                          <w:rPr>
                            <w:sz w:val="18"/>
                          </w:rPr>
                        </w:pPr>
                        <w:r>
                          <w:rPr>
                            <w:color w:val="231F20"/>
                            <w:sz w:val="18"/>
                          </w:rPr>
                          <w:t>3.94</w:t>
                        </w:r>
                      </w:p>
                    </w:tc>
                    <w:tc>
                      <w:tcPr>
                        <w:tcW w:w="1217" w:type="dxa"/>
                      </w:tcPr>
                      <w:p>
                        <w:pPr>
                          <w:pStyle w:val="TableParagraph"/>
                          <w:ind w:left="301" w:right="339"/>
                          <w:rPr>
                            <w:sz w:val="18"/>
                          </w:rPr>
                        </w:pPr>
                        <w:r>
                          <w:rPr>
                            <w:color w:val="231F20"/>
                            <w:sz w:val="18"/>
                          </w:rPr>
                          <w:t>1.54</w:t>
                        </w:r>
                      </w:p>
                    </w:tc>
                    <w:tc>
                      <w:tcPr>
                        <w:tcW w:w="1164" w:type="dxa"/>
                      </w:tcPr>
                      <w:p>
                        <w:pPr>
                          <w:pStyle w:val="TableParagraph"/>
                          <w:ind w:left="361"/>
                          <w:jc w:val="left"/>
                          <w:rPr>
                            <w:sz w:val="18"/>
                          </w:rPr>
                        </w:pPr>
                        <w:r>
                          <w:rPr>
                            <w:color w:val="231F20"/>
                            <w:sz w:val="18"/>
                          </w:rPr>
                          <w:t>69.86</w:t>
                        </w:r>
                      </w:p>
                    </w:tc>
                    <w:tc>
                      <w:tcPr>
                        <w:tcW w:w="1258" w:type="dxa"/>
                      </w:tcPr>
                      <w:p>
                        <w:pPr>
                          <w:pStyle w:val="TableParagraph"/>
                          <w:ind w:left="345" w:right="335"/>
                          <w:rPr>
                            <w:sz w:val="18"/>
                          </w:rPr>
                        </w:pPr>
                        <w:r>
                          <w:rPr>
                            <w:color w:val="231F20"/>
                            <w:sz w:val="18"/>
                          </w:rPr>
                          <w:t>27.31</w:t>
                        </w:r>
                      </w:p>
                    </w:tc>
                  </w:tr>
                  <w:tr>
                    <w:trPr>
                      <w:trHeight w:val="255" w:hRule="exact"/>
                    </w:trPr>
                    <w:tc>
                      <w:tcPr>
                        <w:tcW w:w="1077" w:type="dxa"/>
                      </w:tcPr>
                      <w:p>
                        <w:pPr>
                          <w:pStyle w:val="TableParagraph"/>
                          <w:ind w:left="141" w:right="141"/>
                          <w:rPr>
                            <w:sz w:val="18"/>
                          </w:rPr>
                        </w:pPr>
                        <w:r>
                          <w:rPr>
                            <w:color w:val="231F20"/>
                            <w:sz w:val="18"/>
                          </w:rPr>
                          <w:t>Sep</w:t>
                        </w:r>
                      </w:p>
                    </w:tc>
                    <w:tc>
                      <w:tcPr>
                        <w:tcW w:w="954" w:type="dxa"/>
                      </w:tcPr>
                      <w:p>
                        <w:pPr>
                          <w:pStyle w:val="TableParagraph"/>
                          <w:ind w:left="296"/>
                          <w:jc w:val="left"/>
                          <w:rPr>
                            <w:sz w:val="18"/>
                          </w:rPr>
                        </w:pPr>
                        <w:r>
                          <w:rPr>
                            <w:color w:val="231F20"/>
                            <w:sz w:val="18"/>
                          </w:rPr>
                          <w:t>3.93</w:t>
                        </w:r>
                      </w:p>
                    </w:tc>
                    <w:tc>
                      <w:tcPr>
                        <w:tcW w:w="1217" w:type="dxa"/>
                      </w:tcPr>
                      <w:p>
                        <w:pPr>
                          <w:pStyle w:val="TableParagraph"/>
                          <w:ind w:left="301" w:right="339"/>
                          <w:rPr>
                            <w:sz w:val="18"/>
                          </w:rPr>
                        </w:pPr>
                        <w:r>
                          <w:rPr>
                            <w:color w:val="231F20"/>
                            <w:sz w:val="18"/>
                          </w:rPr>
                          <w:t>1.54</w:t>
                        </w:r>
                      </w:p>
                    </w:tc>
                    <w:tc>
                      <w:tcPr>
                        <w:tcW w:w="1164" w:type="dxa"/>
                      </w:tcPr>
                      <w:p>
                        <w:pPr>
                          <w:pStyle w:val="TableParagraph"/>
                          <w:ind w:left="361"/>
                          <w:jc w:val="left"/>
                          <w:rPr>
                            <w:sz w:val="18"/>
                          </w:rPr>
                        </w:pPr>
                        <w:r>
                          <w:rPr>
                            <w:color w:val="231F20"/>
                            <w:sz w:val="18"/>
                          </w:rPr>
                          <w:t>69.93</w:t>
                        </w:r>
                      </w:p>
                    </w:tc>
                    <w:tc>
                      <w:tcPr>
                        <w:tcW w:w="1258" w:type="dxa"/>
                      </w:tcPr>
                      <w:p>
                        <w:pPr>
                          <w:pStyle w:val="TableParagraph"/>
                          <w:ind w:left="345" w:right="335"/>
                          <w:rPr>
                            <w:sz w:val="18"/>
                          </w:rPr>
                        </w:pPr>
                        <w:r>
                          <w:rPr>
                            <w:color w:val="231F20"/>
                            <w:sz w:val="18"/>
                          </w:rPr>
                          <w:t>27.40</w:t>
                        </w:r>
                      </w:p>
                    </w:tc>
                  </w:tr>
                  <w:tr>
                    <w:trPr>
                      <w:trHeight w:val="255" w:hRule="exact"/>
                    </w:trPr>
                    <w:tc>
                      <w:tcPr>
                        <w:tcW w:w="1077" w:type="dxa"/>
                      </w:tcPr>
                      <w:p>
                        <w:pPr>
                          <w:pStyle w:val="TableParagraph"/>
                          <w:ind w:left="141" w:right="141"/>
                          <w:rPr>
                            <w:sz w:val="18"/>
                          </w:rPr>
                        </w:pPr>
                        <w:r>
                          <w:rPr>
                            <w:color w:val="231F20"/>
                            <w:sz w:val="18"/>
                          </w:rPr>
                          <w:t>Oct</w:t>
                        </w:r>
                      </w:p>
                    </w:tc>
                    <w:tc>
                      <w:tcPr>
                        <w:tcW w:w="954" w:type="dxa"/>
                      </w:tcPr>
                      <w:p>
                        <w:pPr>
                          <w:pStyle w:val="TableParagraph"/>
                          <w:ind w:left="296"/>
                          <w:jc w:val="left"/>
                          <w:rPr>
                            <w:sz w:val="18"/>
                          </w:rPr>
                        </w:pPr>
                        <w:r>
                          <w:rPr>
                            <w:color w:val="231F20"/>
                            <w:sz w:val="18"/>
                          </w:rPr>
                          <w:t>3.31</w:t>
                        </w:r>
                      </w:p>
                    </w:tc>
                    <w:tc>
                      <w:tcPr>
                        <w:tcW w:w="1217" w:type="dxa"/>
                      </w:tcPr>
                      <w:p>
                        <w:pPr>
                          <w:pStyle w:val="TableParagraph"/>
                          <w:ind w:left="301" w:right="339"/>
                          <w:rPr>
                            <w:sz w:val="18"/>
                          </w:rPr>
                        </w:pPr>
                        <w:r>
                          <w:rPr>
                            <w:color w:val="231F20"/>
                            <w:sz w:val="18"/>
                          </w:rPr>
                          <w:t>1.29</w:t>
                        </w:r>
                      </w:p>
                    </w:tc>
                    <w:tc>
                      <w:tcPr>
                        <w:tcW w:w="1164" w:type="dxa"/>
                      </w:tcPr>
                      <w:p>
                        <w:pPr>
                          <w:pStyle w:val="TableParagraph"/>
                          <w:ind w:left="361"/>
                          <w:jc w:val="left"/>
                          <w:rPr>
                            <w:sz w:val="18"/>
                          </w:rPr>
                        </w:pPr>
                        <w:r>
                          <w:rPr>
                            <w:color w:val="231F20"/>
                            <w:sz w:val="18"/>
                          </w:rPr>
                          <w:t>69.82</w:t>
                        </w:r>
                      </w:p>
                    </w:tc>
                    <w:tc>
                      <w:tcPr>
                        <w:tcW w:w="1258" w:type="dxa"/>
                      </w:tcPr>
                      <w:p>
                        <w:pPr>
                          <w:pStyle w:val="TableParagraph"/>
                          <w:ind w:left="345" w:right="335"/>
                          <w:rPr>
                            <w:sz w:val="18"/>
                          </w:rPr>
                        </w:pPr>
                        <w:r>
                          <w:rPr>
                            <w:color w:val="231F20"/>
                            <w:sz w:val="18"/>
                          </w:rPr>
                          <w:t>27.25</w:t>
                        </w:r>
                      </w:p>
                    </w:tc>
                  </w:tr>
                  <w:tr>
                    <w:trPr>
                      <w:trHeight w:val="255" w:hRule="exact"/>
                    </w:trPr>
                    <w:tc>
                      <w:tcPr>
                        <w:tcW w:w="1077" w:type="dxa"/>
                      </w:tcPr>
                      <w:p>
                        <w:pPr>
                          <w:pStyle w:val="TableParagraph"/>
                          <w:ind w:left="141" w:right="141"/>
                          <w:rPr>
                            <w:sz w:val="18"/>
                          </w:rPr>
                        </w:pPr>
                        <w:r>
                          <w:rPr>
                            <w:color w:val="231F20"/>
                            <w:sz w:val="18"/>
                          </w:rPr>
                          <w:t>Nov</w:t>
                        </w:r>
                      </w:p>
                    </w:tc>
                    <w:tc>
                      <w:tcPr>
                        <w:tcW w:w="954" w:type="dxa"/>
                      </w:tcPr>
                      <w:p>
                        <w:pPr>
                          <w:pStyle w:val="TableParagraph"/>
                          <w:ind w:left="296"/>
                          <w:jc w:val="left"/>
                          <w:rPr>
                            <w:sz w:val="18"/>
                          </w:rPr>
                        </w:pPr>
                        <w:r>
                          <w:rPr>
                            <w:color w:val="231F20"/>
                            <w:sz w:val="18"/>
                          </w:rPr>
                          <w:t>3.74</w:t>
                        </w:r>
                      </w:p>
                    </w:tc>
                    <w:tc>
                      <w:tcPr>
                        <w:tcW w:w="1217" w:type="dxa"/>
                      </w:tcPr>
                      <w:p>
                        <w:pPr>
                          <w:pStyle w:val="TableParagraph"/>
                          <w:ind w:left="301" w:right="339"/>
                          <w:rPr>
                            <w:sz w:val="18"/>
                          </w:rPr>
                        </w:pPr>
                        <w:r>
                          <w:rPr>
                            <w:color w:val="231F20"/>
                            <w:sz w:val="18"/>
                          </w:rPr>
                          <w:t>1.50</w:t>
                        </w:r>
                      </w:p>
                    </w:tc>
                    <w:tc>
                      <w:tcPr>
                        <w:tcW w:w="1164" w:type="dxa"/>
                      </w:tcPr>
                      <w:p>
                        <w:pPr>
                          <w:pStyle w:val="TableParagraph"/>
                          <w:ind w:left="361"/>
                          <w:jc w:val="left"/>
                          <w:rPr>
                            <w:sz w:val="18"/>
                          </w:rPr>
                        </w:pPr>
                        <w:r>
                          <w:rPr>
                            <w:color w:val="231F20"/>
                            <w:sz w:val="18"/>
                          </w:rPr>
                          <w:t>70.08</w:t>
                        </w:r>
                      </w:p>
                    </w:tc>
                    <w:tc>
                      <w:tcPr>
                        <w:tcW w:w="1258" w:type="dxa"/>
                      </w:tcPr>
                      <w:p>
                        <w:pPr>
                          <w:pStyle w:val="TableParagraph"/>
                          <w:ind w:left="345" w:right="335"/>
                          <w:rPr>
                            <w:sz w:val="18"/>
                          </w:rPr>
                        </w:pPr>
                        <w:r>
                          <w:rPr>
                            <w:color w:val="231F20"/>
                            <w:sz w:val="18"/>
                          </w:rPr>
                          <w:t>28.09</w:t>
                        </w:r>
                      </w:p>
                    </w:tc>
                  </w:tr>
                  <w:tr>
                    <w:trPr>
                      <w:trHeight w:val="255" w:hRule="exact"/>
                    </w:trPr>
                    <w:tc>
                      <w:tcPr>
                        <w:tcW w:w="1077" w:type="dxa"/>
                      </w:tcPr>
                      <w:p>
                        <w:pPr>
                          <w:pStyle w:val="TableParagraph"/>
                          <w:ind w:left="141" w:right="141"/>
                          <w:rPr>
                            <w:sz w:val="18"/>
                          </w:rPr>
                        </w:pPr>
                        <w:r>
                          <w:rPr>
                            <w:color w:val="231F20"/>
                            <w:sz w:val="18"/>
                          </w:rPr>
                          <w:t>Dic</w:t>
                        </w:r>
                      </w:p>
                    </w:tc>
                    <w:tc>
                      <w:tcPr>
                        <w:tcW w:w="954" w:type="dxa"/>
                      </w:tcPr>
                      <w:p>
                        <w:pPr>
                          <w:pStyle w:val="TableParagraph"/>
                          <w:ind w:left="296"/>
                          <w:jc w:val="left"/>
                          <w:rPr>
                            <w:sz w:val="18"/>
                          </w:rPr>
                        </w:pPr>
                        <w:r>
                          <w:rPr>
                            <w:color w:val="231F20"/>
                            <w:sz w:val="18"/>
                          </w:rPr>
                          <w:t>6.37</w:t>
                        </w:r>
                      </w:p>
                    </w:tc>
                    <w:tc>
                      <w:tcPr>
                        <w:tcW w:w="1217" w:type="dxa"/>
                      </w:tcPr>
                      <w:p>
                        <w:pPr>
                          <w:pStyle w:val="TableParagraph"/>
                          <w:ind w:left="301" w:right="339"/>
                          <w:rPr>
                            <w:sz w:val="18"/>
                          </w:rPr>
                        </w:pPr>
                        <w:r>
                          <w:rPr>
                            <w:color w:val="231F20"/>
                            <w:sz w:val="18"/>
                          </w:rPr>
                          <w:t>2.60</w:t>
                        </w:r>
                      </w:p>
                    </w:tc>
                    <w:tc>
                      <w:tcPr>
                        <w:tcW w:w="1164" w:type="dxa"/>
                      </w:tcPr>
                      <w:p>
                        <w:pPr>
                          <w:pStyle w:val="TableParagraph"/>
                          <w:ind w:left="361"/>
                          <w:jc w:val="left"/>
                          <w:rPr>
                            <w:sz w:val="18"/>
                          </w:rPr>
                        </w:pPr>
                        <w:r>
                          <w:rPr>
                            <w:color w:val="231F20"/>
                            <w:sz w:val="18"/>
                          </w:rPr>
                          <w:t>67.43</w:t>
                        </w:r>
                      </w:p>
                    </w:tc>
                    <w:tc>
                      <w:tcPr>
                        <w:tcW w:w="1258" w:type="dxa"/>
                      </w:tcPr>
                      <w:p>
                        <w:pPr>
                          <w:pStyle w:val="TableParagraph"/>
                          <w:ind w:left="345" w:right="335"/>
                          <w:rPr>
                            <w:sz w:val="18"/>
                          </w:rPr>
                        </w:pPr>
                        <w:r>
                          <w:rPr>
                            <w:color w:val="231F20"/>
                            <w:sz w:val="18"/>
                          </w:rPr>
                          <w:t>27.54</w:t>
                        </w:r>
                      </w:p>
                    </w:tc>
                  </w:tr>
                  <w:tr>
                    <w:trPr>
                      <w:trHeight w:val="255" w:hRule="exact"/>
                    </w:trPr>
                    <w:tc>
                      <w:tcPr>
                        <w:tcW w:w="1077" w:type="dxa"/>
                      </w:tcPr>
                      <w:p>
                        <w:pPr>
                          <w:pStyle w:val="TableParagraph"/>
                          <w:ind w:left="141" w:right="141"/>
                          <w:rPr>
                            <w:sz w:val="18"/>
                          </w:rPr>
                        </w:pPr>
                        <w:r>
                          <w:rPr>
                            <w:color w:val="231F20"/>
                            <w:sz w:val="18"/>
                          </w:rPr>
                          <w:t>Promedio</w:t>
                        </w:r>
                      </w:p>
                    </w:tc>
                    <w:tc>
                      <w:tcPr>
                        <w:tcW w:w="954" w:type="dxa"/>
                      </w:tcPr>
                      <w:p>
                        <w:pPr>
                          <w:pStyle w:val="TableParagraph"/>
                          <w:ind w:left="296"/>
                          <w:jc w:val="left"/>
                          <w:rPr>
                            <w:sz w:val="18"/>
                          </w:rPr>
                        </w:pPr>
                        <w:r>
                          <w:rPr>
                            <w:color w:val="231F20"/>
                            <w:sz w:val="18"/>
                          </w:rPr>
                          <w:t>4.04</w:t>
                        </w:r>
                      </w:p>
                    </w:tc>
                    <w:tc>
                      <w:tcPr>
                        <w:tcW w:w="1217" w:type="dxa"/>
                      </w:tcPr>
                      <w:p>
                        <w:pPr>
                          <w:pStyle w:val="TableParagraph"/>
                          <w:ind w:left="301" w:right="339"/>
                          <w:rPr>
                            <w:sz w:val="18"/>
                          </w:rPr>
                        </w:pPr>
                        <w:r>
                          <w:rPr>
                            <w:color w:val="231F20"/>
                            <w:sz w:val="18"/>
                          </w:rPr>
                          <w:t>1.59</w:t>
                        </w:r>
                      </w:p>
                    </w:tc>
                    <w:tc>
                      <w:tcPr>
                        <w:tcW w:w="1164" w:type="dxa"/>
                      </w:tcPr>
                      <w:p>
                        <w:pPr>
                          <w:pStyle w:val="TableParagraph"/>
                          <w:ind w:left="361"/>
                          <w:jc w:val="left"/>
                          <w:rPr>
                            <w:sz w:val="18"/>
                          </w:rPr>
                        </w:pPr>
                        <w:r>
                          <w:rPr>
                            <w:color w:val="231F20"/>
                            <w:sz w:val="18"/>
                          </w:rPr>
                          <w:t>69.74</w:t>
                        </w:r>
                      </w:p>
                    </w:tc>
                    <w:tc>
                      <w:tcPr>
                        <w:tcW w:w="1258" w:type="dxa"/>
                      </w:tcPr>
                      <w:p>
                        <w:pPr>
                          <w:pStyle w:val="TableParagraph"/>
                          <w:ind w:left="345" w:right="335"/>
                          <w:rPr>
                            <w:sz w:val="18"/>
                          </w:rPr>
                        </w:pPr>
                        <w:r>
                          <w:rPr>
                            <w:color w:val="231F20"/>
                            <w:sz w:val="18"/>
                          </w:rPr>
                          <w:t>27.47</w:t>
                        </w:r>
                      </w:p>
                    </w:tc>
                  </w:tr>
                  <w:tr>
                    <w:trPr>
                      <w:trHeight w:val="241" w:hRule="exact"/>
                    </w:trPr>
                    <w:tc>
                      <w:tcPr>
                        <w:tcW w:w="1077" w:type="dxa"/>
                        <w:tcBorders>
                          <w:bottom w:val="single" w:sz="8" w:space="0" w:color="231F20"/>
                        </w:tcBorders>
                      </w:tcPr>
                      <w:p>
                        <w:pPr>
                          <w:pStyle w:val="TableParagraph"/>
                          <w:ind w:left="141" w:right="141"/>
                          <w:rPr>
                            <w:sz w:val="18"/>
                          </w:rPr>
                        </w:pPr>
                        <w:r>
                          <w:rPr>
                            <w:color w:val="231F20"/>
                            <w:sz w:val="18"/>
                          </w:rPr>
                          <w:t>TOTAL</w:t>
                        </w:r>
                      </w:p>
                    </w:tc>
                    <w:tc>
                      <w:tcPr>
                        <w:tcW w:w="954" w:type="dxa"/>
                        <w:tcBorders>
                          <w:bottom w:val="single" w:sz="8" w:space="0" w:color="231F20"/>
                        </w:tcBorders>
                      </w:tcPr>
                      <w:p>
                        <w:pPr/>
                      </w:p>
                    </w:tc>
                    <w:tc>
                      <w:tcPr>
                        <w:tcW w:w="1217" w:type="dxa"/>
                        <w:tcBorders>
                          <w:bottom w:val="single" w:sz="8" w:space="0" w:color="231F20"/>
                        </w:tcBorders>
                      </w:tcPr>
                      <w:p>
                        <w:pPr/>
                      </w:p>
                    </w:tc>
                    <w:tc>
                      <w:tcPr>
                        <w:tcW w:w="1164" w:type="dxa"/>
                        <w:tcBorders>
                          <w:bottom w:val="single" w:sz="8" w:space="0" w:color="231F20"/>
                        </w:tcBorders>
                      </w:tcPr>
                      <w:p>
                        <w:pPr>
                          <w:pStyle w:val="TableParagraph"/>
                          <w:ind w:left="361"/>
                          <w:jc w:val="left"/>
                          <w:rPr>
                            <w:sz w:val="18"/>
                          </w:rPr>
                        </w:pPr>
                        <w:r>
                          <w:rPr>
                            <w:color w:val="231F20"/>
                            <w:sz w:val="18"/>
                          </w:rPr>
                          <w:t>73.78</w:t>
                        </w:r>
                      </w:p>
                    </w:tc>
                    <w:tc>
                      <w:tcPr>
                        <w:tcW w:w="1258" w:type="dxa"/>
                        <w:tcBorders>
                          <w:bottom w:val="single" w:sz="8" w:space="0" w:color="231F20"/>
                        </w:tcBorders>
                      </w:tcPr>
                      <w:p>
                        <w:pPr>
                          <w:pStyle w:val="TableParagraph"/>
                          <w:ind w:left="345" w:right="335"/>
                          <w:rPr>
                            <w:sz w:val="18"/>
                          </w:rPr>
                        </w:pPr>
                        <w:r>
                          <w:rPr>
                            <w:color w:val="231F20"/>
                            <w:sz w:val="18"/>
                          </w:rPr>
                          <w:t>29.06</w:t>
                        </w:r>
                      </w:p>
                    </w:tc>
                  </w:tr>
                </w:tbl>
                <w:p>
                  <w:pPr>
                    <w:pStyle w:val="BodyText"/>
                  </w:pPr>
                </w:p>
              </w:txbxContent>
            </v:textbox>
            <w10:wrap type="none"/>
          </v:shape>
        </w:pict>
      </w:r>
      <w:r>
        <w:rPr>
          <w:color w:val="231F20"/>
        </w:rPr>
        <w:t>Mes</w:t>
      </w:r>
    </w:p>
    <w:p>
      <w:pPr>
        <w:spacing w:line="180" w:lineRule="exact" w:before="153"/>
        <w:ind w:left="579" w:right="-12" w:hanging="93"/>
        <w:jc w:val="left"/>
        <w:rPr>
          <w:b/>
          <w:sz w:val="18"/>
        </w:rPr>
      </w:pPr>
      <w:r>
        <w:rPr/>
        <w:br w:type="column"/>
      </w:r>
      <w:r>
        <w:rPr>
          <w:b/>
          <w:color w:val="231F20"/>
          <w:sz w:val="18"/>
        </w:rPr>
        <w:t>Del</w:t>
      </w:r>
      <w:r>
        <w:rPr>
          <w:b/>
          <w:color w:val="231F20"/>
          <w:spacing w:val="-9"/>
          <w:sz w:val="18"/>
        </w:rPr>
        <w:t> </w:t>
      </w:r>
      <w:r>
        <w:rPr>
          <w:b/>
          <w:color w:val="231F20"/>
          <w:sz w:val="18"/>
        </w:rPr>
        <w:t>acopiador al</w:t>
      </w:r>
      <w:r>
        <w:rPr>
          <w:b/>
          <w:color w:val="231F20"/>
          <w:spacing w:val="-12"/>
          <w:sz w:val="18"/>
        </w:rPr>
        <w:t> </w:t>
      </w:r>
      <w:r>
        <w:rPr>
          <w:b/>
          <w:color w:val="231F20"/>
          <w:sz w:val="18"/>
        </w:rPr>
        <w:t>detallista</w:t>
      </w:r>
    </w:p>
    <w:p>
      <w:pPr>
        <w:spacing w:line="196" w:lineRule="exact" w:before="126"/>
        <w:ind w:left="469" w:right="512" w:firstLine="0"/>
        <w:jc w:val="center"/>
        <w:rPr>
          <w:b/>
          <w:sz w:val="18"/>
        </w:rPr>
      </w:pPr>
      <w:r>
        <w:rPr/>
        <w:br w:type="column"/>
      </w:r>
      <w:r>
        <w:rPr>
          <w:b/>
          <w:color w:val="231F20"/>
          <w:sz w:val="18"/>
        </w:rPr>
        <w:t>Del detallista</w:t>
      </w:r>
    </w:p>
    <w:p>
      <w:pPr>
        <w:spacing w:line="196" w:lineRule="exact" w:before="0"/>
        <w:ind w:left="469" w:right="512" w:firstLine="0"/>
        <w:jc w:val="center"/>
        <w:rPr>
          <w:b/>
          <w:sz w:val="18"/>
        </w:rPr>
      </w:pPr>
      <w:r>
        <w:rPr>
          <w:b/>
          <w:color w:val="231F20"/>
          <w:sz w:val="18"/>
        </w:rPr>
        <w:t>al consumidor final</w:t>
      </w:r>
    </w:p>
    <w:p>
      <w:pPr>
        <w:spacing w:after="0" w:line="196" w:lineRule="exact"/>
        <w:jc w:val="center"/>
        <w:rPr>
          <w:sz w:val="18"/>
        </w:rPr>
        <w:sectPr>
          <w:type w:val="continuous"/>
          <w:pgSz w:w="7940" w:h="11910"/>
          <w:pgMar w:top="1420" w:bottom="0" w:left="1020" w:right="1020"/>
          <w:cols w:num="3" w:equalWidth="0">
            <w:col w:w="818" w:space="386"/>
            <w:col w:w="1640" w:space="432"/>
            <w:col w:w="2624"/>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9"/>
        </w:rPr>
      </w:pPr>
    </w:p>
    <w:p>
      <w:pPr>
        <w:spacing w:line="268" w:lineRule="auto" w:before="0"/>
        <w:ind w:left="113" w:right="112" w:firstLine="0"/>
        <w:jc w:val="both"/>
        <w:rPr>
          <w:sz w:val="16"/>
        </w:rPr>
      </w:pPr>
      <w:r>
        <w:rPr>
          <w:color w:val="231F20"/>
          <w:sz w:val="16"/>
        </w:rPr>
        <w:t>MBC= (Precio al consumidor-Precio al productor) / Precio al último consumidor x 100.</w:t>
      </w:r>
    </w:p>
    <w:p>
      <w:pPr>
        <w:spacing w:before="0"/>
        <w:ind w:left="113" w:right="0" w:firstLine="0"/>
        <w:jc w:val="both"/>
        <w:rPr>
          <w:sz w:val="16"/>
        </w:rPr>
      </w:pPr>
      <w:r>
        <w:rPr>
          <w:color w:val="231F20"/>
          <w:sz w:val="16"/>
        </w:rPr>
        <w:t>Fuente: Elaboración propia con base en información de campo.</w:t>
      </w:r>
    </w:p>
    <w:p>
      <w:pPr>
        <w:pStyle w:val="BodyText"/>
        <w:spacing w:line="273" w:lineRule="auto" w:before="96"/>
        <w:ind w:left="113" w:right="111"/>
        <w:jc w:val="both"/>
      </w:pPr>
      <w:r>
        <w:rPr>
          <w:color w:val="231F20"/>
        </w:rPr>
        <w:t>el margen total promedio fue de 23.93 $/kg, del cual los detallistas obtie- nen</w:t>
      </w:r>
      <w:r>
        <w:rPr>
          <w:color w:val="231F20"/>
          <w:spacing w:val="-3"/>
        </w:rPr>
        <w:t> </w:t>
      </w:r>
      <w:r>
        <w:rPr>
          <w:color w:val="231F20"/>
        </w:rPr>
        <w:t>el</w:t>
      </w:r>
      <w:r>
        <w:rPr>
          <w:color w:val="231F20"/>
          <w:spacing w:val="-3"/>
        </w:rPr>
        <w:t> </w:t>
      </w:r>
      <w:r>
        <w:rPr>
          <w:color w:val="231F20"/>
        </w:rPr>
        <w:t>mayor</w:t>
      </w:r>
      <w:r>
        <w:rPr>
          <w:color w:val="231F20"/>
          <w:spacing w:val="-3"/>
        </w:rPr>
        <w:t> </w:t>
      </w:r>
      <w:r>
        <w:rPr>
          <w:color w:val="231F20"/>
        </w:rPr>
        <w:t>margen</w:t>
      </w:r>
      <w:r>
        <w:rPr>
          <w:color w:val="231F20"/>
          <w:spacing w:val="-3"/>
        </w:rPr>
        <w:t> </w:t>
      </w:r>
      <w:r>
        <w:rPr>
          <w:color w:val="231F20"/>
        </w:rPr>
        <w:t>promedio</w:t>
      </w:r>
      <w:r>
        <w:rPr>
          <w:color w:val="231F20"/>
          <w:spacing w:val="-3"/>
        </w:rPr>
        <w:t> </w:t>
      </w:r>
      <w:r>
        <w:rPr>
          <w:color w:val="231F20"/>
        </w:rPr>
        <w:t>correspondiente</w:t>
      </w:r>
      <w:r>
        <w:rPr>
          <w:color w:val="231F20"/>
          <w:spacing w:val="-3"/>
        </w:rPr>
        <w:t> </w:t>
      </w:r>
      <w:r>
        <w:rPr>
          <w:color w:val="231F20"/>
        </w:rPr>
        <w:t>a</w:t>
      </w:r>
      <w:r>
        <w:rPr>
          <w:color w:val="231F20"/>
          <w:spacing w:val="-3"/>
        </w:rPr>
        <w:t> </w:t>
      </w:r>
      <w:r>
        <w:rPr>
          <w:color w:val="231F20"/>
        </w:rPr>
        <w:t>23.52</w:t>
      </w:r>
      <w:r>
        <w:rPr>
          <w:color w:val="231F20"/>
          <w:spacing w:val="-3"/>
        </w:rPr>
        <w:t> </w:t>
      </w:r>
      <w:r>
        <w:rPr>
          <w:color w:val="231F20"/>
        </w:rPr>
        <w:t>$/kg,</w:t>
      </w:r>
      <w:r>
        <w:rPr>
          <w:color w:val="231F20"/>
          <w:spacing w:val="-3"/>
        </w:rPr>
        <w:t> </w:t>
      </w:r>
      <w:r>
        <w:rPr>
          <w:color w:val="231F20"/>
        </w:rPr>
        <w:t>mientras</w:t>
      </w:r>
      <w:r>
        <w:rPr>
          <w:color w:val="231F20"/>
          <w:spacing w:val="-3"/>
        </w:rPr>
        <w:t> </w:t>
      </w:r>
      <w:r>
        <w:rPr>
          <w:color w:val="231F20"/>
        </w:rPr>
        <w:t>el restante</w:t>
      </w:r>
      <w:r>
        <w:rPr>
          <w:color w:val="231F20"/>
          <w:spacing w:val="-5"/>
        </w:rPr>
        <w:t> </w:t>
      </w:r>
      <w:r>
        <w:rPr>
          <w:color w:val="231F20"/>
        </w:rPr>
        <w:t>0.40</w:t>
      </w:r>
      <w:r>
        <w:rPr>
          <w:color w:val="231F20"/>
          <w:spacing w:val="-5"/>
        </w:rPr>
        <w:t> </w:t>
      </w:r>
      <w:r>
        <w:rPr>
          <w:color w:val="231F20"/>
        </w:rPr>
        <w:t>$/kg</w:t>
      </w:r>
      <w:r>
        <w:rPr>
          <w:color w:val="231F20"/>
          <w:spacing w:val="-5"/>
        </w:rPr>
        <w:t> </w:t>
      </w:r>
      <w:r>
        <w:rPr>
          <w:color w:val="231F20"/>
        </w:rPr>
        <w:t>se</w:t>
      </w:r>
      <w:r>
        <w:rPr>
          <w:color w:val="231F20"/>
          <w:spacing w:val="-5"/>
        </w:rPr>
        <w:t> </w:t>
      </w:r>
      <w:r>
        <w:rPr>
          <w:color w:val="231F20"/>
        </w:rPr>
        <w:t>lo</w:t>
      </w:r>
      <w:r>
        <w:rPr>
          <w:color w:val="231F20"/>
          <w:spacing w:val="-5"/>
        </w:rPr>
        <w:t> </w:t>
      </w:r>
      <w:r>
        <w:rPr>
          <w:color w:val="231F20"/>
        </w:rPr>
        <w:t>adjudican</w:t>
      </w:r>
      <w:r>
        <w:rPr>
          <w:color w:val="231F20"/>
          <w:spacing w:val="-5"/>
        </w:rPr>
        <w:t> </w:t>
      </w:r>
      <w:r>
        <w:rPr>
          <w:color w:val="231F20"/>
        </w:rPr>
        <w:t>los</w:t>
      </w:r>
      <w:r>
        <w:rPr>
          <w:color w:val="231F20"/>
          <w:spacing w:val="-5"/>
        </w:rPr>
        <w:t> </w:t>
      </w:r>
      <w:r>
        <w:rPr>
          <w:color w:val="231F20"/>
        </w:rPr>
        <w:t>acopiadores.</w:t>
      </w:r>
    </w:p>
    <w:p>
      <w:pPr>
        <w:pStyle w:val="BodyText"/>
        <w:spacing w:line="273" w:lineRule="auto"/>
        <w:ind w:left="113" w:right="111" w:firstLine="283"/>
        <w:jc w:val="both"/>
      </w:pPr>
      <w:r>
        <w:rPr>
          <w:color w:val="231F20"/>
        </w:rPr>
        <w:t>De</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spacing w:val="-3"/>
        </w:rPr>
        <w:t>manera,</w:t>
      </w:r>
      <w:r>
        <w:rPr>
          <w:color w:val="231F20"/>
          <w:spacing w:val="-9"/>
        </w:rPr>
        <w:t> </w:t>
      </w:r>
      <w:r>
        <w:rPr>
          <w:color w:val="231F20"/>
        </w:rPr>
        <w:t>se</w:t>
      </w:r>
      <w:r>
        <w:rPr>
          <w:color w:val="231F20"/>
          <w:spacing w:val="-9"/>
        </w:rPr>
        <w:t> </w:t>
      </w:r>
      <w:r>
        <w:rPr>
          <w:color w:val="231F20"/>
        </w:rPr>
        <w:t>hace</w:t>
      </w:r>
      <w:r>
        <w:rPr>
          <w:color w:val="231F20"/>
          <w:spacing w:val="-9"/>
        </w:rPr>
        <w:t> </w:t>
      </w:r>
      <w:r>
        <w:rPr>
          <w:color w:val="231F20"/>
        </w:rPr>
        <w:t>notar</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spacing w:val="-3"/>
        </w:rPr>
        <w:t>mejores</w:t>
      </w:r>
      <w:r>
        <w:rPr>
          <w:color w:val="231F20"/>
          <w:spacing w:val="-9"/>
        </w:rPr>
        <w:t> </w:t>
      </w:r>
      <w:r>
        <w:rPr>
          <w:color w:val="231F20"/>
        </w:rPr>
        <w:t>márgenes</w:t>
      </w:r>
      <w:r>
        <w:rPr>
          <w:color w:val="231F20"/>
          <w:spacing w:val="-9"/>
        </w:rPr>
        <w:t> </w:t>
      </w:r>
      <w:r>
        <w:rPr>
          <w:color w:val="231F20"/>
        </w:rPr>
        <w:t>de</w:t>
      </w:r>
      <w:r>
        <w:rPr>
          <w:color w:val="231F20"/>
          <w:spacing w:val="-9"/>
        </w:rPr>
        <w:t> </w:t>
      </w:r>
      <w:r>
        <w:rPr>
          <w:color w:val="231F20"/>
        </w:rPr>
        <w:t>comer- cialización alcanzados por los detallistas se </w:t>
      </w:r>
      <w:r>
        <w:rPr>
          <w:color w:val="231F20"/>
          <w:spacing w:val="-3"/>
        </w:rPr>
        <w:t>registran </w:t>
      </w:r>
      <w:r>
        <w:rPr>
          <w:color w:val="231F20"/>
        </w:rPr>
        <w:t>en los meses</w:t>
      </w:r>
      <w:r>
        <w:rPr>
          <w:color w:val="231F20"/>
          <w:spacing w:val="-19"/>
        </w:rPr>
        <w:t> </w:t>
      </w:r>
      <w:r>
        <w:rPr>
          <w:color w:val="231F20"/>
          <w:spacing w:val="-3"/>
        </w:rPr>
        <w:t>noviem- bre</w:t>
      </w:r>
      <w:r>
        <w:rPr>
          <w:color w:val="231F20"/>
          <w:spacing w:val="-12"/>
        </w:rPr>
        <w:t> </w:t>
      </w:r>
      <w:r>
        <w:rPr>
          <w:color w:val="231F20"/>
        </w:rPr>
        <w:t>y</w:t>
      </w:r>
      <w:r>
        <w:rPr>
          <w:color w:val="231F20"/>
          <w:spacing w:val="-12"/>
        </w:rPr>
        <w:t> </w:t>
      </w:r>
      <w:r>
        <w:rPr>
          <w:color w:val="231F20"/>
          <w:spacing w:val="-4"/>
        </w:rPr>
        <w:t>mayo,</w:t>
      </w:r>
      <w:r>
        <w:rPr>
          <w:color w:val="231F20"/>
          <w:spacing w:val="-12"/>
        </w:rPr>
        <w:t> </w:t>
      </w:r>
      <w:r>
        <w:rPr>
          <w:color w:val="231F20"/>
        </w:rPr>
        <w:t>con</w:t>
      </w:r>
      <w:r>
        <w:rPr>
          <w:color w:val="231F20"/>
          <w:spacing w:val="-12"/>
        </w:rPr>
        <w:t> </w:t>
      </w:r>
      <w:r>
        <w:rPr>
          <w:color w:val="231F20"/>
        </w:rPr>
        <w:t>montos</w:t>
      </w:r>
      <w:r>
        <w:rPr>
          <w:color w:val="231F20"/>
          <w:spacing w:val="-12"/>
        </w:rPr>
        <w:t> </w:t>
      </w:r>
      <w:r>
        <w:rPr>
          <w:color w:val="231F20"/>
        </w:rPr>
        <w:t>de</w:t>
      </w:r>
      <w:r>
        <w:rPr>
          <w:color w:val="231F20"/>
          <w:spacing w:val="-12"/>
        </w:rPr>
        <w:t> </w:t>
      </w:r>
      <w:r>
        <w:rPr>
          <w:color w:val="231F20"/>
        </w:rPr>
        <w:t>24.23</w:t>
      </w:r>
      <w:r>
        <w:rPr>
          <w:color w:val="231F20"/>
          <w:spacing w:val="-12"/>
        </w:rPr>
        <w:t> </w:t>
      </w:r>
      <w:r>
        <w:rPr>
          <w:color w:val="231F20"/>
        </w:rPr>
        <w:t>y</w:t>
      </w:r>
      <w:r>
        <w:rPr>
          <w:color w:val="231F20"/>
          <w:spacing w:val="-12"/>
        </w:rPr>
        <w:t> </w:t>
      </w:r>
      <w:r>
        <w:rPr>
          <w:color w:val="231F20"/>
        </w:rPr>
        <w:t>23.93</w:t>
      </w:r>
      <w:r>
        <w:rPr>
          <w:color w:val="231F20"/>
          <w:spacing w:val="-12"/>
        </w:rPr>
        <w:t> </w:t>
      </w:r>
      <w:r>
        <w:rPr>
          <w:color w:val="231F20"/>
        </w:rPr>
        <w:t>$/kg</w:t>
      </w:r>
      <w:r>
        <w:rPr>
          <w:color w:val="231F20"/>
          <w:spacing w:val="-12"/>
        </w:rPr>
        <w:t> </w:t>
      </w:r>
      <w:r>
        <w:rPr>
          <w:color w:val="231F20"/>
          <w:spacing w:val="-3"/>
        </w:rPr>
        <w:t>respectivamente.</w:t>
      </w:r>
      <w:r>
        <w:rPr>
          <w:color w:val="231F20"/>
          <w:spacing w:val="-12"/>
        </w:rPr>
        <w:t> </w:t>
      </w:r>
      <w:r>
        <w:rPr>
          <w:color w:val="231F20"/>
          <w:spacing w:val="-3"/>
        </w:rPr>
        <w:t>Por</w:t>
      </w:r>
      <w:r>
        <w:rPr>
          <w:color w:val="231F20"/>
          <w:spacing w:val="-12"/>
        </w:rPr>
        <w:t> </w:t>
      </w:r>
      <w:r>
        <w:rPr>
          <w:color w:val="231F20"/>
        </w:rPr>
        <w:t>su</w:t>
      </w:r>
      <w:r>
        <w:rPr>
          <w:color w:val="231F20"/>
          <w:spacing w:val="-12"/>
        </w:rPr>
        <w:t> </w:t>
      </w:r>
      <w:r>
        <w:rPr>
          <w:color w:val="231F20"/>
          <w:spacing w:val="-3"/>
        </w:rPr>
        <w:t>parte, </w:t>
      </w:r>
      <w:r>
        <w:rPr>
          <w:color w:val="231F20"/>
        </w:rPr>
        <w:t>los</w:t>
      </w:r>
      <w:r>
        <w:rPr>
          <w:color w:val="231F20"/>
          <w:spacing w:val="-5"/>
        </w:rPr>
        <w:t> </w:t>
      </w:r>
      <w:r>
        <w:rPr>
          <w:color w:val="231F20"/>
        </w:rPr>
        <w:t>acopiadores</w:t>
      </w:r>
      <w:r>
        <w:rPr>
          <w:color w:val="231F20"/>
          <w:spacing w:val="-6"/>
        </w:rPr>
        <w:t> </w:t>
      </w:r>
      <w:r>
        <w:rPr>
          <w:color w:val="231F20"/>
          <w:spacing w:val="-3"/>
        </w:rPr>
        <w:t>registraron</w:t>
      </w:r>
      <w:r>
        <w:rPr>
          <w:color w:val="231F20"/>
          <w:spacing w:val="-6"/>
        </w:rPr>
        <w:t> </w:t>
      </w:r>
      <w:r>
        <w:rPr>
          <w:color w:val="231F20"/>
        </w:rPr>
        <w:t>su</w:t>
      </w:r>
      <w:r>
        <w:rPr>
          <w:color w:val="231F20"/>
          <w:spacing w:val="-6"/>
        </w:rPr>
        <w:t> </w:t>
      </w:r>
      <w:r>
        <w:rPr>
          <w:color w:val="231F20"/>
          <w:spacing w:val="-4"/>
        </w:rPr>
        <w:t>mayor</w:t>
      </w:r>
      <w:r>
        <w:rPr>
          <w:color w:val="231F20"/>
          <w:spacing w:val="-6"/>
        </w:rPr>
        <w:t> </w:t>
      </w:r>
      <w:r>
        <w:rPr>
          <w:color w:val="231F20"/>
          <w:spacing w:val="-2"/>
        </w:rPr>
        <w:t>margen</w:t>
      </w:r>
      <w:r>
        <w:rPr>
          <w:color w:val="231F20"/>
          <w:spacing w:val="-5"/>
        </w:rPr>
        <w:t> </w:t>
      </w:r>
      <w:r>
        <w:rPr>
          <w:color w:val="231F20"/>
        </w:rPr>
        <w:t>de</w:t>
      </w:r>
      <w:r>
        <w:rPr>
          <w:color w:val="231F20"/>
          <w:spacing w:val="-6"/>
        </w:rPr>
        <w:t> </w:t>
      </w:r>
      <w:r>
        <w:rPr>
          <w:color w:val="231F20"/>
          <w:spacing w:val="-3"/>
        </w:rPr>
        <w:t>comercialización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spacing w:val="-2"/>
        </w:rPr>
        <w:t>mes </w:t>
      </w:r>
      <w:r>
        <w:rPr>
          <w:color w:val="231F20"/>
        </w:rPr>
        <w:t>de</w:t>
      </w:r>
      <w:r>
        <w:rPr>
          <w:color w:val="231F20"/>
          <w:spacing w:val="-6"/>
        </w:rPr>
        <w:t> </w:t>
      </w:r>
      <w:r>
        <w:rPr>
          <w:color w:val="231F20"/>
          <w:spacing w:val="-3"/>
        </w:rPr>
        <w:t>diciembre</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monto</w:t>
      </w:r>
      <w:r>
        <w:rPr>
          <w:color w:val="231F20"/>
          <w:spacing w:val="-6"/>
        </w:rPr>
        <w:t> </w:t>
      </w:r>
      <w:r>
        <w:rPr>
          <w:color w:val="231F20"/>
          <w:spacing w:val="-3"/>
        </w:rPr>
        <w:t>aproximado</w:t>
      </w:r>
      <w:r>
        <w:rPr>
          <w:color w:val="231F20"/>
          <w:spacing w:val="-5"/>
        </w:rPr>
        <w:t> </w:t>
      </w:r>
      <w:r>
        <w:rPr>
          <w:color w:val="231F20"/>
        </w:rPr>
        <w:t>de</w:t>
      </w:r>
      <w:r>
        <w:rPr>
          <w:color w:val="231F20"/>
          <w:spacing w:val="-6"/>
        </w:rPr>
        <w:t> </w:t>
      </w:r>
      <w:r>
        <w:rPr>
          <w:color w:val="231F20"/>
        </w:rPr>
        <w:t>1.41</w:t>
      </w:r>
      <w:r>
        <w:rPr>
          <w:color w:val="231F20"/>
          <w:spacing w:val="-6"/>
        </w:rPr>
        <w:t> </w:t>
      </w:r>
      <w:r>
        <w:rPr>
          <w:color w:val="231F20"/>
        </w:rPr>
        <w:t>$/kg</w:t>
      </w:r>
      <w:r>
        <w:rPr>
          <w:color w:val="231F20"/>
          <w:spacing w:val="-6"/>
        </w:rPr>
        <w:t> </w:t>
      </w:r>
      <w:r>
        <w:rPr>
          <w:color w:val="231F20"/>
          <w:spacing w:val="-3"/>
        </w:rPr>
        <w:t>(véase</w:t>
      </w:r>
      <w:r>
        <w:rPr>
          <w:color w:val="231F20"/>
          <w:spacing w:val="-6"/>
        </w:rPr>
        <w:t> </w:t>
      </w:r>
      <w:r>
        <w:rPr>
          <w:color w:val="231F20"/>
          <w:spacing w:val="-3"/>
        </w:rPr>
        <w:t>cuadro</w:t>
      </w:r>
      <w:r>
        <w:rPr>
          <w:color w:val="231F20"/>
          <w:spacing w:val="-6"/>
        </w:rPr>
        <w:t> </w:t>
      </w:r>
      <w:r>
        <w:rPr>
          <w:color w:val="231F20"/>
        </w:rPr>
        <w:t>34).</w:t>
      </w:r>
    </w:p>
    <w:p>
      <w:pPr>
        <w:pStyle w:val="BodyText"/>
      </w:pPr>
    </w:p>
    <w:p>
      <w:pPr>
        <w:pStyle w:val="BodyText"/>
        <w:spacing w:before="2"/>
        <w:rPr>
          <w:sz w:val="16"/>
        </w:rPr>
      </w:pPr>
    </w:p>
    <w:p>
      <w:pPr>
        <w:pStyle w:val="Heading3"/>
      </w:pPr>
      <w:r>
        <w:rPr>
          <w:color w:val="231F20"/>
        </w:rPr>
        <w:t>CONCLUSIONES</w:t>
      </w:r>
    </w:p>
    <w:p>
      <w:pPr>
        <w:pStyle w:val="BodyText"/>
        <w:spacing w:before="8"/>
        <w:rPr>
          <w:b/>
          <w:sz w:val="24"/>
        </w:rPr>
      </w:pPr>
    </w:p>
    <w:p>
      <w:pPr>
        <w:pStyle w:val="BodyText"/>
        <w:spacing w:line="273" w:lineRule="auto" w:before="1"/>
        <w:ind w:left="113" w:right="111"/>
        <w:jc w:val="both"/>
      </w:pPr>
      <w:r>
        <w:rPr>
          <w:color w:val="231F20"/>
        </w:rPr>
        <w:t>En la región Sur del Estado de México predomina la porcicultura de tras- patio o extensiva. Los principales agentes participantes en el proceso    de</w:t>
      </w:r>
    </w:p>
    <w:p>
      <w:pPr>
        <w:spacing w:after="0" w:line="273" w:lineRule="auto"/>
        <w:jc w:val="both"/>
        <w:sectPr>
          <w:type w:val="continuous"/>
          <w:pgSz w:w="7940" w:h="11910"/>
          <w:pgMar w:top="1420" w:bottom="0" w:left="1020" w:right="1020"/>
        </w:sectPr>
      </w:pPr>
    </w:p>
    <w:p>
      <w:pPr>
        <w:pStyle w:val="BodyText"/>
        <w:spacing w:before="4"/>
        <w:rPr>
          <w:sz w:val="26"/>
        </w:rPr>
      </w:pPr>
    </w:p>
    <w:p>
      <w:pPr>
        <w:pStyle w:val="Heading5"/>
        <w:spacing w:before="70"/>
        <w:ind w:left="19" w:right="0"/>
      </w:pPr>
      <w:r>
        <w:rPr>
          <w:color w:val="231F20"/>
        </w:rPr>
        <w:t>Cuadro 34</w:t>
      </w:r>
    </w:p>
    <w:p>
      <w:pPr>
        <w:spacing w:before="32"/>
        <w:ind w:left="19" w:right="0" w:firstLine="0"/>
        <w:jc w:val="center"/>
        <w:rPr>
          <w:b/>
          <w:sz w:val="22"/>
        </w:rPr>
      </w:pPr>
      <w:r>
        <w:rPr/>
        <w:pict>
          <v:group style="position:absolute;margin-left:56.192902pt;margin-top:20.556034pt;width:481.9pt;height:1pt;mso-position-horizontal-relative:page;mso-position-vertical-relative:paragraph;z-index:1792" coordorigin="1124,411" coordsize="9638,20">
            <v:line style="position:absolute" from="1134,421" to="1874,421" stroked="true" strokeweight="1pt" strokecolor="#231f20"/>
            <v:line style="position:absolute" from="1874,421" to="2614,421" stroked="true" strokeweight="1pt" strokecolor="#231f20"/>
            <v:line style="position:absolute" from="2614,421" to="3353,421" stroked="true" strokeweight="1pt" strokecolor="#231f20"/>
            <v:line style="position:absolute" from="3353,421" to="4093,421" stroked="true" strokeweight="1pt" strokecolor="#231f20"/>
            <v:line style="position:absolute" from="4093,421" to="4833,421" stroked="true" strokeweight="1pt" strokecolor="#231f20"/>
            <v:line style="position:absolute" from="4833,421" to="5573,421" stroked="true" strokeweight="1pt" strokecolor="#231f20"/>
            <v:line style="position:absolute" from="5573,421" to="6313,421" stroked="true" strokeweight="1pt" strokecolor="#231f20"/>
            <v:line style="position:absolute" from="6313,421" to="7053,421" stroked="true" strokeweight="1pt" strokecolor="#231f20"/>
            <v:line style="position:absolute" from="7053,421" to="7792,421" stroked="true" strokeweight="1pt" strokecolor="#231f20"/>
            <v:line style="position:absolute" from="7792,421" to="8532,421" stroked="true" strokeweight="1pt" strokecolor="#231f20"/>
            <v:line style="position:absolute" from="8532,421" to="9272,421" stroked="true" strokeweight="1pt" strokecolor="#231f20"/>
            <v:line style="position:absolute" from="9272,421" to="10012,421" stroked="true" strokeweight="1pt" strokecolor="#231f20"/>
            <v:line style="position:absolute" from="10012,421" to="10752,421" stroked="true" strokeweight="1pt" strokecolor="#231f20"/>
            <w10:wrap type="none"/>
          </v:group>
        </w:pict>
      </w:r>
      <w:r>
        <w:rPr>
          <w:b/>
          <w:color w:val="231F20"/>
          <w:sz w:val="22"/>
        </w:rPr>
        <w:t>Márgenes de comercialización totales por tipo de agente ($/kg)</w:t>
      </w:r>
    </w:p>
    <w:p>
      <w:pPr>
        <w:spacing w:after="0"/>
        <w:jc w:val="center"/>
        <w:rPr>
          <w:sz w:val="22"/>
        </w:rPr>
        <w:sectPr>
          <w:footerReference w:type="default" r:id="rId13"/>
          <w:pgSz w:w="11910" w:h="7940" w:orient="landscape"/>
          <w:pgMar w:footer="0" w:header="0" w:top="700" w:bottom="280" w:left="1020" w:right="1040"/>
        </w:sectPr>
      </w:pPr>
    </w:p>
    <w:p>
      <w:pPr>
        <w:pStyle w:val="BodyText"/>
        <w:rPr>
          <w:b/>
        </w:rPr>
      </w:pPr>
    </w:p>
    <w:p>
      <w:pPr>
        <w:pStyle w:val="BodyText"/>
        <w:spacing w:before="6"/>
        <w:rPr>
          <w:b/>
          <w:sz w:val="21"/>
        </w:rPr>
      </w:pPr>
    </w:p>
    <w:p>
      <w:pPr>
        <w:pStyle w:val="Heading6"/>
        <w:spacing w:line="152" w:lineRule="exact"/>
        <w:ind w:left="318" w:right="-20"/>
      </w:pPr>
      <w:r>
        <w:rPr>
          <w:color w:val="231F20"/>
        </w:rPr>
        <w:t>Mes</w:t>
      </w:r>
    </w:p>
    <w:p>
      <w:pPr>
        <w:pStyle w:val="BodyText"/>
        <w:spacing w:before="8"/>
        <w:rPr>
          <w:b/>
          <w:sz w:val="15"/>
        </w:rPr>
      </w:pPr>
      <w:r>
        <w:rPr/>
        <w:br w:type="column"/>
      </w:r>
      <w:r>
        <w:rPr>
          <w:b/>
          <w:sz w:val="15"/>
        </w:rPr>
      </w:r>
    </w:p>
    <w:p>
      <w:pPr>
        <w:spacing w:line="180" w:lineRule="exact" w:before="0"/>
        <w:ind w:left="790" w:right="-7" w:hanging="472"/>
        <w:jc w:val="left"/>
        <w:rPr>
          <w:b/>
          <w:sz w:val="18"/>
        </w:rPr>
      </w:pPr>
      <w:r>
        <w:rPr/>
        <w:pict>
          <v:group style="position:absolute;margin-left:93.184402pt;margin-top:18.534697pt;width:444.9pt;height:1pt;mso-position-horizontal-relative:page;mso-position-vertical-relative:paragraph;z-index:1816" coordorigin="1864,371" coordsize="8898,20">
            <v:line style="position:absolute" from="7792,381" to="8532,381" stroked="true" strokeweight="1pt" strokecolor="#231f20"/>
            <v:line style="position:absolute" from="8532,381" to="9272,381" stroked="true" strokeweight="1pt" strokecolor="#231f20"/>
            <v:line style="position:absolute" from="9272,381" to="10012,381" stroked="true" strokeweight="1pt" strokecolor="#231f20"/>
            <v:line style="position:absolute" from="10012,381" to="10752,381" stroked="true" strokeweight="1pt" strokecolor="#231f20"/>
            <v:line style="position:absolute" from="1874,381" to="2614,381" stroked="true" strokeweight="1pt" strokecolor="#231f20"/>
            <v:line style="position:absolute" from="2614,381" to="3353,381" stroked="true" strokeweight="1pt" strokecolor="#231f20"/>
            <v:line style="position:absolute" from="3353,381" to="4093,381" stroked="true" strokeweight="1pt" strokecolor="#231f20"/>
            <v:line style="position:absolute" from="4093,381" to="4833,381" stroked="true" strokeweight="1pt" strokecolor="#231f20"/>
            <v:line style="position:absolute" from="4833,381" to="5573,381" stroked="true" strokeweight="1pt" strokecolor="#231f20"/>
            <v:line style="position:absolute" from="5573,381" to="6313,381" stroked="true" strokeweight="1pt" strokecolor="#231f20"/>
            <v:line style="position:absolute" from="6313,381" to="7053,381" stroked="true" strokeweight="1pt" strokecolor="#231f20"/>
            <v:line style="position:absolute" from="7053,381" to="7792,381" stroked="true" strokeweight="1pt" strokecolor="#231f20"/>
            <w10:wrap type="none"/>
          </v:group>
        </w:pict>
      </w:r>
      <w:r>
        <w:rPr>
          <w:b/>
          <w:color w:val="231F20"/>
          <w:sz w:val="18"/>
        </w:rPr>
        <w:t>Productor –</w:t>
      </w:r>
      <w:r>
        <w:rPr>
          <w:b/>
          <w:color w:val="231F20"/>
          <w:spacing w:val="-21"/>
          <w:sz w:val="18"/>
        </w:rPr>
        <w:t> </w:t>
      </w:r>
      <w:r>
        <w:rPr>
          <w:b/>
          <w:color w:val="231F20"/>
          <w:sz w:val="18"/>
        </w:rPr>
        <w:t>Acopiador (Margen</w:t>
      </w:r>
      <w:r>
        <w:rPr>
          <w:b/>
          <w:color w:val="231F20"/>
          <w:spacing w:val="-7"/>
          <w:sz w:val="18"/>
        </w:rPr>
        <w:t> </w:t>
      </w:r>
      <w:r>
        <w:rPr>
          <w:b/>
          <w:color w:val="231F20"/>
          <w:sz w:val="18"/>
        </w:rPr>
        <w:t>1)</w:t>
      </w:r>
    </w:p>
    <w:p>
      <w:pPr>
        <w:pStyle w:val="BodyText"/>
        <w:spacing w:before="8"/>
        <w:rPr>
          <w:b/>
          <w:sz w:val="15"/>
        </w:rPr>
      </w:pPr>
      <w:r>
        <w:rPr/>
        <w:br w:type="column"/>
      </w:r>
      <w:r>
        <w:rPr>
          <w:b/>
          <w:sz w:val="15"/>
        </w:rPr>
      </w:r>
    </w:p>
    <w:p>
      <w:pPr>
        <w:spacing w:line="180" w:lineRule="exact" w:before="0"/>
        <w:ind w:left="767" w:right="-11" w:hanging="450"/>
        <w:jc w:val="left"/>
        <w:rPr>
          <w:b/>
          <w:sz w:val="18"/>
        </w:rPr>
      </w:pPr>
      <w:r>
        <w:rPr>
          <w:b/>
          <w:color w:val="231F20"/>
          <w:sz w:val="18"/>
        </w:rPr>
        <w:t>Acopiador –</w:t>
      </w:r>
      <w:r>
        <w:rPr>
          <w:b/>
          <w:color w:val="231F20"/>
          <w:spacing w:val="-11"/>
          <w:sz w:val="18"/>
        </w:rPr>
        <w:t> </w:t>
      </w:r>
      <w:r>
        <w:rPr>
          <w:b/>
          <w:color w:val="231F20"/>
          <w:sz w:val="18"/>
        </w:rPr>
        <w:t>Detallista (Margen</w:t>
      </w:r>
      <w:r>
        <w:rPr>
          <w:b/>
          <w:color w:val="231F20"/>
          <w:spacing w:val="-7"/>
          <w:sz w:val="18"/>
        </w:rPr>
        <w:t> </w:t>
      </w:r>
      <w:r>
        <w:rPr>
          <w:b/>
          <w:color w:val="231F20"/>
          <w:sz w:val="18"/>
        </w:rPr>
        <w:t>2)</w:t>
      </w:r>
    </w:p>
    <w:p>
      <w:pPr>
        <w:pStyle w:val="BodyText"/>
        <w:spacing w:before="8"/>
        <w:rPr>
          <w:b/>
          <w:sz w:val="15"/>
        </w:rPr>
      </w:pPr>
      <w:r>
        <w:rPr/>
        <w:br w:type="column"/>
      </w:r>
      <w:r>
        <w:rPr>
          <w:b/>
          <w:sz w:val="15"/>
        </w:rPr>
      </w:r>
    </w:p>
    <w:p>
      <w:pPr>
        <w:spacing w:line="180" w:lineRule="exact" w:before="0"/>
        <w:ind w:left="446" w:right="671" w:hanging="129"/>
        <w:jc w:val="left"/>
        <w:rPr>
          <w:b/>
          <w:sz w:val="18"/>
        </w:rPr>
      </w:pPr>
      <w:r>
        <w:rPr>
          <w:b/>
          <w:color w:val="231F20"/>
          <w:sz w:val="18"/>
        </w:rPr>
        <w:t>Detallista – Productor (Margen Absoluto)</w:t>
      </w:r>
    </w:p>
    <w:p>
      <w:pPr>
        <w:spacing w:after="0" w:line="180" w:lineRule="exact"/>
        <w:jc w:val="left"/>
        <w:rPr>
          <w:sz w:val="18"/>
        </w:rPr>
        <w:sectPr>
          <w:type w:val="continuous"/>
          <w:pgSz w:w="11910" w:h="7940" w:orient="landscape"/>
          <w:pgMar w:top="1420" w:bottom="0" w:left="1020" w:right="1040"/>
          <w:cols w:num="4" w:equalWidth="0">
            <w:col w:w="649" w:space="433"/>
            <w:col w:w="2184" w:space="798"/>
            <w:col w:w="2139" w:space="826"/>
            <w:col w:w="2821"/>
          </w:cols>
        </w:sectPr>
      </w:pPr>
    </w:p>
    <w:p>
      <w:pPr>
        <w:spacing w:line="125" w:lineRule="exact" w:before="0"/>
        <w:ind w:left="3107" w:right="1997" w:firstLine="0"/>
        <w:jc w:val="center"/>
        <w:rPr>
          <w:b/>
          <w:sz w:val="18"/>
        </w:rPr>
      </w:pPr>
      <w:r>
        <w:rPr/>
        <w:pict>
          <v:shape style="position:absolute;margin-left:106.8694pt;margin-top:4.5pt;width:84.95pt;height:9pt;mso-position-horizontal-relative:page;mso-position-vertical-relative:paragraph;z-index:1840" type="#_x0000_t202" filled="false" stroked="false">
            <v:textbox inset="0,0,0,0">
              <w:txbxContent>
                <w:p>
                  <w:pPr>
                    <w:tabs>
                      <w:tab w:pos="744" w:val="left" w:leader="none"/>
                      <w:tab w:pos="1473" w:val="left" w:leader="none"/>
                    </w:tabs>
                    <w:spacing w:line="180" w:lineRule="exact" w:before="0"/>
                    <w:ind w:left="0" w:right="0" w:firstLine="0"/>
                    <w:jc w:val="left"/>
                    <w:rPr>
                      <w:b/>
                      <w:sz w:val="18"/>
                    </w:rPr>
                  </w:pPr>
                  <w:r>
                    <w:rPr>
                      <w:b/>
                      <w:color w:val="231F20"/>
                      <w:sz w:val="18"/>
                    </w:rPr>
                    <w:t>PC</w:t>
                    <w:tab/>
                    <w:t>CC</w:t>
                    <w:tab/>
                    <w:t>PV</w:t>
                  </w:r>
                </w:p>
              </w:txbxContent>
            </v:textbox>
            <w10:wrap type="none"/>
          </v:shape>
        </w:pict>
      </w:r>
      <w:r>
        <w:rPr>
          <w:b/>
          <w:color w:val="231F20"/>
          <w:sz w:val="18"/>
        </w:rPr>
        <w:t>Margen</w:t>
      </w:r>
    </w:p>
    <w:p>
      <w:pPr>
        <w:tabs>
          <w:tab w:pos="4076" w:val="left" w:leader="none"/>
          <w:tab w:pos="4820" w:val="left" w:leader="none"/>
          <w:tab w:pos="5550" w:val="left" w:leader="none"/>
        </w:tabs>
        <w:spacing w:line="241" w:lineRule="exact" w:before="0"/>
        <w:ind w:left="3293" w:right="0" w:firstLine="0"/>
        <w:jc w:val="left"/>
        <w:rPr>
          <w:b/>
          <w:sz w:val="18"/>
        </w:rPr>
      </w:pPr>
      <w:r>
        <w:rPr>
          <w:b/>
          <w:color w:val="231F20"/>
          <w:position w:val="-8"/>
          <w:sz w:val="18"/>
        </w:rPr>
        <w:t>(M)</w:t>
        <w:tab/>
      </w:r>
      <w:r>
        <w:rPr>
          <w:b/>
          <w:color w:val="231F20"/>
          <w:sz w:val="18"/>
        </w:rPr>
        <w:t>PC</w:t>
        <w:tab/>
        <w:t>CC</w:t>
        <w:tab/>
        <w:t>PV</w:t>
      </w:r>
    </w:p>
    <w:p>
      <w:pPr>
        <w:spacing w:line="125" w:lineRule="exact" w:before="0"/>
        <w:ind w:left="274" w:right="0" w:firstLine="0"/>
        <w:jc w:val="left"/>
        <w:rPr>
          <w:b/>
          <w:sz w:val="18"/>
        </w:rPr>
      </w:pPr>
      <w:r>
        <w:rPr/>
        <w:br w:type="column"/>
      </w:r>
      <w:r>
        <w:rPr>
          <w:b/>
          <w:color w:val="231F20"/>
          <w:sz w:val="18"/>
        </w:rPr>
        <w:t>Margen</w:t>
      </w:r>
    </w:p>
    <w:p>
      <w:pPr>
        <w:tabs>
          <w:tab w:pos="1220" w:val="left" w:leader="none"/>
          <w:tab w:pos="1965" w:val="left" w:leader="none"/>
          <w:tab w:pos="2694" w:val="left" w:leader="none"/>
        </w:tabs>
        <w:spacing w:line="241" w:lineRule="exact" w:before="0"/>
        <w:ind w:left="437" w:right="0" w:firstLine="0"/>
        <w:jc w:val="left"/>
        <w:rPr>
          <w:b/>
          <w:sz w:val="18"/>
        </w:rPr>
      </w:pPr>
      <w:r>
        <w:rPr>
          <w:b/>
          <w:color w:val="231F20"/>
          <w:position w:val="-8"/>
          <w:sz w:val="18"/>
        </w:rPr>
        <w:t>(M)</w:t>
        <w:tab/>
      </w:r>
      <w:r>
        <w:rPr>
          <w:b/>
          <w:color w:val="231F20"/>
          <w:sz w:val="18"/>
        </w:rPr>
        <w:t>PC</w:t>
        <w:tab/>
        <w:t>CC</w:t>
        <w:tab/>
        <w:t>PV</w:t>
      </w:r>
    </w:p>
    <w:p>
      <w:pPr>
        <w:spacing w:line="180" w:lineRule="exact" w:before="2"/>
        <w:ind w:left="437" w:right="152" w:hanging="164"/>
        <w:jc w:val="left"/>
        <w:rPr>
          <w:b/>
          <w:sz w:val="18"/>
        </w:rPr>
      </w:pPr>
      <w:r>
        <w:rPr/>
        <w:br w:type="column"/>
      </w:r>
      <w:r>
        <w:rPr>
          <w:b/>
          <w:color w:val="231F20"/>
          <w:sz w:val="18"/>
        </w:rPr>
        <w:t>Margen (M)</w:t>
      </w:r>
    </w:p>
    <w:p>
      <w:pPr>
        <w:spacing w:after="0" w:line="180" w:lineRule="exact"/>
        <w:jc w:val="left"/>
        <w:rPr>
          <w:sz w:val="18"/>
        </w:rPr>
        <w:sectPr>
          <w:type w:val="continuous"/>
          <w:pgSz w:w="11910" w:h="7940" w:orient="landscape"/>
          <w:pgMar w:top="1420" w:bottom="0" w:left="1020" w:right="1040"/>
          <w:cols w:num="3" w:equalWidth="0">
            <w:col w:w="5775" w:space="40"/>
            <w:col w:w="2920" w:space="40"/>
            <w:col w:w="1075"/>
          </w:cols>
        </w:sectPr>
      </w:pPr>
    </w:p>
    <w:p>
      <w:pPr>
        <w:pStyle w:val="BodyText"/>
        <w:spacing w:line="20" w:lineRule="exact"/>
        <w:ind w:left="103"/>
        <w:rPr>
          <w:sz w:val="2"/>
        </w:rPr>
      </w:pPr>
      <w:r>
        <w:rPr/>
        <w:pict>
          <v:shape style="position:absolute;margin-left:22.442366pt;margin-top:190.780701pt;width:10pt;height:15.3pt;mso-position-horizontal-relative:page;mso-position-vertical-relative:page;z-index:1864" type="#_x0000_t202" filled="false" stroked="false">
            <v:textbox inset="0,0,0,0" style="layout-flow:vertical">
              <w:txbxContent>
                <w:p>
                  <w:pPr>
                    <w:spacing w:line="185" w:lineRule="exact" w:before="0"/>
                    <w:ind w:left="20" w:right="-106" w:firstLine="0"/>
                    <w:jc w:val="left"/>
                    <w:rPr>
                      <w:sz w:val="16"/>
                    </w:rPr>
                  </w:pPr>
                  <w:r>
                    <w:rPr>
                      <w:color w:val="231F20"/>
                      <w:sz w:val="16"/>
                    </w:rPr>
                    <w:t>100</w:t>
                  </w:r>
                </w:p>
              </w:txbxContent>
            </v:textbox>
            <w10:wrap type="none"/>
          </v:shape>
        </w:pict>
      </w:r>
      <w:r>
        <w:rPr>
          <w:sz w:val="2"/>
        </w:rPr>
        <w:pict>
          <v:group style="width:481.9pt;height:1pt;mso-position-horizontal-relative:char;mso-position-vertical-relative:line" coordorigin="0,0" coordsize="9638,20">
            <v:line style="position:absolute" from="10,10" to="750,10" stroked="true" strokeweight="1pt" strokecolor="#231f20"/>
            <v:line style="position:absolute" from="750,10" to="1490,10" stroked="true" strokeweight="1pt" strokecolor="#231f20"/>
            <v:line style="position:absolute" from="1490,10" to="2230,10" stroked="true" strokeweight="1pt" strokecolor="#231f20"/>
            <v:line style="position:absolute" from="2229,10" to="2969,10" stroked="true" strokeweight="1pt" strokecolor="#231f20"/>
            <v:line style="position:absolute" from="2969,10" to="3709,10" stroked="true" strokeweight="1pt" strokecolor="#231f20"/>
            <v:line style="position:absolute" from="3709,10" to="4449,10" stroked="true" strokeweight="1pt" strokecolor="#231f20"/>
            <v:line style="position:absolute" from="4449,10" to="5189,10" stroked="true" strokeweight="1pt" strokecolor="#231f20"/>
            <v:line style="position:absolute" from="5189,10" to="5929,10" stroked="true" strokeweight="1pt" strokecolor="#231f20"/>
            <v:line style="position:absolute" from="5929,10" to="6668,10" stroked="true" strokeweight="1pt" strokecolor="#231f20"/>
            <v:line style="position:absolute" from="6668,10" to="7408,10" stroked="true" strokeweight="1pt" strokecolor="#231f20"/>
            <v:line style="position:absolute" from="7408,10" to="8148,10" stroked="true" strokeweight="1pt" strokecolor="#231f20"/>
            <v:line style="position:absolute" from="8148,10" to="8888,10" stroked="true" strokeweight="1pt" strokecolor="#231f20"/>
            <v:line style="position:absolute" from="8888,10" to="9628,10" stroked="true" strokeweight="1pt" strokecolor="#231f20"/>
          </v:group>
        </w:pict>
      </w:r>
      <w:r>
        <w:rPr>
          <w:sz w:val="2"/>
        </w:rPr>
      </w:r>
    </w:p>
    <w:p>
      <w:pPr>
        <w:pStyle w:val="BodyText"/>
        <w:tabs>
          <w:tab w:pos="1005" w:val="left" w:leader="none"/>
          <w:tab w:pos="1795" w:val="left" w:leader="none"/>
          <w:tab w:pos="2485" w:val="left" w:leader="none"/>
          <w:tab w:pos="3275" w:val="left" w:leader="none"/>
          <w:tab w:pos="3965" w:val="left" w:leader="none"/>
          <w:tab w:pos="4754" w:val="left" w:leader="none"/>
          <w:tab w:pos="5444" w:val="left" w:leader="none"/>
          <w:tab w:pos="6184" w:val="left" w:leader="none"/>
          <w:tab w:pos="6924" w:val="left" w:leader="none"/>
          <w:tab w:pos="7714" w:val="left" w:leader="none"/>
          <w:tab w:pos="8404" w:val="left" w:leader="none"/>
          <w:tab w:pos="9143" w:val="left" w:leader="none"/>
        </w:tabs>
        <w:spacing w:before="23"/>
        <w:ind w:left="337"/>
      </w:pPr>
      <w:r>
        <w:rPr>
          <w:color w:val="231F20"/>
        </w:rPr>
        <w:t>Ene</w:t>
        <w:tab/>
        <w:t>10.22</w:t>
        <w:tab/>
        <w:t>1.19</w:t>
        <w:tab/>
        <w:t>11.78</w:t>
        <w:tab/>
        <w:t>0.36</w:t>
        <w:tab/>
        <w:t>11.78</w:t>
        <w:tab/>
        <w:t>4.79</w:t>
        <w:tab/>
        <w:t>39.21</w:t>
        <w:tab/>
        <w:t>22.64</w:t>
        <w:tab/>
        <w:t>10.22</w:t>
        <w:tab/>
        <w:t>5.98</w:t>
        <w:tab/>
        <w:t>39.21</w:t>
        <w:tab/>
        <w:t>23.00</w:t>
      </w:r>
    </w:p>
    <w:p>
      <w:pPr>
        <w:pStyle w:val="BodyText"/>
        <w:tabs>
          <w:tab w:pos="1005" w:val="left" w:leader="none"/>
          <w:tab w:pos="1795" w:val="left" w:leader="none"/>
          <w:tab w:pos="2485" w:val="left" w:leader="none"/>
          <w:tab w:pos="3275" w:val="left" w:leader="none"/>
          <w:tab w:pos="3965" w:val="left" w:leader="none"/>
          <w:tab w:pos="4754" w:val="left" w:leader="none"/>
          <w:tab w:pos="5444" w:val="left" w:leader="none"/>
          <w:tab w:pos="6184" w:val="left" w:leader="none"/>
          <w:tab w:pos="6924" w:val="left" w:leader="none"/>
          <w:tab w:pos="7714" w:val="left" w:leader="none"/>
          <w:tab w:pos="8404" w:val="left" w:leader="none"/>
          <w:tab w:pos="9143" w:val="left" w:leader="none"/>
        </w:tabs>
        <w:spacing w:before="44"/>
        <w:ind w:left="345"/>
      </w:pPr>
      <w:r>
        <w:rPr>
          <w:color w:val="231F20"/>
          <w:spacing w:val="-3"/>
        </w:rPr>
        <w:t>Feb</w:t>
        <w:tab/>
      </w:r>
      <w:r>
        <w:rPr>
          <w:color w:val="231F20"/>
        </w:rPr>
        <w:t>10.27</w:t>
        <w:tab/>
        <w:t>1.19</w:t>
        <w:tab/>
        <w:t>11.78</w:t>
        <w:tab/>
        <w:t>0.31</w:t>
        <w:tab/>
        <w:t>11.78</w:t>
        <w:tab/>
        <w:t>3.87</w:t>
        <w:tab/>
        <w:t>39.01</w:t>
        <w:tab/>
        <w:t>23.36</w:t>
        <w:tab/>
        <w:t>10.27</w:t>
        <w:tab/>
        <w:t>5.06</w:t>
        <w:tab/>
        <w:t>39.01</w:t>
        <w:tab/>
        <w:t>23.68</w:t>
      </w:r>
    </w:p>
    <w:p>
      <w:pPr>
        <w:pStyle w:val="BodyText"/>
        <w:tabs>
          <w:tab w:pos="1005" w:val="left" w:leader="none"/>
          <w:tab w:pos="1795" w:val="left" w:leader="none"/>
          <w:tab w:pos="2485" w:val="left" w:leader="none"/>
          <w:tab w:pos="3275" w:val="left" w:leader="none"/>
          <w:tab w:pos="3965" w:val="left" w:leader="none"/>
          <w:tab w:pos="4754" w:val="left" w:leader="none"/>
          <w:tab w:pos="5444" w:val="left" w:leader="none"/>
          <w:tab w:pos="6184" w:val="left" w:leader="none"/>
          <w:tab w:pos="6924" w:val="left" w:leader="none"/>
          <w:tab w:pos="7714" w:val="left" w:leader="none"/>
          <w:tab w:pos="8404" w:val="left" w:leader="none"/>
          <w:tab w:pos="9143" w:val="left" w:leader="none"/>
        </w:tabs>
        <w:spacing w:before="44"/>
        <w:ind w:left="329"/>
      </w:pPr>
      <w:r>
        <w:rPr>
          <w:color w:val="231F20"/>
        </w:rPr>
        <w:t>Mar</w:t>
        <w:tab/>
        <w:t>10.30</w:t>
        <w:tab/>
        <w:t>1.19</w:t>
        <w:tab/>
        <w:t>11.79</w:t>
        <w:tab/>
        <w:t>0.30</w:t>
        <w:tab/>
        <w:t>11.79</w:t>
        <w:tab/>
        <w:t>3.87</w:t>
        <w:tab/>
        <w:t>39.21</w:t>
        <w:tab/>
        <w:t>23.56</w:t>
        <w:tab/>
        <w:t>10.30</w:t>
        <w:tab/>
        <w:t>5.06</w:t>
        <w:tab/>
        <w:t>39.21</w:t>
        <w:tab/>
        <w:t>23.85</w:t>
      </w:r>
    </w:p>
    <w:p>
      <w:pPr>
        <w:pStyle w:val="BodyText"/>
        <w:tabs>
          <w:tab w:pos="1005" w:val="left" w:leader="none"/>
          <w:tab w:pos="1795" w:val="left" w:leader="none"/>
          <w:tab w:pos="2485" w:val="left" w:leader="none"/>
          <w:tab w:pos="3275" w:val="left" w:leader="none"/>
          <w:tab w:pos="3965" w:val="left" w:leader="none"/>
          <w:tab w:pos="4754" w:val="left" w:leader="none"/>
          <w:tab w:pos="5444" w:val="left" w:leader="none"/>
          <w:tab w:pos="6184" w:val="left" w:leader="none"/>
          <w:tab w:pos="6924" w:val="left" w:leader="none"/>
          <w:tab w:pos="7714" w:val="left" w:leader="none"/>
          <w:tab w:pos="8404" w:val="left" w:leader="none"/>
          <w:tab w:pos="9143" w:val="left" w:leader="none"/>
        </w:tabs>
        <w:spacing w:before="43"/>
        <w:ind w:left="341"/>
      </w:pPr>
      <w:r>
        <w:rPr>
          <w:color w:val="231F20"/>
        </w:rPr>
        <w:t>Abr</w:t>
        <w:tab/>
        <w:t>10.25</w:t>
        <w:tab/>
        <w:t>1.19</w:t>
        <w:tab/>
        <w:t>11.79</w:t>
        <w:tab/>
        <w:t>0.35</w:t>
        <w:tab/>
        <w:t>11.79</w:t>
        <w:tab/>
        <w:t>3.87</w:t>
        <w:tab/>
        <w:t>39.04</w:t>
        <w:tab/>
        <w:t>23.38</w:t>
        <w:tab/>
        <w:t>10.25</w:t>
        <w:tab/>
        <w:t>5.06</w:t>
        <w:tab/>
        <w:t>39.04</w:t>
        <w:tab/>
        <w:t>23.73</w:t>
      </w:r>
    </w:p>
    <w:p>
      <w:pPr>
        <w:pStyle w:val="BodyText"/>
        <w:tabs>
          <w:tab w:pos="1005" w:val="left" w:leader="none"/>
          <w:tab w:pos="1795" w:val="left" w:leader="none"/>
          <w:tab w:pos="2485" w:val="left" w:leader="none"/>
          <w:tab w:pos="3275" w:val="left" w:leader="none"/>
          <w:tab w:pos="3965" w:val="left" w:leader="none"/>
          <w:tab w:pos="4754" w:val="left" w:leader="none"/>
          <w:tab w:pos="5444" w:val="left" w:leader="none"/>
          <w:tab w:pos="6184" w:val="left" w:leader="none"/>
          <w:tab w:pos="6924" w:val="left" w:leader="none"/>
          <w:tab w:pos="7714" w:val="left" w:leader="none"/>
          <w:tab w:pos="8404" w:val="left" w:leader="none"/>
          <w:tab w:pos="9143" w:val="left" w:leader="none"/>
        </w:tabs>
        <w:spacing w:before="43"/>
        <w:ind w:left="322"/>
      </w:pPr>
      <w:r>
        <w:rPr>
          <w:color w:val="231F20"/>
        </w:rPr>
        <w:t>May</w:t>
        <w:tab/>
        <w:t>10.27</w:t>
        <w:tab/>
        <w:t>1.19</w:t>
        <w:tab/>
        <w:t>11.78</w:t>
        <w:tab/>
        <w:t>0.31</w:t>
        <w:tab/>
        <w:t>11.78</w:t>
        <w:tab/>
        <w:t>3.87</w:t>
        <w:tab/>
        <w:t>39.57</w:t>
        <w:tab/>
        <w:t>23.93</w:t>
        <w:tab/>
        <w:t>10.27</w:t>
        <w:tab/>
        <w:t>5.06</w:t>
        <w:tab/>
        <w:t>39.57</w:t>
        <w:tab/>
        <w:t>24.24</w:t>
      </w:r>
    </w:p>
    <w:p>
      <w:pPr>
        <w:pStyle w:val="BodyText"/>
        <w:tabs>
          <w:tab w:pos="740" w:val="left" w:leader="none"/>
          <w:tab w:pos="1529" w:val="left" w:leader="none"/>
          <w:tab w:pos="2219" w:val="left" w:leader="none"/>
          <w:tab w:pos="3009" w:val="left" w:leader="none"/>
          <w:tab w:pos="3699" w:val="left" w:leader="none"/>
          <w:tab w:pos="4488" w:val="left" w:leader="none"/>
          <w:tab w:pos="5178" w:val="left" w:leader="none"/>
          <w:tab w:pos="5918" w:val="left" w:leader="none"/>
          <w:tab w:pos="6658" w:val="left" w:leader="none"/>
          <w:tab w:pos="7448" w:val="left" w:leader="none"/>
          <w:tab w:pos="8138" w:val="left" w:leader="none"/>
          <w:tab w:pos="8878" w:val="left" w:leader="none"/>
        </w:tabs>
        <w:spacing w:before="44"/>
        <w:ind w:left="90"/>
        <w:jc w:val="center"/>
      </w:pPr>
      <w:r>
        <w:rPr>
          <w:color w:val="231F20"/>
        </w:rPr>
        <w:t>Jun</w:t>
        <w:tab/>
        <w:t>10.25</w:t>
        <w:tab/>
        <w:t>1.19</w:t>
        <w:tab/>
        <w:t>11.78</w:t>
        <w:tab/>
        <w:t>0.33</w:t>
        <w:tab/>
        <w:t>11.78</w:t>
        <w:tab/>
        <w:t>3.87</w:t>
        <w:tab/>
        <w:t>39.39</w:t>
        <w:tab/>
        <w:t>23.74</w:t>
        <w:tab/>
        <w:t>10.25</w:t>
        <w:tab/>
        <w:t>5.06</w:t>
        <w:tab/>
        <w:t>39.39</w:t>
        <w:tab/>
        <w:t>24.07</w:t>
      </w:r>
    </w:p>
    <w:p>
      <w:pPr>
        <w:pStyle w:val="BodyText"/>
        <w:tabs>
          <w:tab w:pos="740" w:val="left" w:leader="none"/>
          <w:tab w:pos="1529" w:val="left" w:leader="none"/>
          <w:tab w:pos="2219" w:val="left" w:leader="none"/>
          <w:tab w:pos="3009" w:val="left" w:leader="none"/>
          <w:tab w:pos="3699" w:val="left" w:leader="none"/>
          <w:tab w:pos="4488" w:val="left" w:leader="none"/>
          <w:tab w:pos="5178" w:val="left" w:leader="none"/>
          <w:tab w:pos="5918" w:val="left" w:leader="none"/>
          <w:tab w:pos="6658" w:val="left" w:leader="none"/>
          <w:tab w:pos="7448" w:val="left" w:leader="none"/>
          <w:tab w:pos="8138" w:val="left" w:leader="none"/>
          <w:tab w:pos="8878" w:val="left" w:leader="none"/>
        </w:tabs>
        <w:spacing w:before="44"/>
        <w:ind w:left="116"/>
        <w:jc w:val="center"/>
      </w:pPr>
      <w:r>
        <w:rPr>
          <w:color w:val="231F20"/>
        </w:rPr>
        <w:t>Jul</w:t>
        <w:tab/>
        <w:t>10.24</w:t>
        <w:tab/>
        <w:t>1.19</w:t>
        <w:tab/>
        <w:t>11.78</w:t>
        <w:tab/>
        <w:t>0.35</w:t>
        <w:tab/>
        <w:t>11.78</w:t>
        <w:tab/>
        <w:t>3.87</w:t>
        <w:tab/>
        <w:t>39.09</w:t>
        <w:tab/>
        <w:t>23.44</w:t>
        <w:tab/>
        <w:t>10.24</w:t>
        <w:tab/>
        <w:t>5.06</w:t>
        <w:tab/>
        <w:t>39.09</w:t>
        <w:tab/>
        <w:t>23.79</w:t>
      </w:r>
    </w:p>
    <w:p>
      <w:pPr>
        <w:pStyle w:val="BodyText"/>
        <w:tabs>
          <w:tab w:pos="1005" w:val="left" w:leader="none"/>
          <w:tab w:pos="1795" w:val="left" w:leader="none"/>
          <w:tab w:pos="2485" w:val="left" w:leader="none"/>
          <w:tab w:pos="3275" w:val="left" w:leader="none"/>
          <w:tab w:pos="3965" w:val="left" w:leader="none"/>
          <w:tab w:pos="4754" w:val="left" w:leader="none"/>
          <w:tab w:pos="5444" w:val="left" w:leader="none"/>
          <w:tab w:pos="6184" w:val="left" w:leader="none"/>
          <w:tab w:pos="6924" w:val="left" w:leader="none"/>
          <w:tab w:pos="7714" w:val="left" w:leader="none"/>
          <w:tab w:pos="8404" w:val="left" w:leader="none"/>
          <w:tab w:pos="9143" w:val="left" w:leader="none"/>
        </w:tabs>
        <w:spacing w:before="44"/>
        <w:ind w:left="335"/>
      </w:pPr>
      <w:r>
        <w:rPr>
          <w:color w:val="231F20"/>
        </w:rPr>
        <w:t>Ago</w:t>
        <w:tab/>
        <w:t>10.24</w:t>
        <w:tab/>
        <w:t>1.19</w:t>
        <w:tab/>
        <w:t>11.78</w:t>
        <w:tab/>
        <w:t>0.35</w:t>
        <w:tab/>
        <w:t>11.78</w:t>
        <w:tab/>
        <w:t>3.87</w:t>
        <w:tab/>
        <w:t>39.09</w:t>
        <w:tab/>
        <w:t>23.44</w:t>
        <w:tab/>
        <w:t>10.24</w:t>
        <w:tab/>
        <w:t>5.06</w:t>
        <w:tab/>
        <w:t>39.09</w:t>
        <w:tab/>
        <w:t>23.79</w:t>
      </w:r>
    </w:p>
    <w:p>
      <w:pPr>
        <w:pStyle w:val="BodyText"/>
        <w:tabs>
          <w:tab w:pos="1005" w:val="left" w:leader="none"/>
          <w:tab w:pos="1795" w:val="left" w:leader="none"/>
          <w:tab w:pos="2485" w:val="left" w:leader="none"/>
          <w:tab w:pos="3275" w:val="left" w:leader="none"/>
          <w:tab w:pos="3965" w:val="left" w:leader="none"/>
          <w:tab w:pos="4754" w:val="left" w:leader="none"/>
          <w:tab w:pos="5444" w:val="left" w:leader="none"/>
          <w:tab w:pos="6184" w:val="left" w:leader="none"/>
          <w:tab w:pos="6924" w:val="left" w:leader="none"/>
          <w:tab w:pos="7714" w:val="left" w:leader="none"/>
          <w:tab w:pos="8404" w:val="left" w:leader="none"/>
          <w:tab w:pos="9143" w:val="left" w:leader="none"/>
        </w:tabs>
        <w:spacing w:before="44"/>
        <w:ind w:left="345"/>
      </w:pPr>
      <w:r>
        <w:rPr>
          <w:color w:val="231F20"/>
        </w:rPr>
        <w:t>Sep</w:t>
        <w:tab/>
        <w:t>10.24</w:t>
        <w:tab/>
        <w:t>1.19</w:t>
        <w:tab/>
        <w:t>11.78</w:t>
        <w:tab/>
        <w:t>0.35</w:t>
        <w:tab/>
        <w:t>11.78</w:t>
        <w:tab/>
        <w:t>3.87</w:t>
        <w:tab/>
        <w:t>39.18</w:t>
        <w:tab/>
        <w:t>23.54</w:t>
        <w:tab/>
        <w:t>10.24</w:t>
        <w:tab/>
        <w:t>5.06</w:t>
        <w:tab/>
        <w:t>39.18</w:t>
        <w:tab/>
        <w:t>23.89</w:t>
      </w:r>
    </w:p>
    <w:p>
      <w:pPr>
        <w:pStyle w:val="BodyText"/>
        <w:tabs>
          <w:tab w:pos="1005" w:val="left" w:leader="none"/>
          <w:tab w:pos="1795" w:val="left" w:leader="none"/>
          <w:tab w:pos="2485" w:val="left" w:leader="none"/>
          <w:tab w:pos="3275" w:val="left" w:leader="none"/>
          <w:tab w:pos="3965" w:val="left" w:leader="none"/>
          <w:tab w:pos="4754" w:val="left" w:leader="none"/>
          <w:tab w:pos="5444" w:val="left" w:leader="none"/>
          <w:tab w:pos="6184" w:val="left" w:leader="none"/>
          <w:tab w:pos="6924" w:val="left" w:leader="none"/>
          <w:tab w:pos="7714" w:val="left" w:leader="none"/>
          <w:tab w:pos="8404" w:val="left" w:leader="none"/>
          <w:tab w:pos="9143" w:val="left" w:leader="none"/>
        </w:tabs>
        <w:spacing w:before="44"/>
        <w:ind w:left="354"/>
      </w:pPr>
      <w:r>
        <w:rPr>
          <w:color w:val="231F20"/>
        </w:rPr>
        <w:t>Oct</w:t>
        <w:tab/>
        <w:t>10.49</w:t>
        <w:tab/>
        <w:t>1.19</w:t>
        <w:tab/>
        <w:t>11.78</w:t>
        <w:tab/>
        <w:t>0.10</w:t>
        <w:tab/>
        <w:t>11.78</w:t>
        <w:tab/>
        <w:t>3.87</w:t>
        <w:tab/>
        <w:t>39.03</w:t>
        <w:tab/>
        <w:t>23.38</w:t>
        <w:tab/>
        <w:t>10.49</w:t>
        <w:tab/>
        <w:t>5.06</w:t>
        <w:tab/>
        <w:t>39.03</w:t>
        <w:tab/>
        <w:t>23.48</w:t>
      </w:r>
    </w:p>
    <w:p>
      <w:pPr>
        <w:pStyle w:val="BodyText"/>
        <w:tabs>
          <w:tab w:pos="1005" w:val="left" w:leader="none"/>
          <w:tab w:pos="1795" w:val="left" w:leader="none"/>
          <w:tab w:pos="2485" w:val="left" w:leader="none"/>
          <w:tab w:pos="3275" w:val="left" w:leader="none"/>
          <w:tab w:pos="3965" w:val="left" w:leader="none"/>
          <w:tab w:pos="4754" w:val="left" w:leader="none"/>
          <w:tab w:pos="5444" w:val="left" w:leader="none"/>
          <w:tab w:pos="6184" w:val="left" w:leader="none"/>
          <w:tab w:pos="6924" w:val="left" w:leader="none"/>
          <w:tab w:pos="7714" w:val="left" w:leader="none"/>
          <w:tab w:pos="8404" w:val="left" w:leader="none"/>
          <w:tab w:pos="9143" w:val="left" w:leader="none"/>
        </w:tabs>
        <w:spacing w:before="44"/>
        <w:ind w:left="330"/>
      </w:pPr>
      <w:r>
        <w:rPr>
          <w:color w:val="231F20"/>
        </w:rPr>
        <w:t>Nov</w:t>
        <w:tab/>
        <w:t>10.49</w:t>
        <w:tab/>
        <w:t>1.19</w:t>
        <w:tab/>
        <w:t>11.99</w:t>
        <w:tab/>
        <w:t>0.31</w:t>
        <w:tab/>
        <w:t>11.99</w:t>
        <w:tab/>
        <w:t>3.87</w:t>
        <w:tab/>
        <w:t>40.08</w:t>
        <w:tab/>
        <w:t>24.23</w:t>
        <w:tab/>
        <w:t>10.49</w:t>
        <w:tab/>
        <w:t>5.06</w:t>
        <w:tab/>
        <w:t>40.08</w:t>
        <w:tab/>
        <w:t>24.54</w:t>
      </w:r>
    </w:p>
    <w:p>
      <w:pPr>
        <w:pStyle w:val="BodyText"/>
        <w:tabs>
          <w:tab w:pos="740" w:val="left" w:leader="none"/>
          <w:tab w:pos="1529" w:val="left" w:leader="none"/>
          <w:tab w:pos="2219" w:val="left" w:leader="none"/>
          <w:tab w:pos="3009" w:val="left" w:leader="none"/>
          <w:tab w:pos="3699" w:val="left" w:leader="none"/>
          <w:tab w:pos="4488" w:val="left" w:leader="none"/>
          <w:tab w:pos="5178" w:val="left" w:leader="none"/>
          <w:tab w:pos="5918" w:val="left" w:leader="none"/>
          <w:tab w:pos="6658" w:val="left" w:leader="none"/>
          <w:tab w:pos="7448" w:val="left" w:leader="none"/>
          <w:tab w:pos="8138" w:val="left" w:leader="none"/>
          <w:tab w:pos="8878" w:val="left" w:leader="none"/>
        </w:tabs>
        <w:spacing w:before="44"/>
        <w:ind w:left="93"/>
        <w:jc w:val="center"/>
      </w:pPr>
      <w:r>
        <w:rPr>
          <w:color w:val="231F20"/>
        </w:rPr>
        <w:t>Dic</w:t>
        <w:tab/>
        <w:t>10.70</w:t>
        <w:tab/>
        <w:t>1.19</w:t>
        <w:tab/>
        <w:t>13.30</w:t>
        <w:tab/>
        <w:t>1.41</w:t>
        <w:tab/>
        <w:t>13.30</w:t>
        <w:tab/>
        <w:t>3.87</w:t>
        <w:tab/>
        <w:t>40.84</w:t>
        <w:tab/>
        <w:t>23.67</w:t>
        <w:tab/>
        <w:t>10.70</w:t>
        <w:tab/>
        <w:t>5.06</w:t>
        <w:tab/>
        <w:t>40.84</w:t>
        <w:tab/>
        <w:t>25.08</w:t>
      </w:r>
    </w:p>
    <w:p>
      <w:pPr>
        <w:pStyle w:val="BodyText"/>
        <w:tabs>
          <w:tab w:pos="750" w:val="left" w:leader="none"/>
          <w:tab w:pos="1539" w:val="left" w:leader="none"/>
          <w:tab w:pos="2229" w:val="left" w:leader="none"/>
          <w:tab w:pos="3019" w:val="left" w:leader="none"/>
          <w:tab w:pos="3709" w:val="left" w:leader="none"/>
          <w:tab w:pos="4499" w:val="left" w:leader="none"/>
          <w:tab w:pos="5189" w:val="left" w:leader="none"/>
          <w:tab w:pos="5928" w:val="left" w:leader="none"/>
          <w:tab w:pos="6668" w:val="left" w:leader="none"/>
          <w:tab w:pos="7458" w:val="left" w:leader="none"/>
          <w:tab w:pos="8148" w:val="left" w:leader="none"/>
          <w:tab w:pos="8888" w:val="left" w:leader="none"/>
        </w:tabs>
        <w:spacing w:before="44" w:after="8"/>
        <w:ind w:right="8"/>
        <w:jc w:val="center"/>
      </w:pPr>
      <w:r>
        <w:rPr>
          <w:color w:val="231F20"/>
        </w:rPr>
        <w:t>Prom.</w:t>
        <w:tab/>
        <w:t>10.33</w:t>
        <w:tab/>
        <w:t>1.19</w:t>
        <w:tab/>
        <w:t>11.92</w:t>
        <w:tab/>
        <w:t>0.40</w:t>
        <w:tab/>
        <w:t>11.92</w:t>
        <w:tab/>
        <w:t>3.95</w:t>
        <w:tab/>
        <w:t>39.39</w:t>
        <w:tab/>
        <w:t>23.52</w:t>
        <w:tab/>
        <w:t>10.33</w:t>
        <w:tab/>
        <w:t>5.14</w:t>
        <w:tab/>
        <w:t>39.39</w:t>
        <w:tab/>
        <w:t>23.93</w:t>
      </w:r>
    </w:p>
    <w:p>
      <w:pPr>
        <w:pStyle w:val="BodyText"/>
        <w:spacing w:line="20" w:lineRule="exact"/>
        <w:ind w:left="103"/>
        <w:rPr>
          <w:sz w:val="2"/>
        </w:rPr>
      </w:pPr>
      <w:r>
        <w:rPr>
          <w:sz w:val="2"/>
        </w:rPr>
        <w:pict>
          <v:group style="width:481.9pt;height:1pt;mso-position-horizontal-relative:char;mso-position-vertical-relative:line" coordorigin="0,0" coordsize="9638,20">
            <v:line style="position:absolute" from="10,10" to="750,10" stroked="true" strokeweight="1pt" strokecolor="#231f20"/>
            <v:line style="position:absolute" from="750,10" to="1490,10" stroked="true" strokeweight="1pt" strokecolor="#231f20"/>
            <v:line style="position:absolute" from="1490,10" to="2230,10" stroked="true" strokeweight="1pt" strokecolor="#231f20"/>
            <v:line style="position:absolute" from="2229,10" to="2969,10" stroked="true" strokeweight="1pt" strokecolor="#231f20"/>
            <v:line style="position:absolute" from="2969,10" to="3709,10" stroked="true" strokeweight="1pt" strokecolor="#231f20"/>
            <v:line style="position:absolute" from="3709,10" to="4449,10" stroked="true" strokeweight="1pt" strokecolor="#231f20"/>
            <v:line style="position:absolute" from="4449,10" to="5189,10" stroked="true" strokeweight="1pt" strokecolor="#231f20"/>
            <v:line style="position:absolute" from="5189,10" to="5929,10" stroked="true" strokeweight="1pt" strokecolor="#231f20"/>
            <v:line style="position:absolute" from="5929,10" to="6668,10" stroked="true" strokeweight="1pt" strokecolor="#231f20"/>
            <v:line style="position:absolute" from="6668,10" to="7408,10" stroked="true" strokeweight="1pt" strokecolor="#231f20"/>
            <v:line style="position:absolute" from="7408,10" to="8148,10" stroked="true" strokeweight="1pt" strokecolor="#231f20"/>
            <v:line style="position:absolute" from="8148,10" to="8888,10" stroked="true" strokeweight="1pt" strokecolor="#231f20"/>
            <v:line style="position:absolute" from="8888,10" to="9628,10" stroked="true" strokeweight="1pt" strokecolor="#231f20"/>
          </v:group>
        </w:pict>
      </w:r>
      <w:r>
        <w:rPr>
          <w:sz w:val="2"/>
        </w:rPr>
      </w:r>
    </w:p>
    <w:p>
      <w:pPr>
        <w:pStyle w:val="BodyText"/>
        <w:spacing w:before="7"/>
        <w:rPr>
          <w:sz w:val="14"/>
        </w:rPr>
      </w:pPr>
    </w:p>
    <w:p>
      <w:pPr>
        <w:spacing w:line="268" w:lineRule="auto" w:before="0"/>
        <w:ind w:left="113" w:right="2995" w:firstLine="0"/>
        <w:jc w:val="left"/>
        <w:rPr>
          <w:sz w:val="16"/>
        </w:rPr>
      </w:pPr>
      <w:r>
        <w:rPr>
          <w:color w:val="231F20"/>
          <w:sz w:val="16"/>
        </w:rPr>
        <w:t>M = PV – PC – CC. PV: Precio de venta, PC: Precio de compra, CC: Costos de comercialización. Fuente: Elaboración propia con base en información de campo</w:t>
      </w:r>
    </w:p>
    <w:p>
      <w:pPr>
        <w:spacing w:after="0" w:line="268" w:lineRule="auto"/>
        <w:jc w:val="left"/>
        <w:rPr>
          <w:sz w:val="16"/>
        </w:rPr>
        <w:sectPr>
          <w:type w:val="continuous"/>
          <w:pgSz w:w="11910" w:h="7940" w:orient="landscape"/>
          <w:pgMar w:top="1420" w:bottom="0" w:left="1020" w:right="1040"/>
        </w:sectPr>
      </w:pPr>
    </w:p>
    <w:p>
      <w:pPr>
        <w:spacing w:before="50"/>
        <w:ind w:left="1227" w:right="102" w:firstLine="0"/>
        <w:jc w:val="left"/>
        <w:rPr>
          <w:sz w:val="14"/>
        </w:rPr>
      </w:pPr>
      <w:r>
        <w:rPr>
          <w:color w:val="231F20"/>
          <w:sz w:val="18"/>
        </w:rPr>
        <w:t>L</w:t>
      </w:r>
      <w:r>
        <w:rPr>
          <w:color w:val="231F20"/>
          <w:sz w:val="14"/>
        </w:rPr>
        <w:t>A PORCICULTURA EN EL SUR DEL </w:t>
      </w:r>
      <w:r>
        <w:rPr>
          <w:color w:val="231F20"/>
          <w:sz w:val="18"/>
        </w:rPr>
        <w:t>E</w:t>
      </w:r>
      <w:r>
        <w:rPr>
          <w:color w:val="231F20"/>
          <w:sz w:val="14"/>
        </w:rPr>
        <w:t>STADO DE </w:t>
      </w:r>
      <w:r>
        <w:rPr>
          <w:color w:val="231F20"/>
          <w:sz w:val="18"/>
        </w:rPr>
        <w:t>M</w:t>
      </w:r>
      <w:r>
        <w:rPr>
          <w:color w:val="231F20"/>
          <w:sz w:val="14"/>
        </w:rPr>
        <w:t>ÉXICO</w:t>
      </w:r>
    </w:p>
    <w:p>
      <w:pPr>
        <w:pStyle w:val="BodyText"/>
        <w:spacing w:before="3"/>
        <w:rPr>
          <w:sz w:val="22"/>
        </w:rPr>
      </w:pPr>
    </w:p>
    <w:p>
      <w:pPr>
        <w:pStyle w:val="BodyText"/>
        <w:spacing w:line="273" w:lineRule="auto" w:before="75"/>
        <w:ind w:left="113" w:right="110"/>
        <w:jc w:val="both"/>
      </w:pPr>
      <w:r>
        <w:rPr>
          <w:color w:val="231F20"/>
        </w:rPr>
        <w:t>comercialización</w:t>
      </w:r>
      <w:r>
        <w:rPr>
          <w:color w:val="231F20"/>
          <w:spacing w:val="-8"/>
        </w:rPr>
        <w:t> </w:t>
      </w:r>
      <w:r>
        <w:rPr>
          <w:color w:val="231F20"/>
        </w:rPr>
        <w:t>son:</w:t>
      </w:r>
      <w:r>
        <w:rPr>
          <w:color w:val="231F20"/>
          <w:spacing w:val="-8"/>
        </w:rPr>
        <w:t> </w:t>
      </w:r>
      <w:r>
        <w:rPr>
          <w:color w:val="231F20"/>
        </w:rPr>
        <w:t>los</w:t>
      </w:r>
      <w:r>
        <w:rPr>
          <w:color w:val="231F20"/>
          <w:spacing w:val="-8"/>
        </w:rPr>
        <w:t> </w:t>
      </w:r>
      <w:r>
        <w:rPr>
          <w:color w:val="231F20"/>
        </w:rPr>
        <w:t>productores,</w:t>
      </w:r>
      <w:r>
        <w:rPr>
          <w:color w:val="231F20"/>
          <w:spacing w:val="-8"/>
        </w:rPr>
        <w:t> </w:t>
      </w:r>
      <w:r>
        <w:rPr>
          <w:color w:val="231F20"/>
        </w:rPr>
        <w:t>los</w:t>
      </w:r>
      <w:r>
        <w:rPr>
          <w:color w:val="231F20"/>
          <w:spacing w:val="-8"/>
        </w:rPr>
        <w:t> </w:t>
      </w:r>
      <w:r>
        <w:rPr>
          <w:color w:val="231F20"/>
        </w:rPr>
        <w:t>intermediarios</w:t>
      </w:r>
      <w:r>
        <w:rPr>
          <w:color w:val="231F20"/>
          <w:spacing w:val="-9"/>
        </w:rPr>
        <w:t> </w:t>
      </w:r>
      <w:r>
        <w:rPr>
          <w:color w:val="231F20"/>
        </w:rPr>
        <w:t>o</w:t>
      </w:r>
      <w:r>
        <w:rPr>
          <w:color w:val="231F20"/>
          <w:spacing w:val="-8"/>
        </w:rPr>
        <w:t> </w:t>
      </w:r>
      <w:r>
        <w:rPr>
          <w:color w:val="231F20"/>
        </w:rPr>
        <w:t>acopiadores,</w:t>
      </w:r>
      <w:r>
        <w:rPr>
          <w:color w:val="231F20"/>
          <w:spacing w:val="-8"/>
        </w:rPr>
        <w:t> </w:t>
      </w:r>
      <w:r>
        <w:rPr>
          <w:color w:val="231F20"/>
        </w:rPr>
        <w:t>el rastro (quien sólo actúa como prestador del servicio de matanza), los de- tallistas o carniceros, los restaurantes y los consumidores finales. El canal de comercialización tradicional identificado en la región Sur del Estado de México</w:t>
      </w:r>
      <w:r>
        <w:rPr>
          <w:color w:val="231F20"/>
          <w:spacing w:val="-6"/>
        </w:rPr>
        <w:t> </w:t>
      </w:r>
      <w:r>
        <w:rPr>
          <w:color w:val="231F20"/>
        </w:rPr>
        <w:t>fue:</w:t>
      </w:r>
      <w:r>
        <w:rPr>
          <w:color w:val="231F20"/>
          <w:spacing w:val="-7"/>
        </w:rPr>
        <w:t> </w:t>
      </w:r>
      <w:r>
        <w:rPr>
          <w:color w:val="231F20"/>
        </w:rPr>
        <w:t>del</w:t>
      </w:r>
      <w:r>
        <w:rPr>
          <w:color w:val="231F20"/>
          <w:spacing w:val="-7"/>
        </w:rPr>
        <w:t> </w:t>
      </w:r>
      <w:r>
        <w:rPr>
          <w:color w:val="231F20"/>
          <w:spacing w:val="-3"/>
        </w:rPr>
        <w:t>productor,</w:t>
      </w:r>
      <w:r>
        <w:rPr>
          <w:color w:val="231F20"/>
          <w:spacing w:val="-7"/>
        </w:rPr>
        <w:t> </w:t>
      </w:r>
      <w:r>
        <w:rPr>
          <w:color w:val="231F20"/>
        </w:rPr>
        <w:t>al</w:t>
      </w:r>
      <w:r>
        <w:rPr>
          <w:color w:val="231F20"/>
          <w:spacing w:val="-7"/>
        </w:rPr>
        <w:t> </w:t>
      </w:r>
      <w:r>
        <w:rPr>
          <w:color w:val="231F20"/>
          <w:spacing w:val="-3"/>
        </w:rPr>
        <w:t>acopiador,</w:t>
      </w:r>
      <w:r>
        <w:rPr>
          <w:color w:val="231F20"/>
          <w:spacing w:val="-7"/>
        </w:rPr>
        <w:t> </w:t>
      </w:r>
      <w:r>
        <w:rPr>
          <w:color w:val="231F20"/>
        </w:rPr>
        <w:t>al</w:t>
      </w:r>
      <w:r>
        <w:rPr>
          <w:color w:val="231F20"/>
          <w:spacing w:val="-7"/>
        </w:rPr>
        <w:t> </w:t>
      </w:r>
      <w:r>
        <w:rPr>
          <w:color w:val="231F20"/>
        </w:rPr>
        <w:t>rastro</w:t>
      </w:r>
      <w:r>
        <w:rPr>
          <w:color w:val="231F20"/>
          <w:spacing w:val="-7"/>
        </w:rPr>
        <w:t> </w:t>
      </w:r>
      <w:r>
        <w:rPr>
          <w:color w:val="231F20"/>
        </w:rPr>
        <w:t>municipal,</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detallistas y</w:t>
      </w:r>
      <w:r>
        <w:rPr>
          <w:color w:val="231F20"/>
          <w:spacing w:val="-8"/>
        </w:rPr>
        <w:t> </w:t>
      </w:r>
      <w:r>
        <w:rPr>
          <w:color w:val="231F20"/>
        </w:rPr>
        <w:t>al</w:t>
      </w:r>
      <w:r>
        <w:rPr>
          <w:color w:val="231F20"/>
          <w:spacing w:val="-8"/>
        </w:rPr>
        <w:t> </w:t>
      </w:r>
      <w:r>
        <w:rPr>
          <w:color w:val="231F20"/>
        </w:rPr>
        <w:t>consumidor</w:t>
      </w:r>
      <w:r>
        <w:rPr>
          <w:color w:val="231F20"/>
          <w:spacing w:val="-8"/>
        </w:rPr>
        <w:t> </w:t>
      </w:r>
      <w:r>
        <w:rPr>
          <w:color w:val="231F20"/>
        </w:rPr>
        <w:t>final.</w:t>
      </w:r>
      <w:r>
        <w:rPr>
          <w:color w:val="231F20"/>
          <w:spacing w:val="-8"/>
        </w:rPr>
        <w:t> </w:t>
      </w:r>
      <w:r>
        <w:rPr>
          <w:color w:val="231F20"/>
        </w:rPr>
        <w:t>Respecto</w:t>
      </w:r>
      <w:r>
        <w:rPr>
          <w:color w:val="231F20"/>
          <w:spacing w:val="-8"/>
        </w:rPr>
        <w:t> </w:t>
      </w:r>
      <w:r>
        <w:rPr>
          <w:color w:val="231F20"/>
        </w:rPr>
        <w:t>al</w:t>
      </w:r>
      <w:r>
        <w:rPr>
          <w:color w:val="231F20"/>
          <w:spacing w:val="-8"/>
        </w:rPr>
        <w:t> </w:t>
      </w:r>
      <w:r>
        <w:rPr>
          <w:color w:val="231F20"/>
        </w:rPr>
        <w:t>precio</w:t>
      </w:r>
      <w:r>
        <w:rPr>
          <w:color w:val="231F20"/>
          <w:spacing w:val="-8"/>
        </w:rPr>
        <w:t> </w:t>
      </w:r>
      <w:r>
        <w:rPr>
          <w:color w:val="231F20"/>
        </w:rPr>
        <w:t>de</w:t>
      </w:r>
      <w:r>
        <w:rPr>
          <w:color w:val="231F20"/>
          <w:spacing w:val="-8"/>
        </w:rPr>
        <w:t> </w:t>
      </w:r>
      <w:r>
        <w:rPr>
          <w:color w:val="231F20"/>
        </w:rPr>
        <w:t>venta</w:t>
      </w:r>
      <w:r>
        <w:rPr>
          <w:color w:val="231F20"/>
          <w:spacing w:val="-8"/>
        </w:rPr>
        <w:t> </w:t>
      </w:r>
      <w:r>
        <w:rPr>
          <w:color w:val="231F20"/>
        </w:rPr>
        <w:t>final,</w:t>
      </w:r>
      <w:r>
        <w:rPr>
          <w:color w:val="231F20"/>
          <w:spacing w:val="-8"/>
        </w:rPr>
        <w:t> </w:t>
      </w:r>
      <w:r>
        <w:rPr>
          <w:color w:val="231F20"/>
        </w:rPr>
        <w:t>los</w:t>
      </w:r>
      <w:r>
        <w:rPr>
          <w:color w:val="231F20"/>
          <w:spacing w:val="-8"/>
        </w:rPr>
        <w:t> </w:t>
      </w:r>
      <w:r>
        <w:rPr>
          <w:color w:val="231F20"/>
        </w:rPr>
        <w:t>detallistas</w:t>
      </w:r>
      <w:r>
        <w:rPr>
          <w:color w:val="231F20"/>
          <w:spacing w:val="-8"/>
        </w:rPr>
        <w:t> </w:t>
      </w:r>
      <w:r>
        <w:rPr>
          <w:color w:val="231F20"/>
        </w:rPr>
        <w:t>obtu- vieron</w:t>
      </w:r>
      <w:r>
        <w:rPr>
          <w:color w:val="231F20"/>
          <w:spacing w:val="-8"/>
        </w:rPr>
        <w:t> </w:t>
      </w:r>
      <w:r>
        <w:rPr>
          <w:color w:val="231F20"/>
        </w:rPr>
        <w:t>una</w:t>
      </w:r>
      <w:r>
        <w:rPr>
          <w:color w:val="231F20"/>
          <w:spacing w:val="-8"/>
        </w:rPr>
        <w:t> </w:t>
      </w:r>
      <w:r>
        <w:rPr>
          <w:color w:val="231F20"/>
        </w:rPr>
        <w:t>mayor</w:t>
      </w:r>
      <w:r>
        <w:rPr>
          <w:color w:val="231F20"/>
          <w:spacing w:val="-8"/>
        </w:rPr>
        <w:t> </w:t>
      </w:r>
      <w:r>
        <w:rPr>
          <w:color w:val="231F20"/>
        </w:rPr>
        <w:t>participación,</w:t>
      </w:r>
      <w:r>
        <w:rPr>
          <w:color w:val="231F20"/>
          <w:spacing w:val="-8"/>
        </w:rPr>
        <w:t> </w:t>
      </w:r>
      <w:r>
        <w:rPr>
          <w:color w:val="231F20"/>
        </w:rPr>
        <w:t>seguidos</w:t>
      </w:r>
      <w:r>
        <w:rPr>
          <w:color w:val="231F20"/>
          <w:spacing w:val="-9"/>
        </w:rPr>
        <w:t> </w:t>
      </w:r>
      <w:r>
        <w:rPr>
          <w:color w:val="231F20"/>
        </w:rPr>
        <w:t>por</w:t>
      </w:r>
      <w:r>
        <w:rPr>
          <w:color w:val="231F20"/>
          <w:spacing w:val="-8"/>
        </w:rPr>
        <w:t> </w:t>
      </w:r>
      <w:r>
        <w:rPr>
          <w:color w:val="231F20"/>
        </w:rPr>
        <w:t>los</w:t>
      </w:r>
      <w:r>
        <w:rPr>
          <w:color w:val="231F20"/>
          <w:spacing w:val="-8"/>
        </w:rPr>
        <w:t> </w:t>
      </w:r>
      <w:r>
        <w:rPr>
          <w:color w:val="231F20"/>
        </w:rPr>
        <w:t>intermediarios;</w:t>
      </w:r>
      <w:r>
        <w:rPr>
          <w:color w:val="231F20"/>
          <w:spacing w:val="-9"/>
        </w:rPr>
        <w:t> </w:t>
      </w:r>
      <w:r>
        <w:rPr>
          <w:color w:val="231F20"/>
        </w:rPr>
        <w:t>mientras que los productores registraron la menor participación en el precio. Por cada peso que paga el consumidor al adquirir un kg de carne de cerdo, los intermediarios</w:t>
      </w:r>
      <w:r>
        <w:rPr>
          <w:color w:val="231F20"/>
          <w:spacing w:val="-8"/>
        </w:rPr>
        <w:t> </w:t>
      </w:r>
      <w:r>
        <w:rPr>
          <w:color w:val="231F20"/>
        </w:rPr>
        <w:t>(acopiadores</w:t>
      </w:r>
      <w:r>
        <w:rPr>
          <w:color w:val="231F20"/>
          <w:spacing w:val="-8"/>
        </w:rPr>
        <w:t> </w:t>
      </w:r>
      <w:r>
        <w:rPr>
          <w:color w:val="231F20"/>
        </w:rPr>
        <w:t>y</w:t>
      </w:r>
      <w:r>
        <w:rPr>
          <w:color w:val="231F20"/>
          <w:spacing w:val="-8"/>
        </w:rPr>
        <w:t> </w:t>
      </w:r>
      <w:r>
        <w:rPr>
          <w:color w:val="231F20"/>
        </w:rPr>
        <w:t>detallistas)</w:t>
      </w:r>
      <w:r>
        <w:rPr>
          <w:color w:val="231F20"/>
          <w:spacing w:val="-9"/>
        </w:rPr>
        <w:t> </w:t>
      </w:r>
      <w:r>
        <w:rPr>
          <w:color w:val="231F20"/>
        </w:rPr>
        <w:t>obtuvieron</w:t>
      </w:r>
      <w:r>
        <w:rPr>
          <w:color w:val="231F20"/>
          <w:spacing w:val="-8"/>
        </w:rPr>
        <w:t> </w:t>
      </w:r>
      <w:r>
        <w:rPr>
          <w:color w:val="231F20"/>
        </w:rPr>
        <w:t>el</w:t>
      </w:r>
      <w:r>
        <w:rPr>
          <w:color w:val="231F20"/>
          <w:spacing w:val="-8"/>
        </w:rPr>
        <w:t> </w:t>
      </w:r>
      <w:r>
        <w:rPr>
          <w:color w:val="231F20"/>
        </w:rPr>
        <w:t>73.78%</w:t>
      </w:r>
      <w:r>
        <w:rPr>
          <w:color w:val="231F20"/>
          <w:spacing w:val="-8"/>
        </w:rPr>
        <w:t> </w:t>
      </w:r>
      <w:r>
        <w:rPr>
          <w:color w:val="231F20"/>
        </w:rPr>
        <w:t>del</w:t>
      </w:r>
      <w:r>
        <w:rPr>
          <w:color w:val="231F20"/>
          <w:spacing w:val="-8"/>
        </w:rPr>
        <w:t> </w:t>
      </w:r>
      <w:r>
        <w:rPr>
          <w:color w:val="231F20"/>
        </w:rPr>
        <w:t>precio final,</w:t>
      </w:r>
      <w:r>
        <w:rPr>
          <w:color w:val="231F20"/>
          <w:spacing w:val="-10"/>
        </w:rPr>
        <w:t> </w:t>
      </w:r>
      <w:r>
        <w:rPr>
          <w:color w:val="231F20"/>
        </w:rPr>
        <w:t>mientras</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productores</w:t>
      </w:r>
      <w:r>
        <w:rPr>
          <w:color w:val="231F20"/>
          <w:spacing w:val="-10"/>
        </w:rPr>
        <w:t> </w:t>
      </w:r>
      <w:r>
        <w:rPr>
          <w:color w:val="231F20"/>
        </w:rPr>
        <w:t>únicamente</w:t>
      </w:r>
      <w:r>
        <w:rPr>
          <w:color w:val="231F20"/>
          <w:spacing w:val="-10"/>
        </w:rPr>
        <w:t> </w:t>
      </w:r>
      <w:r>
        <w:rPr>
          <w:color w:val="231F20"/>
        </w:rPr>
        <w:t>participaron</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26.22% del</w:t>
      </w:r>
      <w:r>
        <w:rPr>
          <w:color w:val="231F20"/>
          <w:spacing w:val="-12"/>
        </w:rPr>
        <w:t> </w:t>
      </w:r>
      <w:r>
        <w:rPr>
          <w:color w:val="231F20"/>
        </w:rPr>
        <w:t>precio</w:t>
      </w:r>
      <w:r>
        <w:rPr>
          <w:color w:val="231F20"/>
          <w:spacing w:val="-12"/>
        </w:rPr>
        <w:t> </w:t>
      </w:r>
      <w:r>
        <w:rPr>
          <w:color w:val="231F20"/>
        </w:rPr>
        <w:t>pagado</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consumidor.</w:t>
      </w:r>
      <w:r>
        <w:rPr>
          <w:color w:val="231F20"/>
          <w:spacing w:val="-12"/>
        </w:rPr>
        <w:t> </w:t>
      </w:r>
      <w:r>
        <w:rPr>
          <w:color w:val="231F20"/>
        </w:rPr>
        <w:t>Al</w:t>
      </w:r>
      <w:r>
        <w:rPr>
          <w:color w:val="231F20"/>
          <w:spacing w:val="-12"/>
        </w:rPr>
        <w:t> </w:t>
      </w:r>
      <w:r>
        <w:rPr>
          <w:color w:val="231F20"/>
        </w:rPr>
        <w:t>incluir</w:t>
      </w:r>
      <w:r>
        <w:rPr>
          <w:color w:val="231F20"/>
          <w:spacing w:val="-13"/>
        </w:rPr>
        <w:t> </w:t>
      </w:r>
      <w:r>
        <w:rPr>
          <w:color w:val="231F20"/>
        </w:rPr>
        <w:t>a</w:t>
      </w:r>
      <w:r>
        <w:rPr>
          <w:color w:val="231F20"/>
          <w:spacing w:val="-12"/>
        </w:rPr>
        <w:t> </w:t>
      </w:r>
      <w:r>
        <w:rPr>
          <w:color w:val="231F20"/>
        </w:rPr>
        <w:t>la</w:t>
      </w:r>
      <w:r>
        <w:rPr>
          <w:color w:val="231F20"/>
          <w:spacing w:val="-12"/>
        </w:rPr>
        <w:t> </w:t>
      </w:r>
      <w:r>
        <w:rPr>
          <w:color w:val="231F20"/>
        </w:rPr>
        <w:t>diferencia</w:t>
      </w:r>
      <w:r>
        <w:rPr>
          <w:color w:val="231F20"/>
          <w:spacing w:val="-13"/>
        </w:rPr>
        <w:t> </w:t>
      </w:r>
      <w:r>
        <w:rPr>
          <w:color w:val="231F20"/>
        </w:rPr>
        <w:t>de</w:t>
      </w:r>
      <w:r>
        <w:rPr>
          <w:color w:val="231F20"/>
          <w:spacing w:val="-12"/>
        </w:rPr>
        <w:t> </w:t>
      </w:r>
      <w:r>
        <w:rPr>
          <w:color w:val="231F20"/>
        </w:rPr>
        <w:t>precios</w:t>
      </w:r>
      <w:r>
        <w:rPr>
          <w:color w:val="231F20"/>
          <w:spacing w:val="-13"/>
        </w:rPr>
        <w:t> </w:t>
      </w:r>
      <w:r>
        <w:rPr>
          <w:color w:val="231F20"/>
        </w:rPr>
        <w:t>los costos de comercialización, se encontró que el margen total promedio fue de 23.93 $/kg, del cual los detallistas obtienen el mayor margen</w:t>
      </w:r>
      <w:r>
        <w:rPr>
          <w:color w:val="231F20"/>
          <w:spacing w:val="-26"/>
        </w:rPr>
        <w:t> </w:t>
      </w:r>
      <w:r>
        <w:rPr>
          <w:color w:val="231F20"/>
        </w:rPr>
        <w:t>promedio correspondiente a 23.52 $/kg, mientras el restante 0.40 $/kg se lo apro- pian los</w:t>
      </w:r>
      <w:r>
        <w:rPr>
          <w:color w:val="231F20"/>
          <w:spacing w:val="-16"/>
        </w:rPr>
        <w:t> </w:t>
      </w:r>
      <w:r>
        <w:rPr>
          <w:color w:val="231F20"/>
        </w:rPr>
        <w:t>acopiadores.</w:t>
      </w:r>
    </w:p>
    <w:p>
      <w:pPr>
        <w:pStyle w:val="BodyText"/>
      </w:pPr>
    </w:p>
    <w:p>
      <w:pPr>
        <w:pStyle w:val="BodyText"/>
        <w:spacing w:before="2"/>
        <w:rPr>
          <w:sz w:val="16"/>
        </w:rPr>
      </w:pPr>
    </w:p>
    <w:p>
      <w:pPr>
        <w:pStyle w:val="Heading3"/>
      </w:pPr>
      <w:r>
        <w:rPr>
          <w:color w:val="231F20"/>
        </w:rPr>
        <w:t>BIBLIOGRAFÍA CITADA</w:t>
      </w:r>
    </w:p>
    <w:p>
      <w:pPr>
        <w:pStyle w:val="BodyText"/>
        <w:spacing w:before="6"/>
        <w:rPr>
          <w:b/>
          <w:sz w:val="29"/>
        </w:rPr>
      </w:pPr>
    </w:p>
    <w:p>
      <w:pPr>
        <w:spacing w:line="273" w:lineRule="auto" w:before="1"/>
        <w:ind w:left="397" w:right="111" w:hanging="284"/>
        <w:jc w:val="both"/>
        <w:rPr>
          <w:sz w:val="18"/>
        </w:rPr>
      </w:pPr>
      <w:r>
        <w:rPr>
          <w:color w:val="231F20"/>
          <w:sz w:val="18"/>
        </w:rPr>
        <w:t>A</w:t>
      </w:r>
      <w:r>
        <w:rPr>
          <w:color w:val="231F20"/>
          <w:sz w:val="14"/>
        </w:rPr>
        <w:t>LONSO</w:t>
      </w:r>
      <w:r>
        <w:rPr>
          <w:color w:val="231F20"/>
          <w:sz w:val="18"/>
        </w:rPr>
        <w:t>, P., Meléndez, A. y Guzmán, R. 2005. </w:t>
      </w:r>
      <w:r>
        <w:rPr>
          <w:i/>
          <w:color w:val="231F20"/>
          <w:sz w:val="18"/>
        </w:rPr>
        <w:t>Administración pecuaria: cer- </w:t>
      </w:r>
      <w:r>
        <w:rPr>
          <w:i/>
          <w:color w:val="231F20"/>
          <w:sz w:val="18"/>
        </w:rPr>
        <w:t>dos</w:t>
      </w:r>
      <w:r>
        <w:rPr>
          <w:color w:val="231F20"/>
          <w:sz w:val="18"/>
        </w:rPr>
        <w:t>, Facultad de Medicina Veterinaria y Zootecnia. Universidad Nacio- nal Autónoma de México.</w:t>
      </w:r>
    </w:p>
    <w:p>
      <w:pPr>
        <w:spacing w:line="273" w:lineRule="auto" w:before="56"/>
        <w:ind w:left="397" w:right="111" w:hanging="284"/>
        <w:jc w:val="both"/>
        <w:rPr>
          <w:sz w:val="18"/>
        </w:rPr>
      </w:pPr>
      <w:r>
        <w:rPr>
          <w:color w:val="231F20"/>
          <w:w w:val="105"/>
          <w:sz w:val="18"/>
        </w:rPr>
        <w:t>ASERCA (A</w:t>
      </w:r>
      <w:r>
        <w:rPr>
          <w:color w:val="231F20"/>
          <w:w w:val="105"/>
          <w:sz w:val="16"/>
        </w:rPr>
        <w:t>poyos y </w:t>
      </w:r>
      <w:r>
        <w:rPr>
          <w:color w:val="231F20"/>
          <w:w w:val="105"/>
          <w:sz w:val="18"/>
        </w:rPr>
        <w:t>S</w:t>
      </w:r>
      <w:r>
        <w:rPr>
          <w:color w:val="231F20"/>
          <w:w w:val="105"/>
          <w:sz w:val="16"/>
        </w:rPr>
        <w:t>ervicios a la </w:t>
      </w:r>
      <w:r>
        <w:rPr>
          <w:color w:val="231F20"/>
          <w:w w:val="105"/>
          <w:sz w:val="18"/>
        </w:rPr>
        <w:t>C</w:t>
      </w:r>
      <w:r>
        <w:rPr>
          <w:color w:val="231F20"/>
          <w:w w:val="105"/>
          <w:sz w:val="16"/>
        </w:rPr>
        <w:t>omercialización </w:t>
      </w:r>
      <w:r>
        <w:rPr>
          <w:color w:val="231F20"/>
          <w:w w:val="105"/>
          <w:sz w:val="18"/>
        </w:rPr>
        <w:t>A</w:t>
      </w:r>
      <w:r>
        <w:rPr>
          <w:color w:val="231F20"/>
          <w:w w:val="105"/>
          <w:sz w:val="16"/>
        </w:rPr>
        <w:t>gropecuaria</w:t>
      </w:r>
      <w:r>
        <w:rPr>
          <w:color w:val="231F20"/>
          <w:w w:val="105"/>
          <w:sz w:val="18"/>
        </w:rPr>
        <w:t>). 1996. “La </w:t>
      </w:r>
      <w:r>
        <w:rPr>
          <w:color w:val="231F20"/>
          <w:sz w:val="18"/>
        </w:rPr>
        <w:t>porcicultura</w:t>
      </w:r>
      <w:r>
        <w:rPr>
          <w:color w:val="231F20"/>
          <w:spacing w:val="-5"/>
          <w:sz w:val="18"/>
        </w:rPr>
        <w:t> </w:t>
      </w:r>
      <w:r>
        <w:rPr>
          <w:color w:val="231F20"/>
          <w:sz w:val="18"/>
        </w:rPr>
        <w:t>en</w:t>
      </w:r>
      <w:r>
        <w:rPr>
          <w:color w:val="231F20"/>
          <w:spacing w:val="-5"/>
          <w:sz w:val="18"/>
        </w:rPr>
        <w:t> </w:t>
      </w:r>
      <w:r>
        <w:rPr>
          <w:color w:val="231F20"/>
          <w:sz w:val="18"/>
        </w:rPr>
        <w:t>México,</w:t>
      </w:r>
      <w:r>
        <w:rPr>
          <w:color w:val="231F20"/>
          <w:spacing w:val="-4"/>
          <w:sz w:val="18"/>
        </w:rPr>
        <w:t> </w:t>
      </w:r>
      <w:r>
        <w:rPr>
          <w:color w:val="231F20"/>
          <w:sz w:val="18"/>
        </w:rPr>
        <w:t>una</w:t>
      </w:r>
      <w:r>
        <w:rPr>
          <w:color w:val="231F20"/>
          <w:spacing w:val="-5"/>
          <w:sz w:val="18"/>
        </w:rPr>
        <w:t> </w:t>
      </w:r>
      <w:r>
        <w:rPr>
          <w:color w:val="231F20"/>
          <w:sz w:val="18"/>
        </w:rPr>
        <w:t>tradición</w:t>
      </w:r>
      <w:r>
        <w:rPr>
          <w:color w:val="231F20"/>
          <w:spacing w:val="-4"/>
          <w:sz w:val="18"/>
        </w:rPr>
        <w:t> </w:t>
      </w:r>
      <w:r>
        <w:rPr>
          <w:color w:val="231F20"/>
          <w:sz w:val="18"/>
        </w:rPr>
        <w:t>enclavada</w:t>
      </w:r>
      <w:r>
        <w:rPr>
          <w:color w:val="231F20"/>
          <w:spacing w:val="-4"/>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z w:val="18"/>
        </w:rPr>
        <w:t>modernidad”,</w:t>
      </w:r>
      <w:r>
        <w:rPr>
          <w:color w:val="231F20"/>
          <w:spacing w:val="-5"/>
          <w:sz w:val="18"/>
        </w:rPr>
        <w:t> </w:t>
      </w:r>
      <w:r>
        <w:rPr>
          <w:color w:val="231F20"/>
          <w:sz w:val="18"/>
        </w:rPr>
        <w:t>en </w:t>
      </w:r>
      <w:r>
        <w:rPr>
          <w:i/>
          <w:color w:val="231F20"/>
          <w:sz w:val="18"/>
        </w:rPr>
        <w:t>Revista Claridades Agropecuarias</w:t>
      </w:r>
      <w:r>
        <w:rPr>
          <w:color w:val="231F20"/>
          <w:sz w:val="18"/>
        </w:rPr>
        <w:t>. Núm. 34. Junio de</w:t>
      </w:r>
      <w:r>
        <w:rPr>
          <w:color w:val="231F20"/>
          <w:spacing w:val="-20"/>
          <w:sz w:val="18"/>
        </w:rPr>
        <w:t> </w:t>
      </w:r>
      <w:r>
        <w:rPr>
          <w:color w:val="231F20"/>
          <w:sz w:val="18"/>
        </w:rPr>
        <w:t>1996.</w:t>
      </w:r>
    </w:p>
    <w:p>
      <w:pPr>
        <w:spacing w:line="273" w:lineRule="auto" w:before="56"/>
        <w:ind w:left="397" w:right="111" w:hanging="284"/>
        <w:jc w:val="both"/>
        <w:rPr>
          <w:sz w:val="18"/>
        </w:rPr>
      </w:pPr>
      <w:r>
        <w:rPr>
          <w:color w:val="231F20"/>
          <w:sz w:val="18"/>
        </w:rPr>
        <w:t>C</w:t>
      </w:r>
      <w:r>
        <w:rPr>
          <w:color w:val="231F20"/>
          <w:sz w:val="14"/>
        </w:rPr>
        <w:t>ALDENTEY</w:t>
      </w:r>
      <w:r>
        <w:rPr>
          <w:color w:val="231F20"/>
          <w:sz w:val="18"/>
        </w:rPr>
        <w:t>, A. </w:t>
      </w:r>
      <w:r>
        <w:rPr>
          <w:color w:val="231F20"/>
          <w:spacing w:val="-12"/>
          <w:sz w:val="18"/>
        </w:rPr>
        <w:t>P. </w:t>
      </w:r>
      <w:r>
        <w:rPr>
          <w:color w:val="231F20"/>
          <w:sz w:val="18"/>
        </w:rPr>
        <w:t>1979. </w:t>
      </w:r>
      <w:r>
        <w:rPr>
          <w:i/>
          <w:color w:val="231F20"/>
          <w:sz w:val="18"/>
        </w:rPr>
        <w:t>Comercialización de productos agrarios</w:t>
      </w:r>
      <w:r>
        <w:rPr>
          <w:color w:val="231F20"/>
          <w:sz w:val="18"/>
        </w:rPr>
        <w:t>. Edit. Agríco- la española. Madrid, España.</w:t>
      </w:r>
    </w:p>
    <w:p>
      <w:pPr>
        <w:spacing w:line="273" w:lineRule="auto" w:before="56"/>
        <w:ind w:left="397" w:right="111" w:hanging="284"/>
        <w:jc w:val="both"/>
        <w:rPr>
          <w:sz w:val="18"/>
        </w:rPr>
      </w:pPr>
      <w:r>
        <w:rPr>
          <w:color w:val="231F20"/>
          <w:sz w:val="18"/>
        </w:rPr>
        <w:t>C</w:t>
      </w:r>
      <w:r>
        <w:rPr>
          <w:color w:val="231F20"/>
          <w:sz w:val="14"/>
        </w:rPr>
        <w:t>RAWFORD</w:t>
      </w:r>
      <w:r>
        <w:rPr>
          <w:color w:val="231F20"/>
          <w:sz w:val="18"/>
        </w:rPr>
        <w:t>, I. M. 1977. </w:t>
      </w:r>
      <w:r>
        <w:rPr>
          <w:i/>
          <w:color w:val="231F20"/>
          <w:sz w:val="18"/>
        </w:rPr>
        <w:t>Gestión del mercadeo agrícola, Organización de las </w:t>
      </w:r>
      <w:r>
        <w:rPr>
          <w:i/>
          <w:color w:val="231F20"/>
          <w:sz w:val="18"/>
        </w:rPr>
        <w:t>Naciones Unidas para la Agricultura y la Alimentación</w:t>
      </w:r>
      <w:r>
        <w:rPr>
          <w:color w:val="231F20"/>
          <w:sz w:val="18"/>
        </w:rPr>
        <w:t>, Roma, Italia. En: </w:t>
      </w:r>
      <w:hyperlink r:id="rId15">
        <w:r>
          <w:rPr>
            <w:color w:val="231F20"/>
            <w:sz w:val="18"/>
          </w:rPr>
          <w:t>http://www.rlc.fao.org/prior/desrural/mercadeo/default.htm</w:t>
        </w:r>
      </w:hyperlink>
    </w:p>
    <w:p>
      <w:pPr>
        <w:spacing w:before="56"/>
        <w:ind w:left="113" w:right="0" w:firstLine="0"/>
        <w:jc w:val="both"/>
        <w:rPr>
          <w:sz w:val="14"/>
        </w:rPr>
      </w:pPr>
      <w:r>
        <w:rPr>
          <w:color w:val="231F20"/>
          <w:sz w:val="18"/>
        </w:rPr>
        <w:t>FAO (O</w:t>
      </w:r>
      <w:r>
        <w:rPr>
          <w:color w:val="231F20"/>
          <w:sz w:val="14"/>
        </w:rPr>
        <w:t>RGANIZACIÓN DE LAS </w:t>
      </w:r>
      <w:r>
        <w:rPr>
          <w:color w:val="231F20"/>
          <w:sz w:val="18"/>
        </w:rPr>
        <w:t>N</w:t>
      </w:r>
      <w:r>
        <w:rPr>
          <w:color w:val="231F20"/>
          <w:sz w:val="14"/>
        </w:rPr>
        <w:t>ACIONES </w:t>
      </w:r>
      <w:r>
        <w:rPr>
          <w:color w:val="231F20"/>
          <w:sz w:val="18"/>
        </w:rPr>
        <w:t>U</w:t>
      </w:r>
      <w:r>
        <w:rPr>
          <w:color w:val="231F20"/>
          <w:sz w:val="14"/>
        </w:rPr>
        <w:t>NIDAS PARA LA </w:t>
      </w:r>
      <w:r>
        <w:rPr>
          <w:color w:val="231F20"/>
          <w:sz w:val="18"/>
        </w:rPr>
        <w:t>A</w:t>
      </w:r>
      <w:r>
        <w:rPr>
          <w:color w:val="231F20"/>
          <w:sz w:val="14"/>
        </w:rPr>
        <w:t>GRICULTURA Y LA </w:t>
      </w:r>
      <w:r>
        <w:rPr>
          <w:color w:val="231F20"/>
          <w:sz w:val="18"/>
        </w:rPr>
        <w:t>A</w:t>
      </w:r>
      <w:r>
        <w:rPr>
          <w:color w:val="231F20"/>
          <w:sz w:val="14"/>
        </w:rPr>
        <w:t>LIMENTA-</w:t>
      </w:r>
    </w:p>
    <w:p>
      <w:pPr>
        <w:spacing w:line="273" w:lineRule="auto" w:before="29"/>
        <w:ind w:left="397" w:right="102" w:firstLine="0"/>
        <w:jc w:val="left"/>
        <w:rPr>
          <w:sz w:val="18"/>
        </w:rPr>
      </w:pPr>
      <w:r>
        <w:rPr>
          <w:color w:val="231F20"/>
          <w:sz w:val="14"/>
        </w:rPr>
        <w:t>CIÓN</w:t>
      </w:r>
      <w:r>
        <w:rPr>
          <w:color w:val="231F20"/>
          <w:sz w:val="18"/>
        </w:rPr>
        <w:t>). 2012. </w:t>
      </w:r>
      <w:r>
        <w:rPr>
          <w:i/>
          <w:color w:val="231F20"/>
          <w:sz w:val="18"/>
        </w:rPr>
        <w:t>División de estadísticas</w:t>
      </w:r>
      <w:r>
        <w:rPr>
          <w:color w:val="231F20"/>
          <w:sz w:val="18"/>
        </w:rPr>
        <w:t>. En: </w:t>
      </w:r>
      <w:hyperlink r:id="rId16">
        <w:r>
          <w:rPr>
            <w:color w:val="231F20"/>
            <w:sz w:val="18"/>
          </w:rPr>
          <w:t>http://faostat.fao.org</w:t>
        </w:r>
      </w:hyperlink>
      <w:r>
        <w:rPr>
          <w:color w:val="231F20"/>
          <w:sz w:val="18"/>
        </w:rPr>
        <w:t> Consulta realizada el 7 de septiembre de 2012.</w:t>
      </w:r>
    </w:p>
    <w:p>
      <w:pPr>
        <w:spacing w:before="56"/>
        <w:ind w:left="0" w:right="111" w:firstLine="0"/>
        <w:jc w:val="right"/>
        <w:rPr>
          <w:sz w:val="18"/>
        </w:rPr>
      </w:pPr>
      <w:r>
        <w:rPr>
          <w:color w:val="231F20"/>
          <w:sz w:val="18"/>
        </w:rPr>
        <w:t>F</w:t>
      </w:r>
      <w:r>
        <w:rPr>
          <w:color w:val="231F20"/>
          <w:sz w:val="14"/>
        </w:rPr>
        <w:t>LORES</w:t>
      </w:r>
      <w:r>
        <w:rPr>
          <w:color w:val="231F20"/>
          <w:sz w:val="18"/>
        </w:rPr>
        <w:t>, M. A. y Agraz, G. A. 1982. </w:t>
      </w:r>
      <w:r>
        <w:rPr>
          <w:i/>
          <w:color w:val="231F20"/>
          <w:sz w:val="18"/>
        </w:rPr>
        <w:t>Ganado porcino</w:t>
      </w:r>
      <w:r>
        <w:rPr>
          <w:color w:val="231F20"/>
          <w:sz w:val="18"/>
        </w:rPr>
        <w:t>, Edit. Limusa. México, D.F.</w:t>
      </w:r>
    </w:p>
    <w:p>
      <w:pPr>
        <w:spacing w:line="273" w:lineRule="auto" w:before="85"/>
        <w:ind w:left="397" w:right="111" w:hanging="284"/>
        <w:jc w:val="both"/>
        <w:rPr>
          <w:sz w:val="18"/>
        </w:rPr>
      </w:pPr>
      <w:r>
        <w:rPr>
          <w:color w:val="231F20"/>
          <w:sz w:val="18"/>
        </w:rPr>
        <w:t>G</w:t>
      </w:r>
      <w:r>
        <w:rPr>
          <w:color w:val="231F20"/>
          <w:sz w:val="14"/>
        </w:rPr>
        <w:t>ARCÍA</w:t>
      </w:r>
      <w:r>
        <w:rPr>
          <w:color w:val="231F20"/>
          <w:sz w:val="18"/>
        </w:rPr>
        <w:t>, M. R. </w:t>
      </w:r>
      <w:r>
        <w:rPr>
          <w:i/>
          <w:color w:val="231F20"/>
          <w:sz w:val="18"/>
        </w:rPr>
        <w:t>et al</w:t>
      </w:r>
      <w:r>
        <w:rPr>
          <w:color w:val="231F20"/>
          <w:sz w:val="18"/>
        </w:rPr>
        <w:t>. 1990. </w:t>
      </w:r>
      <w:r>
        <w:rPr>
          <w:i/>
          <w:color w:val="231F20"/>
          <w:sz w:val="18"/>
        </w:rPr>
        <w:t>Notas sobre mercados y comercialización de pro- </w:t>
      </w:r>
      <w:r>
        <w:rPr>
          <w:i/>
          <w:color w:val="231F20"/>
          <w:sz w:val="18"/>
        </w:rPr>
        <w:t>ductos agrícolas</w:t>
      </w:r>
      <w:r>
        <w:rPr>
          <w:color w:val="231F20"/>
          <w:sz w:val="18"/>
        </w:rPr>
        <w:t>. Centro de economía, Colegio de Postgraduados. Mon- tecillo, Edo. de México.</w:t>
      </w:r>
    </w:p>
    <w:p>
      <w:pPr>
        <w:spacing w:after="0" w:line="273" w:lineRule="auto"/>
        <w:jc w:val="both"/>
        <w:rPr>
          <w:sz w:val="18"/>
        </w:rPr>
        <w:sectPr>
          <w:footerReference w:type="default" r:id="rId14"/>
          <w:pgSz w:w="7940" w:h="11910"/>
          <w:pgMar w:footer="469" w:header="0" w:top="500" w:bottom="660" w:left="1020" w:right="1020"/>
          <w:pgNumType w:start="101"/>
        </w:sectPr>
      </w:pPr>
    </w:p>
    <w:p>
      <w:pPr>
        <w:spacing w:before="60"/>
        <w:ind w:left="597" w:right="102" w:firstLine="0"/>
        <w:jc w:val="left"/>
        <w:rPr>
          <w:sz w:val="14"/>
        </w:rPr>
      </w:pPr>
      <w:r>
        <w:rPr>
          <w:color w:val="231F20"/>
          <w:sz w:val="18"/>
        </w:rPr>
        <w:t>F. G</w:t>
      </w:r>
      <w:r>
        <w:rPr>
          <w:color w:val="231F20"/>
          <w:sz w:val="14"/>
        </w:rPr>
        <w:t>ONZÁLEZ-</w:t>
      </w:r>
      <w:r>
        <w:rPr>
          <w:color w:val="231F20"/>
          <w:sz w:val="18"/>
        </w:rPr>
        <w:t>R</w:t>
      </w:r>
      <w:r>
        <w:rPr>
          <w:color w:val="231F20"/>
          <w:sz w:val="14"/>
        </w:rPr>
        <w:t>AZO</w:t>
      </w:r>
      <w:r>
        <w:rPr>
          <w:color w:val="231F20"/>
          <w:sz w:val="18"/>
        </w:rPr>
        <w:t>, S. R</w:t>
      </w:r>
      <w:r>
        <w:rPr>
          <w:color w:val="231F20"/>
          <w:sz w:val="14"/>
        </w:rPr>
        <w:t>EBOLLAR</w:t>
      </w:r>
      <w:r>
        <w:rPr>
          <w:color w:val="231F20"/>
          <w:sz w:val="18"/>
        </w:rPr>
        <w:t>-R</w:t>
      </w:r>
      <w:r>
        <w:rPr>
          <w:color w:val="231F20"/>
          <w:sz w:val="14"/>
        </w:rPr>
        <w:t>EBOLLAR</w:t>
      </w:r>
      <w:r>
        <w:rPr>
          <w:color w:val="231F20"/>
          <w:sz w:val="18"/>
        </w:rPr>
        <w:t>, J</w:t>
      </w:r>
      <w:r>
        <w:rPr>
          <w:color w:val="231F20"/>
          <w:sz w:val="14"/>
        </w:rPr>
        <w:t>. </w:t>
      </w:r>
      <w:r>
        <w:rPr>
          <w:color w:val="231F20"/>
          <w:sz w:val="18"/>
        </w:rPr>
        <w:t>H</w:t>
      </w:r>
      <w:r>
        <w:rPr>
          <w:color w:val="231F20"/>
          <w:sz w:val="14"/>
        </w:rPr>
        <w:t>ERNÁNDEZ-</w:t>
      </w:r>
      <w:r>
        <w:rPr>
          <w:color w:val="231F20"/>
          <w:sz w:val="18"/>
        </w:rPr>
        <w:t>M</w:t>
      </w:r>
      <w:r>
        <w:rPr>
          <w:color w:val="231F20"/>
          <w:sz w:val="14"/>
        </w:rPr>
        <w:t>ARTÍNEZ</w:t>
      </w:r>
    </w:p>
    <w:p>
      <w:pPr>
        <w:pStyle w:val="BodyText"/>
        <w:spacing w:before="1"/>
        <w:rPr>
          <w:sz w:val="23"/>
        </w:rPr>
      </w:pPr>
    </w:p>
    <w:p>
      <w:pPr>
        <w:spacing w:line="273" w:lineRule="auto" w:before="75"/>
        <w:ind w:left="397" w:right="111" w:hanging="284"/>
        <w:jc w:val="both"/>
        <w:rPr>
          <w:sz w:val="18"/>
        </w:rPr>
      </w:pPr>
      <w:r>
        <w:rPr>
          <w:color w:val="231F20"/>
          <w:sz w:val="18"/>
        </w:rPr>
        <w:t>H</w:t>
      </w:r>
      <w:r>
        <w:rPr>
          <w:color w:val="231F20"/>
          <w:sz w:val="14"/>
        </w:rPr>
        <w:t>ARRISON </w:t>
      </w:r>
      <w:r>
        <w:rPr>
          <w:i/>
          <w:color w:val="231F20"/>
          <w:sz w:val="18"/>
        </w:rPr>
        <w:t>et al</w:t>
      </w:r>
      <w:r>
        <w:rPr>
          <w:color w:val="231F20"/>
          <w:sz w:val="18"/>
        </w:rPr>
        <w:t>. 1976. </w:t>
      </w:r>
      <w:r>
        <w:rPr>
          <w:i/>
          <w:color w:val="231F20"/>
          <w:sz w:val="18"/>
        </w:rPr>
        <w:t>Mejoramiento de los sistemas de comercialización de </w:t>
      </w:r>
      <w:r>
        <w:rPr>
          <w:i/>
          <w:color w:val="231F20"/>
          <w:sz w:val="18"/>
        </w:rPr>
        <w:t>alimentos en los países en desarrollo: experiencias en América Latina, Instituto Interamericano de Cooperación para la Agricultura</w:t>
      </w:r>
      <w:r>
        <w:rPr>
          <w:color w:val="231F20"/>
          <w:sz w:val="18"/>
        </w:rPr>
        <w:t>, San José Costa Rica.</w:t>
      </w:r>
    </w:p>
    <w:p>
      <w:pPr>
        <w:spacing w:line="273" w:lineRule="auto" w:before="56"/>
        <w:ind w:left="397" w:right="111" w:hanging="284"/>
        <w:jc w:val="both"/>
        <w:rPr>
          <w:sz w:val="18"/>
        </w:rPr>
      </w:pPr>
      <w:r>
        <w:rPr>
          <w:color w:val="231F20"/>
          <w:sz w:val="18"/>
        </w:rPr>
        <w:t>M</w:t>
      </w:r>
      <w:r>
        <w:rPr>
          <w:color w:val="231F20"/>
          <w:sz w:val="14"/>
        </w:rPr>
        <w:t>ELÉNDEZ</w:t>
      </w:r>
      <w:r>
        <w:rPr>
          <w:color w:val="231F20"/>
          <w:sz w:val="18"/>
        </w:rPr>
        <w:t>, G. J. R. </w:t>
      </w:r>
      <w:r>
        <w:rPr>
          <w:i/>
          <w:color w:val="231F20"/>
          <w:sz w:val="18"/>
        </w:rPr>
        <w:t>et al</w:t>
      </w:r>
      <w:r>
        <w:rPr>
          <w:color w:val="231F20"/>
          <w:sz w:val="18"/>
        </w:rPr>
        <w:t>. 2005. </w:t>
      </w:r>
      <w:r>
        <w:rPr>
          <w:i/>
          <w:color w:val="231F20"/>
          <w:sz w:val="18"/>
        </w:rPr>
        <w:t>Administración pecuaria, Facultad de Medici- </w:t>
      </w:r>
      <w:r>
        <w:rPr>
          <w:i/>
          <w:color w:val="231F20"/>
          <w:sz w:val="18"/>
        </w:rPr>
        <w:t>na.</w:t>
      </w:r>
      <w:r>
        <w:rPr>
          <w:i/>
          <w:color w:val="231F20"/>
          <w:spacing w:val="-9"/>
          <w:sz w:val="18"/>
        </w:rPr>
        <w:t> </w:t>
      </w:r>
      <w:r>
        <w:rPr>
          <w:i/>
          <w:color w:val="231F20"/>
          <w:sz w:val="18"/>
        </w:rPr>
        <w:t>Veterinaria</w:t>
      </w:r>
      <w:r>
        <w:rPr>
          <w:i/>
          <w:color w:val="231F20"/>
          <w:spacing w:val="-9"/>
          <w:sz w:val="18"/>
        </w:rPr>
        <w:t> </w:t>
      </w:r>
      <w:r>
        <w:rPr>
          <w:i/>
          <w:color w:val="231F20"/>
          <w:sz w:val="18"/>
        </w:rPr>
        <w:t>y</w:t>
      </w:r>
      <w:r>
        <w:rPr>
          <w:i/>
          <w:color w:val="231F20"/>
          <w:spacing w:val="-9"/>
          <w:sz w:val="18"/>
        </w:rPr>
        <w:t> </w:t>
      </w:r>
      <w:r>
        <w:rPr>
          <w:i/>
          <w:color w:val="231F20"/>
          <w:sz w:val="18"/>
        </w:rPr>
        <w:t>Zootecnia</w:t>
      </w:r>
      <w:r>
        <w:rPr>
          <w:color w:val="231F20"/>
          <w:sz w:val="18"/>
        </w:rPr>
        <w:t>.</w:t>
      </w:r>
      <w:r>
        <w:rPr>
          <w:color w:val="231F20"/>
          <w:spacing w:val="-9"/>
          <w:sz w:val="18"/>
        </w:rPr>
        <w:t> </w:t>
      </w:r>
      <w:r>
        <w:rPr>
          <w:color w:val="231F20"/>
          <w:sz w:val="18"/>
        </w:rPr>
        <w:t>Universidad</w:t>
      </w:r>
      <w:r>
        <w:rPr>
          <w:color w:val="231F20"/>
          <w:spacing w:val="-9"/>
          <w:sz w:val="18"/>
        </w:rPr>
        <w:t> </w:t>
      </w:r>
      <w:r>
        <w:rPr>
          <w:color w:val="231F20"/>
          <w:sz w:val="18"/>
        </w:rPr>
        <w:t>Nacional</w:t>
      </w:r>
      <w:r>
        <w:rPr>
          <w:color w:val="231F20"/>
          <w:spacing w:val="-10"/>
          <w:sz w:val="18"/>
        </w:rPr>
        <w:t> </w:t>
      </w:r>
      <w:r>
        <w:rPr>
          <w:color w:val="231F20"/>
          <w:sz w:val="18"/>
        </w:rPr>
        <w:t>Autónoma</w:t>
      </w:r>
      <w:r>
        <w:rPr>
          <w:color w:val="231F20"/>
          <w:spacing w:val="-9"/>
          <w:sz w:val="18"/>
        </w:rPr>
        <w:t> </w:t>
      </w:r>
      <w:r>
        <w:rPr>
          <w:color w:val="231F20"/>
          <w:sz w:val="18"/>
        </w:rPr>
        <w:t>de</w:t>
      </w:r>
      <w:r>
        <w:rPr>
          <w:color w:val="231F20"/>
          <w:spacing w:val="-9"/>
          <w:sz w:val="18"/>
        </w:rPr>
        <w:t> </w:t>
      </w:r>
      <w:r>
        <w:rPr>
          <w:color w:val="231F20"/>
          <w:sz w:val="18"/>
        </w:rPr>
        <w:t>México. México, </w:t>
      </w:r>
      <w:r>
        <w:rPr>
          <w:color w:val="231F20"/>
          <w:spacing w:val="-3"/>
          <w:sz w:val="18"/>
        </w:rPr>
        <w:t>D.</w:t>
      </w:r>
      <w:r>
        <w:rPr>
          <w:color w:val="231F20"/>
          <w:spacing w:val="-7"/>
          <w:sz w:val="18"/>
        </w:rPr>
        <w:t> </w:t>
      </w:r>
      <w:r>
        <w:rPr>
          <w:color w:val="231F20"/>
          <w:spacing w:val="-10"/>
          <w:sz w:val="18"/>
        </w:rPr>
        <w:t>F.</w:t>
      </w:r>
    </w:p>
    <w:p>
      <w:pPr>
        <w:spacing w:line="273" w:lineRule="auto" w:before="56"/>
        <w:ind w:left="397" w:right="111" w:hanging="284"/>
        <w:jc w:val="both"/>
        <w:rPr>
          <w:sz w:val="18"/>
        </w:rPr>
      </w:pPr>
      <w:r>
        <w:rPr>
          <w:color w:val="231F20"/>
          <w:sz w:val="18"/>
        </w:rPr>
        <w:t>M</w:t>
      </w:r>
      <w:r>
        <w:rPr>
          <w:color w:val="231F20"/>
          <w:sz w:val="14"/>
        </w:rPr>
        <w:t>ENDOZA</w:t>
      </w:r>
      <w:r>
        <w:rPr>
          <w:color w:val="231F20"/>
          <w:sz w:val="18"/>
        </w:rPr>
        <w:t>,</w:t>
      </w:r>
      <w:r>
        <w:rPr>
          <w:color w:val="231F20"/>
          <w:spacing w:val="-8"/>
          <w:sz w:val="18"/>
        </w:rPr>
        <w:t> </w:t>
      </w:r>
      <w:r>
        <w:rPr>
          <w:color w:val="231F20"/>
          <w:sz w:val="18"/>
        </w:rPr>
        <w:t>G.</w:t>
      </w:r>
      <w:r>
        <w:rPr>
          <w:color w:val="231F20"/>
          <w:spacing w:val="-8"/>
          <w:sz w:val="18"/>
        </w:rPr>
        <w:t> </w:t>
      </w:r>
      <w:r>
        <w:rPr>
          <w:color w:val="231F20"/>
          <w:sz w:val="18"/>
        </w:rPr>
        <w:t>1987.</w:t>
      </w:r>
      <w:r>
        <w:rPr>
          <w:color w:val="231F20"/>
          <w:spacing w:val="-8"/>
          <w:sz w:val="18"/>
        </w:rPr>
        <w:t> </w:t>
      </w:r>
      <w:r>
        <w:rPr>
          <w:i/>
          <w:color w:val="231F20"/>
          <w:sz w:val="18"/>
        </w:rPr>
        <w:t>Compendio</w:t>
      </w:r>
      <w:r>
        <w:rPr>
          <w:i/>
          <w:color w:val="231F20"/>
          <w:spacing w:val="-9"/>
          <w:sz w:val="18"/>
        </w:rPr>
        <w:t> </w:t>
      </w:r>
      <w:r>
        <w:rPr>
          <w:i/>
          <w:color w:val="231F20"/>
          <w:sz w:val="18"/>
        </w:rPr>
        <w:t>de</w:t>
      </w:r>
      <w:r>
        <w:rPr>
          <w:i/>
          <w:color w:val="231F20"/>
          <w:spacing w:val="-8"/>
          <w:sz w:val="18"/>
        </w:rPr>
        <w:t> </w:t>
      </w:r>
      <w:r>
        <w:rPr>
          <w:i/>
          <w:color w:val="231F20"/>
          <w:sz w:val="18"/>
        </w:rPr>
        <w:t>mercadeo</w:t>
      </w:r>
      <w:r>
        <w:rPr>
          <w:i/>
          <w:color w:val="231F20"/>
          <w:spacing w:val="-8"/>
          <w:sz w:val="18"/>
        </w:rPr>
        <w:t> </w:t>
      </w:r>
      <w:r>
        <w:rPr>
          <w:i/>
          <w:color w:val="231F20"/>
          <w:sz w:val="18"/>
        </w:rPr>
        <w:t>de</w:t>
      </w:r>
      <w:r>
        <w:rPr>
          <w:i/>
          <w:color w:val="231F20"/>
          <w:spacing w:val="-8"/>
          <w:sz w:val="18"/>
        </w:rPr>
        <w:t> </w:t>
      </w:r>
      <w:r>
        <w:rPr>
          <w:i/>
          <w:color w:val="231F20"/>
          <w:sz w:val="18"/>
        </w:rPr>
        <w:t>productos</w:t>
      </w:r>
      <w:r>
        <w:rPr>
          <w:i/>
          <w:color w:val="231F20"/>
          <w:spacing w:val="-8"/>
          <w:sz w:val="18"/>
        </w:rPr>
        <w:t> </w:t>
      </w:r>
      <w:r>
        <w:rPr>
          <w:i/>
          <w:color w:val="231F20"/>
          <w:sz w:val="18"/>
        </w:rPr>
        <w:t>agropecuarios,</w:t>
      </w:r>
      <w:r>
        <w:rPr>
          <w:i/>
          <w:color w:val="231F20"/>
          <w:spacing w:val="-9"/>
          <w:sz w:val="18"/>
        </w:rPr>
        <w:t> </w:t>
      </w:r>
      <w:r>
        <w:rPr>
          <w:i/>
          <w:color w:val="231F20"/>
          <w:sz w:val="18"/>
        </w:rPr>
        <w:t>Ins- </w:t>
      </w:r>
      <w:r>
        <w:rPr>
          <w:i/>
          <w:color w:val="231F20"/>
          <w:sz w:val="18"/>
        </w:rPr>
        <w:t>tituto Interamericano de Cooperación para la Agricultura</w:t>
      </w:r>
      <w:r>
        <w:rPr>
          <w:color w:val="231F20"/>
          <w:sz w:val="18"/>
        </w:rPr>
        <w:t>, 2a. ed. San José, Costa</w:t>
      </w:r>
      <w:r>
        <w:rPr>
          <w:color w:val="231F20"/>
          <w:spacing w:val="-2"/>
          <w:sz w:val="18"/>
        </w:rPr>
        <w:t> </w:t>
      </w:r>
      <w:r>
        <w:rPr>
          <w:color w:val="231F20"/>
          <w:sz w:val="18"/>
        </w:rPr>
        <w:t>Rica.</w:t>
      </w:r>
    </w:p>
    <w:p>
      <w:pPr>
        <w:pStyle w:val="BodyText"/>
        <w:spacing w:line="273" w:lineRule="auto" w:before="56"/>
        <w:ind w:left="72" w:right="111"/>
        <w:jc w:val="right"/>
      </w:pPr>
      <w:r>
        <w:rPr>
          <w:color w:val="231F20"/>
        </w:rPr>
        <w:t>P</w:t>
      </w:r>
      <w:r>
        <w:rPr>
          <w:color w:val="231F20"/>
          <w:sz w:val="14"/>
        </w:rPr>
        <w:t>ÉREZ</w:t>
      </w:r>
      <w:r>
        <w:rPr>
          <w:color w:val="231F20"/>
        </w:rPr>
        <w:t>, E. R. 1999. “Porcicultura intensiva y medio ambiente en México. Instituto de Investigaciones Económicas”, Universidad Nacional Au- tónoma de México. </w:t>
      </w:r>
      <w:r>
        <w:rPr>
          <w:i/>
          <w:color w:val="231F20"/>
        </w:rPr>
        <w:t>Revista Mundial de Zootecnia</w:t>
      </w:r>
      <w:r>
        <w:rPr>
          <w:color w:val="231F20"/>
        </w:rPr>
        <w:t>. Núm. 92-1999/1.  En: http://www.fao.org/documents/show_cdr.asp?url_file=/docrep/</w:t>
      </w:r>
      <w:r>
        <w:rPr>
          <w:color w:val="231F20"/>
          <w:w w:val="99"/>
        </w:rPr>
        <w:t> </w:t>
      </w:r>
      <w:r>
        <w:rPr>
          <w:color w:val="231F20"/>
        </w:rPr>
        <w:t>x1700t/x1700t03.htm Consulta realizada el 13 de septiembre de 2007.</w:t>
      </w:r>
    </w:p>
    <w:p>
      <w:pPr>
        <w:spacing w:line="273" w:lineRule="auto" w:before="56"/>
        <w:ind w:left="397" w:right="111" w:hanging="284"/>
        <w:jc w:val="both"/>
        <w:rPr>
          <w:sz w:val="18"/>
        </w:rPr>
      </w:pPr>
      <w:r>
        <w:rPr>
          <w:color w:val="231F20"/>
          <w:sz w:val="18"/>
        </w:rPr>
        <w:t>SAGAR. 2000. </w:t>
      </w:r>
      <w:r>
        <w:rPr>
          <w:i/>
          <w:color w:val="231F20"/>
          <w:sz w:val="18"/>
        </w:rPr>
        <w:t>La producción de carnes en México y sus perspectivas 1990- </w:t>
      </w:r>
      <w:r>
        <w:rPr>
          <w:i/>
          <w:color w:val="231F20"/>
          <w:sz w:val="18"/>
        </w:rPr>
        <w:t>2000</w:t>
      </w:r>
      <w:r>
        <w:rPr>
          <w:color w:val="231F20"/>
          <w:sz w:val="18"/>
        </w:rPr>
        <w:t>,</w:t>
      </w:r>
      <w:r>
        <w:rPr>
          <w:color w:val="231F20"/>
          <w:spacing w:val="-9"/>
          <w:sz w:val="18"/>
        </w:rPr>
        <w:t> </w:t>
      </w:r>
      <w:r>
        <w:rPr>
          <w:color w:val="231F20"/>
          <w:sz w:val="18"/>
        </w:rPr>
        <w:t>En:</w:t>
      </w:r>
      <w:r>
        <w:rPr>
          <w:color w:val="231F20"/>
          <w:spacing w:val="-10"/>
          <w:sz w:val="18"/>
        </w:rPr>
        <w:t> </w:t>
      </w:r>
      <w:hyperlink r:id="rId17">
        <w:r>
          <w:rPr>
            <w:color w:val="231F20"/>
            <w:sz w:val="18"/>
          </w:rPr>
          <w:t>http://www.sagarpa.gob.mx/Dgg</w:t>
        </w:r>
      </w:hyperlink>
      <w:r>
        <w:rPr>
          <w:color w:val="231F20"/>
          <w:spacing w:val="-9"/>
          <w:sz w:val="18"/>
        </w:rPr>
        <w:t> </w:t>
      </w:r>
      <w:r>
        <w:rPr>
          <w:color w:val="231F20"/>
          <w:sz w:val="18"/>
        </w:rPr>
        <w:t>Consulta</w:t>
      </w:r>
      <w:r>
        <w:rPr>
          <w:color w:val="231F20"/>
          <w:spacing w:val="-11"/>
          <w:sz w:val="18"/>
        </w:rPr>
        <w:t> </w:t>
      </w:r>
      <w:r>
        <w:rPr>
          <w:color w:val="231F20"/>
          <w:sz w:val="18"/>
        </w:rPr>
        <w:t>realizada</w:t>
      </w:r>
      <w:r>
        <w:rPr>
          <w:color w:val="231F20"/>
          <w:spacing w:val="-10"/>
          <w:sz w:val="18"/>
        </w:rPr>
        <w:t> </w:t>
      </w:r>
      <w:r>
        <w:rPr>
          <w:color w:val="231F20"/>
          <w:sz w:val="18"/>
        </w:rPr>
        <w:t>el</w:t>
      </w:r>
      <w:r>
        <w:rPr>
          <w:color w:val="231F20"/>
          <w:spacing w:val="-10"/>
          <w:sz w:val="18"/>
        </w:rPr>
        <w:t> </w:t>
      </w:r>
      <w:r>
        <w:rPr>
          <w:color w:val="231F20"/>
          <w:sz w:val="18"/>
        </w:rPr>
        <w:t>12</w:t>
      </w:r>
      <w:r>
        <w:rPr>
          <w:color w:val="231F20"/>
          <w:spacing w:val="-10"/>
          <w:sz w:val="18"/>
        </w:rPr>
        <w:t> </w:t>
      </w:r>
      <w:r>
        <w:rPr>
          <w:color w:val="231F20"/>
          <w:sz w:val="18"/>
        </w:rPr>
        <w:t>de septiembre de</w:t>
      </w:r>
      <w:r>
        <w:rPr>
          <w:color w:val="231F20"/>
          <w:spacing w:val="-5"/>
          <w:sz w:val="18"/>
        </w:rPr>
        <w:t> </w:t>
      </w:r>
      <w:r>
        <w:rPr>
          <w:color w:val="231F20"/>
          <w:sz w:val="18"/>
        </w:rPr>
        <w:t>2007.</w:t>
      </w:r>
    </w:p>
    <w:p>
      <w:pPr>
        <w:spacing w:line="273" w:lineRule="auto" w:before="56"/>
        <w:ind w:left="397" w:right="111" w:hanging="284"/>
        <w:jc w:val="both"/>
        <w:rPr>
          <w:sz w:val="18"/>
        </w:rPr>
      </w:pPr>
      <w:r>
        <w:rPr>
          <w:color w:val="231F20"/>
          <w:sz w:val="18"/>
        </w:rPr>
        <w:t>SAGARPA (Secretaría de Agricultura, Ganadería, Desarrollo Rural, Pesca y Alimentación) 2012. </w:t>
      </w:r>
      <w:r>
        <w:rPr>
          <w:i/>
          <w:color w:val="231F20"/>
          <w:sz w:val="18"/>
        </w:rPr>
        <w:t>Sistema de Información Agroalimentaria de Con- </w:t>
      </w:r>
      <w:r>
        <w:rPr>
          <w:i/>
          <w:color w:val="231F20"/>
          <w:sz w:val="18"/>
        </w:rPr>
        <w:t>sulta (SIACON)</w:t>
      </w:r>
      <w:r>
        <w:rPr>
          <w:color w:val="231F20"/>
          <w:sz w:val="18"/>
        </w:rPr>
        <w:t>, en: </w:t>
      </w:r>
      <w:hyperlink r:id="rId18">
        <w:r>
          <w:rPr>
            <w:color w:val="231F20"/>
            <w:sz w:val="18"/>
          </w:rPr>
          <w:t>http://www.siap.gob.mx/</w:t>
        </w:r>
      </w:hyperlink>
      <w:r>
        <w:rPr>
          <w:color w:val="231F20"/>
          <w:sz w:val="18"/>
        </w:rPr>
        <w:t> Consulta realizada el 7 de septiembre de 2012.</w:t>
      </w:r>
    </w:p>
    <w:p>
      <w:pPr>
        <w:pStyle w:val="BodyText"/>
        <w:spacing w:line="273" w:lineRule="auto" w:before="56"/>
        <w:ind w:left="397" w:right="112" w:hanging="284"/>
        <w:jc w:val="both"/>
      </w:pPr>
      <w:r>
        <w:rPr>
          <w:color w:val="231F20"/>
        </w:rPr>
        <w:t>SAGARPA-Delegación Estado de México. 2006, en: http://www.sagarpa. gob.mx/dlg/edomex/ Consulta realizada el 5 de septiembre de 2007.</w:t>
      </w:r>
    </w:p>
    <w:p>
      <w:pPr>
        <w:spacing w:before="56"/>
        <w:ind w:left="113" w:right="0" w:firstLine="0"/>
        <w:jc w:val="left"/>
        <w:rPr>
          <w:sz w:val="18"/>
        </w:rPr>
      </w:pPr>
      <w:r>
        <w:rPr>
          <w:color w:val="231F20"/>
          <w:sz w:val="18"/>
        </w:rPr>
        <w:t>S</w:t>
      </w:r>
      <w:r>
        <w:rPr>
          <w:color w:val="231F20"/>
          <w:sz w:val="14"/>
        </w:rPr>
        <w:t>CHEAFFER</w:t>
      </w:r>
      <w:r>
        <w:rPr>
          <w:color w:val="231F20"/>
          <w:sz w:val="18"/>
        </w:rPr>
        <w:t>, R. L., Mendenhall, W. y Ott, L. 1996. </w:t>
      </w:r>
      <w:r>
        <w:rPr>
          <w:i/>
          <w:color w:val="231F20"/>
          <w:sz w:val="18"/>
        </w:rPr>
        <w:t>Elementos de muestreo, </w:t>
      </w:r>
      <w:r>
        <w:rPr>
          <w:color w:val="231F20"/>
          <w:sz w:val="18"/>
        </w:rPr>
        <w:t>Edit.</w:t>
      </w:r>
    </w:p>
    <w:p>
      <w:pPr>
        <w:pStyle w:val="BodyText"/>
        <w:spacing w:before="29"/>
        <w:ind w:left="397" w:right="102"/>
      </w:pPr>
      <w:r>
        <w:rPr>
          <w:color w:val="231F20"/>
        </w:rPr>
        <w:t>Grupo editorial Iberoamérica, México, D.F.</w:t>
      </w:r>
    </w:p>
    <w:p>
      <w:pPr>
        <w:spacing w:line="273" w:lineRule="auto" w:before="85"/>
        <w:ind w:left="397" w:right="111" w:hanging="284"/>
        <w:jc w:val="both"/>
        <w:rPr>
          <w:sz w:val="18"/>
        </w:rPr>
      </w:pPr>
      <w:r>
        <w:rPr>
          <w:color w:val="231F20"/>
          <w:sz w:val="18"/>
        </w:rPr>
        <w:t>T</w:t>
      </w:r>
      <w:r>
        <w:rPr>
          <w:color w:val="231F20"/>
          <w:sz w:val="14"/>
        </w:rPr>
        <w:t>OMEK</w:t>
      </w:r>
      <w:r>
        <w:rPr>
          <w:color w:val="231F20"/>
          <w:sz w:val="18"/>
        </w:rPr>
        <w:t>, W. y Robinson, K. L. 1981. </w:t>
      </w:r>
      <w:r>
        <w:rPr>
          <w:i/>
          <w:color w:val="231F20"/>
          <w:sz w:val="18"/>
        </w:rPr>
        <w:t>Agricultural product prices</w:t>
      </w:r>
      <w:r>
        <w:rPr>
          <w:color w:val="231F20"/>
          <w:sz w:val="18"/>
        </w:rPr>
        <w:t>, Second edi- tion. Cornell University Press. Ithaca and London.</w:t>
      </w:r>
    </w:p>
    <w:sectPr>
      <w:pgSz w:w="7940" w:h="11910"/>
      <w:pgMar w:header="0" w:footer="469" w:top="480" w:bottom="66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91.995499pt;margin-top:560.808838pt;width:12.9pt;height:10pt;mso-position-horizontal-relative:page;mso-position-vertical-relative:page;z-index:-39952"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85</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2.995499pt;margin-top:560.808838pt;width:10.9pt;height:10pt;mso-position-horizontal-relative:page;mso-position-vertical-relative:page;z-index:-39928" type="#_x0000_t202" filled="false" stroked="false">
          <v:textbox inset="0,0,0,0">
            <w:txbxContent>
              <w:p>
                <w:pPr>
                  <w:spacing w:line="185" w:lineRule="exact" w:before="0"/>
                  <w:ind w:left="20" w:right="0" w:firstLine="0"/>
                  <w:jc w:val="left"/>
                  <w:rPr>
                    <w:sz w:val="16"/>
                  </w:rPr>
                </w:pPr>
                <w:r>
                  <w:rPr>
                    <w:color w:val="231F20"/>
                    <w:sz w:val="16"/>
                  </w:rPr>
                  <w:t>90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1.995499pt;margin-top:560.808838pt;width:12.9pt;height:10pt;mso-position-horizontal-relative:page;mso-position-vertical-relative:page;z-index:-39904"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91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780701pt;margin-top:560.808838pt;width:17.350pt;height:10pt;mso-position-horizontal-relative:page;mso-position-vertical-relative:page;z-index:-39880"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101</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18"/>
      <w:szCs w:val="18"/>
    </w:rPr>
  </w:style>
  <w:style w:styleId="Heading1" w:type="paragraph">
    <w:name w:val="Heading 1"/>
    <w:basedOn w:val="Normal"/>
    <w:uiPriority w:val="1"/>
    <w:qFormat/>
    <w:pPr>
      <w:spacing w:before="7"/>
      <w:ind w:left="315" w:right="313"/>
      <w:jc w:val="center"/>
      <w:outlineLvl w:val="1"/>
    </w:pPr>
    <w:rPr>
      <w:rFonts w:ascii="Times New Roman" w:hAnsi="Times New Roman" w:eastAsia="Times New Roman" w:cs="Times New Roman"/>
      <w:sz w:val="40"/>
      <w:szCs w:val="40"/>
    </w:rPr>
  </w:style>
  <w:style w:styleId="Heading2" w:type="paragraph">
    <w:name w:val="Heading 2"/>
    <w:basedOn w:val="Normal"/>
    <w:uiPriority w:val="1"/>
    <w:qFormat/>
    <w:pPr>
      <w:ind w:left="496" w:right="494"/>
      <w:jc w:val="center"/>
      <w:outlineLvl w:val="2"/>
    </w:pPr>
    <w:rPr>
      <w:rFonts w:ascii="Cambria" w:hAnsi="Cambria" w:eastAsia="Cambria" w:cs="Cambria"/>
      <w:b/>
      <w:bCs/>
      <w:sz w:val="32"/>
      <w:szCs w:val="32"/>
    </w:rPr>
  </w:style>
  <w:style w:styleId="Heading3" w:type="paragraph">
    <w:name w:val="Heading 3"/>
    <w:basedOn w:val="Normal"/>
    <w:uiPriority w:val="1"/>
    <w:qFormat/>
    <w:pPr>
      <w:ind w:left="495" w:right="495"/>
      <w:jc w:val="center"/>
      <w:outlineLvl w:val="3"/>
    </w:pPr>
    <w:rPr>
      <w:rFonts w:ascii="Cambria" w:hAnsi="Cambria" w:eastAsia="Cambria" w:cs="Cambria"/>
      <w:b/>
      <w:bCs/>
      <w:sz w:val="28"/>
      <w:szCs w:val="28"/>
    </w:rPr>
  </w:style>
  <w:style w:styleId="Heading4" w:type="paragraph">
    <w:name w:val="Heading 4"/>
    <w:basedOn w:val="Normal"/>
    <w:uiPriority w:val="1"/>
    <w:qFormat/>
    <w:pPr>
      <w:spacing w:before="121"/>
      <w:ind w:left="495" w:right="495"/>
      <w:jc w:val="center"/>
      <w:outlineLvl w:val="4"/>
    </w:pPr>
    <w:rPr>
      <w:rFonts w:ascii="Cambria" w:hAnsi="Cambria" w:eastAsia="Cambria" w:cs="Cambria"/>
      <w:b/>
      <w:bCs/>
      <w:sz w:val="24"/>
      <w:szCs w:val="24"/>
    </w:rPr>
  </w:style>
  <w:style w:styleId="Heading5" w:type="paragraph">
    <w:name w:val="Heading 5"/>
    <w:basedOn w:val="Normal"/>
    <w:uiPriority w:val="1"/>
    <w:qFormat/>
    <w:pPr>
      <w:spacing w:before="32"/>
      <w:ind w:left="495" w:right="495"/>
      <w:jc w:val="center"/>
      <w:outlineLvl w:val="5"/>
    </w:pPr>
    <w:rPr>
      <w:rFonts w:ascii="Cambria" w:hAnsi="Cambria" w:eastAsia="Cambria" w:cs="Cambria"/>
      <w:b/>
      <w:bCs/>
      <w:sz w:val="22"/>
      <w:szCs w:val="22"/>
    </w:rPr>
  </w:style>
  <w:style w:styleId="Heading6" w:type="paragraph">
    <w:name w:val="Heading 6"/>
    <w:basedOn w:val="Normal"/>
    <w:uiPriority w:val="1"/>
    <w:qFormat/>
    <w:pPr>
      <w:ind w:left="116"/>
      <w:outlineLvl w:val="6"/>
    </w:pPr>
    <w:rPr>
      <w:rFonts w:ascii="Cambria" w:hAnsi="Cambria" w:eastAsia="Cambria" w:cs="Cambria"/>
      <w:b/>
      <w:bCs/>
      <w:sz w:val="18"/>
      <w:szCs w:val="18"/>
    </w:rPr>
  </w:style>
  <w:style w:styleId="ListParagraph" w:type="paragraph">
    <w:name w:val="List Paragraph"/>
    <w:basedOn w:val="Normal"/>
    <w:uiPriority w:val="1"/>
    <w:qFormat/>
    <w:pPr/>
    <w:rPr/>
  </w:style>
  <w:style w:styleId="TableParagraph" w:type="paragraph">
    <w:name w:val="Table Paragraph"/>
    <w:basedOn w:val="Normal"/>
    <w:uiPriority w:val="1"/>
    <w:qFormat/>
    <w:pPr>
      <w:spacing w:before="12"/>
      <w:ind w:left="311"/>
      <w:jc w:val="center"/>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hyperlink" Target="mailto:edicionesgernika@prodigy.net.mx" TargetMode="Externa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footer" Target="footer5.xml"/><Relationship Id="rId15" Type="http://schemas.openxmlformats.org/officeDocument/2006/relationships/hyperlink" Target="http://www.rlc.fao.org/prior/desrural/mercadeo/default.htm" TargetMode="External"/><Relationship Id="rId16" Type="http://schemas.openxmlformats.org/officeDocument/2006/relationships/hyperlink" Target="http://faostat.fao.org/" TargetMode="External"/><Relationship Id="rId17" Type="http://schemas.openxmlformats.org/officeDocument/2006/relationships/hyperlink" Target="http://www.sagarpa.gob.mx/Dgg" TargetMode="External"/><Relationship Id="rId18" Type="http://schemas.openxmlformats.org/officeDocument/2006/relationships/hyperlink" Target="http://www.siap.gob.m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2017-05-31T21:13:29Z</dcterms:created>
  <dcterms:modified xsi:type="dcterms:W3CDTF">2017-05-31T21:13:29Z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 9</vt:lpwstr>
  </property>
  <property fmtid="{D5CDD505-2E9C-101B-9397-08002B2CF9AE}" pid="3" name="LastSaved">
    <vt:filetime>2017-05-31T00:00:00Z</vt:filetime>
  </property>
</Properties>
</file>