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3716"/>
        <w:rPr>
          <w:rFonts w:ascii="Times New Roman"/>
          <w:sz w:val="20"/>
        </w:rPr>
      </w:pPr>
      <w:r>
        <w:rPr>
          <w:rFonts w:ascii="Times New Roman"/>
          <w:sz w:val="20"/>
        </w:rPr>
        <w:drawing>
          <wp:inline distT="0" distB="0" distL="0" distR="0">
            <wp:extent cx="752910" cy="637794"/>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752910" cy="637794"/>
                    </a:xfrm>
                    <a:prstGeom prst="rect">
                      <a:avLst/>
                    </a:prstGeom>
                  </pic:spPr>
                </pic:pic>
              </a:graphicData>
            </a:graphic>
          </wp:inline>
        </w:drawing>
      </w:r>
      <w:r>
        <w:rPr>
          <w:rFonts w:ascii="Times New Roman"/>
          <w:sz w:val="20"/>
        </w:rPr>
      </w:r>
    </w:p>
    <w:p>
      <w:pPr>
        <w:pStyle w:val="BodyText"/>
        <w:spacing w:before="8"/>
        <w:rPr>
          <w:rFonts w:ascii="Times New Roman"/>
          <w:sz w:val="15"/>
        </w:rPr>
      </w:pPr>
    </w:p>
    <w:p>
      <w:pPr>
        <w:spacing w:before="67"/>
        <w:ind w:left="820" w:right="729" w:firstLine="0"/>
        <w:jc w:val="center"/>
        <w:rPr>
          <w:b/>
          <w:sz w:val="27"/>
        </w:rPr>
      </w:pPr>
      <w:r>
        <w:rPr/>
        <w:drawing>
          <wp:anchor distT="0" distB="0" distL="0" distR="0" allowOverlap="1" layoutInCell="1" locked="0" behindDoc="0" simplePos="0" relativeHeight="0">
            <wp:simplePos x="0" y="0"/>
            <wp:positionH relativeFrom="page">
              <wp:posOffset>1124711</wp:posOffset>
            </wp:positionH>
            <wp:positionV relativeFrom="paragraph">
              <wp:posOffset>310068</wp:posOffset>
            </wp:positionV>
            <wp:extent cx="5200356" cy="137159"/>
            <wp:effectExtent l="0" t="0" r="0" b="0"/>
            <wp:wrapTopAndBottom/>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5200356" cy="137159"/>
                    </a:xfrm>
                    <a:prstGeom prst="rect">
                      <a:avLst/>
                    </a:prstGeom>
                  </pic:spPr>
                </pic:pic>
              </a:graphicData>
            </a:graphic>
          </wp:anchor>
        </w:drawing>
      </w:r>
      <w:r>
        <w:rPr>
          <w:b/>
          <w:sz w:val="27"/>
        </w:rPr>
        <w:t>UNIVERSIDAD AUTÓNOMA DEL ESTADO DE</w:t>
      </w:r>
      <w:r>
        <w:rPr>
          <w:b/>
          <w:spacing w:val="50"/>
          <w:sz w:val="27"/>
        </w:rPr>
        <w:t> </w:t>
      </w:r>
      <w:r>
        <w:rPr>
          <w:b/>
          <w:sz w:val="27"/>
        </w:rPr>
        <w:t>MÉXICO</w:t>
      </w:r>
    </w:p>
    <w:p>
      <w:pPr>
        <w:pStyle w:val="BodyText"/>
        <w:rPr>
          <w:b/>
          <w:sz w:val="26"/>
        </w:rPr>
      </w:pPr>
    </w:p>
    <w:p>
      <w:pPr>
        <w:pStyle w:val="BodyText"/>
        <w:spacing w:before="5"/>
        <w:rPr>
          <w:b/>
          <w:sz w:val="32"/>
        </w:rPr>
      </w:pPr>
    </w:p>
    <w:p>
      <w:pPr>
        <w:spacing w:before="1"/>
        <w:ind w:left="1709" w:right="1671" w:hanging="16"/>
        <w:jc w:val="center"/>
        <w:rPr>
          <w:sz w:val="27"/>
        </w:rPr>
      </w:pPr>
      <w:r>
        <w:rPr>
          <w:sz w:val="27"/>
        </w:rPr>
        <w:t>Facultad de Ciencias Políticas y Sociales Facultad de Ciencias de la Conducta Facultad de Planeación Urbana y Regional</w:t>
      </w:r>
    </w:p>
    <w:p>
      <w:pPr>
        <w:pStyle w:val="BodyText"/>
        <w:rPr>
          <w:sz w:val="26"/>
        </w:rPr>
      </w:pPr>
    </w:p>
    <w:p>
      <w:pPr>
        <w:pStyle w:val="BodyText"/>
        <w:spacing w:before="8"/>
        <w:rPr>
          <w:sz w:val="31"/>
        </w:rPr>
      </w:pPr>
    </w:p>
    <w:p>
      <w:pPr>
        <w:spacing w:line="393" w:lineRule="auto" w:before="0"/>
        <w:ind w:left="1747" w:right="1718" w:firstLine="11"/>
        <w:jc w:val="center"/>
        <w:rPr>
          <w:sz w:val="27"/>
        </w:rPr>
      </w:pPr>
      <w:r>
        <w:rPr>
          <w:sz w:val="27"/>
        </w:rPr>
        <w:t>“Las políticas de la calidad educativa durante los gobiernos de Acción Nacional: los límites del cambio”</w:t>
      </w:r>
    </w:p>
    <w:p>
      <w:pPr>
        <w:pStyle w:val="BodyText"/>
        <w:rPr>
          <w:sz w:val="26"/>
        </w:rPr>
      </w:pPr>
    </w:p>
    <w:p>
      <w:pPr>
        <w:pStyle w:val="BodyText"/>
        <w:rPr>
          <w:sz w:val="32"/>
        </w:rPr>
      </w:pPr>
    </w:p>
    <w:p>
      <w:pPr>
        <w:spacing w:before="0"/>
        <w:ind w:left="762" w:right="729" w:firstLine="0"/>
        <w:jc w:val="center"/>
        <w:rPr>
          <w:b/>
          <w:sz w:val="27"/>
        </w:rPr>
      </w:pPr>
      <w:r>
        <w:rPr>
          <w:b/>
          <w:sz w:val="27"/>
        </w:rPr>
        <w:t>T E S I S</w:t>
      </w:r>
    </w:p>
    <w:p>
      <w:pPr>
        <w:pStyle w:val="BodyText"/>
        <w:rPr>
          <w:b/>
          <w:sz w:val="31"/>
        </w:rPr>
      </w:pPr>
    </w:p>
    <w:p>
      <w:pPr>
        <w:spacing w:line="244" w:lineRule="auto" w:before="0"/>
        <w:ind w:left="2520" w:right="2490" w:hanging="5"/>
        <w:jc w:val="center"/>
        <w:rPr>
          <w:sz w:val="27"/>
        </w:rPr>
      </w:pPr>
      <w:r>
        <w:rPr>
          <w:sz w:val="27"/>
        </w:rPr>
        <w:t>Que para obtener el título de: Doctora en Ciencias Sociales</w:t>
      </w:r>
    </w:p>
    <w:p>
      <w:pPr>
        <w:pStyle w:val="BodyText"/>
        <w:rPr>
          <w:sz w:val="26"/>
        </w:rPr>
      </w:pPr>
    </w:p>
    <w:p>
      <w:pPr>
        <w:pStyle w:val="BodyText"/>
        <w:spacing w:before="9"/>
        <w:rPr>
          <w:sz w:val="30"/>
        </w:rPr>
      </w:pPr>
    </w:p>
    <w:p>
      <w:pPr>
        <w:spacing w:before="0"/>
        <w:ind w:left="758" w:right="729" w:firstLine="0"/>
        <w:jc w:val="center"/>
        <w:rPr>
          <w:sz w:val="27"/>
        </w:rPr>
      </w:pPr>
      <w:r>
        <w:rPr>
          <w:sz w:val="27"/>
        </w:rPr>
        <w:t>PRESENTA:</w:t>
      </w:r>
    </w:p>
    <w:p>
      <w:pPr>
        <w:spacing w:before="198"/>
        <w:ind w:left="755" w:right="729" w:firstLine="0"/>
        <w:jc w:val="center"/>
        <w:rPr>
          <w:b/>
          <w:sz w:val="27"/>
        </w:rPr>
      </w:pPr>
      <w:r>
        <w:rPr>
          <w:b/>
          <w:sz w:val="27"/>
        </w:rPr>
        <w:t>Leticia Echenique Vázquez</w:t>
      </w:r>
    </w:p>
    <w:p>
      <w:pPr>
        <w:pStyle w:val="BodyText"/>
        <w:rPr>
          <w:b/>
          <w:sz w:val="26"/>
        </w:rPr>
      </w:pPr>
    </w:p>
    <w:p>
      <w:pPr>
        <w:pStyle w:val="BodyText"/>
        <w:rPr>
          <w:b/>
          <w:sz w:val="26"/>
        </w:rPr>
      </w:pPr>
    </w:p>
    <w:p>
      <w:pPr>
        <w:pStyle w:val="BodyText"/>
        <w:spacing w:before="3"/>
        <w:rPr>
          <w:b/>
        </w:rPr>
      </w:pPr>
    </w:p>
    <w:p>
      <w:pPr>
        <w:spacing w:before="0"/>
        <w:ind w:left="757" w:right="729" w:firstLine="0"/>
        <w:jc w:val="center"/>
        <w:rPr>
          <w:sz w:val="27"/>
        </w:rPr>
      </w:pPr>
      <w:r>
        <w:rPr>
          <w:sz w:val="27"/>
        </w:rPr>
        <w:t>DIRECTOR:</w:t>
      </w:r>
    </w:p>
    <w:p>
      <w:pPr>
        <w:spacing w:before="198"/>
        <w:ind w:left="2808" w:right="0" w:firstLine="0"/>
        <w:jc w:val="left"/>
        <w:rPr>
          <w:sz w:val="27"/>
        </w:rPr>
      </w:pPr>
      <w:r>
        <w:rPr>
          <w:sz w:val="27"/>
        </w:rPr>
        <w:t>Dr. Aldo Muñoz Armenta</w:t>
      </w:r>
    </w:p>
    <w:p>
      <w:pPr>
        <w:pStyle w:val="BodyText"/>
        <w:rPr>
          <w:sz w:val="26"/>
        </w:rPr>
      </w:pPr>
    </w:p>
    <w:p>
      <w:pPr>
        <w:pStyle w:val="BodyText"/>
        <w:rPr>
          <w:sz w:val="26"/>
        </w:rPr>
      </w:pPr>
    </w:p>
    <w:p>
      <w:pPr>
        <w:pStyle w:val="BodyText"/>
        <w:spacing w:before="9"/>
        <w:rPr>
          <w:sz w:val="22"/>
        </w:rPr>
      </w:pPr>
    </w:p>
    <w:p>
      <w:pPr>
        <w:spacing w:before="0"/>
        <w:ind w:left="2866" w:right="0" w:firstLine="0"/>
        <w:jc w:val="left"/>
        <w:rPr>
          <w:sz w:val="27"/>
        </w:rPr>
      </w:pPr>
      <w:r>
        <w:rPr>
          <w:sz w:val="27"/>
        </w:rPr>
        <w:t>Toluca, México, abril de 2013</w:t>
      </w:r>
    </w:p>
    <w:p>
      <w:pPr>
        <w:spacing w:after="0"/>
        <w:jc w:val="left"/>
        <w:rPr>
          <w:sz w:val="27"/>
        </w:rPr>
        <w:sectPr>
          <w:type w:val="continuous"/>
          <w:pgSz w:w="11910" w:h="16840"/>
          <w:pgMar w:top="1380" w:bottom="280" w:left="1660" w:right="16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5"/>
        </w:rPr>
      </w:pPr>
    </w:p>
    <w:p>
      <w:pPr>
        <w:spacing w:before="32"/>
        <w:ind w:left="0" w:right="137" w:firstLine="0"/>
        <w:jc w:val="right"/>
        <w:rPr>
          <w:rFonts w:ascii="Comic Sans MS"/>
          <w:i/>
          <w:sz w:val="23"/>
        </w:rPr>
      </w:pPr>
      <w:r>
        <w:rPr>
          <w:rFonts w:ascii="Comic Sans MS"/>
          <w:i/>
          <w:sz w:val="23"/>
        </w:rPr>
        <w:t>D ED ICA TOR IA</w:t>
      </w:r>
    </w:p>
    <w:p>
      <w:pPr>
        <w:pStyle w:val="BodyText"/>
        <w:rPr>
          <w:rFonts w:ascii="Comic Sans MS"/>
          <w:i/>
          <w:sz w:val="22"/>
        </w:rPr>
      </w:pPr>
    </w:p>
    <w:p>
      <w:pPr>
        <w:pStyle w:val="BodyText"/>
        <w:rPr>
          <w:rFonts w:ascii="Comic Sans MS"/>
          <w:i/>
          <w:sz w:val="22"/>
        </w:rPr>
      </w:pPr>
    </w:p>
    <w:p>
      <w:pPr>
        <w:spacing w:before="189"/>
        <w:ind w:left="0" w:right="105" w:firstLine="0"/>
        <w:jc w:val="right"/>
        <w:rPr>
          <w:rFonts w:ascii="Comic Sans MS"/>
          <w:i/>
          <w:sz w:val="23"/>
        </w:rPr>
      </w:pPr>
      <w:r>
        <w:rPr>
          <w:rFonts w:ascii="Comic Sans MS"/>
          <w:i/>
          <w:sz w:val="23"/>
        </w:rPr>
        <w:t>A  M on y  y  Beto con todo m i a m or</w:t>
      </w:r>
    </w:p>
    <w:p>
      <w:pPr>
        <w:spacing w:after="0"/>
        <w:jc w:val="right"/>
        <w:rPr>
          <w:rFonts w:ascii="Comic Sans MS"/>
          <w:sz w:val="23"/>
        </w:rPr>
        <w:sectPr>
          <w:pgSz w:w="11910" w:h="16840"/>
          <w:pgMar w:top="1580" w:bottom="280" w:left="1680" w:right="1560"/>
        </w:sectPr>
      </w:pPr>
    </w:p>
    <w:p>
      <w:pPr>
        <w:pStyle w:val="BodyText"/>
        <w:rPr>
          <w:rFonts w:ascii="Comic Sans MS"/>
          <w:i/>
          <w:sz w:val="20"/>
        </w:rPr>
      </w:pPr>
    </w:p>
    <w:p>
      <w:pPr>
        <w:spacing w:before="197"/>
        <w:ind w:left="120" w:right="100" w:firstLine="0"/>
        <w:jc w:val="right"/>
        <w:rPr>
          <w:rFonts w:ascii="Comic Sans MS"/>
          <w:i/>
          <w:sz w:val="23"/>
        </w:rPr>
      </w:pPr>
      <w:r>
        <w:rPr>
          <w:rFonts w:ascii="Comic Sans MS"/>
          <w:i/>
          <w:sz w:val="23"/>
        </w:rPr>
        <w:t>A GRAD ECIM IEN TOS</w:t>
      </w:r>
    </w:p>
    <w:p>
      <w:pPr>
        <w:pStyle w:val="BodyText"/>
        <w:spacing w:before="8"/>
        <w:rPr>
          <w:rFonts w:ascii="Comic Sans MS"/>
          <w:i/>
          <w:sz w:val="17"/>
        </w:rPr>
      </w:pPr>
    </w:p>
    <w:p>
      <w:pPr>
        <w:spacing w:line="271" w:lineRule="auto" w:before="1"/>
        <w:ind w:left="116" w:right="100" w:firstLine="2"/>
        <w:jc w:val="both"/>
        <w:rPr>
          <w:rFonts w:ascii="Comic Sans MS" w:hAnsi="Comic Sans MS"/>
          <w:i/>
          <w:sz w:val="23"/>
        </w:rPr>
      </w:pPr>
      <w:r>
        <w:rPr>
          <w:rFonts w:ascii="Comic Sans MS" w:hAnsi="Comic Sans MS"/>
          <w:i/>
          <w:sz w:val="23"/>
        </w:rPr>
        <w:t>H a </w:t>
      </w:r>
      <w:r>
        <w:rPr>
          <w:rFonts w:ascii="Comic Sans MS" w:hAnsi="Comic Sans MS"/>
          <w:i/>
          <w:spacing w:val="14"/>
          <w:sz w:val="23"/>
        </w:rPr>
        <w:t>tran </w:t>
      </w:r>
      <w:r>
        <w:rPr>
          <w:rFonts w:ascii="Comic Sans MS" w:hAnsi="Comic Sans MS"/>
          <w:i/>
          <w:spacing w:val="3"/>
          <w:sz w:val="23"/>
        </w:rPr>
        <w:t>scu </w:t>
      </w:r>
      <w:r>
        <w:rPr>
          <w:rFonts w:ascii="Comic Sans MS" w:hAnsi="Comic Sans MS"/>
          <w:i/>
          <w:spacing w:val="15"/>
          <w:sz w:val="23"/>
        </w:rPr>
        <w:t>rrido </w:t>
      </w:r>
      <w:r>
        <w:rPr>
          <w:rFonts w:ascii="Comic Sans MS" w:hAnsi="Comic Sans MS"/>
          <w:i/>
          <w:sz w:val="23"/>
        </w:rPr>
        <w:t>m u </w:t>
      </w:r>
      <w:r>
        <w:rPr>
          <w:rFonts w:ascii="Comic Sans MS" w:hAnsi="Comic Sans MS"/>
          <w:i/>
          <w:spacing w:val="7"/>
          <w:sz w:val="23"/>
        </w:rPr>
        <w:t>cho </w:t>
      </w:r>
      <w:r>
        <w:rPr>
          <w:rFonts w:ascii="Comic Sans MS" w:hAnsi="Comic Sans MS"/>
          <w:i/>
          <w:spacing w:val="6"/>
          <w:sz w:val="23"/>
        </w:rPr>
        <w:t>tiem </w:t>
      </w:r>
      <w:r>
        <w:rPr>
          <w:rFonts w:ascii="Comic Sans MS" w:hAnsi="Comic Sans MS"/>
          <w:i/>
          <w:spacing w:val="14"/>
          <w:sz w:val="23"/>
        </w:rPr>
        <w:t>po </w:t>
      </w:r>
      <w:r>
        <w:rPr>
          <w:rFonts w:ascii="Comic Sans MS" w:hAnsi="Comic Sans MS"/>
          <w:i/>
          <w:spacing w:val="8"/>
          <w:sz w:val="23"/>
        </w:rPr>
        <w:t>desde </w:t>
      </w:r>
      <w:r>
        <w:rPr>
          <w:rFonts w:ascii="Comic Sans MS" w:hAnsi="Comic Sans MS"/>
          <w:i/>
          <w:spacing w:val="11"/>
          <w:sz w:val="23"/>
        </w:rPr>
        <w:t>qu </w:t>
      </w:r>
      <w:r>
        <w:rPr>
          <w:rFonts w:ascii="Comic Sans MS" w:hAnsi="Comic Sans MS"/>
          <w:i/>
          <w:sz w:val="23"/>
        </w:rPr>
        <w:t>e </w:t>
      </w:r>
      <w:r>
        <w:rPr>
          <w:rFonts w:ascii="Comic Sans MS" w:hAnsi="Comic Sans MS"/>
          <w:i/>
          <w:spacing w:val="10"/>
          <w:sz w:val="23"/>
        </w:rPr>
        <w:t>in </w:t>
      </w:r>
      <w:r>
        <w:rPr>
          <w:rFonts w:ascii="Comic Sans MS" w:hAnsi="Comic Sans MS"/>
          <w:i/>
          <w:spacing w:val="11"/>
          <w:sz w:val="23"/>
        </w:rPr>
        <w:t>ició </w:t>
      </w:r>
      <w:r>
        <w:rPr>
          <w:rFonts w:ascii="Comic Sans MS" w:hAnsi="Comic Sans MS"/>
          <w:i/>
          <w:sz w:val="23"/>
        </w:rPr>
        <w:t>este </w:t>
      </w:r>
      <w:r>
        <w:rPr>
          <w:rFonts w:ascii="Comic Sans MS" w:hAnsi="Comic Sans MS"/>
          <w:i/>
          <w:spacing w:val="15"/>
          <w:sz w:val="23"/>
        </w:rPr>
        <w:t>proy </w:t>
      </w:r>
      <w:r>
        <w:rPr>
          <w:rFonts w:ascii="Comic Sans MS" w:hAnsi="Comic Sans MS"/>
          <w:i/>
          <w:spacing w:val="2"/>
          <w:sz w:val="23"/>
        </w:rPr>
        <w:t>ecto </w:t>
      </w:r>
      <w:r>
        <w:rPr>
          <w:rFonts w:ascii="Comic Sans MS" w:hAnsi="Comic Sans MS"/>
          <w:i/>
          <w:sz w:val="23"/>
        </w:rPr>
        <w:t>y en </w:t>
      </w:r>
      <w:r>
        <w:rPr>
          <w:rFonts w:ascii="Comic Sans MS" w:hAnsi="Comic Sans MS"/>
          <w:i/>
          <w:spacing w:val="6"/>
          <w:sz w:val="23"/>
        </w:rPr>
        <w:t>todo </w:t>
      </w:r>
      <w:r>
        <w:rPr>
          <w:rFonts w:ascii="Comic Sans MS" w:hAnsi="Comic Sans MS"/>
          <w:i/>
          <w:sz w:val="23"/>
        </w:rPr>
        <w:t>ese </w:t>
      </w:r>
      <w:r>
        <w:rPr>
          <w:rFonts w:ascii="Comic Sans MS" w:hAnsi="Comic Sans MS"/>
          <w:i/>
          <w:spacing w:val="10"/>
          <w:sz w:val="23"/>
        </w:rPr>
        <w:t>tray </w:t>
      </w:r>
      <w:r>
        <w:rPr>
          <w:rFonts w:ascii="Comic Sans MS" w:hAnsi="Comic Sans MS"/>
          <w:i/>
          <w:sz w:val="23"/>
        </w:rPr>
        <w:t>ecto </w:t>
      </w:r>
      <w:r>
        <w:rPr>
          <w:rFonts w:ascii="Comic Sans MS" w:hAnsi="Comic Sans MS"/>
          <w:i/>
          <w:spacing w:val="11"/>
          <w:sz w:val="23"/>
        </w:rPr>
        <w:t>he </w:t>
      </w:r>
      <w:r>
        <w:rPr>
          <w:rFonts w:ascii="Comic Sans MS" w:hAnsi="Comic Sans MS"/>
          <w:i/>
          <w:spacing w:val="14"/>
          <w:sz w:val="23"/>
        </w:rPr>
        <w:t>acu </w:t>
      </w:r>
      <w:r>
        <w:rPr>
          <w:rFonts w:ascii="Comic Sans MS" w:hAnsi="Comic Sans MS"/>
          <w:i/>
          <w:sz w:val="23"/>
        </w:rPr>
        <w:t>m u </w:t>
      </w:r>
      <w:r>
        <w:rPr>
          <w:rFonts w:ascii="Comic Sans MS" w:hAnsi="Comic Sans MS"/>
          <w:i/>
          <w:spacing w:val="16"/>
          <w:sz w:val="23"/>
        </w:rPr>
        <w:t>lado </w:t>
      </w:r>
      <w:r>
        <w:rPr>
          <w:rFonts w:ascii="Comic Sans MS" w:hAnsi="Comic Sans MS"/>
          <w:i/>
          <w:sz w:val="23"/>
        </w:rPr>
        <w:t>el </w:t>
      </w:r>
      <w:r>
        <w:rPr>
          <w:rFonts w:ascii="Comic Sans MS" w:hAnsi="Comic Sans MS"/>
          <w:i/>
          <w:spacing w:val="16"/>
          <w:sz w:val="23"/>
        </w:rPr>
        <w:t>cariñ </w:t>
      </w:r>
      <w:r>
        <w:rPr>
          <w:rFonts w:ascii="Comic Sans MS" w:hAnsi="Comic Sans MS"/>
          <w:i/>
          <w:sz w:val="23"/>
        </w:rPr>
        <w:t>o y </w:t>
      </w:r>
      <w:r>
        <w:rPr>
          <w:rFonts w:ascii="Comic Sans MS" w:hAnsi="Comic Sans MS"/>
          <w:i/>
          <w:spacing w:val="18"/>
          <w:sz w:val="23"/>
        </w:rPr>
        <w:t>apoy </w:t>
      </w:r>
      <w:r>
        <w:rPr>
          <w:rFonts w:ascii="Comic Sans MS" w:hAnsi="Comic Sans MS"/>
          <w:i/>
          <w:sz w:val="23"/>
        </w:rPr>
        <w:t>o </w:t>
      </w:r>
      <w:r>
        <w:rPr>
          <w:rFonts w:ascii="Comic Sans MS" w:hAnsi="Comic Sans MS"/>
          <w:i/>
          <w:spacing w:val="8"/>
          <w:sz w:val="23"/>
        </w:rPr>
        <w:t>de </w:t>
      </w:r>
      <w:r>
        <w:rPr>
          <w:rFonts w:ascii="Comic Sans MS" w:hAnsi="Comic Sans MS"/>
          <w:i/>
          <w:spacing w:val="11"/>
          <w:sz w:val="23"/>
        </w:rPr>
        <w:t>person </w:t>
      </w:r>
      <w:r>
        <w:rPr>
          <w:rFonts w:ascii="Comic Sans MS" w:hAnsi="Comic Sans MS"/>
          <w:i/>
          <w:sz w:val="23"/>
        </w:rPr>
        <w:t>a s a </w:t>
      </w:r>
      <w:r>
        <w:rPr>
          <w:rFonts w:ascii="Comic Sans MS" w:hAnsi="Comic Sans MS"/>
          <w:i/>
          <w:spacing w:val="6"/>
          <w:sz w:val="23"/>
        </w:rPr>
        <w:t>la </w:t>
      </w:r>
      <w:r>
        <w:rPr>
          <w:rFonts w:ascii="Comic Sans MS" w:hAnsi="Comic Sans MS"/>
          <w:i/>
          <w:sz w:val="23"/>
        </w:rPr>
        <w:t>s  </w:t>
      </w:r>
      <w:r>
        <w:rPr>
          <w:rFonts w:ascii="Comic Sans MS" w:hAnsi="Comic Sans MS"/>
          <w:i/>
          <w:spacing w:val="11"/>
          <w:sz w:val="23"/>
        </w:rPr>
        <w:t>qu </w:t>
      </w:r>
      <w:r>
        <w:rPr>
          <w:rFonts w:ascii="Comic Sans MS" w:hAnsi="Comic Sans MS"/>
          <w:i/>
          <w:sz w:val="23"/>
        </w:rPr>
        <w:t>e </w:t>
      </w:r>
      <w:r>
        <w:rPr>
          <w:rFonts w:ascii="Comic Sans MS" w:hAnsi="Comic Sans MS"/>
          <w:i/>
          <w:spacing w:val="8"/>
          <w:sz w:val="23"/>
        </w:rPr>
        <w:t>de </w:t>
      </w:r>
      <w:r>
        <w:rPr>
          <w:rFonts w:ascii="Comic Sans MS" w:hAnsi="Comic Sans MS"/>
          <w:i/>
          <w:sz w:val="23"/>
        </w:rPr>
        <w:t>m </w:t>
      </w:r>
      <w:r>
        <w:rPr>
          <w:rFonts w:ascii="Comic Sans MS" w:hAnsi="Comic Sans MS"/>
          <w:i/>
          <w:spacing w:val="10"/>
          <w:sz w:val="23"/>
        </w:rPr>
        <w:t>odo </w:t>
      </w:r>
      <w:r>
        <w:rPr>
          <w:rFonts w:ascii="Comic Sans MS" w:hAnsi="Comic Sans MS"/>
          <w:i/>
          <w:spacing w:val="14"/>
          <w:sz w:val="23"/>
        </w:rPr>
        <w:t>por </w:t>
      </w:r>
      <w:r>
        <w:rPr>
          <w:rFonts w:ascii="Comic Sans MS" w:hAnsi="Comic Sans MS"/>
          <w:i/>
          <w:spacing w:val="6"/>
          <w:sz w:val="23"/>
        </w:rPr>
        <w:t>dem </w:t>
      </w:r>
      <w:r>
        <w:rPr>
          <w:rFonts w:ascii="Comic Sans MS" w:hAnsi="Comic Sans MS"/>
          <w:i/>
          <w:spacing w:val="15"/>
          <w:sz w:val="23"/>
        </w:rPr>
        <w:t>ás </w:t>
      </w:r>
      <w:r>
        <w:rPr>
          <w:rFonts w:ascii="Comic Sans MS" w:hAnsi="Comic Sans MS"/>
          <w:i/>
          <w:spacing w:val="7"/>
          <w:sz w:val="23"/>
        </w:rPr>
        <w:t>sin cero, ofrezco </w:t>
      </w:r>
      <w:r>
        <w:rPr>
          <w:rFonts w:ascii="Comic Sans MS" w:hAnsi="Comic Sans MS"/>
          <w:i/>
          <w:sz w:val="23"/>
        </w:rPr>
        <w:t>m i </w:t>
      </w:r>
      <w:r>
        <w:rPr>
          <w:rFonts w:ascii="Comic Sans MS" w:hAnsi="Comic Sans MS"/>
          <w:i/>
          <w:spacing w:val="14"/>
          <w:sz w:val="23"/>
        </w:rPr>
        <w:t>gra </w:t>
      </w:r>
      <w:r>
        <w:rPr>
          <w:rFonts w:ascii="Comic Sans MS" w:hAnsi="Comic Sans MS"/>
          <w:i/>
          <w:spacing w:val="4"/>
          <w:sz w:val="23"/>
        </w:rPr>
        <w:t>titu </w:t>
      </w:r>
      <w:r>
        <w:rPr>
          <w:rFonts w:ascii="Comic Sans MS" w:hAnsi="Comic Sans MS"/>
          <w:i/>
          <w:sz w:val="23"/>
        </w:rPr>
        <w:t>d  y  m i </w:t>
      </w:r>
      <w:r>
        <w:rPr>
          <w:rFonts w:ascii="Comic Sans MS" w:hAnsi="Comic Sans MS"/>
          <w:i/>
          <w:spacing w:val="17"/>
          <w:sz w:val="23"/>
        </w:rPr>
        <w:t>cariñ </w:t>
      </w:r>
      <w:r>
        <w:rPr>
          <w:rFonts w:ascii="Comic Sans MS" w:hAnsi="Comic Sans MS"/>
          <w:i/>
          <w:sz w:val="23"/>
        </w:rPr>
        <w:t>o </w:t>
      </w:r>
      <w:r>
        <w:rPr>
          <w:rFonts w:ascii="Comic Sans MS" w:hAnsi="Comic Sans MS"/>
          <w:i/>
          <w:spacing w:val="6"/>
          <w:sz w:val="23"/>
        </w:rPr>
        <w:t>sin  </w:t>
      </w:r>
      <w:r>
        <w:rPr>
          <w:rFonts w:ascii="Comic Sans MS" w:hAnsi="Comic Sans MS"/>
          <w:i/>
          <w:sz w:val="23"/>
        </w:rPr>
        <w:t>n</w:t>
      </w:r>
      <w:r>
        <w:rPr>
          <w:rFonts w:ascii="Comic Sans MS" w:hAnsi="Comic Sans MS"/>
          <w:i/>
          <w:spacing w:val="-20"/>
          <w:sz w:val="23"/>
        </w:rPr>
        <w:t> </w:t>
      </w:r>
      <w:r>
        <w:rPr>
          <w:rFonts w:ascii="Comic Sans MS" w:hAnsi="Comic Sans MS"/>
          <w:i/>
          <w:spacing w:val="8"/>
          <w:sz w:val="23"/>
        </w:rPr>
        <w:t>im</w:t>
      </w:r>
      <w:r>
        <w:rPr>
          <w:rFonts w:ascii="Comic Sans MS" w:hAnsi="Comic Sans MS"/>
          <w:i/>
          <w:spacing w:val="-6"/>
          <w:sz w:val="23"/>
        </w:rPr>
        <w:t> </w:t>
      </w:r>
      <w:r>
        <w:rPr>
          <w:rFonts w:ascii="Comic Sans MS" w:hAnsi="Comic Sans MS"/>
          <w:i/>
          <w:spacing w:val="10"/>
          <w:sz w:val="23"/>
        </w:rPr>
        <w:t>ieda</w:t>
      </w:r>
      <w:r>
        <w:rPr>
          <w:rFonts w:ascii="Comic Sans MS" w:hAnsi="Comic Sans MS"/>
          <w:i/>
          <w:spacing w:val="-28"/>
          <w:sz w:val="23"/>
        </w:rPr>
        <w:t> </w:t>
      </w:r>
      <w:r>
        <w:rPr>
          <w:rFonts w:ascii="Comic Sans MS" w:hAnsi="Comic Sans MS"/>
          <w:i/>
          <w:spacing w:val="5"/>
          <w:sz w:val="23"/>
        </w:rPr>
        <w:t>des..</w:t>
      </w:r>
    </w:p>
    <w:p>
      <w:pPr>
        <w:pStyle w:val="BodyText"/>
        <w:spacing w:before="9"/>
        <w:rPr>
          <w:rFonts w:ascii="Comic Sans MS"/>
          <w:i/>
          <w:sz w:val="14"/>
        </w:rPr>
      </w:pPr>
    </w:p>
    <w:p>
      <w:pPr>
        <w:spacing w:line="273" w:lineRule="auto" w:before="0"/>
        <w:ind w:left="116" w:right="99" w:firstLine="2"/>
        <w:jc w:val="both"/>
        <w:rPr>
          <w:rFonts w:ascii="Comic Sans MS" w:hAnsi="Comic Sans MS"/>
          <w:i/>
          <w:sz w:val="23"/>
        </w:rPr>
      </w:pPr>
      <w:r>
        <w:rPr>
          <w:rFonts w:ascii="Comic Sans MS" w:hAnsi="Comic Sans MS"/>
          <w:i/>
          <w:sz w:val="23"/>
        </w:rPr>
        <w:t>U n p a </w:t>
      </w:r>
      <w:r>
        <w:rPr>
          <w:rFonts w:ascii="Comic Sans MS" w:hAnsi="Comic Sans MS"/>
          <w:i/>
          <w:spacing w:val="-4"/>
          <w:sz w:val="23"/>
        </w:rPr>
        <w:t>so </w:t>
      </w:r>
      <w:r>
        <w:rPr>
          <w:rFonts w:ascii="Comic Sans MS" w:hAnsi="Comic Sans MS"/>
          <w:i/>
          <w:sz w:val="23"/>
        </w:rPr>
        <w:t>a  </w:t>
      </w:r>
      <w:r>
        <w:rPr>
          <w:rFonts w:ascii="Comic Sans MS" w:hAnsi="Comic Sans MS"/>
          <w:i/>
          <w:spacing w:val="6"/>
          <w:sz w:val="23"/>
        </w:rPr>
        <w:t>la </w:t>
      </w:r>
      <w:r>
        <w:rPr>
          <w:rFonts w:ascii="Comic Sans MS" w:hAnsi="Comic Sans MS"/>
          <w:i/>
          <w:sz w:val="23"/>
        </w:rPr>
        <w:t>v ez y  </w:t>
      </w:r>
      <w:r>
        <w:rPr>
          <w:rFonts w:ascii="Comic Sans MS" w:hAnsi="Comic Sans MS"/>
          <w:i/>
          <w:spacing w:val="13"/>
          <w:sz w:val="23"/>
        </w:rPr>
        <w:t>por </w:t>
      </w:r>
      <w:r>
        <w:rPr>
          <w:rFonts w:ascii="Comic Sans MS" w:hAnsi="Comic Sans MS"/>
          <w:i/>
          <w:sz w:val="23"/>
        </w:rPr>
        <w:t>el </w:t>
      </w:r>
      <w:r>
        <w:rPr>
          <w:rFonts w:ascii="Comic Sans MS" w:hAnsi="Comic Sans MS"/>
          <w:i/>
          <w:spacing w:val="19"/>
          <w:sz w:val="23"/>
        </w:rPr>
        <w:t>prin </w:t>
      </w:r>
      <w:r>
        <w:rPr>
          <w:rFonts w:ascii="Comic Sans MS" w:hAnsi="Comic Sans MS"/>
          <w:i/>
          <w:spacing w:val="10"/>
          <w:sz w:val="23"/>
        </w:rPr>
        <w:t>cip </w:t>
      </w:r>
      <w:r>
        <w:rPr>
          <w:rFonts w:ascii="Comic Sans MS" w:hAnsi="Comic Sans MS"/>
          <w:i/>
          <w:spacing w:val="9"/>
          <w:sz w:val="23"/>
        </w:rPr>
        <w:t>io.. </w:t>
      </w:r>
      <w:r>
        <w:rPr>
          <w:rFonts w:ascii="Comic Sans MS" w:hAnsi="Comic Sans MS"/>
          <w:i/>
          <w:sz w:val="23"/>
        </w:rPr>
        <w:t>a D </w:t>
      </w:r>
      <w:r>
        <w:rPr>
          <w:rFonts w:ascii="Comic Sans MS" w:hAnsi="Comic Sans MS"/>
          <w:i/>
          <w:spacing w:val="8"/>
          <w:sz w:val="23"/>
        </w:rPr>
        <w:t>ios, </w:t>
      </w:r>
      <w:r>
        <w:rPr>
          <w:rFonts w:ascii="Comic Sans MS" w:hAnsi="Comic Sans MS"/>
          <w:i/>
          <w:spacing w:val="14"/>
          <w:sz w:val="23"/>
        </w:rPr>
        <w:t>por </w:t>
      </w:r>
      <w:r>
        <w:rPr>
          <w:rFonts w:ascii="Comic Sans MS" w:hAnsi="Comic Sans MS"/>
          <w:i/>
          <w:spacing w:val="8"/>
          <w:sz w:val="23"/>
        </w:rPr>
        <w:t>da </w:t>
      </w:r>
      <w:r>
        <w:rPr>
          <w:rFonts w:ascii="Comic Sans MS" w:hAnsi="Comic Sans MS"/>
          <w:i/>
          <w:spacing w:val="12"/>
          <w:sz w:val="23"/>
        </w:rPr>
        <w:t>rm </w:t>
      </w:r>
      <w:r>
        <w:rPr>
          <w:rFonts w:ascii="Comic Sans MS" w:hAnsi="Comic Sans MS"/>
          <w:i/>
          <w:sz w:val="23"/>
        </w:rPr>
        <w:t>e </w:t>
      </w:r>
      <w:r>
        <w:rPr>
          <w:rFonts w:ascii="Comic Sans MS" w:hAnsi="Comic Sans MS"/>
          <w:i/>
          <w:spacing w:val="6"/>
          <w:sz w:val="23"/>
        </w:rPr>
        <w:t>todo </w:t>
      </w:r>
      <w:r>
        <w:rPr>
          <w:rFonts w:ascii="Comic Sans MS" w:hAnsi="Comic Sans MS"/>
          <w:i/>
          <w:sz w:val="23"/>
        </w:rPr>
        <w:t>y  m á s; a </w:t>
      </w:r>
      <w:r>
        <w:rPr>
          <w:rFonts w:ascii="Comic Sans MS" w:hAnsi="Comic Sans MS"/>
          <w:i/>
          <w:sz w:val="23"/>
        </w:rPr>
        <w:t>m </w:t>
      </w:r>
      <w:r>
        <w:rPr>
          <w:rFonts w:ascii="Comic Sans MS" w:hAnsi="Comic Sans MS"/>
          <w:i/>
          <w:spacing w:val="9"/>
          <w:sz w:val="23"/>
        </w:rPr>
        <w:t>is </w:t>
      </w:r>
      <w:r>
        <w:rPr>
          <w:rFonts w:ascii="Comic Sans MS" w:hAnsi="Comic Sans MS"/>
          <w:i/>
          <w:sz w:val="23"/>
        </w:rPr>
        <w:t>p </w:t>
      </w:r>
      <w:r>
        <w:rPr>
          <w:rFonts w:ascii="Comic Sans MS" w:hAnsi="Comic Sans MS"/>
          <w:i/>
          <w:spacing w:val="15"/>
          <w:sz w:val="23"/>
        </w:rPr>
        <w:t>ap </w:t>
      </w:r>
      <w:r>
        <w:rPr>
          <w:rFonts w:ascii="Comic Sans MS" w:hAnsi="Comic Sans MS"/>
          <w:i/>
          <w:spacing w:val="16"/>
          <w:sz w:val="23"/>
        </w:rPr>
        <w:t>ás </w:t>
      </w:r>
      <w:r>
        <w:rPr>
          <w:rFonts w:ascii="Comic Sans MS" w:hAnsi="Comic Sans MS"/>
          <w:i/>
          <w:sz w:val="23"/>
        </w:rPr>
        <w:t>y </w:t>
      </w:r>
      <w:r>
        <w:rPr>
          <w:rFonts w:ascii="Comic Sans MS" w:hAnsi="Comic Sans MS"/>
          <w:i/>
          <w:spacing w:val="11"/>
          <w:sz w:val="23"/>
        </w:rPr>
        <w:t>herm </w:t>
      </w:r>
      <w:r>
        <w:rPr>
          <w:rFonts w:ascii="Comic Sans MS" w:hAnsi="Comic Sans MS"/>
          <w:i/>
          <w:spacing w:val="16"/>
          <w:sz w:val="23"/>
        </w:rPr>
        <w:t>an </w:t>
      </w:r>
      <w:r>
        <w:rPr>
          <w:rFonts w:ascii="Comic Sans MS" w:hAnsi="Comic Sans MS"/>
          <w:i/>
          <w:spacing w:val="7"/>
          <w:sz w:val="23"/>
        </w:rPr>
        <w:t>os </w:t>
      </w:r>
      <w:r>
        <w:rPr>
          <w:rFonts w:ascii="Comic Sans MS" w:hAnsi="Comic Sans MS"/>
          <w:i/>
          <w:sz w:val="23"/>
        </w:rPr>
        <w:t>(V </w:t>
      </w:r>
      <w:r>
        <w:rPr>
          <w:rFonts w:ascii="Comic Sans MS" w:hAnsi="Comic Sans MS"/>
          <w:i/>
          <w:spacing w:val="14"/>
          <w:sz w:val="23"/>
        </w:rPr>
        <w:t>iri, </w:t>
      </w:r>
      <w:r>
        <w:rPr>
          <w:rFonts w:ascii="Comic Sans MS" w:hAnsi="Comic Sans MS"/>
          <w:i/>
          <w:sz w:val="23"/>
        </w:rPr>
        <w:t>P </w:t>
      </w:r>
      <w:r>
        <w:rPr>
          <w:rFonts w:ascii="Comic Sans MS" w:hAnsi="Comic Sans MS"/>
          <w:i/>
          <w:spacing w:val="7"/>
          <w:sz w:val="23"/>
        </w:rPr>
        <w:t>elu </w:t>
      </w:r>
      <w:r>
        <w:rPr>
          <w:rFonts w:ascii="Comic Sans MS" w:hAnsi="Comic Sans MS"/>
          <w:i/>
          <w:spacing w:val="12"/>
          <w:sz w:val="23"/>
        </w:rPr>
        <w:t>di, </w:t>
      </w:r>
      <w:r>
        <w:rPr>
          <w:rFonts w:ascii="Comic Sans MS" w:hAnsi="Comic Sans MS"/>
          <w:i/>
          <w:sz w:val="23"/>
        </w:rPr>
        <w:t>M </w:t>
      </w:r>
      <w:r>
        <w:rPr>
          <w:rFonts w:ascii="Comic Sans MS" w:hAnsi="Comic Sans MS"/>
          <w:i/>
          <w:spacing w:val="8"/>
          <w:sz w:val="23"/>
        </w:rPr>
        <w:t>on </w:t>
      </w:r>
      <w:r>
        <w:rPr>
          <w:rFonts w:ascii="Comic Sans MS" w:hAnsi="Comic Sans MS"/>
          <w:i/>
          <w:spacing w:val="7"/>
          <w:sz w:val="23"/>
        </w:rPr>
        <w:t>o, </w:t>
      </w:r>
      <w:r>
        <w:rPr>
          <w:rFonts w:ascii="Comic Sans MS" w:hAnsi="Comic Sans MS"/>
          <w:i/>
          <w:spacing w:val="9"/>
          <w:sz w:val="23"/>
        </w:rPr>
        <w:t>Jorge </w:t>
      </w:r>
      <w:r>
        <w:rPr>
          <w:rFonts w:ascii="Comic Sans MS" w:hAnsi="Comic Sans MS"/>
          <w:i/>
          <w:sz w:val="23"/>
        </w:rPr>
        <w:t>y </w:t>
      </w:r>
      <w:r>
        <w:rPr>
          <w:rFonts w:ascii="Comic Sans MS" w:hAnsi="Comic Sans MS"/>
          <w:i/>
          <w:spacing w:val="12"/>
          <w:sz w:val="23"/>
        </w:rPr>
        <w:t>Ben </w:t>
      </w:r>
      <w:r>
        <w:rPr>
          <w:rFonts w:ascii="Comic Sans MS" w:hAnsi="Comic Sans MS"/>
          <w:i/>
          <w:spacing w:val="-4"/>
          <w:sz w:val="23"/>
        </w:rPr>
        <w:t>), </w:t>
      </w:r>
      <w:r>
        <w:rPr>
          <w:rFonts w:ascii="Comic Sans MS" w:hAnsi="Comic Sans MS"/>
          <w:i/>
          <w:spacing w:val="7"/>
          <w:sz w:val="23"/>
        </w:rPr>
        <w:t>espero </w:t>
      </w:r>
      <w:r>
        <w:rPr>
          <w:rFonts w:ascii="Comic Sans MS" w:hAnsi="Comic Sans MS"/>
          <w:i/>
          <w:spacing w:val="11"/>
          <w:sz w:val="23"/>
        </w:rPr>
        <w:t>correspon </w:t>
      </w:r>
      <w:r>
        <w:rPr>
          <w:rFonts w:ascii="Comic Sans MS" w:hAnsi="Comic Sans MS"/>
          <w:i/>
          <w:spacing w:val="4"/>
          <w:sz w:val="23"/>
        </w:rPr>
        <w:t>der </w:t>
      </w:r>
      <w:r>
        <w:rPr>
          <w:rFonts w:ascii="Comic Sans MS" w:hAnsi="Comic Sans MS"/>
          <w:i/>
          <w:sz w:val="23"/>
        </w:rPr>
        <w:t>a </w:t>
      </w:r>
      <w:r>
        <w:rPr>
          <w:rFonts w:ascii="Comic Sans MS" w:hAnsi="Comic Sans MS"/>
          <w:i/>
          <w:spacing w:val="14"/>
          <w:sz w:val="23"/>
        </w:rPr>
        <w:t>lgún </w:t>
      </w:r>
      <w:r>
        <w:rPr>
          <w:rFonts w:ascii="Comic Sans MS" w:hAnsi="Comic Sans MS"/>
          <w:i/>
          <w:spacing w:val="13"/>
          <w:sz w:val="23"/>
        </w:rPr>
        <w:t>día </w:t>
      </w:r>
      <w:r>
        <w:rPr>
          <w:rFonts w:ascii="Comic Sans MS" w:hAnsi="Comic Sans MS"/>
          <w:i/>
          <w:sz w:val="23"/>
        </w:rPr>
        <w:t>a ta n </w:t>
      </w:r>
      <w:r>
        <w:rPr>
          <w:rFonts w:ascii="Comic Sans MS" w:hAnsi="Comic Sans MS"/>
          <w:i/>
          <w:spacing w:val="-3"/>
          <w:sz w:val="23"/>
        </w:rPr>
        <w:t>to </w:t>
      </w:r>
      <w:r>
        <w:rPr>
          <w:rFonts w:ascii="Comic Sans MS" w:hAnsi="Comic Sans MS"/>
          <w:i/>
          <w:sz w:val="23"/>
        </w:rPr>
        <w:t>a m </w:t>
      </w:r>
      <w:r>
        <w:rPr>
          <w:rFonts w:ascii="Comic Sans MS" w:hAnsi="Comic Sans MS"/>
          <w:i/>
          <w:spacing w:val="5"/>
          <w:sz w:val="23"/>
        </w:rPr>
        <w:t>or </w:t>
      </w:r>
      <w:r>
        <w:rPr>
          <w:rFonts w:ascii="Comic Sans MS" w:hAnsi="Comic Sans MS"/>
          <w:i/>
          <w:spacing w:val="7"/>
          <w:sz w:val="23"/>
        </w:rPr>
        <w:t>in </w:t>
      </w:r>
      <w:r>
        <w:rPr>
          <w:rFonts w:ascii="Comic Sans MS" w:hAnsi="Comic Sans MS"/>
          <w:i/>
          <w:spacing w:val="9"/>
          <w:sz w:val="23"/>
        </w:rPr>
        <w:t>con </w:t>
      </w:r>
      <w:r>
        <w:rPr>
          <w:rFonts w:ascii="Comic Sans MS" w:hAnsi="Comic Sans MS"/>
          <w:i/>
          <w:spacing w:val="12"/>
          <w:sz w:val="23"/>
        </w:rPr>
        <w:t>dicion </w:t>
      </w:r>
      <w:r>
        <w:rPr>
          <w:rFonts w:ascii="Comic Sans MS" w:hAnsi="Comic Sans MS"/>
          <w:i/>
          <w:sz w:val="23"/>
        </w:rPr>
        <w:t>a </w:t>
      </w:r>
      <w:r>
        <w:rPr>
          <w:rFonts w:ascii="Comic Sans MS" w:hAnsi="Comic Sans MS"/>
          <w:i/>
          <w:spacing w:val="8"/>
          <w:sz w:val="23"/>
        </w:rPr>
        <w:t>l; </w:t>
      </w:r>
      <w:r>
        <w:rPr>
          <w:rFonts w:ascii="Comic Sans MS" w:hAnsi="Comic Sans MS"/>
          <w:i/>
          <w:sz w:val="23"/>
        </w:rPr>
        <w:t>a m </w:t>
      </w:r>
      <w:r>
        <w:rPr>
          <w:rFonts w:ascii="Comic Sans MS" w:hAnsi="Comic Sans MS"/>
          <w:i/>
          <w:spacing w:val="9"/>
          <w:sz w:val="23"/>
        </w:rPr>
        <w:t>is hijos, </w:t>
      </w:r>
      <w:r>
        <w:rPr>
          <w:rFonts w:ascii="Comic Sans MS" w:hAnsi="Comic Sans MS"/>
          <w:i/>
          <w:sz w:val="23"/>
        </w:rPr>
        <w:t>B eto y  M </w:t>
      </w:r>
      <w:r>
        <w:rPr>
          <w:rFonts w:ascii="Comic Sans MS" w:hAnsi="Comic Sans MS"/>
          <w:i/>
          <w:spacing w:val="10"/>
          <w:sz w:val="23"/>
        </w:rPr>
        <w:t>im </w:t>
      </w:r>
      <w:r>
        <w:rPr>
          <w:rFonts w:ascii="Comic Sans MS" w:hAnsi="Comic Sans MS"/>
          <w:i/>
          <w:spacing w:val="4"/>
          <w:sz w:val="23"/>
        </w:rPr>
        <w:t>osa  </w:t>
      </w:r>
      <w:r>
        <w:rPr>
          <w:rFonts w:ascii="Comic Sans MS" w:hAnsi="Comic Sans MS"/>
          <w:i/>
          <w:sz w:val="23"/>
        </w:rPr>
        <w:t>a  </w:t>
      </w:r>
      <w:r>
        <w:rPr>
          <w:rFonts w:ascii="Comic Sans MS" w:hAnsi="Comic Sans MS"/>
          <w:i/>
          <w:spacing w:val="11"/>
          <w:sz w:val="23"/>
        </w:rPr>
        <w:t>qu </w:t>
      </w:r>
      <w:r>
        <w:rPr>
          <w:rFonts w:ascii="Comic Sans MS" w:hAnsi="Comic Sans MS"/>
          <w:i/>
          <w:spacing w:val="7"/>
          <w:sz w:val="23"/>
        </w:rPr>
        <w:t>ien </w:t>
      </w:r>
      <w:r>
        <w:rPr>
          <w:rFonts w:ascii="Comic Sans MS" w:hAnsi="Comic Sans MS"/>
          <w:i/>
          <w:sz w:val="23"/>
        </w:rPr>
        <w:t>es </w:t>
      </w:r>
      <w:r>
        <w:rPr>
          <w:rFonts w:ascii="Comic Sans MS" w:hAnsi="Comic Sans MS"/>
          <w:i/>
          <w:spacing w:val="8"/>
          <w:sz w:val="23"/>
        </w:rPr>
        <w:t>espero </w:t>
      </w:r>
      <w:r>
        <w:rPr>
          <w:rFonts w:ascii="Comic Sans MS" w:hAnsi="Comic Sans MS"/>
          <w:i/>
          <w:spacing w:val="12"/>
          <w:sz w:val="23"/>
        </w:rPr>
        <w:t>resarcir </w:t>
      </w:r>
      <w:r>
        <w:rPr>
          <w:rFonts w:ascii="Comic Sans MS" w:hAnsi="Comic Sans MS"/>
          <w:i/>
          <w:spacing w:val="2"/>
          <w:sz w:val="23"/>
        </w:rPr>
        <w:t>ca </w:t>
      </w:r>
      <w:r>
        <w:rPr>
          <w:rFonts w:ascii="Comic Sans MS" w:hAnsi="Comic Sans MS"/>
          <w:i/>
          <w:spacing w:val="11"/>
          <w:sz w:val="23"/>
        </w:rPr>
        <w:t>da  </w:t>
      </w:r>
      <w:r>
        <w:rPr>
          <w:rFonts w:ascii="Comic Sans MS" w:hAnsi="Comic Sans MS"/>
          <w:i/>
          <w:sz w:val="23"/>
        </w:rPr>
        <w:t>m </w:t>
      </w:r>
      <w:r>
        <w:rPr>
          <w:rFonts w:ascii="Comic Sans MS" w:hAnsi="Comic Sans MS"/>
          <w:i/>
          <w:spacing w:val="13"/>
          <w:sz w:val="23"/>
        </w:rPr>
        <w:t>inu </w:t>
      </w:r>
      <w:r>
        <w:rPr>
          <w:rFonts w:ascii="Comic Sans MS" w:hAnsi="Comic Sans MS"/>
          <w:i/>
          <w:sz w:val="23"/>
        </w:rPr>
        <w:t>to  </w:t>
      </w:r>
      <w:r>
        <w:rPr>
          <w:rFonts w:ascii="Comic Sans MS" w:hAnsi="Comic Sans MS"/>
          <w:i/>
          <w:spacing w:val="13"/>
          <w:sz w:val="23"/>
        </w:rPr>
        <w:t>qu </w:t>
      </w:r>
      <w:r>
        <w:rPr>
          <w:rFonts w:ascii="Comic Sans MS" w:hAnsi="Comic Sans MS"/>
          <w:i/>
          <w:sz w:val="23"/>
        </w:rPr>
        <w:t>e </w:t>
      </w:r>
      <w:r>
        <w:rPr>
          <w:rFonts w:ascii="Comic Sans MS" w:hAnsi="Comic Sans MS"/>
          <w:i/>
          <w:spacing w:val="3"/>
          <w:sz w:val="23"/>
        </w:rPr>
        <w:t>les </w:t>
      </w:r>
      <w:r>
        <w:rPr>
          <w:rFonts w:ascii="Comic Sans MS" w:hAnsi="Comic Sans MS"/>
          <w:i/>
          <w:spacing w:val="8"/>
          <w:sz w:val="23"/>
        </w:rPr>
        <w:t>debo; </w:t>
      </w:r>
      <w:r>
        <w:rPr>
          <w:rFonts w:ascii="Comic Sans MS" w:hAnsi="Comic Sans MS"/>
          <w:i/>
          <w:sz w:val="23"/>
        </w:rPr>
        <w:t>a  m i a </w:t>
      </w:r>
      <w:r>
        <w:rPr>
          <w:rFonts w:ascii="Comic Sans MS" w:hAnsi="Comic Sans MS"/>
          <w:i/>
          <w:spacing w:val="11"/>
          <w:sz w:val="23"/>
        </w:rPr>
        <w:t>buelita </w:t>
      </w:r>
      <w:r>
        <w:rPr>
          <w:rFonts w:ascii="Comic Sans MS" w:hAnsi="Comic Sans MS"/>
          <w:i/>
          <w:sz w:val="23"/>
        </w:rPr>
        <w:t>, </w:t>
      </w:r>
      <w:r>
        <w:rPr>
          <w:rFonts w:ascii="Comic Sans MS" w:hAnsi="Comic Sans MS"/>
          <w:i/>
          <w:spacing w:val="11"/>
          <w:sz w:val="23"/>
        </w:rPr>
        <w:t>qu </w:t>
      </w:r>
      <w:r>
        <w:rPr>
          <w:rFonts w:ascii="Comic Sans MS" w:hAnsi="Comic Sans MS"/>
          <w:i/>
          <w:spacing w:val="7"/>
          <w:sz w:val="23"/>
        </w:rPr>
        <w:t>ien </w:t>
      </w:r>
      <w:r>
        <w:rPr>
          <w:rFonts w:ascii="Comic Sans MS" w:hAnsi="Comic Sans MS"/>
          <w:i/>
          <w:spacing w:val="11"/>
          <w:sz w:val="23"/>
        </w:rPr>
        <w:t>ya </w:t>
      </w:r>
      <w:r>
        <w:rPr>
          <w:rFonts w:ascii="Comic Sans MS" w:hAnsi="Comic Sans MS"/>
          <w:i/>
          <w:sz w:val="23"/>
        </w:rPr>
        <w:t>n o v </w:t>
      </w:r>
      <w:r>
        <w:rPr>
          <w:rFonts w:ascii="Comic Sans MS" w:hAnsi="Comic Sans MS"/>
          <w:i/>
          <w:spacing w:val="12"/>
          <w:sz w:val="23"/>
        </w:rPr>
        <w:t>io </w:t>
      </w:r>
      <w:r>
        <w:rPr>
          <w:rFonts w:ascii="Comic Sans MS" w:hAnsi="Comic Sans MS"/>
          <w:i/>
          <w:spacing w:val="10"/>
          <w:sz w:val="23"/>
        </w:rPr>
        <w:t>de </w:t>
      </w:r>
      <w:r>
        <w:rPr>
          <w:rFonts w:ascii="Comic Sans MS" w:hAnsi="Comic Sans MS"/>
          <w:i/>
          <w:spacing w:val="6"/>
          <w:sz w:val="23"/>
        </w:rPr>
        <w:t>cerca </w:t>
      </w:r>
      <w:r>
        <w:rPr>
          <w:rFonts w:ascii="Comic Sans MS" w:hAnsi="Comic Sans MS"/>
          <w:i/>
          <w:spacing w:val="2"/>
          <w:sz w:val="23"/>
        </w:rPr>
        <w:t>esto, </w:t>
      </w:r>
      <w:r>
        <w:rPr>
          <w:rFonts w:ascii="Comic Sans MS" w:hAnsi="Comic Sans MS"/>
          <w:i/>
          <w:spacing w:val="11"/>
          <w:sz w:val="23"/>
        </w:rPr>
        <w:t>pero qu </w:t>
      </w:r>
      <w:r>
        <w:rPr>
          <w:rFonts w:ascii="Comic Sans MS" w:hAnsi="Comic Sans MS"/>
          <w:i/>
          <w:sz w:val="23"/>
        </w:rPr>
        <w:t>e, </w:t>
      </w:r>
      <w:r>
        <w:rPr>
          <w:rFonts w:ascii="Comic Sans MS" w:hAnsi="Comic Sans MS"/>
          <w:i/>
          <w:spacing w:val="7"/>
          <w:sz w:val="23"/>
        </w:rPr>
        <w:t>sin </w:t>
      </w:r>
      <w:r>
        <w:rPr>
          <w:rFonts w:ascii="Comic Sans MS" w:hAnsi="Comic Sans MS"/>
          <w:i/>
          <w:spacing w:val="11"/>
          <w:sz w:val="23"/>
        </w:rPr>
        <w:t>du da </w:t>
      </w:r>
      <w:r>
        <w:rPr>
          <w:rFonts w:ascii="Comic Sans MS" w:hAnsi="Comic Sans MS"/>
          <w:i/>
          <w:sz w:val="23"/>
        </w:rPr>
        <w:t>, </w:t>
      </w:r>
      <w:r>
        <w:rPr>
          <w:rFonts w:ascii="Comic Sans MS" w:hAnsi="Comic Sans MS"/>
          <w:i/>
          <w:spacing w:val="11"/>
          <w:sz w:val="23"/>
        </w:rPr>
        <w:t>sigu </w:t>
      </w:r>
      <w:r>
        <w:rPr>
          <w:rFonts w:ascii="Comic Sans MS" w:hAnsi="Comic Sans MS"/>
          <w:i/>
          <w:sz w:val="23"/>
        </w:rPr>
        <w:t>e a m i </w:t>
      </w:r>
      <w:r>
        <w:rPr>
          <w:rFonts w:ascii="Comic Sans MS" w:hAnsi="Comic Sans MS"/>
          <w:i/>
          <w:spacing w:val="6"/>
          <w:sz w:val="23"/>
        </w:rPr>
        <w:t>la</w:t>
      </w:r>
      <w:r>
        <w:rPr>
          <w:rFonts w:ascii="Comic Sans MS" w:hAnsi="Comic Sans MS"/>
          <w:i/>
          <w:spacing w:val="-31"/>
          <w:sz w:val="23"/>
        </w:rPr>
        <w:t> </w:t>
      </w:r>
      <w:r>
        <w:rPr>
          <w:rFonts w:ascii="Comic Sans MS" w:hAnsi="Comic Sans MS"/>
          <w:i/>
          <w:spacing w:val="11"/>
          <w:sz w:val="23"/>
        </w:rPr>
        <w:t>do;</w:t>
      </w:r>
      <w:r>
        <w:rPr>
          <w:rFonts w:ascii="Comic Sans MS" w:hAnsi="Comic Sans MS"/>
          <w:i/>
          <w:spacing w:val="8"/>
          <w:sz w:val="23"/>
        </w:rPr>
        <w:t> </w:t>
      </w:r>
      <w:r>
        <w:rPr>
          <w:rFonts w:ascii="Comic Sans MS" w:hAnsi="Comic Sans MS"/>
          <w:i/>
          <w:sz w:val="23"/>
        </w:rPr>
        <w:t>a</w:t>
      </w:r>
      <w:r>
        <w:rPr>
          <w:rFonts w:ascii="Comic Sans MS" w:hAnsi="Comic Sans MS"/>
          <w:i/>
          <w:spacing w:val="49"/>
          <w:sz w:val="23"/>
        </w:rPr>
        <w:t> </w:t>
      </w:r>
      <w:r>
        <w:rPr>
          <w:rFonts w:ascii="Comic Sans MS" w:hAnsi="Comic Sans MS"/>
          <w:i/>
          <w:sz w:val="23"/>
        </w:rPr>
        <w:t>m</w:t>
      </w:r>
      <w:r>
        <w:rPr>
          <w:rFonts w:ascii="Comic Sans MS" w:hAnsi="Comic Sans MS"/>
          <w:i/>
          <w:spacing w:val="-10"/>
          <w:sz w:val="23"/>
        </w:rPr>
        <w:t> </w:t>
      </w:r>
      <w:r>
        <w:rPr>
          <w:rFonts w:ascii="Comic Sans MS" w:hAnsi="Comic Sans MS"/>
          <w:i/>
          <w:spacing w:val="8"/>
          <w:sz w:val="23"/>
        </w:rPr>
        <w:t>is</w:t>
      </w:r>
      <w:r>
        <w:rPr>
          <w:rFonts w:ascii="Comic Sans MS" w:hAnsi="Comic Sans MS"/>
          <w:i/>
          <w:spacing w:val="13"/>
          <w:sz w:val="23"/>
        </w:rPr>
        <w:t> </w:t>
      </w:r>
      <w:r>
        <w:rPr>
          <w:rFonts w:ascii="Comic Sans MS" w:hAnsi="Comic Sans MS"/>
          <w:i/>
          <w:spacing w:val="17"/>
          <w:sz w:val="23"/>
        </w:rPr>
        <w:t>prim</w:t>
      </w:r>
      <w:r>
        <w:rPr>
          <w:rFonts w:ascii="Comic Sans MS" w:hAnsi="Comic Sans MS"/>
          <w:i/>
          <w:spacing w:val="-11"/>
          <w:sz w:val="23"/>
        </w:rPr>
        <w:t> </w:t>
      </w:r>
      <w:r>
        <w:rPr>
          <w:rFonts w:ascii="Comic Sans MS" w:hAnsi="Comic Sans MS"/>
          <w:i/>
          <w:spacing w:val="5"/>
          <w:sz w:val="23"/>
        </w:rPr>
        <w:t>os,</w:t>
      </w:r>
      <w:r>
        <w:rPr>
          <w:rFonts w:ascii="Comic Sans MS" w:hAnsi="Comic Sans MS"/>
          <w:i/>
          <w:spacing w:val="13"/>
          <w:sz w:val="23"/>
        </w:rPr>
        <w:t> </w:t>
      </w:r>
      <w:r>
        <w:rPr>
          <w:rFonts w:ascii="Comic Sans MS" w:hAnsi="Comic Sans MS"/>
          <w:i/>
          <w:spacing w:val="7"/>
          <w:sz w:val="23"/>
        </w:rPr>
        <w:t>tíos,</w:t>
      </w:r>
      <w:r>
        <w:rPr>
          <w:rFonts w:ascii="Comic Sans MS" w:hAnsi="Comic Sans MS"/>
          <w:i/>
          <w:spacing w:val="8"/>
          <w:sz w:val="23"/>
        </w:rPr>
        <w:t> </w:t>
      </w:r>
      <w:r>
        <w:rPr>
          <w:rFonts w:ascii="Comic Sans MS" w:hAnsi="Comic Sans MS"/>
          <w:i/>
          <w:spacing w:val="10"/>
          <w:sz w:val="23"/>
        </w:rPr>
        <w:t>sobrin</w:t>
      </w:r>
      <w:r>
        <w:rPr>
          <w:rFonts w:ascii="Comic Sans MS" w:hAnsi="Comic Sans MS"/>
          <w:i/>
          <w:spacing w:val="-30"/>
          <w:sz w:val="23"/>
        </w:rPr>
        <w:t> </w:t>
      </w:r>
      <w:r>
        <w:rPr>
          <w:rFonts w:ascii="Comic Sans MS" w:hAnsi="Comic Sans MS"/>
          <w:i/>
          <w:spacing w:val="5"/>
          <w:sz w:val="23"/>
        </w:rPr>
        <w:t>os,</w:t>
      </w:r>
      <w:r>
        <w:rPr>
          <w:rFonts w:ascii="Comic Sans MS" w:hAnsi="Comic Sans MS"/>
          <w:i/>
          <w:spacing w:val="10"/>
          <w:sz w:val="23"/>
        </w:rPr>
        <w:t> </w:t>
      </w:r>
      <w:r>
        <w:rPr>
          <w:rFonts w:ascii="Comic Sans MS" w:hAnsi="Comic Sans MS"/>
          <w:i/>
          <w:spacing w:val="13"/>
          <w:sz w:val="23"/>
        </w:rPr>
        <w:t>por</w:t>
      </w:r>
      <w:r>
        <w:rPr>
          <w:rFonts w:ascii="Comic Sans MS" w:hAnsi="Comic Sans MS"/>
          <w:i/>
          <w:spacing w:val="34"/>
          <w:sz w:val="23"/>
        </w:rPr>
        <w:t> </w:t>
      </w:r>
      <w:r>
        <w:rPr>
          <w:rFonts w:ascii="Comic Sans MS" w:hAnsi="Comic Sans MS"/>
          <w:i/>
          <w:sz w:val="23"/>
        </w:rPr>
        <w:t>su</w:t>
      </w:r>
      <w:r>
        <w:rPr>
          <w:rFonts w:ascii="Comic Sans MS" w:hAnsi="Comic Sans MS"/>
          <w:i/>
          <w:spacing w:val="-27"/>
          <w:sz w:val="23"/>
        </w:rPr>
        <w:t> </w:t>
      </w:r>
      <w:r>
        <w:rPr>
          <w:rFonts w:ascii="Comic Sans MS" w:hAnsi="Comic Sans MS"/>
          <w:i/>
          <w:sz w:val="23"/>
        </w:rPr>
        <w:t>s</w:t>
      </w:r>
      <w:r>
        <w:rPr>
          <w:rFonts w:ascii="Comic Sans MS" w:hAnsi="Comic Sans MS"/>
          <w:i/>
          <w:spacing w:val="12"/>
          <w:sz w:val="23"/>
        </w:rPr>
        <w:t> </w:t>
      </w:r>
      <w:r>
        <w:rPr>
          <w:rFonts w:ascii="Comic Sans MS" w:hAnsi="Comic Sans MS"/>
          <w:i/>
          <w:spacing w:val="7"/>
          <w:sz w:val="23"/>
        </w:rPr>
        <w:t>siem</w:t>
      </w:r>
      <w:r>
        <w:rPr>
          <w:rFonts w:ascii="Comic Sans MS" w:hAnsi="Comic Sans MS"/>
          <w:i/>
          <w:spacing w:val="-21"/>
          <w:sz w:val="23"/>
        </w:rPr>
        <w:t> </w:t>
      </w:r>
      <w:r>
        <w:rPr>
          <w:rFonts w:ascii="Comic Sans MS" w:hAnsi="Comic Sans MS"/>
          <w:i/>
          <w:spacing w:val="17"/>
          <w:sz w:val="23"/>
        </w:rPr>
        <w:t>pre</w:t>
      </w:r>
      <w:r>
        <w:rPr>
          <w:rFonts w:ascii="Comic Sans MS" w:hAnsi="Comic Sans MS"/>
          <w:i/>
          <w:spacing w:val="7"/>
          <w:sz w:val="23"/>
        </w:rPr>
        <w:t> </w:t>
      </w:r>
      <w:r>
        <w:rPr>
          <w:rFonts w:ascii="Comic Sans MS" w:hAnsi="Comic Sans MS"/>
          <w:i/>
          <w:spacing w:val="16"/>
          <w:sz w:val="23"/>
        </w:rPr>
        <w:t>solidaria</w:t>
      </w:r>
      <w:r>
        <w:rPr>
          <w:rFonts w:ascii="Comic Sans MS" w:hAnsi="Comic Sans MS"/>
          <w:i/>
          <w:spacing w:val="-32"/>
          <w:sz w:val="23"/>
        </w:rPr>
        <w:t> </w:t>
      </w:r>
      <w:r>
        <w:rPr>
          <w:rFonts w:ascii="Comic Sans MS" w:hAnsi="Comic Sans MS"/>
          <w:i/>
          <w:sz w:val="23"/>
        </w:rPr>
        <w:t>s</w:t>
      </w:r>
      <w:r>
        <w:rPr>
          <w:rFonts w:ascii="Comic Sans MS" w:hAnsi="Comic Sans MS"/>
          <w:i/>
          <w:spacing w:val="9"/>
          <w:sz w:val="23"/>
        </w:rPr>
        <w:t> </w:t>
      </w:r>
      <w:r>
        <w:rPr>
          <w:rFonts w:ascii="Comic Sans MS" w:hAnsi="Comic Sans MS"/>
          <w:i/>
          <w:spacing w:val="16"/>
          <w:sz w:val="23"/>
        </w:rPr>
        <w:t>pa</w:t>
      </w:r>
      <w:r>
        <w:rPr>
          <w:rFonts w:ascii="Comic Sans MS" w:hAnsi="Comic Sans MS"/>
          <w:i/>
          <w:spacing w:val="-31"/>
          <w:sz w:val="23"/>
        </w:rPr>
        <w:t> </w:t>
      </w:r>
      <w:r>
        <w:rPr>
          <w:rFonts w:ascii="Comic Sans MS" w:hAnsi="Comic Sans MS"/>
          <w:i/>
          <w:spacing w:val="6"/>
          <w:sz w:val="23"/>
        </w:rPr>
        <w:t>la</w:t>
      </w:r>
      <w:r>
        <w:rPr>
          <w:rFonts w:ascii="Comic Sans MS" w:hAnsi="Comic Sans MS"/>
          <w:i/>
          <w:spacing w:val="-31"/>
          <w:sz w:val="23"/>
        </w:rPr>
        <w:t> </w:t>
      </w:r>
      <w:r>
        <w:rPr>
          <w:rFonts w:ascii="Comic Sans MS" w:hAnsi="Comic Sans MS"/>
          <w:i/>
          <w:spacing w:val="11"/>
          <w:sz w:val="23"/>
        </w:rPr>
        <w:t>bras; </w:t>
      </w:r>
      <w:r>
        <w:rPr>
          <w:rFonts w:ascii="Comic Sans MS" w:hAnsi="Comic Sans MS"/>
          <w:i/>
          <w:sz w:val="23"/>
        </w:rPr>
        <w:t>a</w:t>
      </w:r>
      <w:r>
        <w:rPr>
          <w:rFonts w:ascii="Comic Sans MS" w:hAnsi="Comic Sans MS"/>
          <w:i/>
          <w:spacing w:val="1"/>
          <w:sz w:val="23"/>
        </w:rPr>
        <w:t> </w:t>
      </w:r>
      <w:r>
        <w:rPr>
          <w:rFonts w:ascii="Comic Sans MS" w:hAnsi="Comic Sans MS"/>
          <w:i/>
          <w:sz w:val="23"/>
        </w:rPr>
        <w:t>m</w:t>
      </w:r>
      <w:r>
        <w:rPr>
          <w:rFonts w:ascii="Comic Sans MS" w:hAnsi="Comic Sans MS"/>
          <w:i/>
          <w:spacing w:val="-11"/>
          <w:sz w:val="23"/>
        </w:rPr>
        <w:t> </w:t>
      </w:r>
      <w:r>
        <w:rPr>
          <w:rFonts w:ascii="Comic Sans MS" w:hAnsi="Comic Sans MS"/>
          <w:i/>
          <w:spacing w:val="7"/>
          <w:sz w:val="23"/>
        </w:rPr>
        <w:t>is</w:t>
      </w:r>
      <w:r>
        <w:rPr>
          <w:rFonts w:ascii="Comic Sans MS" w:hAnsi="Comic Sans MS"/>
          <w:i/>
          <w:spacing w:val="36"/>
          <w:sz w:val="23"/>
        </w:rPr>
        <w:t> </w:t>
      </w:r>
      <w:r>
        <w:rPr>
          <w:rFonts w:ascii="Comic Sans MS" w:hAnsi="Comic Sans MS"/>
          <w:i/>
          <w:sz w:val="23"/>
        </w:rPr>
        <w:t>a</w:t>
      </w:r>
      <w:r>
        <w:rPr>
          <w:rFonts w:ascii="Comic Sans MS" w:hAnsi="Comic Sans MS"/>
          <w:i/>
          <w:spacing w:val="-28"/>
          <w:sz w:val="23"/>
        </w:rPr>
        <w:t> </w:t>
      </w:r>
      <w:r>
        <w:rPr>
          <w:rFonts w:ascii="Comic Sans MS" w:hAnsi="Comic Sans MS"/>
          <w:i/>
          <w:sz w:val="23"/>
        </w:rPr>
        <w:t>m</w:t>
      </w:r>
      <w:r>
        <w:rPr>
          <w:rFonts w:ascii="Comic Sans MS" w:hAnsi="Comic Sans MS"/>
          <w:i/>
          <w:spacing w:val="-11"/>
          <w:sz w:val="23"/>
        </w:rPr>
        <w:t> </w:t>
      </w:r>
      <w:r>
        <w:rPr>
          <w:rFonts w:ascii="Comic Sans MS" w:hAnsi="Comic Sans MS"/>
          <w:i/>
          <w:spacing w:val="13"/>
          <w:sz w:val="23"/>
        </w:rPr>
        <w:t>iga</w:t>
      </w:r>
      <w:r>
        <w:rPr>
          <w:rFonts w:ascii="Comic Sans MS" w:hAnsi="Comic Sans MS"/>
          <w:i/>
          <w:spacing w:val="-31"/>
          <w:sz w:val="23"/>
        </w:rPr>
        <w:t> </w:t>
      </w:r>
      <w:r>
        <w:rPr>
          <w:rFonts w:ascii="Comic Sans MS" w:hAnsi="Comic Sans MS"/>
          <w:i/>
          <w:sz w:val="23"/>
        </w:rPr>
        <w:t>s</w:t>
      </w:r>
      <w:r>
        <w:rPr>
          <w:rFonts w:ascii="Comic Sans MS" w:hAnsi="Comic Sans MS"/>
          <w:i/>
          <w:spacing w:val="30"/>
          <w:sz w:val="23"/>
        </w:rPr>
        <w:t> </w:t>
      </w:r>
      <w:r>
        <w:rPr>
          <w:rFonts w:ascii="Comic Sans MS" w:hAnsi="Comic Sans MS"/>
          <w:i/>
          <w:spacing w:val="11"/>
          <w:sz w:val="23"/>
        </w:rPr>
        <w:t>Ca</w:t>
      </w:r>
      <w:r>
        <w:rPr>
          <w:rFonts w:ascii="Comic Sans MS" w:hAnsi="Comic Sans MS"/>
          <w:i/>
          <w:spacing w:val="-36"/>
          <w:sz w:val="23"/>
        </w:rPr>
        <w:t> </w:t>
      </w:r>
      <w:r>
        <w:rPr>
          <w:rFonts w:ascii="Comic Sans MS" w:hAnsi="Comic Sans MS"/>
          <w:i/>
          <w:spacing w:val="10"/>
          <w:sz w:val="23"/>
        </w:rPr>
        <w:t>r,</w:t>
      </w:r>
      <w:r>
        <w:rPr>
          <w:rFonts w:ascii="Comic Sans MS" w:hAnsi="Comic Sans MS"/>
          <w:i/>
          <w:spacing w:val="34"/>
          <w:sz w:val="23"/>
        </w:rPr>
        <w:t> </w:t>
      </w:r>
      <w:r>
        <w:rPr>
          <w:rFonts w:ascii="Comic Sans MS" w:hAnsi="Comic Sans MS"/>
          <w:i/>
          <w:sz w:val="23"/>
        </w:rPr>
        <w:t>M</w:t>
      </w:r>
      <w:r>
        <w:rPr>
          <w:rFonts w:ascii="Comic Sans MS" w:hAnsi="Comic Sans MS"/>
          <w:i/>
          <w:spacing w:val="-7"/>
          <w:sz w:val="23"/>
        </w:rPr>
        <w:t> </w:t>
      </w:r>
      <w:r>
        <w:rPr>
          <w:rFonts w:ascii="Comic Sans MS" w:hAnsi="Comic Sans MS"/>
          <w:i/>
          <w:sz w:val="23"/>
        </w:rPr>
        <w:t>a</w:t>
      </w:r>
      <w:r>
        <w:rPr>
          <w:rFonts w:ascii="Comic Sans MS" w:hAnsi="Comic Sans MS"/>
          <w:i/>
          <w:spacing w:val="-30"/>
          <w:sz w:val="23"/>
        </w:rPr>
        <w:t> </w:t>
      </w:r>
      <w:r>
        <w:rPr>
          <w:rFonts w:ascii="Comic Sans MS" w:hAnsi="Comic Sans MS"/>
          <w:i/>
          <w:spacing w:val="11"/>
          <w:sz w:val="23"/>
        </w:rPr>
        <w:t>ry</w:t>
      </w:r>
      <w:r>
        <w:rPr>
          <w:rFonts w:ascii="Comic Sans MS" w:hAnsi="Comic Sans MS"/>
          <w:i/>
          <w:spacing w:val="-28"/>
          <w:sz w:val="23"/>
        </w:rPr>
        <w:t> </w:t>
      </w:r>
      <w:r>
        <w:rPr>
          <w:rFonts w:ascii="Comic Sans MS" w:hAnsi="Comic Sans MS"/>
          <w:i/>
          <w:sz w:val="23"/>
        </w:rPr>
        <w:t>,</w:t>
      </w:r>
      <w:r>
        <w:rPr>
          <w:rFonts w:ascii="Comic Sans MS" w:hAnsi="Comic Sans MS"/>
          <w:i/>
          <w:spacing w:val="30"/>
          <w:sz w:val="23"/>
        </w:rPr>
        <w:t> </w:t>
      </w:r>
      <w:r>
        <w:rPr>
          <w:rFonts w:ascii="Comic Sans MS" w:hAnsi="Comic Sans MS"/>
          <w:i/>
          <w:sz w:val="23"/>
        </w:rPr>
        <w:t>M</w:t>
      </w:r>
      <w:r>
        <w:rPr>
          <w:rFonts w:ascii="Comic Sans MS" w:hAnsi="Comic Sans MS"/>
          <w:i/>
          <w:spacing w:val="-8"/>
          <w:sz w:val="23"/>
        </w:rPr>
        <w:t> </w:t>
      </w:r>
      <w:r>
        <w:rPr>
          <w:rFonts w:ascii="Comic Sans MS" w:hAnsi="Comic Sans MS"/>
          <w:i/>
          <w:spacing w:val="11"/>
          <w:sz w:val="23"/>
        </w:rPr>
        <w:t>on</w:t>
      </w:r>
      <w:r>
        <w:rPr>
          <w:rFonts w:ascii="Comic Sans MS" w:hAnsi="Comic Sans MS"/>
          <w:i/>
          <w:spacing w:val="-23"/>
          <w:sz w:val="23"/>
        </w:rPr>
        <w:t> </w:t>
      </w:r>
      <w:r>
        <w:rPr>
          <w:rFonts w:ascii="Comic Sans MS" w:hAnsi="Comic Sans MS"/>
          <w:i/>
          <w:sz w:val="23"/>
        </w:rPr>
        <w:t>y</w:t>
      </w:r>
      <w:r>
        <w:rPr>
          <w:rFonts w:ascii="Comic Sans MS" w:hAnsi="Comic Sans MS"/>
          <w:i/>
          <w:spacing w:val="-28"/>
          <w:sz w:val="23"/>
        </w:rPr>
        <w:t> </w:t>
      </w:r>
      <w:r>
        <w:rPr>
          <w:rFonts w:ascii="Comic Sans MS" w:hAnsi="Comic Sans MS"/>
          <w:i/>
          <w:sz w:val="23"/>
        </w:rPr>
        <w:t>,</w:t>
      </w:r>
      <w:r>
        <w:rPr>
          <w:rFonts w:ascii="Comic Sans MS" w:hAnsi="Comic Sans MS"/>
          <w:i/>
          <w:spacing w:val="34"/>
          <w:sz w:val="23"/>
        </w:rPr>
        <w:t> </w:t>
      </w:r>
      <w:r>
        <w:rPr>
          <w:rFonts w:ascii="Comic Sans MS" w:hAnsi="Comic Sans MS"/>
          <w:i/>
          <w:sz w:val="23"/>
        </w:rPr>
        <w:t>A</w:t>
      </w:r>
      <w:r>
        <w:rPr>
          <w:rFonts w:ascii="Comic Sans MS" w:hAnsi="Comic Sans MS"/>
          <w:i/>
          <w:spacing w:val="-19"/>
          <w:sz w:val="23"/>
        </w:rPr>
        <w:t> </w:t>
      </w:r>
      <w:r>
        <w:rPr>
          <w:rFonts w:ascii="Comic Sans MS" w:hAnsi="Comic Sans MS"/>
          <w:i/>
          <w:sz w:val="23"/>
        </w:rPr>
        <w:t>n</w:t>
      </w:r>
      <w:r>
        <w:rPr>
          <w:rFonts w:ascii="Comic Sans MS" w:hAnsi="Comic Sans MS"/>
          <w:i/>
          <w:spacing w:val="-18"/>
          <w:sz w:val="23"/>
        </w:rPr>
        <w:t> </w:t>
      </w:r>
      <w:r>
        <w:rPr>
          <w:rFonts w:ascii="Comic Sans MS" w:hAnsi="Comic Sans MS"/>
          <w:i/>
          <w:sz w:val="23"/>
        </w:rPr>
        <w:t>y</w:t>
      </w:r>
      <w:r>
        <w:rPr>
          <w:rFonts w:ascii="Comic Sans MS" w:hAnsi="Comic Sans MS"/>
          <w:i/>
          <w:spacing w:val="-33"/>
          <w:sz w:val="23"/>
        </w:rPr>
        <w:t> </w:t>
      </w:r>
      <w:r>
        <w:rPr>
          <w:rFonts w:ascii="Comic Sans MS" w:hAnsi="Comic Sans MS"/>
          <w:i/>
          <w:sz w:val="23"/>
        </w:rPr>
        <w:t>,</w:t>
      </w:r>
      <w:r>
        <w:rPr>
          <w:rFonts w:ascii="Comic Sans MS" w:hAnsi="Comic Sans MS"/>
          <w:i/>
          <w:spacing w:val="34"/>
          <w:sz w:val="23"/>
        </w:rPr>
        <w:t> </w:t>
      </w:r>
      <w:r>
        <w:rPr>
          <w:rFonts w:ascii="Comic Sans MS" w:hAnsi="Comic Sans MS"/>
          <w:i/>
          <w:sz w:val="23"/>
        </w:rPr>
        <w:t>D</w:t>
      </w:r>
      <w:r>
        <w:rPr>
          <w:rFonts w:ascii="Comic Sans MS" w:hAnsi="Comic Sans MS"/>
          <w:i/>
          <w:spacing w:val="-14"/>
          <w:sz w:val="23"/>
        </w:rPr>
        <w:t> </w:t>
      </w:r>
      <w:r>
        <w:rPr>
          <w:rFonts w:ascii="Comic Sans MS" w:hAnsi="Comic Sans MS"/>
          <w:i/>
          <w:spacing w:val="10"/>
          <w:sz w:val="23"/>
        </w:rPr>
        <w:t>elia</w:t>
      </w:r>
      <w:r>
        <w:rPr>
          <w:rFonts w:ascii="Comic Sans MS" w:hAnsi="Comic Sans MS"/>
          <w:i/>
          <w:spacing w:val="-31"/>
          <w:sz w:val="23"/>
        </w:rPr>
        <w:t> </w:t>
      </w:r>
      <w:r>
        <w:rPr>
          <w:rFonts w:ascii="Comic Sans MS" w:hAnsi="Comic Sans MS"/>
          <w:i/>
          <w:sz w:val="23"/>
        </w:rPr>
        <w:t>,</w:t>
      </w:r>
      <w:r>
        <w:rPr>
          <w:rFonts w:ascii="Comic Sans MS" w:hAnsi="Comic Sans MS"/>
          <w:i/>
          <w:spacing w:val="33"/>
          <w:sz w:val="23"/>
        </w:rPr>
        <w:t> </w:t>
      </w:r>
      <w:r>
        <w:rPr>
          <w:rFonts w:ascii="Comic Sans MS" w:hAnsi="Comic Sans MS"/>
          <w:i/>
          <w:sz w:val="23"/>
        </w:rPr>
        <w:t>Y</w:t>
      </w:r>
      <w:r>
        <w:rPr>
          <w:rFonts w:ascii="Comic Sans MS" w:hAnsi="Comic Sans MS"/>
          <w:i/>
          <w:spacing w:val="-25"/>
          <w:sz w:val="23"/>
        </w:rPr>
        <w:t> </w:t>
      </w:r>
      <w:r>
        <w:rPr>
          <w:rFonts w:ascii="Comic Sans MS" w:hAnsi="Comic Sans MS"/>
          <w:i/>
          <w:sz w:val="23"/>
        </w:rPr>
        <w:t>a</w:t>
      </w:r>
      <w:r>
        <w:rPr>
          <w:rFonts w:ascii="Comic Sans MS" w:hAnsi="Comic Sans MS"/>
          <w:i/>
          <w:spacing w:val="-35"/>
          <w:sz w:val="23"/>
        </w:rPr>
        <w:t> </w:t>
      </w:r>
      <w:r>
        <w:rPr>
          <w:rFonts w:ascii="Comic Sans MS" w:hAnsi="Comic Sans MS"/>
          <w:i/>
          <w:sz w:val="23"/>
        </w:rPr>
        <w:t>n</w:t>
      </w:r>
      <w:r>
        <w:rPr>
          <w:rFonts w:ascii="Comic Sans MS" w:hAnsi="Comic Sans MS"/>
          <w:i/>
          <w:spacing w:val="-23"/>
          <w:sz w:val="23"/>
        </w:rPr>
        <w:t> </w:t>
      </w:r>
      <w:r>
        <w:rPr>
          <w:rFonts w:ascii="Comic Sans MS" w:hAnsi="Comic Sans MS"/>
          <w:i/>
          <w:sz w:val="23"/>
        </w:rPr>
        <w:t>i</w:t>
      </w:r>
      <w:r>
        <w:rPr>
          <w:rFonts w:ascii="Comic Sans MS" w:hAnsi="Comic Sans MS"/>
          <w:i/>
          <w:spacing w:val="52"/>
          <w:sz w:val="23"/>
        </w:rPr>
        <w:t> </w:t>
      </w:r>
      <w:r>
        <w:rPr>
          <w:rFonts w:ascii="Comic Sans MS" w:hAnsi="Comic Sans MS"/>
          <w:i/>
          <w:sz w:val="23"/>
        </w:rPr>
        <w:t>a </w:t>
      </w:r>
      <w:r>
        <w:rPr>
          <w:rFonts w:ascii="Comic Sans MS" w:hAnsi="Comic Sans MS"/>
          <w:i/>
          <w:spacing w:val="14"/>
          <w:sz w:val="23"/>
        </w:rPr>
        <w:t>qu</w:t>
      </w:r>
      <w:r>
        <w:rPr>
          <w:rFonts w:ascii="Comic Sans MS" w:hAnsi="Comic Sans MS"/>
          <w:i/>
          <w:spacing w:val="-27"/>
          <w:sz w:val="23"/>
        </w:rPr>
        <w:t> </w:t>
      </w:r>
      <w:r>
        <w:rPr>
          <w:rFonts w:ascii="Comic Sans MS" w:hAnsi="Comic Sans MS"/>
          <w:i/>
          <w:spacing w:val="6"/>
          <w:sz w:val="23"/>
        </w:rPr>
        <w:t>ien</w:t>
      </w:r>
      <w:r>
        <w:rPr>
          <w:rFonts w:ascii="Comic Sans MS" w:hAnsi="Comic Sans MS"/>
          <w:i/>
          <w:spacing w:val="-29"/>
          <w:sz w:val="23"/>
        </w:rPr>
        <w:t> </w:t>
      </w:r>
      <w:r>
        <w:rPr>
          <w:rFonts w:ascii="Comic Sans MS" w:hAnsi="Comic Sans MS"/>
          <w:i/>
          <w:spacing w:val="3"/>
          <w:sz w:val="23"/>
        </w:rPr>
        <w:t>es</w:t>
      </w:r>
      <w:r>
        <w:rPr>
          <w:rFonts w:ascii="Comic Sans MS" w:hAnsi="Comic Sans MS"/>
          <w:i/>
          <w:spacing w:val="29"/>
          <w:sz w:val="23"/>
        </w:rPr>
        <w:t> </w:t>
      </w:r>
      <w:r>
        <w:rPr>
          <w:rFonts w:ascii="Comic Sans MS" w:hAnsi="Comic Sans MS"/>
          <w:i/>
          <w:sz w:val="23"/>
        </w:rPr>
        <w:t>en</w:t>
      </w:r>
      <w:r>
        <w:rPr>
          <w:rFonts w:ascii="Comic Sans MS" w:hAnsi="Comic Sans MS"/>
          <w:i/>
          <w:spacing w:val="8"/>
          <w:sz w:val="23"/>
        </w:rPr>
        <w:t> </w:t>
      </w:r>
      <w:r>
        <w:rPr>
          <w:rFonts w:ascii="Comic Sans MS" w:hAnsi="Comic Sans MS"/>
          <w:i/>
          <w:sz w:val="23"/>
        </w:rPr>
        <w:t>m</w:t>
      </w:r>
      <w:r>
        <w:rPr>
          <w:rFonts w:ascii="Comic Sans MS" w:hAnsi="Comic Sans MS"/>
          <w:i/>
          <w:spacing w:val="-11"/>
          <w:sz w:val="23"/>
        </w:rPr>
        <w:t> </w:t>
      </w:r>
      <w:r>
        <w:rPr>
          <w:rFonts w:ascii="Comic Sans MS" w:hAnsi="Comic Sans MS"/>
          <w:i/>
          <w:spacing w:val="16"/>
          <w:sz w:val="23"/>
        </w:rPr>
        <w:t>ás </w:t>
      </w:r>
      <w:r>
        <w:rPr>
          <w:rFonts w:ascii="Comic Sans MS" w:hAnsi="Comic Sans MS"/>
          <w:i/>
          <w:spacing w:val="7"/>
          <w:sz w:val="23"/>
        </w:rPr>
        <w:t>de </w:t>
      </w:r>
      <w:r>
        <w:rPr>
          <w:rFonts w:ascii="Comic Sans MS" w:hAnsi="Comic Sans MS"/>
          <w:i/>
          <w:sz w:val="23"/>
        </w:rPr>
        <w:t>u n a </w:t>
      </w:r>
      <w:r>
        <w:rPr>
          <w:rFonts w:ascii="Comic Sans MS" w:hAnsi="Comic Sans MS"/>
          <w:i/>
          <w:spacing w:val="12"/>
          <w:sz w:val="23"/>
        </w:rPr>
        <w:t>ocasión </w:t>
      </w:r>
      <w:r>
        <w:rPr>
          <w:rFonts w:ascii="Comic Sans MS" w:hAnsi="Comic Sans MS"/>
          <w:i/>
          <w:spacing w:val="5"/>
          <w:sz w:val="23"/>
        </w:rPr>
        <w:t>segu </w:t>
      </w:r>
      <w:r>
        <w:rPr>
          <w:rFonts w:ascii="Comic Sans MS" w:hAnsi="Comic Sans MS"/>
          <w:i/>
          <w:spacing w:val="9"/>
          <w:sz w:val="23"/>
        </w:rPr>
        <w:t>ra </w:t>
      </w:r>
      <w:r>
        <w:rPr>
          <w:rFonts w:ascii="Comic Sans MS" w:hAnsi="Comic Sans MS"/>
          <w:i/>
          <w:sz w:val="23"/>
        </w:rPr>
        <w:t>m en </w:t>
      </w:r>
      <w:r>
        <w:rPr>
          <w:rFonts w:ascii="Comic Sans MS" w:hAnsi="Comic Sans MS"/>
          <w:i/>
          <w:spacing w:val="-3"/>
          <w:sz w:val="23"/>
        </w:rPr>
        <w:t>te </w:t>
      </w:r>
      <w:r>
        <w:rPr>
          <w:rFonts w:ascii="Comic Sans MS" w:hAnsi="Comic Sans MS"/>
          <w:i/>
          <w:sz w:val="23"/>
        </w:rPr>
        <w:t>a </w:t>
      </w:r>
      <w:r>
        <w:rPr>
          <w:rFonts w:ascii="Comic Sans MS" w:hAnsi="Comic Sans MS"/>
          <w:i/>
          <w:spacing w:val="14"/>
          <w:sz w:val="23"/>
        </w:rPr>
        <w:t>tara </w:t>
      </w:r>
      <w:r>
        <w:rPr>
          <w:rFonts w:ascii="Comic Sans MS" w:hAnsi="Comic Sans MS"/>
          <w:i/>
          <w:sz w:val="23"/>
        </w:rPr>
        <w:t>n </w:t>
      </w:r>
      <w:r>
        <w:rPr>
          <w:rFonts w:ascii="Comic Sans MS" w:hAnsi="Comic Sans MS"/>
          <w:i/>
          <w:spacing w:val="-3"/>
          <w:sz w:val="23"/>
        </w:rPr>
        <w:t>té </w:t>
      </w:r>
      <w:r>
        <w:rPr>
          <w:rFonts w:ascii="Comic Sans MS" w:hAnsi="Comic Sans MS"/>
          <w:i/>
          <w:spacing w:val="9"/>
          <w:sz w:val="23"/>
        </w:rPr>
        <w:t>con </w:t>
      </w:r>
      <w:r>
        <w:rPr>
          <w:rFonts w:ascii="Comic Sans MS" w:hAnsi="Comic Sans MS"/>
          <w:i/>
          <w:sz w:val="23"/>
        </w:rPr>
        <w:t>m </w:t>
      </w:r>
      <w:r>
        <w:rPr>
          <w:rFonts w:ascii="Comic Sans MS" w:hAnsi="Comic Sans MS"/>
          <w:i/>
          <w:spacing w:val="10"/>
          <w:sz w:val="23"/>
        </w:rPr>
        <w:t>is </w:t>
      </w:r>
      <w:r>
        <w:rPr>
          <w:rFonts w:ascii="Comic Sans MS" w:hAnsi="Comic Sans MS"/>
          <w:i/>
          <w:spacing w:val="14"/>
          <w:sz w:val="23"/>
        </w:rPr>
        <w:t>prisa </w:t>
      </w:r>
      <w:r>
        <w:rPr>
          <w:rFonts w:ascii="Comic Sans MS" w:hAnsi="Comic Sans MS"/>
          <w:i/>
          <w:sz w:val="23"/>
        </w:rPr>
        <w:t>s y </w:t>
      </w:r>
      <w:r>
        <w:rPr>
          <w:rFonts w:ascii="Comic Sans MS" w:hAnsi="Comic Sans MS"/>
          <w:i/>
          <w:spacing w:val="7"/>
          <w:sz w:val="23"/>
        </w:rPr>
        <w:t>de </w:t>
      </w:r>
      <w:r>
        <w:rPr>
          <w:rFonts w:ascii="Comic Sans MS" w:hAnsi="Comic Sans MS"/>
          <w:i/>
          <w:spacing w:val="9"/>
          <w:sz w:val="23"/>
        </w:rPr>
        <w:t>qu </w:t>
      </w:r>
      <w:r>
        <w:rPr>
          <w:rFonts w:ascii="Comic Sans MS" w:hAnsi="Comic Sans MS"/>
          <w:i/>
          <w:spacing w:val="8"/>
          <w:sz w:val="23"/>
        </w:rPr>
        <w:t>ien </w:t>
      </w:r>
      <w:r>
        <w:rPr>
          <w:rFonts w:ascii="Comic Sans MS" w:hAnsi="Comic Sans MS"/>
          <w:i/>
          <w:sz w:val="23"/>
        </w:rPr>
        <w:t>es </w:t>
      </w:r>
      <w:r>
        <w:rPr>
          <w:rFonts w:ascii="Comic Sans MS" w:hAnsi="Comic Sans MS"/>
          <w:i/>
          <w:spacing w:val="6"/>
          <w:sz w:val="23"/>
        </w:rPr>
        <w:t>siem </w:t>
      </w:r>
      <w:r>
        <w:rPr>
          <w:rFonts w:ascii="Comic Sans MS" w:hAnsi="Comic Sans MS"/>
          <w:i/>
          <w:spacing w:val="16"/>
          <w:sz w:val="23"/>
        </w:rPr>
        <w:t>pre </w:t>
      </w:r>
      <w:r>
        <w:rPr>
          <w:rFonts w:ascii="Comic Sans MS" w:hAnsi="Comic Sans MS"/>
          <w:i/>
          <w:spacing w:val="2"/>
          <w:sz w:val="23"/>
        </w:rPr>
        <w:t>tu </w:t>
      </w:r>
      <w:r>
        <w:rPr>
          <w:rFonts w:ascii="Comic Sans MS" w:hAnsi="Comic Sans MS"/>
          <w:i/>
          <w:sz w:val="23"/>
        </w:rPr>
        <w:t>v e a </w:t>
      </w:r>
      <w:r>
        <w:rPr>
          <w:rFonts w:ascii="Comic Sans MS" w:hAnsi="Comic Sans MS"/>
          <w:i/>
          <w:spacing w:val="5"/>
          <w:sz w:val="23"/>
        </w:rPr>
        <w:t>ca </w:t>
      </w:r>
      <w:r>
        <w:rPr>
          <w:rFonts w:ascii="Comic Sans MS" w:hAnsi="Comic Sans MS"/>
          <w:i/>
          <w:sz w:val="23"/>
        </w:rPr>
        <w:t>m </w:t>
      </w:r>
      <w:r>
        <w:rPr>
          <w:rFonts w:ascii="Comic Sans MS" w:hAnsi="Comic Sans MS"/>
          <w:i/>
          <w:spacing w:val="8"/>
          <w:sz w:val="23"/>
        </w:rPr>
        <w:t>bio </w:t>
      </w:r>
      <w:r>
        <w:rPr>
          <w:rFonts w:ascii="Comic Sans MS" w:hAnsi="Comic Sans MS"/>
          <w:i/>
          <w:sz w:val="23"/>
        </w:rPr>
        <w:t>p a </w:t>
      </w:r>
      <w:r>
        <w:rPr>
          <w:rFonts w:ascii="Comic Sans MS" w:hAnsi="Comic Sans MS"/>
          <w:i/>
          <w:spacing w:val="4"/>
          <w:sz w:val="23"/>
        </w:rPr>
        <w:t>la </w:t>
      </w:r>
      <w:r>
        <w:rPr>
          <w:rFonts w:ascii="Comic Sans MS" w:hAnsi="Comic Sans MS"/>
          <w:i/>
          <w:spacing w:val="15"/>
          <w:sz w:val="23"/>
        </w:rPr>
        <w:t>bras </w:t>
      </w:r>
      <w:r>
        <w:rPr>
          <w:rFonts w:ascii="Comic Sans MS" w:hAnsi="Comic Sans MS"/>
          <w:i/>
          <w:spacing w:val="7"/>
          <w:sz w:val="23"/>
        </w:rPr>
        <w:t>de  </w:t>
      </w:r>
      <w:r>
        <w:rPr>
          <w:rFonts w:ascii="Comic Sans MS" w:hAnsi="Comic Sans MS"/>
          <w:i/>
          <w:sz w:val="23"/>
        </w:rPr>
        <w:t>a </w:t>
      </w:r>
      <w:r>
        <w:rPr>
          <w:rFonts w:ascii="Comic Sans MS" w:hAnsi="Comic Sans MS"/>
          <w:i/>
          <w:spacing w:val="9"/>
          <w:sz w:val="23"/>
        </w:rPr>
        <w:t>lien </w:t>
      </w:r>
      <w:r>
        <w:rPr>
          <w:rFonts w:ascii="Comic Sans MS" w:hAnsi="Comic Sans MS"/>
          <w:i/>
          <w:sz w:val="23"/>
        </w:rPr>
        <w:t>to  y  </w:t>
      </w:r>
      <w:r>
        <w:rPr>
          <w:rFonts w:ascii="Comic Sans MS" w:hAnsi="Comic Sans MS"/>
          <w:i/>
          <w:spacing w:val="7"/>
          <w:sz w:val="23"/>
        </w:rPr>
        <w:t>con fia </w:t>
      </w:r>
      <w:r>
        <w:rPr>
          <w:rFonts w:ascii="Comic Sans MS" w:hAnsi="Comic Sans MS"/>
          <w:i/>
          <w:sz w:val="23"/>
        </w:rPr>
        <w:t>n </w:t>
      </w:r>
      <w:r>
        <w:rPr>
          <w:rFonts w:ascii="Comic Sans MS" w:hAnsi="Comic Sans MS"/>
          <w:i/>
          <w:spacing w:val="7"/>
          <w:sz w:val="23"/>
        </w:rPr>
        <w:t>za </w:t>
      </w:r>
      <w:r>
        <w:rPr>
          <w:rFonts w:ascii="Comic Sans MS" w:hAnsi="Comic Sans MS"/>
          <w:i/>
          <w:sz w:val="23"/>
        </w:rPr>
        <w:t>;  a</w:t>
      </w:r>
      <w:r>
        <w:rPr>
          <w:rFonts w:ascii="Comic Sans MS" w:hAnsi="Comic Sans MS"/>
          <w:i/>
          <w:spacing w:val="10"/>
          <w:sz w:val="23"/>
        </w:rPr>
        <w:t> </w:t>
      </w:r>
      <w:r>
        <w:rPr>
          <w:rFonts w:ascii="Comic Sans MS" w:hAnsi="Comic Sans MS"/>
          <w:i/>
          <w:sz w:val="23"/>
        </w:rPr>
        <w:t>K a </w:t>
      </w:r>
      <w:r>
        <w:rPr>
          <w:rFonts w:ascii="Comic Sans MS" w:hAnsi="Comic Sans MS"/>
          <w:i/>
          <w:spacing w:val="13"/>
          <w:sz w:val="23"/>
        </w:rPr>
        <w:t>ri, </w:t>
      </w:r>
      <w:r>
        <w:rPr>
          <w:rFonts w:ascii="Comic Sans MS" w:hAnsi="Comic Sans MS"/>
          <w:i/>
          <w:spacing w:val="11"/>
          <w:sz w:val="23"/>
        </w:rPr>
        <w:t>qu </w:t>
      </w:r>
      <w:r>
        <w:rPr>
          <w:rFonts w:ascii="Comic Sans MS" w:hAnsi="Comic Sans MS"/>
          <w:i/>
          <w:spacing w:val="7"/>
          <w:sz w:val="23"/>
        </w:rPr>
        <w:t>ien </w:t>
      </w:r>
      <w:r>
        <w:rPr>
          <w:rFonts w:ascii="Comic Sans MS" w:hAnsi="Comic Sans MS"/>
          <w:i/>
          <w:sz w:val="23"/>
        </w:rPr>
        <w:t>tu v o </w:t>
      </w:r>
      <w:r>
        <w:rPr>
          <w:rFonts w:ascii="Comic Sans MS" w:hAnsi="Comic Sans MS"/>
          <w:i/>
          <w:spacing w:val="4"/>
          <w:sz w:val="23"/>
        </w:rPr>
        <w:t>el </w:t>
      </w:r>
      <w:r>
        <w:rPr>
          <w:rFonts w:ascii="Comic Sans MS" w:hAnsi="Comic Sans MS"/>
          <w:i/>
          <w:spacing w:val="12"/>
          <w:sz w:val="23"/>
        </w:rPr>
        <w:t>buen  </w:t>
      </w:r>
      <w:r>
        <w:rPr>
          <w:rFonts w:ascii="Comic Sans MS" w:hAnsi="Comic Sans MS"/>
          <w:i/>
          <w:sz w:val="23"/>
        </w:rPr>
        <w:t>á n </w:t>
      </w:r>
      <w:r>
        <w:rPr>
          <w:rFonts w:ascii="Comic Sans MS" w:hAnsi="Comic Sans MS"/>
          <w:i/>
          <w:spacing w:val="7"/>
          <w:sz w:val="23"/>
        </w:rPr>
        <w:t>im </w:t>
      </w:r>
      <w:r>
        <w:rPr>
          <w:rFonts w:ascii="Comic Sans MS" w:hAnsi="Comic Sans MS"/>
          <w:i/>
          <w:sz w:val="23"/>
        </w:rPr>
        <w:t>o  </w:t>
      </w:r>
      <w:r>
        <w:rPr>
          <w:rFonts w:ascii="Comic Sans MS" w:hAnsi="Comic Sans MS"/>
          <w:i/>
          <w:spacing w:val="7"/>
          <w:sz w:val="23"/>
        </w:rPr>
        <w:t>de  </w:t>
      </w:r>
      <w:r>
        <w:rPr>
          <w:rFonts w:ascii="Comic Sans MS" w:hAnsi="Comic Sans MS"/>
          <w:i/>
          <w:sz w:val="23"/>
        </w:rPr>
        <w:t>a </w:t>
      </w:r>
      <w:r>
        <w:rPr>
          <w:rFonts w:ascii="Comic Sans MS" w:hAnsi="Comic Sans MS"/>
          <w:i/>
          <w:spacing w:val="17"/>
          <w:sz w:val="23"/>
        </w:rPr>
        <w:t>poya </w:t>
      </w:r>
      <w:r>
        <w:rPr>
          <w:rFonts w:ascii="Comic Sans MS" w:hAnsi="Comic Sans MS"/>
          <w:i/>
          <w:sz w:val="23"/>
        </w:rPr>
        <w:t>r  </w:t>
      </w:r>
      <w:r>
        <w:rPr>
          <w:rFonts w:ascii="Comic Sans MS" w:hAnsi="Comic Sans MS"/>
          <w:i/>
          <w:spacing w:val="9"/>
          <w:sz w:val="23"/>
        </w:rPr>
        <w:t>con  </w:t>
      </w:r>
      <w:r>
        <w:rPr>
          <w:rFonts w:ascii="Comic Sans MS" w:hAnsi="Comic Sans MS"/>
          <w:i/>
          <w:spacing w:val="4"/>
          <w:sz w:val="23"/>
        </w:rPr>
        <w:t>la  </w:t>
      </w:r>
      <w:r>
        <w:rPr>
          <w:rFonts w:ascii="Comic Sans MS" w:hAnsi="Comic Sans MS"/>
          <w:i/>
          <w:spacing w:val="11"/>
          <w:sz w:val="23"/>
        </w:rPr>
        <w:t>in </w:t>
      </w:r>
      <w:r>
        <w:rPr>
          <w:rFonts w:ascii="Comic Sans MS" w:hAnsi="Comic Sans MS"/>
          <w:i/>
          <w:sz w:val="23"/>
        </w:rPr>
        <w:t>v </w:t>
      </w:r>
      <w:r>
        <w:rPr>
          <w:rFonts w:ascii="Comic Sans MS" w:hAnsi="Comic Sans MS"/>
          <w:i/>
          <w:spacing w:val="7"/>
          <w:sz w:val="23"/>
        </w:rPr>
        <w:t>estiga </w:t>
      </w:r>
      <w:r>
        <w:rPr>
          <w:rFonts w:ascii="Comic Sans MS" w:hAnsi="Comic Sans MS"/>
          <w:i/>
          <w:spacing w:val="9"/>
          <w:sz w:val="23"/>
        </w:rPr>
        <w:t>ción  </w:t>
      </w:r>
      <w:r>
        <w:rPr>
          <w:rFonts w:ascii="Comic Sans MS" w:hAnsi="Comic Sans MS"/>
          <w:i/>
          <w:spacing w:val="6"/>
          <w:sz w:val="23"/>
        </w:rPr>
        <w:t>del </w:t>
      </w:r>
      <w:r>
        <w:rPr>
          <w:rFonts w:ascii="Comic Sans MS" w:hAnsi="Comic Sans MS"/>
          <w:i/>
          <w:spacing w:val="8"/>
          <w:sz w:val="23"/>
        </w:rPr>
        <w:t>presen </w:t>
      </w:r>
      <w:r>
        <w:rPr>
          <w:rFonts w:ascii="Comic Sans MS" w:hAnsi="Comic Sans MS"/>
          <w:i/>
          <w:sz w:val="23"/>
        </w:rPr>
        <w:t>te; A M </w:t>
      </w:r>
      <w:r>
        <w:rPr>
          <w:rFonts w:ascii="Comic Sans MS" w:hAnsi="Comic Sans MS"/>
          <w:i/>
          <w:spacing w:val="12"/>
          <w:sz w:val="23"/>
        </w:rPr>
        <w:t>ilo, </w:t>
      </w:r>
      <w:r>
        <w:rPr>
          <w:rFonts w:ascii="Comic Sans MS" w:hAnsi="Comic Sans MS"/>
          <w:i/>
          <w:spacing w:val="14"/>
          <w:sz w:val="23"/>
        </w:rPr>
        <w:t>por </w:t>
      </w:r>
      <w:r>
        <w:rPr>
          <w:rFonts w:ascii="Comic Sans MS" w:hAnsi="Comic Sans MS"/>
          <w:i/>
          <w:sz w:val="23"/>
        </w:rPr>
        <w:t>su </w:t>
      </w:r>
      <w:r>
        <w:rPr>
          <w:rFonts w:ascii="Comic Sans MS" w:hAnsi="Comic Sans MS"/>
          <w:i/>
          <w:spacing w:val="12"/>
          <w:sz w:val="23"/>
        </w:rPr>
        <w:t>gra </w:t>
      </w:r>
      <w:r>
        <w:rPr>
          <w:rFonts w:ascii="Comic Sans MS" w:hAnsi="Comic Sans MS"/>
          <w:i/>
          <w:sz w:val="23"/>
        </w:rPr>
        <w:t>n  </w:t>
      </w:r>
      <w:r>
        <w:rPr>
          <w:rFonts w:ascii="Comic Sans MS" w:hAnsi="Comic Sans MS"/>
          <w:i/>
          <w:spacing w:val="6"/>
          <w:sz w:val="23"/>
        </w:rPr>
        <w:t>tra </w:t>
      </w:r>
      <w:r>
        <w:rPr>
          <w:rFonts w:ascii="Comic Sans MS" w:hAnsi="Comic Sans MS"/>
          <w:i/>
          <w:sz w:val="23"/>
        </w:rPr>
        <w:t>ba </w:t>
      </w:r>
      <w:r>
        <w:rPr>
          <w:rFonts w:ascii="Comic Sans MS" w:hAnsi="Comic Sans MS"/>
          <w:i/>
          <w:spacing w:val="-3"/>
          <w:sz w:val="23"/>
        </w:rPr>
        <w:t>jo  </w:t>
      </w:r>
      <w:r>
        <w:rPr>
          <w:rFonts w:ascii="Comic Sans MS" w:hAnsi="Comic Sans MS"/>
          <w:i/>
          <w:sz w:val="23"/>
        </w:rPr>
        <w:t>y  m </w:t>
      </w:r>
      <w:r>
        <w:rPr>
          <w:rFonts w:ascii="Comic Sans MS" w:hAnsi="Comic Sans MS"/>
          <w:i/>
          <w:spacing w:val="4"/>
          <w:sz w:val="23"/>
        </w:rPr>
        <w:t>ejor  </w:t>
      </w:r>
      <w:r>
        <w:rPr>
          <w:rFonts w:ascii="Comic Sans MS" w:hAnsi="Comic Sans MS"/>
          <w:i/>
          <w:spacing w:val="10"/>
          <w:sz w:val="23"/>
        </w:rPr>
        <w:t>person </w:t>
      </w:r>
      <w:r>
        <w:rPr>
          <w:rFonts w:ascii="Comic Sans MS" w:hAnsi="Comic Sans MS"/>
          <w:i/>
          <w:sz w:val="23"/>
        </w:rPr>
        <w:t>a ;  a  R </w:t>
      </w:r>
      <w:r>
        <w:rPr>
          <w:rFonts w:ascii="Comic Sans MS" w:hAnsi="Comic Sans MS"/>
          <w:i/>
          <w:spacing w:val="11"/>
          <w:sz w:val="23"/>
        </w:rPr>
        <w:t>ogelio </w:t>
      </w:r>
      <w:r>
        <w:rPr>
          <w:rFonts w:ascii="Comic Sans MS" w:hAnsi="Comic Sans MS"/>
          <w:i/>
          <w:spacing w:val="8"/>
          <w:sz w:val="23"/>
        </w:rPr>
        <w:t>Tin </w:t>
      </w:r>
      <w:r>
        <w:rPr>
          <w:rFonts w:ascii="Comic Sans MS" w:hAnsi="Comic Sans MS"/>
          <w:i/>
          <w:spacing w:val="10"/>
          <w:sz w:val="23"/>
        </w:rPr>
        <w:t>oco; </w:t>
      </w:r>
      <w:r>
        <w:rPr>
          <w:rFonts w:ascii="Comic Sans MS" w:hAnsi="Comic Sans MS"/>
          <w:i/>
          <w:sz w:val="23"/>
        </w:rPr>
        <w:t>a </w:t>
      </w:r>
      <w:r>
        <w:rPr>
          <w:rFonts w:ascii="Comic Sans MS" w:hAnsi="Comic Sans MS"/>
          <w:i/>
          <w:spacing w:val="9"/>
          <w:sz w:val="23"/>
        </w:rPr>
        <w:t>Gilberto; </w:t>
      </w:r>
      <w:r>
        <w:rPr>
          <w:rFonts w:ascii="Comic Sans MS" w:hAnsi="Comic Sans MS"/>
          <w:i/>
          <w:sz w:val="23"/>
        </w:rPr>
        <w:t>a  m </w:t>
      </w:r>
      <w:r>
        <w:rPr>
          <w:rFonts w:ascii="Comic Sans MS" w:hAnsi="Comic Sans MS"/>
          <w:i/>
          <w:spacing w:val="9"/>
          <w:sz w:val="23"/>
        </w:rPr>
        <w:t>is </w:t>
      </w:r>
      <w:r>
        <w:rPr>
          <w:rFonts w:ascii="Comic Sans MS" w:hAnsi="Comic Sans MS"/>
          <w:i/>
          <w:sz w:val="23"/>
        </w:rPr>
        <w:t>m en </w:t>
      </w:r>
      <w:r>
        <w:rPr>
          <w:rFonts w:ascii="Comic Sans MS" w:hAnsi="Comic Sans MS"/>
          <w:i/>
          <w:spacing w:val="5"/>
          <w:sz w:val="23"/>
        </w:rPr>
        <w:t>tores </w:t>
      </w:r>
      <w:r>
        <w:rPr>
          <w:rFonts w:ascii="Comic Sans MS" w:hAnsi="Comic Sans MS"/>
          <w:i/>
          <w:spacing w:val="7"/>
          <w:sz w:val="23"/>
        </w:rPr>
        <w:t>de </w:t>
      </w:r>
      <w:r>
        <w:rPr>
          <w:rFonts w:ascii="Comic Sans MS" w:hAnsi="Comic Sans MS"/>
          <w:i/>
          <w:spacing w:val="6"/>
          <w:sz w:val="23"/>
        </w:rPr>
        <w:t>la </w:t>
      </w:r>
      <w:r>
        <w:rPr>
          <w:rFonts w:ascii="Comic Sans MS" w:hAnsi="Comic Sans MS"/>
          <w:i/>
          <w:spacing w:val="11"/>
          <w:sz w:val="23"/>
        </w:rPr>
        <w:t>facu </w:t>
      </w:r>
      <w:r>
        <w:rPr>
          <w:rFonts w:ascii="Comic Sans MS" w:hAnsi="Comic Sans MS"/>
          <w:i/>
          <w:spacing w:val="4"/>
          <w:sz w:val="23"/>
        </w:rPr>
        <w:t>lta </w:t>
      </w:r>
      <w:r>
        <w:rPr>
          <w:rFonts w:ascii="Comic Sans MS" w:hAnsi="Comic Sans MS"/>
          <w:i/>
          <w:spacing w:val="10"/>
          <w:sz w:val="23"/>
        </w:rPr>
        <w:t>d, </w:t>
      </w:r>
      <w:r>
        <w:rPr>
          <w:rFonts w:ascii="Comic Sans MS" w:hAnsi="Comic Sans MS"/>
          <w:i/>
          <w:spacing w:val="13"/>
          <w:sz w:val="23"/>
        </w:rPr>
        <w:t>por </w:t>
      </w:r>
      <w:r>
        <w:rPr>
          <w:rFonts w:ascii="Comic Sans MS" w:hAnsi="Comic Sans MS"/>
          <w:i/>
          <w:sz w:val="23"/>
        </w:rPr>
        <w:t>su  </w:t>
      </w:r>
      <w:r>
        <w:rPr>
          <w:rFonts w:ascii="Comic Sans MS" w:hAnsi="Comic Sans MS"/>
          <w:i/>
          <w:spacing w:val="7"/>
          <w:sz w:val="23"/>
        </w:rPr>
        <w:t>com </w:t>
      </w:r>
      <w:r>
        <w:rPr>
          <w:rFonts w:ascii="Comic Sans MS" w:hAnsi="Comic Sans MS"/>
          <w:i/>
          <w:spacing w:val="17"/>
          <w:sz w:val="23"/>
        </w:rPr>
        <w:t>prom </w:t>
      </w:r>
      <w:r>
        <w:rPr>
          <w:rFonts w:ascii="Comic Sans MS" w:hAnsi="Comic Sans MS"/>
          <w:i/>
          <w:spacing w:val="7"/>
          <w:sz w:val="23"/>
        </w:rPr>
        <w:t>iso </w:t>
      </w:r>
      <w:r>
        <w:rPr>
          <w:rFonts w:ascii="Comic Sans MS" w:hAnsi="Comic Sans MS"/>
          <w:i/>
          <w:sz w:val="23"/>
        </w:rPr>
        <w:t>y a </w:t>
      </w:r>
      <w:r>
        <w:rPr>
          <w:rFonts w:ascii="Comic Sans MS" w:hAnsi="Comic Sans MS"/>
          <w:i/>
          <w:spacing w:val="-3"/>
          <w:sz w:val="23"/>
        </w:rPr>
        <w:t>fá </w:t>
      </w:r>
      <w:r>
        <w:rPr>
          <w:rFonts w:ascii="Comic Sans MS" w:hAnsi="Comic Sans MS"/>
          <w:i/>
          <w:sz w:val="23"/>
        </w:rPr>
        <w:t>n </w:t>
      </w:r>
      <w:r>
        <w:rPr>
          <w:rFonts w:ascii="Comic Sans MS" w:hAnsi="Comic Sans MS"/>
          <w:i/>
          <w:spacing w:val="7"/>
          <w:sz w:val="23"/>
        </w:rPr>
        <w:t>de com </w:t>
      </w:r>
      <w:r>
        <w:rPr>
          <w:rFonts w:ascii="Comic Sans MS" w:hAnsi="Comic Sans MS"/>
          <w:i/>
          <w:spacing w:val="16"/>
          <w:sz w:val="23"/>
        </w:rPr>
        <w:t>partir </w:t>
      </w:r>
      <w:r>
        <w:rPr>
          <w:rFonts w:ascii="Comic Sans MS" w:hAnsi="Comic Sans MS"/>
          <w:i/>
          <w:spacing w:val="12"/>
          <w:sz w:val="23"/>
        </w:rPr>
        <w:t>experien </w:t>
      </w:r>
      <w:r>
        <w:rPr>
          <w:rFonts w:ascii="Comic Sans MS" w:hAnsi="Comic Sans MS"/>
          <w:i/>
          <w:spacing w:val="10"/>
          <w:sz w:val="23"/>
        </w:rPr>
        <w:t>cia </w:t>
      </w:r>
      <w:r>
        <w:rPr>
          <w:rFonts w:ascii="Comic Sans MS" w:hAnsi="Comic Sans MS"/>
          <w:i/>
          <w:sz w:val="23"/>
        </w:rPr>
        <w:t>s y </w:t>
      </w:r>
      <w:r>
        <w:rPr>
          <w:rFonts w:ascii="Comic Sans MS" w:hAnsi="Comic Sans MS"/>
          <w:i/>
          <w:spacing w:val="9"/>
          <w:sz w:val="23"/>
        </w:rPr>
        <w:t>con </w:t>
      </w:r>
      <w:r>
        <w:rPr>
          <w:rFonts w:ascii="Comic Sans MS" w:hAnsi="Comic Sans MS"/>
          <w:i/>
          <w:spacing w:val="10"/>
          <w:sz w:val="23"/>
        </w:rPr>
        <w:t>ocim </w:t>
      </w:r>
      <w:r>
        <w:rPr>
          <w:rFonts w:ascii="Comic Sans MS" w:hAnsi="Comic Sans MS"/>
          <w:i/>
          <w:spacing w:val="7"/>
          <w:sz w:val="23"/>
        </w:rPr>
        <w:t>ien </w:t>
      </w:r>
      <w:r>
        <w:rPr>
          <w:rFonts w:ascii="Comic Sans MS" w:hAnsi="Comic Sans MS"/>
          <w:i/>
          <w:spacing w:val="4"/>
          <w:sz w:val="23"/>
        </w:rPr>
        <w:t>tos </w:t>
      </w:r>
      <w:r>
        <w:rPr>
          <w:rFonts w:ascii="Comic Sans MS" w:hAnsi="Comic Sans MS"/>
          <w:i/>
          <w:spacing w:val="6"/>
          <w:sz w:val="23"/>
        </w:rPr>
        <w:t>con </w:t>
      </w:r>
      <w:r>
        <w:rPr>
          <w:rFonts w:ascii="Comic Sans MS" w:hAnsi="Comic Sans MS"/>
          <w:i/>
          <w:spacing w:val="11"/>
          <w:sz w:val="23"/>
        </w:rPr>
        <w:t>qu </w:t>
      </w:r>
      <w:r>
        <w:rPr>
          <w:rFonts w:ascii="Comic Sans MS" w:hAnsi="Comic Sans MS"/>
          <w:i/>
          <w:spacing w:val="7"/>
          <w:sz w:val="23"/>
        </w:rPr>
        <w:t>ien </w:t>
      </w:r>
      <w:r>
        <w:rPr>
          <w:rFonts w:ascii="Comic Sans MS" w:hAnsi="Comic Sans MS"/>
          <w:i/>
          <w:sz w:val="23"/>
        </w:rPr>
        <w:t>es </w:t>
      </w:r>
      <w:r>
        <w:rPr>
          <w:rFonts w:ascii="Comic Sans MS" w:hAnsi="Comic Sans MS"/>
          <w:i/>
          <w:spacing w:val="4"/>
          <w:sz w:val="23"/>
        </w:rPr>
        <w:t>les </w:t>
      </w:r>
      <w:r>
        <w:rPr>
          <w:rFonts w:ascii="Comic Sans MS" w:hAnsi="Comic Sans MS"/>
          <w:i/>
          <w:spacing w:val="5"/>
          <w:sz w:val="23"/>
        </w:rPr>
        <w:t>segu </w:t>
      </w:r>
      <w:r>
        <w:rPr>
          <w:rFonts w:ascii="Comic Sans MS" w:hAnsi="Comic Sans MS"/>
          <w:i/>
          <w:spacing w:val="8"/>
          <w:sz w:val="23"/>
        </w:rPr>
        <w:t>im </w:t>
      </w:r>
      <w:r>
        <w:rPr>
          <w:rFonts w:ascii="Comic Sans MS" w:hAnsi="Comic Sans MS"/>
          <w:i/>
          <w:spacing w:val="4"/>
          <w:sz w:val="23"/>
        </w:rPr>
        <w:t>os; </w:t>
      </w:r>
      <w:r>
        <w:rPr>
          <w:rFonts w:ascii="Comic Sans MS" w:hAnsi="Comic Sans MS"/>
          <w:i/>
          <w:sz w:val="23"/>
        </w:rPr>
        <w:t>m i </w:t>
      </w:r>
      <w:r>
        <w:rPr>
          <w:rFonts w:ascii="Comic Sans MS" w:hAnsi="Comic Sans MS"/>
          <w:i/>
          <w:spacing w:val="9"/>
          <w:sz w:val="23"/>
        </w:rPr>
        <w:t>recon </w:t>
      </w:r>
      <w:r>
        <w:rPr>
          <w:rFonts w:ascii="Comic Sans MS" w:hAnsi="Comic Sans MS"/>
          <w:i/>
          <w:spacing w:val="10"/>
          <w:sz w:val="23"/>
        </w:rPr>
        <w:t>ocim </w:t>
      </w:r>
      <w:r>
        <w:rPr>
          <w:rFonts w:ascii="Comic Sans MS" w:hAnsi="Comic Sans MS"/>
          <w:i/>
          <w:spacing w:val="5"/>
          <w:sz w:val="23"/>
        </w:rPr>
        <w:t>ien </w:t>
      </w:r>
      <w:r>
        <w:rPr>
          <w:rFonts w:ascii="Comic Sans MS" w:hAnsi="Comic Sans MS"/>
          <w:i/>
          <w:sz w:val="23"/>
        </w:rPr>
        <w:t>to y a </w:t>
      </w:r>
      <w:r>
        <w:rPr>
          <w:rFonts w:ascii="Comic Sans MS" w:hAnsi="Comic Sans MS"/>
          <w:i/>
          <w:spacing w:val="12"/>
          <w:sz w:val="23"/>
        </w:rPr>
        <w:t>precio </w:t>
      </w:r>
      <w:r>
        <w:rPr>
          <w:rFonts w:ascii="Comic Sans MS" w:hAnsi="Comic Sans MS"/>
          <w:i/>
          <w:sz w:val="23"/>
        </w:rPr>
        <w:t>a </w:t>
      </w:r>
      <w:r>
        <w:rPr>
          <w:rFonts w:ascii="Comic Sans MS" w:hAnsi="Comic Sans MS"/>
          <w:i/>
          <w:spacing w:val="6"/>
          <w:sz w:val="23"/>
        </w:rPr>
        <w:t>los </w:t>
      </w:r>
      <w:r>
        <w:rPr>
          <w:rFonts w:ascii="Comic Sans MS" w:hAnsi="Comic Sans MS"/>
          <w:i/>
          <w:sz w:val="23"/>
        </w:rPr>
        <w:t>D </w:t>
      </w:r>
      <w:r>
        <w:rPr>
          <w:rFonts w:ascii="Comic Sans MS" w:hAnsi="Comic Sans MS"/>
          <w:i/>
          <w:spacing w:val="7"/>
          <w:sz w:val="23"/>
        </w:rPr>
        <w:t>octores </w:t>
      </w:r>
      <w:r>
        <w:rPr>
          <w:rFonts w:ascii="Comic Sans MS" w:hAnsi="Comic Sans MS"/>
          <w:i/>
          <w:spacing w:val="9"/>
          <w:sz w:val="23"/>
        </w:rPr>
        <w:t>Jorge </w:t>
      </w:r>
      <w:r>
        <w:rPr>
          <w:rFonts w:ascii="Comic Sans MS" w:hAnsi="Comic Sans MS"/>
          <w:i/>
          <w:sz w:val="23"/>
        </w:rPr>
        <w:t>A </w:t>
      </w:r>
      <w:r>
        <w:rPr>
          <w:rFonts w:ascii="Comic Sans MS" w:hAnsi="Comic Sans MS"/>
          <w:i/>
          <w:spacing w:val="11"/>
          <w:sz w:val="23"/>
        </w:rPr>
        <w:t>rzate, </w:t>
      </w:r>
      <w:r>
        <w:rPr>
          <w:rFonts w:ascii="Comic Sans MS" w:hAnsi="Comic Sans MS"/>
          <w:i/>
          <w:spacing w:val="7"/>
          <w:sz w:val="23"/>
        </w:rPr>
        <w:t>Igor </w:t>
      </w:r>
      <w:r>
        <w:rPr>
          <w:rFonts w:ascii="Comic Sans MS" w:hAnsi="Comic Sans MS"/>
          <w:i/>
          <w:sz w:val="23"/>
        </w:rPr>
        <w:t>V </w:t>
      </w:r>
      <w:r>
        <w:rPr>
          <w:rFonts w:ascii="Comic Sans MS" w:hAnsi="Comic Sans MS"/>
          <w:i/>
          <w:spacing w:val="9"/>
          <w:sz w:val="23"/>
        </w:rPr>
        <w:t>iv ero, </w:t>
      </w:r>
      <w:r>
        <w:rPr>
          <w:rFonts w:ascii="Comic Sans MS" w:hAnsi="Comic Sans MS"/>
          <w:i/>
          <w:sz w:val="23"/>
        </w:rPr>
        <w:t>Ju a n M </w:t>
      </w:r>
      <w:r>
        <w:rPr>
          <w:rFonts w:ascii="Comic Sans MS" w:hAnsi="Comic Sans MS"/>
          <w:i/>
          <w:spacing w:val="13"/>
          <w:sz w:val="23"/>
        </w:rPr>
        <w:t>igu </w:t>
      </w:r>
      <w:r>
        <w:rPr>
          <w:rFonts w:ascii="Comic Sans MS" w:hAnsi="Comic Sans MS"/>
          <w:i/>
          <w:spacing w:val="4"/>
          <w:sz w:val="23"/>
        </w:rPr>
        <w:t>el </w:t>
      </w:r>
      <w:r>
        <w:rPr>
          <w:rFonts w:ascii="Comic Sans MS" w:hAnsi="Comic Sans MS"/>
          <w:i/>
          <w:sz w:val="23"/>
        </w:rPr>
        <w:t>M </w:t>
      </w:r>
      <w:r>
        <w:rPr>
          <w:rFonts w:ascii="Comic Sans MS" w:hAnsi="Comic Sans MS"/>
          <w:i/>
          <w:spacing w:val="9"/>
          <w:sz w:val="23"/>
        </w:rPr>
        <w:t>ora </w:t>
      </w:r>
      <w:r>
        <w:rPr>
          <w:rFonts w:ascii="Comic Sans MS" w:hAnsi="Comic Sans MS"/>
          <w:i/>
          <w:spacing w:val="2"/>
          <w:sz w:val="23"/>
        </w:rPr>
        <w:t>les, </w:t>
      </w:r>
      <w:r>
        <w:rPr>
          <w:rFonts w:ascii="Comic Sans MS" w:hAnsi="Comic Sans MS"/>
          <w:i/>
          <w:sz w:val="23"/>
        </w:rPr>
        <w:t>Ju </w:t>
      </w:r>
      <w:r>
        <w:rPr>
          <w:rFonts w:ascii="Comic Sans MS" w:hAnsi="Comic Sans MS"/>
          <w:i/>
          <w:spacing w:val="10"/>
          <w:sz w:val="23"/>
        </w:rPr>
        <w:t>lio </w:t>
      </w:r>
      <w:r>
        <w:rPr>
          <w:rFonts w:ascii="Comic Sans MS" w:hAnsi="Comic Sans MS"/>
          <w:i/>
          <w:spacing w:val="4"/>
          <w:sz w:val="23"/>
        </w:rPr>
        <w:t>Olv </w:t>
      </w:r>
      <w:r>
        <w:rPr>
          <w:rFonts w:ascii="Comic Sans MS" w:hAnsi="Comic Sans MS"/>
          <w:i/>
          <w:spacing w:val="8"/>
          <w:sz w:val="23"/>
        </w:rPr>
        <w:t>era </w:t>
      </w:r>
      <w:r>
        <w:rPr>
          <w:rFonts w:ascii="Comic Sans MS" w:hAnsi="Comic Sans MS"/>
          <w:i/>
          <w:sz w:val="23"/>
        </w:rPr>
        <w:t>, </w:t>
      </w:r>
      <w:r>
        <w:rPr>
          <w:rFonts w:ascii="Comic Sans MS" w:hAnsi="Comic Sans MS"/>
          <w:i/>
          <w:spacing w:val="6"/>
          <w:sz w:val="23"/>
        </w:rPr>
        <w:t>Lety </w:t>
      </w:r>
      <w:r>
        <w:rPr>
          <w:rFonts w:ascii="Comic Sans MS" w:hAnsi="Comic Sans MS"/>
          <w:i/>
          <w:sz w:val="23"/>
        </w:rPr>
        <w:t>H </w:t>
      </w:r>
      <w:r>
        <w:rPr>
          <w:rFonts w:ascii="Comic Sans MS" w:hAnsi="Comic Sans MS"/>
          <w:i/>
          <w:spacing w:val="4"/>
          <w:sz w:val="23"/>
        </w:rPr>
        <w:t>era </w:t>
      </w:r>
      <w:r>
        <w:rPr>
          <w:rFonts w:ascii="Comic Sans MS" w:hAnsi="Comic Sans MS"/>
          <w:i/>
          <w:sz w:val="23"/>
        </w:rPr>
        <w:t>s y m </w:t>
      </w:r>
      <w:r>
        <w:rPr>
          <w:rFonts w:ascii="Comic Sans MS" w:hAnsi="Comic Sans MS"/>
          <w:i/>
          <w:spacing w:val="11"/>
          <w:sz w:val="23"/>
        </w:rPr>
        <w:t>uy </w:t>
      </w:r>
      <w:r>
        <w:rPr>
          <w:rFonts w:ascii="Comic Sans MS" w:hAnsi="Comic Sans MS"/>
          <w:i/>
          <w:spacing w:val="7"/>
          <w:sz w:val="23"/>
        </w:rPr>
        <w:t>especia lm </w:t>
      </w:r>
      <w:r>
        <w:rPr>
          <w:rFonts w:ascii="Comic Sans MS" w:hAnsi="Comic Sans MS"/>
          <w:i/>
          <w:sz w:val="23"/>
        </w:rPr>
        <w:t>en te, a l D </w:t>
      </w:r>
      <w:r>
        <w:rPr>
          <w:rFonts w:ascii="Comic Sans MS" w:hAnsi="Comic Sans MS"/>
          <w:i/>
          <w:spacing w:val="10"/>
          <w:sz w:val="23"/>
        </w:rPr>
        <w:t>r. </w:t>
      </w:r>
      <w:r>
        <w:rPr>
          <w:rFonts w:ascii="Comic Sans MS" w:hAnsi="Comic Sans MS"/>
          <w:i/>
          <w:sz w:val="23"/>
        </w:rPr>
        <w:t>A </w:t>
      </w:r>
      <w:r>
        <w:rPr>
          <w:rFonts w:ascii="Comic Sans MS" w:hAnsi="Comic Sans MS"/>
          <w:i/>
          <w:spacing w:val="7"/>
          <w:sz w:val="23"/>
        </w:rPr>
        <w:t>ldo </w:t>
      </w:r>
      <w:r>
        <w:rPr>
          <w:rFonts w:ascii="Comic Sans MS" w:hAnsi="Comic Sans MS"/>
          <w:i/>
          <w:sz w:val="23"/>
        </w:rPr>
        <w:t>M u ñ </w:t>
      </w:r>
      <w:r>
        <w:rPr>
          <w:rFonts w:ascii="Comic Sans MS" w:hAnsi="Comic Sans MS"/>
          <w:i/>
          <w:spacing w:val="11"/>
          <w:sz w:val="23"/>
        </w:rPr>
        <w:t>oz, </w:t>
      </w:r>
      <w:r>
        <w:rPr>
          <w:rFonts w:ascii="Comic Sans MS" w:hAnsi="Comic Sans MS"/>
          <w:i/>
          <w:spacing w:val="13"/>
          <w:sz w:val="23"/>
        </w:rPr>
        <w:t>por </w:t>
      </w:r>
      <w:r>
        <w:rPr>
          <w:rFonts w:ascii="Comic Sans MS" w:hAnsi="Comic Sans MS"/>
          <w:i/>
          <w:sz w:val="23"/>
        </w:rPr>
        <w:t>su </w:t>
      </w:r>
      <w:r>
        <w:rPr>
          <w:rFonts w:ascii="Comic Sans MS" w:hAnsi="Comic Sans MS"/>
          <w:i/>
          <w:spacing w:val="8"/>
          <w:sz w:val="23"/>
        </w:rPr>
        <w:t>in </w:t>
      </w:r>
      <w:r>
        <w:rPr>
          <w:rFonts w:ascii="Comic Sans MS" w:hAnsi="Comic Sans MS"/>
          <w:i/>
          <w:spacing w:val="7"/>
          <w:sz w:val="23"/>
        </w:rPr>
        <w:t>fin </w:t>
      </w:r>
      <w:r>
        <w:rPr>
          <w:rFonts w:ascii="Comic Sans MS" w:hAnsi="Comic Sans MS"/>
          <w:i/>
          <w:spacing w:val="6"/>
          <w:sz w:val="23"/>
        </w:rPr>
        <w:t>ita  </w:t>
      </w:r>
      <w:r>
        <w:rPr>
          <w:rFonts w:ascii="Comic Sans MS" w:hAnsi="Comic Sans MS"/>
          <w:i/>
          <w:sz w:val="23"/>
        </w:rPr>
        <w:t>p </w:t>
      </w:r>
      <w:r>
        <w:rPr>
          <w:rFonts w:ascii="Comic Sans MS" w:hAnsi="Comic Sans MS"/>
          <w:i/>
          <w:spacing w:val="12"/>
          <w:sz w:val="23"/>
        </w:rPr>
        <w:t>acien </w:t>
      </w:r>
      <w:r>
        <w:rPr>
          <w:rFonts w:ascii="Comic Sans MS" w:hAnsi="Comic Sans MS"/>
          <w:i/>
          <w:spacing w:val="10"/>
          <w:sz w:val="23"/>
        </w:rPr>
        <w:t>cia </w:t>
      </w:r>
      <w:r>
        <w:rPr>
          <w:rFonts w:ascii="Comic Sans MS" w:hAnsi="Comic Sans MS"/>
          <w:i/>
          <w:sz w:val="23"/>
        </w:rPr>
        <w:t>y  </w:t>
      </w:r>
      <w:r>
        <w:rPr>
          <w:rFonts w:ascii="Comic Sans MS" w:hAnsi="Comic Sans MS"/>
          <w:i/>
          <w:spacing w:val="-4"/>
          <w:sz w:val="23"/>
        </w:rPr>
        <w:t>fé </w:t>
      </w:r>
      <w:r>
        <w:rPr>
          <w:rFonts w:ascii="Comic Sans MS" w:hAnsi="Comic Sans MS"/>
          <w:i/>
          <w:sz w:val="23"/>
        </w:rPr>
        <w:t>en m</w:t>
      </w:r>
      <w:r>
        <w:rPr>
          <w:rFonts w:ascii="Comic Sans MS" w:hAnsi="Comic Sans MS"/>
          <w:i/>
          <w:spacing w:val="-14"/>
          <w:sz w:val="23"/>
        </w:rPr>
        <w:t> </w:t>
      </w:r>
      <w:r>
        <w:rPr>
          <w:rFonts w:ascii="Comic Sans MS" w:hAnsi="Comic Sans MS"/>
          <w:i/>
          <w:sz w:val="23"/>
        </w:rPr>
        <w:t>i</w:t>
      </w:r>
      <w:r>
        <w:rPr>
          <w:rFonts w:ascii="Comic Sans MS" w:hAnsi="Comic Sans MS"/>
          <w:i/>
          <w:spacing w:val="35"/>
          <w:sz w:val="23"/>
        </w:rPr>
        <w:t> </w:t>
      </w:r>
      <w:r>
        <w:rPr>
          <w:rFonts w:ascii="Comic Sans MS" w:hAnsi="Comic Sans MS"/>
          <w:i/>
          <w:spacing w:val="11"/>
          <w:sz w:val="23"/>
        </w:rPr>
        <w:t>person</w:t>
      </w:r>
      <w:r>
        <w:rPr>
          <w:rFonts w:ascii="Comic Sans MS" w:hAnsi="Comic Sans MS"/>
          <w:i/>
          <w:spacing w:val="-21"/>
          <w:sz w:val="23"/>
        </w:rPr>
        <w:t> </w:t>
      </w:r>
      <w:r>
        <w:rPr>
          <w:rFonts w:ascii="Comic Sans MS" w:hAnsi="Comic Sans MS"/>
          <w:i/>
          <w:sz w:val="23"/>
        </w:rPr>
        <w:t>a</w:t>
      </w:r>
      <w:r>
        <w:rPr>
          <w:rFonts w:ascii="Comic Sans MS" w:hAnsi="Comic Sans MS"/>
          <w:i/>
          <w:spacing w:val="-30"/>
          <w:sz w:val="23"/>
        </w:rPr>
        <w:t> </w:t>
      </w:r>
      <w:r>
        <w:rPr>
          <w:rFonts w:ascii="Comic Sans MS" w:hAnsi="Comic Sans MS"/>
          <w:i/>
          <w:sz w:val="23"/>
        </w:rPr>
        <w:t>..</w:t>
      </w:r>
      <w:r>
        <w:rPr>
          <w:rFonts w:ascii="Comic Sans MS" w:hAnsi="Comic Sans MS"/>
          <w:i/>
          <w:spacing w:val="23"/>
          <w:sz w:val="23"/>
        </w:rPr>
        <w:t> </w:t>
      </w:r>
      <w:r>
        <w:rPr>
          <w:rFonts w:ascii="Comic Sans MS" w:hAnsi="Comic Sans MS"/>
          <w:i/>
          <w:sz w:val="23"/>
        </w:rPr>
        <w:t>m</w:t>
      </w:r>
      <w:r>
        <w:rPr>
          <w:rFonts w:ascii="Comic Sans MS" w:hAnsi="Comic Sans MS"/>
          <w:i/>
          <w:spacing w:val="-13"/>
          <w:sz w:val="23"/>
        </w:rPr>
        <w:t> </w:t>
      </w:r>
      <w:r>
        <w:rPr>
          <w:rFonts w:ascii="Comic Sans MS" w:hAnsi="Comic Sans MS"/>
          <w:i/>
          <w:sz w:val="23"/>
        </w:rPr>
        <w:t>i</w:t>
      </w:r>
      <w:r>
        <w:rPr>
          <w:rFonts w:ascii="Comic Sans MS" w:hAnsi="Comic Sans MS"/>
          <w:i/>
          <w:spacing w:val="30"/>
          <w:sz w:val="23"/>
        </w:rPr>
        <w:t> </w:t>
      </w:r>
      <w:r>
        <w:rPr>
          <w:rFonts w:ascii="Comic Sans MS" w:hAnsi="Comic Sans MS"/>
          <w:i/>
          <w:sz w:val="23"/>
        </w:rPr>
        <w:t>a</w:t>
      </w:r>
      <w:r>
        <w:rPr>
          <w:rFonts w:ascii="Comic Sans MS" w:hAnsi="Comic Sans MS"/>
          <w:i/>
          <w:spacing w:val="-29"/>
          <w:sz w:val="23"/>
        </w:rPr>
        <w:t> </w:t>
      </w:r>
      <w:r>
        <w:rPr>
          <w:rFonts w:ascii="Comic Sans MS" w:hAnsi="Comic Sans MS"/>
          <w:i/>
          <w:spacing w:val="11"/>
          <w:sz w:val="23"/>
        </w:rPr>
        <w:t>dm</w:t>
      </w:r>
      <w:r>
        <w:rPr>
          <w:rFonts w:ascii="Comic Sans MS" w:hAnsi="Comic Sans MS"/>
          <w:i/>
          <w:spacing w:val="-8"/>
          <w:sz w:val="23"/>
        </w:rPr>
        <w:t> </w:t>
      </w:r>
      <w:r>
        <w:rPr>
          <w:rFonts w:ascii="Comic Sans MS" w:hAnsi="Comic Sans MS"/>
          <w:i/>
          <w:spacing w:val="13"/>
          <w:sz w:val="23"/>
        </w:rPr>
        <w:t>ira</w:t>
      </w:r>
      <w:r>
        <w:rPr>
          <w:rFonts w:ascii="Comic Sans MS" w:hAnsi="Comic Sans MS"/>
          <w:i/>
          <w:spacing w:val="-30"/>
          <w:sz w:val="23"/>
        </w:rPr>
        <w:t> </w:t>
      </w:r>
      <w:r>
        <w:rPr>
          <w:rFonts w:ascii="Comic Sans MS" w:hAnsi="Comic Sans MS"/>
          <w:i/>
          <w:spacing w:val="10"/>
          <w:sz w:val="23"/>
        </w:rPr>
        <w:t>ción</w:t>
      </w:r>
      <w:r>
        <w:rPr>
          <w:rFonts w:ascii="Comic Sans MS" w:hAnsi="Comic Sans MS"/>
          <w:i/>
          <w:spacing w:val="58"/>
          <w:sz w:val="23"/>
        </w:rPr>
        <w:t> </w:t>
      </w:r>
      <w:r>
        <w:rPr>
          <w:rFonts w:ascii="Comic Sans MS" w:hAnsi="Comic Sans MS"/>
          <w:i/>
          <w:sz w:val="23"/>
        </w:rPr>
        <w:t>y</w:t>
      </w:r>
      <w:r>
        <w:rPr>
          <w:rFonts w:ascii="Comic Sans MS" w:hAnsi="Comic Sans MS"/>
          <w:i/>
          <w:spacing w:val="54"/>
          <w:sz w:val="23"/>
        </w:rPr>
        <w:t> </w:t>
      </w:r>
      <w:r>
        <w:rPr>
          <w:rFonts w:ascii="Comic Sans MS" w:hAnsi="Comic Sans MS"/>
          <w:i/>
          <w:sz w:val="23"/>
        </w:rPr>
        <w:t>a</w:t>
      </w:r>
      <w:r>
        <w:rPr>
          <w:rFonts w:ascii="Comic Sans MS" w:hAnsi="Comic Sans MS"/>
          <w:i/>
          <w:spacing w:val="-28"/>
          <w:sz w:val="23"/>
        </w:rPr>
        <w:t> </w:t>
      </w:r>
      <w:r>
        <w:rPr>
          <w:rFonts w:ascii="Comic Sans MS" w:hAnsi="Comic Sans MS"/>
          <w:i/>
          <w:sz w:val="23"/>
        </w:rPr>
        <w:t>m</w:t>
      </w:r>
      <w:r>
        <w:rPr>
          <w:rFonts w:ascii="Comic Sans MS" w:hAnsi="Comic Sans MS"/>
          <w:i/>
          <w:spacing w:val="-8"/>
          <w:sz w:val="23"/>
        </w:rPr>
        <w:t> </w:t>
      </w:r>
      <w:r>
        <w:rPr>
          <w:rFonts w:ascii="Comic Sans MS" w:hAnsi="Comic Sans MS"/>
          <w:i/>
          <w:spacing w:val="4"/>
          <w:sz w:val="23"/>
        </w:rPr>
        <w:t>ista</w:t>
      </w:r>
      <w:r>
        <w:rPr>
          <w:rFonts w:ascii="Comic Sans MS" w:hAnsi="Comic Sans MS"/>
          <w:i/>
          <w:spacing w:val="-29"/>
          <w:sz w:val="23"/>
        </w:rPr>
        <w:t> </w:t>
      </w:r>
      <w:r>
        <w:rPr>
          <w:rFonts w:ascii="Comic Sans MS" w:hAnsi="Comic Sans MS"/>
          <w:i/>
          <w:sz w:val="23"/>
        </w:rPr>
        <w:t>d</w:t>
      </w:r>
      <w:r>
        <w:rPr>
          <w:rFonts w:ascii="Comic Sans MS" w:hAnsi="Comic Sans MS"/>
          <w:i/>
          <w:spacing w:val="32"/>
          <w:sz w:val="23"/>
        </w:rPr>
        <w:t> </w:t>
      </w:r>
      <w:r>
        <w:rPr>
          <w:rFonts w:ascii="Comic Sans MS" w:hAnsi="Comic Sans MS"/>
          <w:i/>
          <w:spacing w:val="7"/>
          <w:sz w:val="23"/>
        </w:rPr>
        <w:t>in</w:t>
      </w:r>
      <w:r>
        <w:rPr>
          <w:rFonts w:ascii="Comic Sans MS" w:hAnsi="Comic Sans MS"/>
          <w:i/>
          <w:spacing w:val="-19"/>
          <w:sz w:val="23"/>
        </w:rPr>
        <w:t> </w:t>
      </w:r>
      <w:r>
        <w:rPr>
          <w:rFonts w:ascii="Comic Sans MS" w:hAnsi="Comic Sans MS"/>
          <w:i/>
          <w:spacing w:val="8"/>
          <w:sz w:val="23"/>
        </w:rPr>
        <w:t>con</w:t>
      </w:r>
      <w:r>
        <w:rPr>
          <w:rFonts w:ascii="Comic Sans MS" w:hAnsi="Comic Sans MS"/>
          <w:i/>
          <w:spacing w:val="-27"/>
          <w:sz w:val="23"/>
        </w:rPr>
        <w:t> </w:t>
      </w:r>
      <w:r>
        <w:rPr>
          <w:rFonts w:ascii="Comic Sans MS" w:hAnsi="Comic Sans MS"/>
          <w:i/>
          <w:spacing w:val="14"/>
          <w:sz w:val="23"/>
        </w:rPr>
        <w:t>dicion</w:t>
      </w:r>
      <w:r>
        <w:rPr>
          <w:rFonts w:ascii="Comic Sans MS" w:hAnsi="Comic Sans MS"/>
          <w:i/>
          <w:spacing w:val="-27"/>
          <w:sz w:val="23"/>
        </w:rPr>
        <w:t> </w:t>
      </w:r>
      <w:r>
        <w:rPr>
          <w:rFonts w:ascii="Comic Sans MS" w:hAnsi="Comic Sans MS"/>
          <w:i/>
          <w:sz w:val="23"/>
        </w:rPr>
        <w:t>a</w:t>
      </w:r>
      <w:r>
        <w:rPr>
          <w:rFonts w:ascii="Comic Sans MS" w:hAnsi="Comic Sans MS"/>
          <w:i/>
          <w:spacing w:val="-29"/>
          <w:sz w:val="23"/>
        </w:rPr>
        <w:t> </w:t>
      </w:r>
      <w:r>
        <w:rPr>
          <w:rFonts w:ascii="Comic Sans MS" w:hAnsi="Comic Sans MS"/>
          <w:i/>
          <w:spacing w:val="6"/>
          <w:sz w:val="23"/>
        </w:rPr>
        <w:t>l.</w:t>
      </w:r>
    </w:p>
    <w:p>
      <w:pPr>
        <w:pStyle w:val="BodyText"/>
        <w:spacing w:before="5"/>
        <w:rPr>
          <w:rFonts w:ascii="Comic Sans MS"/>
          <w:i/>
          <w:sz w:val="14"/>
        </w:rPr>
      </w:pPr>
    </w:p>
    <w:p>
      <w:pPr>
        <w:spacing w:line="271" w:lineRule="auto" w:before="1"/>
        <w:ind w:left="116" w:right="101" w:firstLine="1"/>
        <w:jc w:val="both"/>
        <w:rPr>
          <w:rFonts w:ascii="Comic Sans MS" w:hAnsi="Comic Sans MS"/>
          <w:i/>
          <w:sz w:val="23"/>
        </w:rPr>
      </w:pPr>
      <w:r>
        <w:rPr>
          <w:rFonts w:ascii="Comic Sans MS" w:hAnsi="Comic Sans MS"/>
          <w:i/>
          <w:sz w:val="23"/>
        </w:rPr>
        <w:t>Y de m a n era oficia l, a l Con sejo N acion a l de Cien cia y  Tecn ología </w:t>
      </w:r>
      <w:r>
        <w:rPr>
          <w:rFonts w:ascii="Comic Sans MS" w:hAnsi="Comic Sans MS"/>
          <w:i/>
          <w:sz w:val="23"/>
        </w:rPr>
        <w:t>(CON A CY T) qu e tu v o a bien otorgarm e la beca con la qu e en m u cha s ocasion es, libre el p aso du ran te esta eta pa .</w:t>
      </w:r>
    </w:p>
    <w:p>
      <w:pPr>
        <w:pStyle w:val="BodyText"/>
        <w:spacing w:before="4"/>
        <w:rPr>
          <w:rFonts w:ascii="Comic Sans MS"/>
          <w:i/>
          <w:sz w:val="14"/>
        </w:rPr>
      </w:pPr>
    </w:p>
    <w:p>
      <w:pPr>
        <w:spacing w:before="0"/>
        <w:ind w:left="118" w:right="0" w:firstLine="0"/>
        <w:jc w:val="both"/>
        <w:rPr>
          <w:rFonts w:ascii="Comic Sans MS"/>
          <w:i/>
          <w:sz w:val="23"/>
        </w:rPr>
      </w:pPr>
      <w:r>
        <w:rPr>
          <w:rFonts w:ascii="Comic Sans MS"/>
          <w:i/>
          <w:sz w:val="23"/>
        </w:rPr>
        <w:t>A  todos u stedes, gra cias por creer..</w:t>
      </w:r>
    </w:p>
    <w:p>
      <w:pPr>
        <w:pStyle w:val="BodyText"/>
        <w:spacing w:before="4"/>
        <w:rPr>
          <w:rFonts w:ascii="Comic Sans MS"/>
          <w:i/>
          <w:sz w:val="17"/>
        </w:rPr>
      </w:pPr>
    </w:p>
    <w:p>
      <w:pPr>
        <w:spacing w:before="0"/>
        <w:ind w:left="120" w:right="109" w:firstLine="0"/>
        <w:jc w:val="right"/>
        <w:rPr>
          <w:rFonts w:ascii="Comic Sans MS"/>
          <w:i/>
          <w:sz w:val="23"/>
        </w:rPr>
      </w:pPr>
      <w:r>
        <w:rPr>
          <w:rFonts w:ascii="Comic Sans MS"/>
          <w:i/>
          <w:sz w:val="23"/>
        </w:rPr>
        <w:t>Lety Echen iqu e V .</w:t>
      </w:r>
    </w:p>
    <w:p>
      <w:pPr>
        <w:spacing w:after="0"/>
        <w:jc w:val="right"/>
        <w:rPr>
          <w:rFonts w:ascii="Comic Sans MS"/>
          <w:sz w:val="23"/>
        </w:rPr>
        <w:sectPr>
          <w:pgSz w:w="11910" w:h="16840"/>
          <w:pgMar w:top="1580" w:bottom="280" w:left="1540" w:right="1540"/>
        </w:sectPr>
      </w:pPr>
    </w:p>
    <w:p>
      <w:pPr>
        <w:pStyle w:val="BodyText"/>
        <w:spacing w:before="7"/>
        <w:rPr>
          <w:rFonts w:ascii="Comic Sans MS"/>
          <w:i/>
          <w:sz w:val="29"/>
        </w:rPr>
      </w:pPr>
    </w:p>
    <w:p>
      <w:pPr>
        <w:pStyle w:val="Heading3"/>
        <w:spacing w:before="74"/>
        <w:ind w:left="4144" w:right="4406"/>
        <w:jc w:val="center"/>
      </w:pPr>
      <w:r>
        <w:rPr/>
        <w:t>ÍNDICE</w:t>
      </w:r>
    </w:p>
    <w:p>
      <w:pPr>
        <w:spacing w:after="0"/>
        <w:jc w:val="center"/>
        <w:sectPr>
          <w:pgSz w:w="11910" w:h="16840"/>
          <w:pgMar w:top="1580" w:bottom="2522" w:left="1540" w:right="1000"/>
        </w:sectPr>
      </w:pPr>
    </w:p>
    <w:sdt>
      <w:sdtPr>
        <w:docPartObj>
          <w:docPartGallery w:val="Table of Contents"/>
          <w:docPartUnique/>
        </w:docPartObj>
      </w:sdtPr>
      <w:sdtEndPr/>
      <w:sdtContent>
        <w:p>
          <w:pPr>
            <w:pStyle w:val="TOC2"/>
            <w:tabs>
              <w:tab w:pos="9259" w:val="right" w:leader="none"/>
            </w:tabs>
          </w:pPr>
          <w:hyperlink w:history="true" w:anchor="_TOC_250031">
            <w:r>
              <w:rPr/>
              <w:t>Introducción</w:t>
              <w:tab/>
              <w:t>2</w:t>
            </w:r>
          </w:hyperlink>
        </w:p>
        <w:p>
          <w:pPr>
            <w:pStyle w:val="TOC1"/>
            <w:tabs>
              <w:tab w:pos="9259" w:val="right" w:leader="none"/>
            </w:tabs>
            <w:spacing w:line="251" w:lineRule="exact" w:before="118"/>
            <w:rPr>
              <w:b w:val="0"/>
            </w:rPr>
          </w:pPr>
          <w:r>
            <w:rPr>
              <w:position w:val="1"/>
            </w:rPr>
            <w:t>Capítulo </w:t>
          </w:r>
          <w:r>
            <w:rPr>
              <w:spacing w:val="3"/>
              <w:position w:val="1"/>
            </w:rPr>
            <w:t>1.  </w:t>
          </w:r>
          <w:r>
            <w:rPr>
              <w:position w:val="1"/>
            </w:rPr>
            <w:t>Políticas públicas y calidad educativa: actores</w:t>
          </w:r>
          <w:r>
            <w:rPr>
              <w:spacing w:val="9"/>
              <w:position w:val="1"/>
            </w:rPr>
            <w:t> </w:t>
          </w:r>
          <w:r>
            <w:rPr>
              <w:position w:val="1"/>
            </w:rPr>
            <w:t>sociales</w:t>
          </w:r>
          <w:r>
            <w:rPr>
              <w:spacing w:val="8"/>
              <w:position w:val="1"/>
            </w:rPr>
            <w:t> </w:t>
          </w:r>
          <w:r>
            <w:rPr>
              <w:position w:val="1"/>
            </w:rPr>
            <w:t>y</w:t>
          </w:r>
          <w:r>
            <w:rPr>
              <w:b w:val="0"/>
            </w:rPr>
            <w:tab/>
            <w:t>13</w:t>
          </w:r>
        </w:p>
        <w:p>
          <w:pPr>
            <w:pStyle w:val="TOC1"/>
            <w:spacing w:line="241" w:lineRule="exact"/>
          </w:pPr>
          <w:r>
            <w:rPr/>
            <w:t>juegos de poder</w:t>
          </w:r>
        </w:p>
        <w:p>
          <w:pPr>
            <w:pStyle w:val="TOC3"/>
            <w:numPr>
              <w:ilvl w:val="1"/>
              <w:numId w:val="1"/>
            </w:numPr>
            <w:tabs>
              <w:tab w:pos="1196" w:val="left" w:leader="none"/>
              <w:tab w:pos="9259" w:val="right" w:leader="none"/>
            </w:tabs>
            <w:spacing w:line="240" w:lineRule="auto" w:before="257" w:after="0"/>
            <w:ind w:left="1195" w:right="0" w:hanging="393"/>
            <w:jc w:val="left"/>
          </w:pPr>
          <w:hyperlink w:history="true" w:anchor="_TOC_250030">
            <w:r>
              <w:rPr>
                <w:spacing w:val="2"/>
              </w:rPr>
              <w:t>La </w:t>
            </w:r>
            <w:r>
              <w:rPr/>
              <w:t>política pública como orientación científica</w:t>
            </w:r>
            <w:r>
              <w:rPr>
                <w:spacing w:val="9"/>
              </w:rPr>
              <w:t> </w:t>
            </w:r>
            <w:r>
              <w:rPr/>
              <w:t>del</w:t>
            </w:r>
            <w:r>
              <w:rPr>
                <w:spacing w:val="-5"/>
              </w:rPr>
              <w:t> </w:t>
            </w:r>
            <w:r>
              <w:rPr/>
              <w:t>gobierno</w:t>
              <w:tab/>
              <w:t>14</w:t>
            </w:r>
          </w:hyperlink>
        </w:p>
        <w:p>
          <w:pPr>
            <w:pStyle w:val="TOC4"/>
            <w:numPr>
              <w:ilvl w:val="2"/>
              <w:numId w:val="1"/>
            </w:numPr>
            <w:tabs>
              <w:tab w:pos="2036" w:val="left" w:leader="none"/>
              <w:tab w:pos="9259" w:val="right" w:leader="none"/>
            </w:tabs>
            <w:spacing w:line="240" w:lineRule="auto" w:before="128" w:after="0"/>
            <w:ind w:left="2035" w:right="0" w:hanging="542"/>
            <w:jc w:val="left"/>
          </w:pPr>
          <w:hyperlink w:history="true" w:anchor="_TOC_250029">
            <w:r>
              <w:rPr/>
              <w:t>Racionalidad gubernamental y</w:t>
            </w:r>
            <w:r>
              <w:rPr>
                <w:spacing w:val="3"/>
              </w:rPr>
              <w:t> </w:t>
            </w:r>
            <w:r>
              <w:rPr/>
              <w:t>políticas</w:t>
            </w:r>
            <w:r>
              <w:rPr>
                <w:spacing w:val="4"/>
              </w:rPr>
              <w:t> </w:t>
            </w:r>
            <w:r>
              <w:rPr/>
              <w:t>públicas</w:t>
              <w:tab/>
              <w:t>16</w:t>
            </w:r>
          </w:hyperlink>
        </w:p>
        <w:p>
          <w:pPr>
            <w:pStyle w:val="TOC4"/>
            <w:numPr>
              <w:ilvl w:val="2"/>
              <w:numId w:val="1"/>
            </w:numPr>
            <w:tabs>
              <w:tab w:pos="2035" w:val="left" w:leader="none"/>
              <w:tab w:pos="9259" w:val="right" w:leader="none"/>
            </w:tabs>
            <w:spacing w:line="240" w:lineRule="auto" w:before="128" w:after="0"/>
            <w:ind w:left="2034" w:right="0" w:hanging="541"/>
            <w:jc w:val="left"/>
          </w:pPr>
          <w:hyperlink w:history="true" w:anchor="_TOC_250028">
            <w:r>
              <w:rPr>
                <w:spacing w:val="-3"/>
              </w:rPr>
              <w:t>Las </w:t>
            </w:r>
            <w:r>
              <w:rPr/>
              <w:t>políticas públicas ¿planificación</w:t>
            </w:r>
            <w:r>
              <w:rPr>
                <w:spacing w:val="16"/>
              </w:rPr>
              <w:t> </w:t>
            </w:r>
            <w:r>
              <w:rPr/>
              <w:t>o</w:t>
            </w:r>
            <w:r>
              <w:rPr>
                <w:spacing w:val="3"/>
              </w:rPr>
              <w:t> </w:t>
            </w:r>
            <w:r>
              <w:rPr/>
              <w:t>reacción?</w:t>
              <w:tab/>
              <w:t>17</w:t>
            </w:r>
          </w:hyperlink>
        </w:p>
        <w:p>
          <w:pPr>
            <w:pStyle w:val="TOC4"/>
            <w:numPr>
              <w:ilvl w:val="2"/>
              <w:numId w:val="1"/>
            </w:numPr>
            <w:tabs>
              <w:tab w:pos="2033" w:val="left" w:leader="none"/>
              <w:tab w:pos="9259" w:val="right" w:leader="none"/>
            </w:tabs>
            <w:spacing w:line="240" w:lineRule="auto" w:before="128" w:after="0"/>
            <w:ind w:left="2032" w:right="0" w:hanging="539"/>
            <w:jc w:val="left"/>
          </w:pPr>
          <w:r>
            <w:rPr/>
            <w:t>Requisitos para una política pública ¿Por qué</w:t>
          </w:r>
          <w:r>
            <w:rPr>
              <w:spacing w:val="5"/>
            </w:rPr>
            <w:t> </w:t>
          </w:r>
          <w:r>
            <w:rPr>
              <w:spacing w:val="-3"/>
            </w:rPr>
            <w:t>es</w:t>
            <w:tab/>
          </w:r>
          <w:r>
            <w:rPr/>
            <w:t>22</w:t>
          </w:r>
        </w:p>
        <w:p>
          <w:pPr>
            <w:pStyle w:val="TOC4"/>
          </w:pPr>
          <w:r>
            <w:rPr/>
            <w:t>necesaria?</w:t>
          </w:r>
        </w:p>
        <w:p>
          <w:pPr>
            <w:pStyle w:val="TOC4"/>
            <w:numPr>
              <w:ilvl w:val="2"/>
              <w:numId w:val="1"/>
            </w:numPr>
            <w:tabs>
              <w:tab w:pos="2032" w:val="left" w:leader="none"/>
              <w:tab w:pos="9259" w:val="right" w:leader="none"/>
            </w:tabs>
            <w:spacing w:line="241" w:lineRule="exact" w:before="128" w:after="0"/>
            <w:ind w:left="2031" w:right="0" w:hanging="538"/>
            <w:jc w:val="left"/>
          </w:pPr>
          <w:r>
            <w:rPr/>
            <w:t>Los problemas </w:t>
          </w:r>
          <w:r>
            <w:rPr>
              <w:spacing w:val="3"/>
            </w:rPr>
            <w:t>de </w:t>
          </w:r>
          <w:r>
            <w:rPr>
              <w:spacing w:val="-5"/>
            </w:rPr>
            <w:t>la </w:t>
          </w:r>
          <w:r>
            <w:rPr/>
            <w:t>planificación </w:t>
          </w:r>
          <w:r>
            <w:rPr>
              <w:spacing w:val="2"/>
            </w:rPr>
            <w:t>de </w:t>
          </w:r>
          <w:r>
            <w:rPr>
              <w:spacing w:val="-4"/>
            </w:rPr>
            <w:t>las</w:t>
          </w:r>
          <w:r>
            <w:rPr>
              <w:spacing w:val="30"/>
            </w:rPr>
            <w:t> </w:t>
          </w:r>
          <w:r>
            <w:rPr/>
            <w:t>políticas,</w:t>
          </w:r>
          <w:r>
            <w:rPr>
              <w:spacing w:val="1"/>
            </w:rPr>
            <w:t> </w:t>
          </w:r>
          <w:r>
            <w:rPr/>
            <w:t>según</w:t>
            <w:tab/>
            <w:t>23</w:t>
          </w:r>
        </w:p>
        <w:p>
          <w:pPr>
            <w:pStyle w:val="TOC4"/>
            <w:spacing w:line="241" w:lineRule="exact" w:before="0"/>
          </w:pPr>
          <w:r>
            <w:rPr/>
            <w:t>Lindblom</w:t>
          </w:r>
        </w:p>
        <w:p>
          <w:pPr>
            <w:pStyle w:val="TOC5"/>
            <w:numPr>
              <w:ilvl w:val="2"/>
              <w:numId w:val="1"/>
            </w:numPr>
            <w:tabs>
              <w:tab w:pos="2141" w:val="left" w:leader="none"/>
              <w:tab w:pos="6360" w:val="left" w:leader="none"/>
              <w:tab w:pos="9259" w:val="right" w:leader="none"/>
            </w:tabs>
            <w:spacing w:line="240" w:lineRule="auto" w:before="8" w:after="0"/>
            <w:ind w:left="2140" w:right="0" w:hanging="647"/>
            <w:jc w:val="left"/>
            <w:rPr>
              <w:b w:val="0"/>
              <w:i w:val="0"/>
              <w:sz w:val="21"/>
            </w:rPr>
          </w:pPr>
          <w:r>
            <w:rPr>
              <w:b w:val="0"/>
              <w:i w:val="0"/>
              <w:spacing w:val="-3"/>
              <w:sz w:val="21"/>
            </w:rPr>
            <w:t>La   </w:t>
          </w:r>
          <w:r>
            <w:rPr>
              <w:b w:val="0"/>
              <w:i/>
              <w:sz w:val="21"/>
            </w:rPr>
            <w:t>intervención   </w:t>
          </w:r>
          <w:r>
            <w:rPr>
              <w:b w:val="0"/>
              <w:i w:val="0"/>
              <w:sz w:val="21"/>
            </w:rPr>
            <w:t>gubernamental  </w:t>
          </w:r>
          <w:r>
            <w:rPr>
              <w:b w:val="0"/>
              <w:i w:val="0"/>
              <w:spacing w:val="34"/>
              <w:sz w:val="21"/>
            </w:rPr>
            <w:t> </w:t>
          </w:r>
          <w:r>
            <w:rPr>
              <w:b w:val="0"/>
              <w:i w:val="0"/>
              <w:sz w:val="21"/>
            </w:rPr>
            <w:t>y  </w:t>
          </w:r>
          <w:r>
            <w:rPr>
              <w:b w:val="0"/>
              <w:i w:val="0"/>
              <w:spacing w:val="1"/>
              <w:sz w:val="21"/>
            </w:rPr>
            <w:t> </w:t>
          </w:r>
          <w:r>
            <w:rPr>
              <w:b w:val="0"/>
              <w:i w:val="0"/>
              <w:sz w:val="21"/>
            </w:rPr>
            <w:t>los</w:t>
            <w:tab/>
            <w:t>efectos </w:t>
          </w:r>
          <w:r>
            <w:rPr>
              <w:b w:val="0"/>
              <w:i w:val="0"/>
              <w:spacing w:val="53"/>
              <w:sz w:val="21"/>
            </w:rPr>
            <w:t> </w:t>
          </w:r>
          <w:r>
            <w:rPr>
              <w:b w:val="0"/>
              <w:i w:val="0"/>
              <w:sz w:val="21"/>
            </w:rPr>
            <w:t>de</w:t>
            <w:tab/>
            <w:t>25</w:t>
          </w:r>
        </w:p>
        <w:p>
          <w:pPr>
            <w:pStyle w:val="TOC4"/>
            <w:spacing w:line="241" w:lineRule="exact" w:before="3"/>
          </w:pPr>
          <w:r>
            <w:rPr/>
            <w:t>cooperación </w:t>
          </w:r>
          <w:r>
            <w:rPr>
              <w:spacing w:val="-3"/>
            </w:rPr>
            <w:t>de </w:t>
          </w:r>
          <w:r>
            <w:rPr/>
            <w:t>los actores</w:t>
          </w:r>
          <w:r>
            <w:rPr>
              <w:spacing w:val="56"/>
            </w:rPr>
            <w:t> </w:t>
          </w:r>
          <w:r>
            <w:rPr/>
            <w:t>sociales</w:t>
          </w:r>
        </w:p>
        <w:p>
          <w:pPr>
            <w:pStyle w:val="TOC4"/>
            <w:numPr>
              <w:ilvl w:val="2"/>
              <w:numId w:val="1"/>
            </w:numPr>
            <w:tabs>
              <w:tab w:pos="2032" w:val="left" w:leader="none"/>
              <w:tab w:pos="9259" w:val="right" w:leader="none"/>
            </w:tabs>
            <w:spacing w:line="250" w:lineRule="exact" w:before="0" w:after="0"/>
            <w:ind w:left="2031" w:right="0" w:hanging="538"/>
            <w:jc w:val="left"/>
          </w:pPr>
          <w:r>
            <w:rPr>
              <w:position w:val="1"/>
            </w:rPr>
            <w:t>El papel de </w:t>
          </w:r>
          <w:r>
            <w:rPr>
              <w:spacing w:val="-4"/>
              <w:position w:val="1"/>
            </w:rPr>
            <w:t>los </w:t>
          </w:r>
          <w:r>
            <w:rPr>
              <w:position w:val="1"/>
            </w:rPr>
            <w:t>actores sociales en la </w:t>
          </w:r>
          <w:r>
            <w:rPr>
              <w:i/>
              <w:position w:val="1"/>
            </w:rPr>
            <w:t>aceptación</w:t>
          </w:r>
          <w:r>
            <w:rPr>
              <w:i/>
              <w:spacing w:val="22"/>
              <w:position w:val="1"/>
            </w:rPr>
            <w:t> </w:t>
          </w:r>
          <w:r>
            <w:rPr>
              <w:position w:val="1"/>
            </w:rPr>
            <w:t>de</w:t>
          </w:r>
          <w:r>
            <w:rPr>
              <w:spacing w:val="9"/>
              <w:position w:val="1"/>
            </w:rPr>
            <w:t> </w:t>
          </w:r>
          <w:r>
            <w:rPr>
              <w:spacing w:val="-4"/>
              <w:position w:val="1"/>
            </w:rPr>
            <w:t>las</w:t>
          </w:r>
          <w:r>
            <w:rPr>
              <w:spacing w:val="-4"/>
            </w:rPr>
            <w:tab/>
          </w:r>
          <w:r>
            <w:rPr/>
            <w:t>29</w:t>
          </w:r>
        </w:p>
        <w:p>
          <w:pPr>
            <w:pStyle w:val="TOC4"/>
            <w:spacing w:line="241" w:lineRule="exact" w:before="0"/>
          </w:pPr>
          <w:r>
            <w:rPr/>
            <w:t>políticas</w:t>
          </w:r>
        </w:p>
        <w:p>
          <w:pPr>
            <w:pStyle w:val="TOC4"/>
            <w:numPr>
              <w:ilvl w:val="2"/>
              <w:numId w:val="1"/>
            </w:numPr>
            <w:tabs>
              <w:tab w:pos="2035" w:val="left" w:leader="none"/>
              <w:tab w:pos="9259" w:val="right" w:leader="none"/>
            </w:tabs>
            <w:spacing w:line="241" w:lineRule="exact" w:before="13" w:after="0"/>
            <w:ind w:left="2034" w:right="0" w:hanging="541"/>
            <w:jc w:val="left"/>
          </w:pPr>
          <w:r>
            <w:rPr>
              <w:spacing w:val="-3"/>
            </w:rPr>
            <w:t>Los </w:t>
          </w:r>
          <w:r>
            <w:rPr/>
            <w:t>actores, los juegos </w:t>
          </w:r>
          <w:r>
            <w:rPr>
              <w:spacing w:val="-3"/>
            </w:rPr>
            <w:t>de </w:t>
          </w:r>
          <w:r>
            <w:rPr/>
            <w:t>poder y los límites</w:t>
          </w:r>
          <w:r>
            <w:rPr>
              <w:spacing w:val="36"/>
            </w:rPr>
            <w:t> </w:t>
          </w:r>
          <w:r>
            <w:rPr/>
            <w:t>de</w:t>
          </w:r>
          <w:r>
            <w:rPr>
              <w:spacing w:val="3"/>
            </w:rPr>
            <w:t> </w:t>
          </w:r>
          <w:r>
            <w:rPr/>
            <w:t>la</w:t>
            <w:tab/>
            <w:t>30</w:t>
          </w:r>
        </w:p>
        <w:p>
          <w:pPr>
            <w:pStyle w:val="TOC4"/>
            <w:spacing w:line="241" w:lineRule="exact" w:before="0"/>
          </w:pPr>
          <w:r>
            <w:rPr/>
            <w:t>racionalidad gubernamental</w:t>
          </w:r>
        </w:p>
        <w:p>
          <w:pPr>
            <w:pStyle w:val="TOC4"/>
            <w:numPr>
              <w:ilvl w:val="2"/>
              <w:numId w:val="1"/>
            </w:numPr>
            <w:tabs>
              <w:tab w:pos="2034" w:val="left" w:leader="none"/>
              <w:tab w:pos="9259" w:val="right" w:leader="none"/>
            </w:tabs>
            <w:spacing w:line="240" w:lineRule="auto" w:before="8" w:after="0"/>
            <w:ind w:left="2033" w:right="0" w:hanging="540"/>
            <w:jc w:val="left"/>
          </w:pPr>
          <w:hyperlink w:history="true" w:anchor="_TOC_250027">
            <w:r>
              <w:rPr>
                <w:spacing w:val="-3"/>
              </w:rPr>
              <w:t>Las </w:t>
            </w:r>
            <w:r>
              <w:rPr/>
              <w:t>normas y los juegos</w:t>
            </w:r>
            <w:r>
              <w:rPr>
                <w:spacing w:val="17"/>
              </w:rPr>
              <w:t> </w:t>
            </w:r>
            <w:r>
              <w:rPr/>
              <w:t>de</w:t>
            </w:r>
            <w:r>
              <w:rPr>
                <w:spacing w:val="1"/>
              </w:rPr>
              <w:t> </w:t>
            </w:r>
            <w:r>
              <w:rPr/>
              <w:t>poder</w:t>
              <w:tab/>
              <w:t>32</w:t>
            </w:r>
          </w:hyperlink>
        </w:p>
        <w:p>
          <w:pPr>
            <w:pStyle w:val="TOC4"/>
            <w:numPr>
              <w:ilvl w:val="2"/>
              <w:numId w:val="1"/>
            </w:numPr>
            <w:tabs>
              <w:tab w:pos="2034" w:val="left" w:leader="none"/>
              <w:tab w:pos="9259" w:val="right" w:leader="none"/>
            </w:tabs>
            <w:spacing w:line="240" w:lineRule="auto" w:before="128" w:after="0"/>
            <w:ind w:left="2033" w:right="0" w:hanging="540"/>
            <w:jc w:val="left"/>
          </w:pPr>
          <w:hyperlink w:history="true" w:anchor="_TOC_250026">
            <w:r>
              <w:rPr/>
              <w:t>Premios y castigos en </w:t>
            </w:r>
            <w:r>
              <w:rPr>
                <w:spacing w:val="-4"/>
              </w:rPr>
              <w:t>los </w:t>
            </w:r>
            <w:r>
              <w:rPr/>
              <w:t>juegos</w:t>
            </w:r>
            <w:r>
              <w:rPr>
                <w:spacing w:val="24"/>
              </w:rPr>
              <w:t> </w:t>
            </w:r>
            <w:r>
              <w:rPr/>
              <w:t>de</w:t>
            </w:r>
            <w:r>
              <w:rPr>
                <w:spacing w:val="2"/>
              </w:rPr>
              <w:t> </w:t>
            </w:r>
            <w:r>
              <w:rPr/>
              <w:t>poder</w:t>
              <w:tab/>
              <w:t>34</w:t>
            </w:r>
          </w:hyperlink>
        </w:p>
        <w:p>
          <w:pPr>
            <w:pStyle w:val="TOC4"/>
            <w:numPr>
              <w:ilvl w:val="2"/>
              <w:numId w:val="1"/>
            </w:numPr>
            <w:tabs>
              <w:tab w:pos="2153" w:val="left" w:leader="none"/>
              <w:tab w:pos="9259" w:val="right" w:leader="none"/>
            </w:tabs>
            <w:spacing w:line="240" w:lineRule="auto" w:before="128" w:after="0"/>
            <w:ind w:left="2152" w:right="0" w:hanging="659"/>
            <w:jc w:val="left"/>
          </w:pPr>
          <w:hyperlink w:history="true" w:anchor="_TOC_250025">
            <w:r>
              <w:rPr/>
              <w:t>El sistema político y los  juegos</w:t>
            </w:r>
            <w:r>
              <w:rPr>
                <w:spacing w:val="13"/>
              </w:rPr>
              <w:t> </w:t>
            </w:r>
            <w:r>
              <w:rPr/>
              <w:t>de</w:t>
            </w:r>
            <w:r>
              <w:rPr>
                <w:spacing w:val="-3"/>
              </w:rPr>
              <w:t> </w:t>
            </w:r>
            <w:r>
              <w:rPr/>
              <w:t>poder</w:t>
              <w:tab/>
              <w:t>39</w:t>
            </w:r>
          </w:hyperlink>
        </w:p>
        <w:p>
          <w:pPr>
            <w:pStyle w:val="TOC4"/>
            <w:numPr>
              <w:ilvl w:val="2"/>
              <w:numId w:val="1"/>
            </w:numPr>
            <w:tabs>
              <w:tab w:pos="2151" w:val="left" w:leader="none"/>
              <w:tab w:pos="9259" w:val="right" w:leader="none"/>
            </w:tabs>
            <w:spacing w:line="240" w:lineRule="auto" w:before="128" w:after="0"/>
            <w:ind w:left="2150" w:right="0" w:hanging="657"/>
            <w:jc w:val="left"/>
          </w:pPr>
          <w:hyperlink w:history="true" w:anchor="_TOC_250024">
            <w:r>
              <w:rPr/>
              <w:t>Los actores y la cooperación en los juegos</w:t>
            </w:r>
            <w:r>
              <w:rPr>
                <w:spacing w:val="21"/>
              </w:rPr>
              <w:t> </w:t>
            </w:r>
            <w:r>
              <w:rPr/>
              <w:t>de</w:t>
            </w:r>
            <w:r>
              <w:rPr>
                <w:spacing w:val="1"/>
              </w:rPr>
              <w:t> </w:t>
            </w:r>
            <w:r>
              <w:rPr/>
              <w:t>poder</w:t>
              <w:tab/>
              <w:t>40</w:t>
            </w:r>
          </w:hyperlink>
        </w:p>
        <w:p>
          <w:pPr>
            <w:pStyle w:val="TOC4"/>
            <w:numPr>
              <w:ilvl w:val="2"/>
              <w:numId w:val="1"/>
            </w:numPr>
            <w:tabs>
              <w:tab w:pos="2150" w:val="left" w:leader="none"/>
              <w:tab w:pos="9259" w:val="right" w:leader="none"/>
            </w:tabs>
            <w:spacing w:line="238" w:lineRule="exact" w:before="133" w:after="0"/>
            <w:ind w:left="2149" w:right="0" w:hanging="656"/>
            <w:jc w:val="left"/>
          </w:pPr>
          <w:r>
            <w:rPr/>
            <w:t>Características “externas” </w:t>
          </w:r>
          <w:r>
            <w:rPr>
              <w:spacing w:val="-3"/>
            </w:rPr>
            <w:t>de </w:t>
          </w:r>
          <w:r>
            <w:rPr/>
            <w:t>las políticas</w:t>
          </w:r>
          <w:r>
            <w:rPr>
              <w:spacing w:val="20"/>
            </w:rPr>
            <w:t> </w:t>
          </w:r>
          <w:r>
            <w:rPr/>
            <w:t>públicas</w:t>
          </w:r>
          <w:r>
            <w:rPr>
              <w:spacing w:val="4"/>
            </w:rPr>
            <w:t> </w:t>
          </w:r>
          <w:r>
            <w:rPr/>
            <w:t>en</w:t>
            <w:tab/>
            <w:t>42</w:t>
          </w:r>
        </w:p>
        <w:p>
          <w:pPr>
            <w:pStyle w:val="TOC4"/>
            <w:spacing w:line="238" w:lineRule="exact" w:before="0"/>
          </w:pPr>
          <w:r>
            <w:rPr/>
            <w:t>los juegos políticos</w:t>
          </w:r>
        </w:p>
        <w:p>
          <w:pPr>
            <w:pStyle w:val="TOC4"/>
            <w:numPr>
              <w:ilvl w:val="2"/>
              <w:numId w:val="1"/>
            </w:numPr>
            <w:tabs>
              <w:tab w:pos="2150" w:val="left" w:leader="none"/>
              <w:tab w:pos="9259" w:val="right" w:leader="none"/>
            </w:tabs>
            <w:spacing w:line="241" w:lineRule="exact" w:before="13" w:after="0"/>
            <w:ind w:left="2149" w:right="0" w:hanging="656"/>
            <w:jc w:val="left"/>
          </w:pPr>
          <w:r>
            <w:rPr/>
            <w:t>Actores y escenarios de los juegos de poder</w:t>
          </w:r>
          <w:r>
            <w:rPr>
              <w:spacing w:val="24"/>
            </w:rPr>
            <w:t> </w:t>
          </w:r>
          <w:r>
            <w:rPr/>
            <w:t>en</w:t>
          </w:r>
          <w:r>
            <w:rPr>
              <w:spacing w:val="3"/>
            </w:rPr>
            <w:t> </w:t>
          </w:r>
          <w:r>
            <w:rPr/>
            <w:t>la</w:t>
            <w:tab/>
            <w:t>44</w:t>
          </w:r>
        </w:p>
        <w:p>
          <w:pPr>
            <w:pStyle w:val="TOC4"/>
            <w:spacing w:line="241" w:lineRule="exact" w:before="0"/>
          </w:pPr>
          <w:r>
            <w:rPr/>
            <w:t>formulación de políticas</w:t>
          </w:r>
        </w:p>
        <w:p>
          <w:pPr>
            <w:pStyle w:val="TOC4"/>
            <w:numPr>
              <w:ilvl w:val="2"/>
              <w:numId w:val="1"/>
            </w:numPr>
            <w:tabs>
              <w:tab w:pos="2150" w:val="left" w:leader="none"/>
              <w:tab w:pos="9259" w:val="right" w:leader="none"/>
            </w:tabs>
            <w:spacing w:line="240" w:lineRule="auto" w:before="8" w:after="0"/>
            <w:ind w:left="2149" w:right="0" w:hanging="656"/>
            <w:jc w:val="left"/>
          </w:pPr>
          <w:hyperlink w:history="true" w:anchor="_TOC_250023">
            <w:r>
              <w:rPr/>
              <w:t>Alcances de </w:t>
            </w:r>
            <w:r>
              <w:rPr>
                <w:spacing w:val="-3"/>
              </w:rPr>
              <w:t>la </w:t>
            </w:r>
            <w:r>
              <w:rPr/>
              <w:t>cooperación </w:t>
            </w:r>
            <w:r>
              <w:rPr>
                <w:spacing w:val="-3"/>
              </w:rPr>
              <w:t>en </w:t>
            </w:r>
            <w:r>
              <w:rPr/>
              <w:t>los</w:t>
            </w:r>
            <w:r>
              <w:rPr>
                <w:spacing w:val="24"/>
              </w:rPr>
              <w:t> </w:t>
            </w:r>
            <w:r>
              <w:rPr/>
              <w:t>juegos</w:t>
            </w:r>
            <w:r>
              <w:rPr>
                <w:spacing w:val="7"/>
              </w:rPr>
              <w:t> </w:t>
            </w:r>
            <w:r>
              <w:rPr/>
              <w:t>poder</w:t>
              <w:tab/>
              <w:t>46</w:t>
            </w:r>
          </w:hyperlink>
        </w:p>
        <w:p>
          <w:pPr>
            <w:pStyle w:val="TOC4"/>
            <w:numPr>
              <w:ilvl w:val="2"/>
              <w:numId w:val="1"/>
            </w:numPr>
            <w:tabs>
              <w:tab w:pos="2148" w:val="left" w:leader="none"/>
              <w:tab w:pos="9259" w:val="right" w:leader="none"/>
            </w:tabs>
            <w:spacing w:line="241" w:lineRule="exact" w:before="128" w:after="0"/>
            <w:ind w:left="2147" w:right="0" w:hanging="654"/>
            <w:jc w:val="left"/>
          </w:pPr>
          <w:r>
            <w:rPr/>
            <w:t>Institucionalización de los escenarios</w:t>
          </w:r>
          <w:r>
            <w:rPr>
              <w:spacing w:val="5"/>
            </w:rPr>
            <w:t> </w:t>
          </w:r>
          <w:r>
            <w:rPr/>
            <w:t>para</w:t>
          </w:r>
          <w:r>
            <w:rPr>
              <w:spacing w:val="2"/>
            </w:rPr>
            <w:t> </w:t>
          </w:r>
          <w:r>
            <w:rPr>
              <w:spacing w:val="-3"/>
            </w:rPr>
            <w:t>la</w:t>
            <w:tab/>
          </w:r>
          <w:r>
            <w:rPr/>
            <w:t>47</w:t>
          </w:r>
        </w:p>
        <w:p>
          <w:pPr>
            <w:pStyle w:val="TOC4"/>
            <w:spacing w:line="241" w:lineRule="exact" w:before="0"/>
          </w:pPr>
          <w:r>
            <w:rPr/>
            <w:t>formulación de políticas</w:t>
          </w:r>
        </w:p>
        <w:p>
          <w:pPr>
            <w:pStyle w:val="TOC4"/>
            <w:numPr>
              <w:ilvl w:val="2"/>
              <w:numId w:val="1"/>
            </w:numPr>
            <w:tabs>
              <w:tab w:pos="2151" w:val="left" w:leader="none"/>
              <w:tab w:pos="9259" w:val="right" w:leader="none"/>
            </w:tabs>
            <w:spacing w:line="240" w:lineRule="auto" w:before="13" w:after="0"/>
            <w:ind w:left="2150" w:right="0" w:hanging="657"/>
            <w:jc w:val="left"/>
          </w:pPr>
          <w:hyperlink w:history="true" w:anchor="_TOC_250022">
            <w:r>
              <w:rPr/>
              <w:t>Políticas públicas y educación básica</w:t>
            </w:r>
            <w:r>
              <w:rPr>
                <w:spacing w:val="15"/>
              </w:rPr>
              <w:t> </w:t>
            </w:r>
            <w:r>
              <w:rPr/>
              <w:t>en</w:t>
            </w:r>
            <w:r>
              <w:rPr>
                <w:spacing w:val="5"/>
              </w:rPr>
              <w:t> </w:t>
            </w:r>
            <w:r>
              <w:rPr/>
              <w:t>México</w:t>
              <w:tab/>
              <w:t>49</w:t>
            </w:r>
          </w:hyperlink>
        </w:p>
        <w:p>
          <w:pPr>
            <w:pStyle w:val="TOC4"/>
            <w:numPr>
              <w:ilvl w:val="2"/>
              <w:numId w:val="1"/>
            </w:numPr>
            <w:tabs>
              <w:tab w:pos="2151" w:val="left" w:leader="none"/>
              <w:tab w:pos="9259" w:val="right" w:leader="none"/>
            </w:tabs>
            <w:spacing w:line="240" w:lineRule="auto" w:before="128" w:after="0"/>
            <w:ind w:left="2150" w:right="0" w:hanging="657"/>
            <w:jc w:val="left"/>
          </w:pPr>
          <w:r>
            <w:rPr/>
            <w:t>El contexto global de las políticas públicas</w:t>
          </w:r>
          <w:r>
            <w:rPr>
              <w:spacing w:val="4"/>
            </w:rPr>
            <w:t> </w:t>
          </w:r>
          <w:r>
            <w:rPr/>
            <w:t>en</w:t>
          </w:r>
          <w:r>
            <w:rPr>
              <w:spacing w:val="1"/>
            </w:rPr>
            <w:t> </w:t>
          </w:r>
          <w:r>
            <w:rPr/>
            <w:t>la</w:t>
            <w:tab/>
            <w:t>53</w:t>
          </w:r>
        </w:p>
        <w:p>
          <w:pPr>
            <w:pStyle w:val="TOC4"/>
            <w:spacing w:before="3"/>
          </w:pPr>
          <w:r>
            <w:rPr/>
            <w:t>educación básica en México</w:t>
          </w:r>
        </w:p>
        <w:p>
          <w:pPr>
            <w:pStyle w:val="TOC4"/>
            <w:numPr>
              <w:ilvl w:val="2"/>
              <w:numId w:val="1"/>
            </w:numPr>
            <w:tabs>
              <w:tab w:pos="2151" w:val="left" w:leader="none"/>
              <w:tab w:pos="9259" w:val="right" w:leader="none"/>
            </w:tabs>
            <w:spacing w:line="240" w:lineRule="auto" w:before="3" w:after="0"/>
            <w:ind w:left="2150" w:right="0" w:hanging="657"/>
            <w:jc w:val="left"/>
          </w:pPr>
          <w:r>
            <w:rPr/>
            <w:t>Las políticas públicas de la</w:t>
          </w:r>
          <w:r>
            <w:rPr>
              <w:spacing w:val="16"/>
            </w:rPr>
            <w:t> </w:t>
          </w:r>
          <w:r>
            <w:rPr/>
            <w:t>calidad</w:t>
          </w:r>
          <w:r>
            <w:rPr>
              <w:spacing w:val="2"/>
            </w:rPr>
            <w:t> </w:t>
          </w:r>
          <w:r>
            <w:rPr/>
            <w:t>educativa:</w:t>
            <w:tab/>
            <w:t>57</w:t>
          </w:r>
        </w:p>
        <w:p>
          <w:pPr>
            <w:pStyle w:val="TOC4"/>
            <w:spacing w:before="3"/>
          </w:pPr>
          <w:r>
            <w:rPr/>
            <w:t>¿procesos o resultados?</w:t>
          </w:r>
        </w:p>
        <w:p>
          <w:pPr>
            <w:pStyle w:val="TOC3"/>
            <w:numPr>
              <w:ilvl w:val="1"/>
              <w:numId w:val="1"/>
            </w:numPr>
            <w:tabs>
              <w:tab w:pos="1160" w:val="left" w:leader="none"/>
              <w:tab w:pos="9259" w:val="right" w:leader="none"/>
            </w:tabs>
            <w:spacing w:line="240" w:lineRule="auto" w:before="8" w:after="0"/>
            <w:ind w:left="1159" w:right="0" w:hanging="357"/>
            <w:jc w:val="left"/>
          </w:pPr>
          <w:r>
            <w:rPr/>
            <w:t>La calidad como</w:t>
          </w:r>
          <w:r>
            <w:rPr>
              <w:spacing w:val="-5"/>
            </w:rPr>
            <w:t> </w:t>
          </w:r>
          <w:r>
            <w:rPr/>
            <w:t>política</w:t>
          </w:r>
          <w:r>
            <w:rPr>
              <w:spacing w:val="-2"/>
            </w:rPr>
            <w:t> </w:t>
          </w:r>
          <w:r>
            <w:rPr/>
            <w:t>pública</w:t>
            <w:tab/>
            <w:t>57</w:t>
          </w:r>
        </w:p>
        <w:p>
          <w:pPr>
            <w:pStyle w:val="TOC4"/>
            <w:numPr>
              <w:ilvl w:val="2"/>
              <w:numId w:val="1"/>
            </w:numPr>
            <w:tabs>
              <w:tab w:pos="2028" w:val="left" w:leader="none"/>
              <w:tab w:pos="9259" w:val="right" w:leader="none"/>
            </w:tabs>
            <w:spacing w:line="240" w:lineRule="auto" w:before="128" w:after="0"/>
            <w:ind w:left="2027" w:right="0" w:hanging="534"/>
            <w:jc w:val="left"/>
          </w:pPr>
          <w:hyperlink w:history="true" w:anchor="_TOC_250021">
            <w:r>
              <w:rPr/>
              <w:t>La calidad </w:t>
            </w:r>
            <w:r>
              <w:rPr>
                <w:spacing w:val="-3"/>
              </w:rPr>
              <w:t>en </w:t>
            </w:r>
            <w:r>
              <w:rPr/>
              <w:t>las</w:t>
            </w:r>
            <w:r>
              <w:rPr>
                <w:spacing w:val="8"/>
              </w:rPr>
              <w:t> </w:t>
            </w:r>
            <w:r>
              <w:rPr/>
              <w:t>políticas</w:t>
            </w:r>
            <w:r>
              <w:rPr>
                <w:spacing w:val="2"/>
              </w:rPr>
              <w:t> </w:t>
            </w:r>
            <w:r>
              <w:rPr>
                <w:spacing w:val="-3"/>
              </w:rPr>
              <w:t>públicas</w:t>
              <w:tab/>
            </w:r>
            <w:r>
              <w:rPr/>
              <w:t>62</w:t>
            </w:r>
          </w:hyperlink>
        </w:p>
        <w:p>
          <w:pPr>
            <w:pStyle w:val="TOC4"/>
            <w:numPr>
              <w:ilvl w:val="2"/>
              <w:numId w:val="1"/>
            </w:numPr>
            <w:tabs>
              <w:tab w:pos="2034" w:val="left" w:leader="none"/>
              <w:tab w:pos="9259" w:val="right" w:leader="none"/>
            </w:tabs>
            <w:spacing w:line="240" w:lineRule="auto" w:before="128" w:after="0"/>
            <w:ind w:left="2033" w:right="0" w:hanging="540"/>
            <w:jc w:val="left"/>
          </w:pPr>
          <w:hyperlink w:history="true" w:anchor="_TOC_250020">
            <w:r>
              <w:rPr/>
              <w:t>Nueva gestión pública y gestión</w:t>
            </w:r>
            <w:r>
              <w:rPr>
                <w:spacing w:val="5"/>
              </w:rPr>
              <w:t> </w:t>
            </w:r>
            <w:r>
              <w:rPr>
                <w:spacing w:val="-3"/>
              </w:rPr>
              <w:t>de</w:t>
            </w:r>
            <w:r>
              <w:rPr>
                <w:spacing w:val="2"/>
              </w:rPr>
              <w:t> </w:t>
            </w:r>
            <w:r>
              <w:rPr/>
              <w:t>calidad</w:t>
              <w:tab/>
              <w:t>64</w:t>
            </w:r>
          </w:hyperlink>
        </w:p>
        <w:p>
          <w:pPr>
            <w:pStyle w:val="TOC4"/>
            <w:numPr>
              <w:ilvl w:val="2"/>
              <w:numId w:val="1"/>
            </w:numPr>
            <w:tabs>
              <w:tab w:pos="2031" w:val="left" w:leader="none"/>
              <w:tab w:pos="9259" w:val="right" w:leader="none"/>
            </w:tabs>
            <w:spacing w:line="240" w:lineRule="auto" w:before="128" w:after="0"/>
            <w:ind w:left="2030" w:right="0" w:hanging="537"/>
            <w:jc w:val="left"/>
          </w:pPr>
          <w:r>
            <w:rPr/>
            <w:t>La calidad como contrato y compromiso</w:t>
          </w:r>
          <w:r>
            <w:rPr>
              <w:spacing w:val="-10"/>
            </w:rPr>
            <w:t> </w:t>
          </w:r>
          <w:r>
            <w:rPr/>
            <w:t>con </w:t>
          </w:r>
          <w:r>
            <w:rPr>
              <w:spacing w:val="2"/>
            </w:rPr>
            <w:t>el</w:t>
            <w:tab/>
          </w:r>
          <w:r>
            <w:rPr/>
            <w:t>65</w:t>
          </w:r>
        </w:p>
        <w:p>
          <w:pPr>
            <w:pStyle w:val="TOC4"/>
          </w:pPr>
          <w:r>
            <w:rPr/>
            <w:t>ciudadano</w:t>
          </w:r>
        </w:p>
        <w:p>
          <w:pPr>
            <w:pStyle w:val="TOC4"/>
            <w:numPr>
              <w:ilvl w:val="2"/>
              <w:numId w:val="1"/>
            </w:numPr>
            <w:tabs>
              <w:tab w:pos="2033" w:val="left" w:leader="none"/>
              <w:tab w:pos="9259" w:val="right" w:leader="none"/>
            </w:tabs>
            <w:spacing w:line="240" w:lineRule="auto" w:before="128" w:after="0"/>
            <w:ind w:left="2032" w:right="0" w:hanging="539"/>
            <w:jc w:val="left"/>
          </w:pPr>
          <w:hyperlink w:history="true" w:anchor="_TOC_250019">
            <w:r>
              <w:rPr/>
              <w:t>Alcances de </w:t>
            </w:r>
            <w:r>
              <w:rPr>
                <w:spacing w:val="-3"/>
              </w:rPr>
              <w:t>la</w:t>
            </w:r>
            <w:r>
              <w:rPr>
                <w:spacing w:val="1"/>
              </w:rPr>
              <w:t> </w:t>
            </w:r>
            <w:r>
              <w:rPr/>
              <w:t>calidad educativa</w:t>
              <w:tab/>
              <w:t>69</w:t>
            </w:r>
          </w:hyperlink>
        </w:p>
        <w:p>
          <w:pPr>
            <w:pStyle w:val="TOC4"/>
            <w:numPr>
              <w:ilvl w:val="2"/>
              <w:numId w:val="1"/>
            </w:numPr>
            <w:tabs>
              <w:tab w:pos="2032" w:val="left" w:leader="none"/>
              <w:tab w:pos="9259" w:val="right" w:leader="none"/>
            </w:tabs>
            <w:spacing w:line="240" w:lineRule="auto" w:before="499" w:after="0"/>
            <w:ind w:left="2031" w:right="0" w:hanging="538"/>
            <w:jc w:val="left"/>
          </w:pPr>
          <w:hyperlink w:history="true" w:anchor="_TOC_250018">
            <w:r>
              <w:rPr/>
              <w:t>La calidad y</w:t>
            </w:r>
            <w:r>
              <w:rPr>
                <w:spacing w:val="-9"/>
              </w:rPr>
              <w:t> </w:t>
            </w:r>
            <w:r>
              <w:rPr/>
              <w:t>los</w:t>
            </w:r>
            <w:r>
              <w:rPr>
                <w:spacing w:val="2"/>
              </w:rPr>
              <w:t> </w:t>
            </w:r>
            <w:r>
              <w:rPr/>
              <w:t>procesos</w:t>
              <w:tab/>
              <w:t>72</w:t>
            </w:r>
          </w:hyperlink>
        </w:p>
        <w:p>
          <w:pPr>
            <w:pStyle w:val="TOC4"/>
            <w:numPr>
              <w:ilvl w:val="2"/>
              <w:numId w:val="1"/>
            </w:numPr>
            <w:tabs>
              <w:tab w:pos="2034" w:val="left" w:leader="none"/>
              <w:tab w:pos="9259" w:val="right" w:leader="none"/>
            </w:tabs>
            <w:spacing w:line="240" w:lineRule="auto" w:before="128" w:after="0"/>
            <w:ind w:left="2033" w:right="0" w:hanging="540"/>
            <w:jc w:val="left"/>
          </w:pPr>
          <w:hyperlink w:history="true" w:anchor="_TOC_250017">
            <w:r>
              <w:rPr/>
              <w:t>Dimensiones de </w:t>
            </w:r>
            <w:r>
              <w:rPr>
                <w:spacing w:val="-3"/>
              </w:rPr>
              <w:t>la</w:t>
            </w:r>
            <w:r>
              <w:rPr>
                <w:spacing w:val="2"/>
              </w:rPr>
              <w:t> </w:t>
            </w:r>
            <w:r>
              <w:rPr/>
              <w:t>calidad</w:t>
            </w:r>
            <w:r>
              <w:rPr>
                <w:spacing w:val="1"/>
              </w:rPr>
              <w:t> </w:t>
            </w:r>
            <w:r>
              <w:rPr/>
              <w:t>educativa</w:t>
              <w:tab/>
              <w:t>73</w:t>
            </w:r>
          </w:hyperlink>
        </w:p>
        <w:p>
          <w:pPr>
            <w:pStyle w:val="TOC4"/>
            <w:numPr>
              <w:ilvl w:val="2"/>
              <w:numId w:val="1"/>
            </w:numPr>
            <w:tabs>
              <w:tab w:pos="2034" w:val="left" w:leader="none"/>
              <w:tab w:pos="9259" w:val="right" w:leader="none"/>
            </w:tabs>
            <w:spacing w:line="240" w:lineRule="auto" w:before="133" w:after="0"/>
            <w:ind w:left="2033" w:right="0" w:hanging="540"/>
            <w:jc w:val="left"/>
          </w:pPr>
          <w:hyperlink w:history="true" w:anchor="_TOC_250016">
            <w:r>
              <w:rPr/>
              <w:t>Dimensiones de </w:t>
            </w:r>
            <w:r>
              <w:rPr>
                <w:spacing w:val="-3"/>
              </w:rPr>
              <w:t>la </w:t>
            </w:r>
            <w:r>
              <w:rPr/>
              <w:t>noción abstracta</w:t>
            </w:r>
            <w:r>
              <w:rPr>
                <w:spacing w:val="19"/>
              </w:rPr>
              <w:t> </w:t>
            </w:r>
            <w:r>
              <w:rPr>
                <w:spacing w:val="-3"/>
              </w:rPr>
              <w:t>de</w:t>
            </w:r>
            <w:r>
              <w:rPr>
                <w:spacing w:val="2"/>
              </w:rPr>
              <w:t> </w:t>
            </w:r>
            <w:r>
              <w:rPr/>
              <w:t>calidad</w:t>
              <w:tab/>
              <w:t>73</w:t>
            </w:r>
          </w:hyperlink>
        </w:p>
        <w:p>
          <w:pPr>
            <w:pStyle w:val="TOC4"/>
            <w:numPr>
              <w:ilvl w:val="2"/>
              <w:numId w:val="1"/>
            </w:numPr>
            <w:tabs>
              <w:tab w:pos="2032" w:val="left" w:leader="none"/>
              <w:tab w:pos="9259" w:val="right" w:leader="none"/>
            </w:tabs>
            <w:spacing w:line="240" w:lineRule="auto" w:before="128" w:after="0"/>
            <w:ind w:left="2031" w:right="0" w:hanging="538"/>
            <w:jc w:val="left"/>
          </w:pPr>
          <w:hyperlink w:history="true" w:anchor="_TOC_250015">
            <w:r>
              <w:rPr/>
              <w:t>Tensiones en </w:t>
            </w:r>
            <w:r>
              <w:rPr>
                <w:spacing w:val="-4"/>
              </w:rPr>
              <w:t>los </w:t>
            </w:r>
            <w:r>
              <w:rPr/>
              <w:t>componentes </w:t>
            </w:r>
            <w:r>
              <w:rPr>
                <w:spacing w:val="3"/>
              </w:rPr>
              <w:t>de </w:t>
            </w:r>
            <w:r>
              <w:rPr>
                <w:spacing w:val="-3"/>
              </w:rPr>
              <w:t>la</w:t>
            </w:r>
            <w:r>
              <w:rPr>
                <w:spacing w:val="16"/>
              </w:rPr>
              <w:t> </w:t>
            </w:r>
            <w:r>
              <w:rPr/>
              <w:t>calidad</w:t>
            </w:r>
            <w:r>
              <w:rPr>
                <w:spacing w:val="1"/>
              </w:rPr>
              <w:t> </w:t>
            </w:r>
            <w:r>
              <w:rPr/>
              <w:t>educativa</w:t>
              <w:tab/>
              <w:t>74</w:t>
            </w:r>
          </w:hyperlink>
        </w:p>
        <w:p>
          <w:pPr>
            <w:pStyle w:val="TOC4"/>
            <w:numPr>
              <w:ilvl w:val="2"/>
              <w:numId w:val="1"/>
            </w:numPr>
            <w:tabs>
              <w:tab w:pos="2031" w:val="left" w:leader="none"/>
              <w:tab w:pos="9259" w:val="right" w:leader="none"/>
            </w:tabs>
            <w:spacing w:line="240" w:lineRule="auto" w:before="128" w:after="0"/>
            <w:ind w:left="2030" w:right="0" w:hanging="537"/>
            <w:jc w:val="left"/>
          </w:pPr>
          <w:hyperlink w:history="true" w:anchor="_TOC_250014">
            <w:r>
              <w:rPr/>
              <w:t>La calidad como concepto orientador</w:t>
            </w:r>
            <w:r>
              <w:rPr>
                <w:spacing w:val="-5"/>
              </w:rPr>
              <w:t> </w:t>
            </w:r>
            <w:r>
              <w:rPr/>
              <w:t>de</w:t>
            </w:r>
            <w:r>
              <w:rPr>
                <w:spacing w:val="-1"/>
              </w:rPr>
              <w:t> </w:t>
            </w:r>
            <w:r>
              <w:rPr/>
              <w:t>políticas</w:t>
              <w:tab/>
              <w:t>74</w:t>
            </w:r>
          </w:hyperlink>
        </w:p>
        <w:p>
          <w:pPr>
            <w:pStyle w:val="TOC4"/>
            <w:numPr>
              <w:ilvl w:val="2"/>
              <w:numId w:val="1"/>
            </w:numPr>
            <w:tabs>
              <w:tab w:pos="2150" w:val="left" w:leader="none"/>
              <w:tab w:pos="9259" w:val="right" w:leader="none"/>
            </w:tabs>
            <w:spacing w:line="240" w:lineRule="auto" w:before="123" w:after="0"/>
            <w:ind w:left="2149" w:right="0" w:hanging="656"/>
            <w:jc w:val="left"/>
          </w:pPr>
          <w:hyperlink w:history="true" w:anchor="_TOC_250013">
            <w:r>
              <w:rPr/>
              <w:t>Importancia de los paradigmas y</w:t>
            </w:r>
            <w:r>
              <w:rPr>
                <w:spacing w:val="10"/>
              </w:rPr>
              <w:t> </w:t>
            </w:r>
            <w:r>
              <w:rPr/>
              <w:t>sus mediciones</w:t>
              <w:tab/>
              <w:t>75</w:t>
            </w:r>
          </w:hyperlink>
        </w:p>
        <w:p>
          <w:pPr>
            <w:pStyle w:val="TOC4"/>
            <w:numPr>
              <w:ilvl w:val="2"/>
              <w:numId w:val="1"/>
            </w:numPr>
            <w:tabs>
              <w:tab w:pos="2090" w:val="left" w:leader="none"/>
              <w:tab w:pos="9259" w:val="right" w:leader="none"/>
            </w:tabs>
            <w:spacing w:line="240" w:lineRule="auto" w:before="128" w:after="0"/>
            <w:ind w:left="2089" w:right="0" w:hanging="596"/>
            <w:jc w:val="left"/>
          </w:pPr>
          <w:hyperlink w:history="true" w:anchor="_TOC_250012">
            <w:r>
              <w:rPr/>
              <w:t>Calidad educativa como eficacia o logro</w:t>
            </w:r>
            <w:r>
              <w:rPr>
                <w:spacing w:val="13"/>
              </w:rPr>
              <w:t> </w:t>
            </w:r>
            <w:r>
              <w:rPr/>
              <w:t>de metas</w:t>
              <w:tab/>
              <w:t>75</w:t>
            </w:r>
          </w:hyperlink>
        </w:p>
        <w:p>
          <w:pPr>
            <w:pStyle w:val="TOC4"/>
            <w:numPr>
              <w:ilvl w:val="2"/>
              <w:numId w:val="1"/>
            </w:numPr>
            <w:tabs>
              <w:tab w:pos="2151" w:val="left" w:leader="none"/>
              <w:tab w:pos="9259" w:val="right" w:leader="none"/>
            </w:tabs>
            <w:spacing w:line="240" w:lineRule="auto" w:before="128" w:after="0"/>
            <w:ind w:left="2150" w:right="0" w:hanging="657"/>
            <w:jc w:val="left"/>
          </w:pPr>
          <w:r>
            <w:rPr>
              <w:spacing w:val="-3"/>
            </w:rPr>
            <w:t>La </w:t>
          </w:r>
          <w:r>
            <w:rPr/>
            <w:t>calidad como oportunidades de</w:t>
          </w:r>
          <w:r>
            <w:rPr>
              <w:spacing w:val="6"/>
            </w:rPr>
            <w:t> </w:t>
          </w:r>
          <w:r>
            <w:rPr/>
            <w:t>acceso</w:t>
          </w:r>
          <w:r>
            <w:rPr>
              <w:spacing w:val="-4"/>
            </w:rPr>
            <w:t> </w:t>
          </w:r>
          <w:r>
            <w:rPr/>
            <w:t>y</w:t>
            <w:tab/>
            <w:t>76</w:t>
          </w:r>
        </w:p>
        <w:p>
          <w:pPr>
            <w:pStyle w:val="TOC4"/>
          </w:pPr>
          <w:r>
            <w:rPr/>
            <w:t>permanencia</w:t>
          </w:r>
        </w:p>
        <w:p>
          <w:pPr>
            <w:pStyle w:val="TOC5"/>
            <w:numPr>
              <w:ilvl w:val="2"/>
              <w:numId w:val="1"/>
            </w:numPr>
            <w:tabs>
              <w:tab w:pos="2151" w:val="left" w:leader="none"/>
              <w:tab w:pos="9259" w:val="right" w:leader="none"/>
            </w:tabs>
            <w:spacing w:line="240" w:lineRule="auto" w:before="128" w:after="0"/>
            <w:ind w:left="2150" w:right="0" w:hanging="657"/>
            <w:jc w:val="left"/>
            <w:rPr>
              <w:b w:val="0"/>
              <w:i w:val="0"/>
              <w:sz w:val="21"/>
            </w:rPr>
          </w:pPr>
          <w:r>
            <w:rPr>
              <w:b w:val="0"/>
              <w:i w:val="0"/>
              <w:spacing w:val="-3"/>
              <w:sz w:val="21"/>
            </w:rPr>
            <w:t>La </w:t>
          </w:r>
          <w:r>
            <w:rPr>
              <w:b w:val="0"/>
              <w:i w:val="0"/>
              <w:sz w:val="21"/>
            </w:rPr>
            <w:t>calidad educativa debe </w:t>
          </w:r>
          <w:r>
            <w:rPr>
              <w:b w:val="0"/>
              <w:i w:val="0"/>
              <w:spacing w:val="2"/>
              <w:sz w:val="21"/>
            </w:rPr>
            <w:t>ser </w:t>
          </w:r>
          <w:r>
            <w:rPr>
              <w:b w:val="0"/>
              <w:i/>
              <w:sz w:val="21"/>
            </w:rPr>
            <w:t>productivista</w:t>
          </w:r>
          <w:r>
            <w:rPr>
              <w:b w:val="0"/>
              <w:i w:val="0"/>
              <w:spacing w:val="-3"/>
              <w:sz w:val="21"/>
            </w:rPr>
            <w:t> </w:t>
          </w:r>
          <w:r>
            <w:rPr>
              <w:b w:val="0"/>
              <w:i w:val="0"/>
              <w:sz w:val="21"/>
            </w:rPr>
            <w:t>y</w:t>
          </w:r>
          <w:r>
            <w:rPr>
              <w:b w:val="0"/>
              <w:i w:val="0"/>
              <w:spacing w:val="1"/>
              <w:sz w:val="21"/>
            </w:rPr>
            <w:t> </w:t>
          </w:r>
          <w:r>
            <w:rPr>
              <w:b w:val="0"/>
              <w:i w:val="0"/>
              <w:sz w:val="21"/>
            </w:rPr>
            <w:t>medible</w:t>
            <w:tab/>
            <w:t>76</w:t>
          </w:r>
        </w:p>
        <w:p>
          <w:pPr>
            <w:pStyle w:val="TOC4"/>
            <w:numPr>
              <w:ilvl w:val="2"/>
              <w:numId w:val="1"/>
            </w:numPr>
            <w:tabs>
              <w:tab w:pos="2149" w:val="left" w:leader="none"/>
              <w:tab w:pos="9259" w:val="right" w:leader="none"/>
            </w:tabs>
            <w:spacing w:line="240" w:lineRule="auto" w:before="128" w:after="0"/>
            <w:ind w:left="2148" w:right="0" w:hanging="655"/>
            <w:jc w:val="left"/>
          </w:pPr>
          <w:hyperlink w:history="true" w:anchor="_TOC_250011">
            <w:r>
              <w:rPr/>
              <w:t>Actores de la</w:t>
            </w:r>
            <w:r>
              <w:rPr>
                <w:spacing w:val="1"/>
              </w:rPr>
              <w:t> </w:t>
            </w:r>
            <w:r>
              <w:rPr/>
              <w:t>calidad</w:t>
            </w:r>
            <w:r>
              <w:rPr>
                <w:spacing w:val="-4"/>
              </w:rPr>
              <w:t> </w:t>
            </w:r>
            <w:r>
              <w:rPr/>
              <w:t>educativa</w:t>
              <w:tab/>
              <w:t>78</w:t>
            </w:r>
          </w:hyperlink>
        </w:p>
        <w:p>
          <w:pPr>
            <w:pStyle w:val="TOC4"/>
            <w:numPr>
              <w:ilvl w:val="2"/>
              <w:numId w:val="1"/>
            </w:numPr>
            <w:tabs>
              <w:tab w:pos="2149" w:val="left" w:leader="none"/>
              <w:tab w:pos="9259" w:val="right" w:leader="none"/>
            </w:tabs>
            <w:spacing w:line="241" w:lineRule="exact" w:before="128" w:after="0"/>
            <w:ind w:left="2148" w:right="0" w:hanging="655"/>
            <w:jc w:val="left"/>
          </w:pPr>
          <w:r>
            <w:rPr/>
            <w:t>Particularización de la calidad educativa. El caso</w:t>
          </w:r>
          <w:r>
            <w:rPr>
              <w:spacing w:val="19"/>
            </w:rPr>
            <w:t> </w:t>
          </w:r>
          <w:r>
            <w:rPr/>
            <w:t>de</w:t>
          </w:r>
          <w:r>
            <w:rPr>
              <w:spacing w:val="-1"/>
            </w:rPr>
            <w:t> </w:t>
          </w:r>
          <w:r>
            <w:rPr/>
            <w:t>los</w:t>
            <w:tab/>
            <w:t>78</w:t>
          </w:r>
        </w:p>
        <w:p>
          <w:pPr>
            <w:pStyle w:val="TOC4"/>
            <w:spacing w:line="241" w:lineRule="exact" w:before="0"/>
          </w:pPr>
          <w:r>
            <w:rPr/>
            <w:t>centros escolares</w:t>
          </w:r>
        </w:p>
        <w:p>
          <w:pPr>
            <w:pStyle w:val="TOC4"/>
            <w:numPr>
              <w:ilvl w:val="2"/>
              <w:numId w:val="1"/>
            </w:numPr>
            <w:tabs>
              <w:tab w:pos="2149" w:val="left" w:leader="none"/>
              <w:tab w:pos="9259" w:val="right" w:leader="none"/>
            </w:tabs>
            <w:spacing w:line="240" w:lineRule="auto" w:before="8" w:after="0"/>
            <w:ind w:left="2148" w:right="0" w:hanging="655"/>
            <w:jc w:val="left"/>
          </w:pPr>
          <w:hyperlink w:history="true" w:anchor="_TOC_250010">
            <w:r>
              <w:rPr/>
              <w:t>Factores que limitan </w:t>
            </w:r>
            <w:r>
              <w:rPr>
                <w:spacing w:val="-4"/>
              </w:rPr>
              <w:t>la</w:t>
            </w:r>
            <w:r>
              <w:rPr>
                <w:spacing w:val="16"/>
              </w:rPr>
              <w:t> </w:t>
            </w:r>
            <w:r>
              <w:rPr/>
              <w:t>calidad</w:t>
            </w:r>
            <w:r>
              <w:rPr>
                <w:spacing w:val="3"/>
              </w:rPr>
              <w:t> </w:t>
            </w:r>
            <w:r>
              <w:rPr/>
              <w:t>educativa</w:t>
              <w:tab/>
              <w:t>79</w:t>
            </w:r>
          </w:hyperlink>
        </w:p>
        <w:p>
          <w:pPr>
            <w:pStyle w:val="TOC4"/>
            <w:numPr>
              <w:ilvl w:val="2"/>
              <w:numId w:val="1"/>
            </w:numPr>
            <w:tabs>
              <w:tab w:pos="2151" w:val="left" w:leader="none"/>
              <w:tab w:pos="9259" w:val="right" w:leader="none"/>
            </w:tabs>
            <w:spacing w:line="240" w:lineRule="auto" w:before="128" w:after="0"/>
            <w:ind w:left="2150" w:right="0" w:hanging="657"/>
            <w:jc w:val="left"/>
          </w:pPr>
          <w:hyperlink w:history="true" w:anchor="_TOC_250009">
            <w:r>
              <w:rPr/>
              <w:t>Calidad</w:t>
            </w:r>
            <w:r>
              <w:rPr>
                <w:spacing w:val="-2"/>
              </w:rPr>
              <w:t> </w:t>
            </w:r>
            <w:r>
              <w:rPr/>
              <w:t>y</w:t>
            </w:r>
            <w:r>
              <w:rPr>
                <w:spacing w:val="-2"/>
              </w:rPr>
              <w:t> </w:t>
            </w:r>
            <w:r>
              <w:rPr/>
              <w:t>evaluación</w:t>
              <w:tab/>
              <w:t>80</w:t>
            </w:r>
          </w:hyperlink>
        </w:p>
        <w:p>
          <w:pPr>
            <w:pStyle w:val="TOC4"/>
            <w:numPr>
              <w:ilvl w:val="2"/>
              <w:numId w:val="1"/>
            </w:numPr>
            <w:tabs>
              <w:tab w:pos="2151" w:val="left" w:leader="none"/>
              <w:tab w:pos="9259" w:val="right" w:leader="none"/>
            </w:tabs>
            <w:spacing w:line="240" w:lineRule="auto" w:before="133" w:after="0"/>
            <w:ind w:left="2150" w:right="0" w:hanging="657"/>
            <w:jc w:val="left"/>
          </w:pPr>
          <w:hyperlink w:history="true" w:anchor="_TOC_250008">
            <w:r>
              <w:rPr/>
              <w:t>Problemas conceptuales </w:t>
            </w:r>
            <w:r>
              <w:rPr>
                <w:spacing w:val="3"/>
              </w:rPr>
              <w:t>de</w:t>
            </w:r>
            <w:r>
              <w:rPr/>
              <w:t> </w:t>
            </w:r>
            <w:r>
              <w:rPr>
                <w:spacing w:val="-3"/>
              </w:rPr>
              <w:t>la</w:t>
            </w:r>
            <w:r>
              <w:rPr/>
              <w:t> evaluación</w:t>
              <w:tab/>
              <w:t>82</w:t>
            </w:r>
          </w:hyperlink>
        </w:p>
        <w:p>
          <w:pPr>
            <w:pStyle w:val="TOC1"/>
            <w:tabs>
              <w:tab w:pos="9259" w:val="right" w:leader="none"/>
            </w:tabs>
            <w:spacing w:before="128"/>
            <w:rPr>
              <w:b w:val="0"/>
            </w:rPr>
          </w:pPr>
          <w:r>
            <w:rPr/>
            <w:t>Capítulo </w:t>
          </w:r>
          <w:r>
            <w:rPr>
              <w:spacing w:val="2"/>
            </w:rPr>
            <w:t>2. </w:t>
          </w:r>
          <w:r>
            <w:rPr/>
            <w:t>Escenarios institucionales, actores y juegos</w:t>
          </w:r>
          <w:r>
            <w:rPr>
              <w:spacing w:val="21"/>
            </w:rPr>
            <w:t> </w:t>
          </w:r>
          <w:r>
            <w:rPr/>
            <w:t>de</w:t>
          </w:r>
          <w:r>
            <w:rPr>
              <w:spacing w:val="4"/>
            </w:rPr>
            <w:t> </w:t>
          </w:r>
          <w:r>
            <w:rPr/>
            <w:t>poder</w:t>
          </w:r>
          <w:r>
            <w:rPr>
              <w:b w:val="0"/>
            </w:rPr>
            <w:tab/>
            <w:t>84</w:t>
          </w:r>
        </w:p>
        <w:p>
          <w:pPr>
            <w:pStyle w:val="TOC1"/>
            <w:spacing w:before="123"/>
          </w:pPr>
          <w:r>
            <w:rPr/>
            <w:t>en la política educativa</w:t>
          </w:r>
        </w:p>
        <w:p>
          <w:pPr>
            <w:pStyle w:val="TOC3"/>
            <w:numPr>
              <w:ilvl w:val="1"/>
              <w:numId w:val="2"/>
            </w:numPr>
            <w:tabs>
              <w:tab w:pos="1160" w:val="left" w:leader="none"/>
              <w:tab w:pos="9259" w:val="right" w:leader="none"/>
            </w:tabs>
            <w:spacing w:line="240" w:lineRule="auto" w:before="128" w:after="0"/>
            <w:ind w:left="1159" w:right="0" w:hanging="357"/>
            <w:jc w:val="left"/>
          </w:pPr>
          <w:hyperlink w:history="true" w:anchor="_TOC_250007">
            <w:r>
              <w:rPr/>
              <w:t>El proceso de formulación de</w:t>
            </w:r>
            <w:r>
              <w:rPr>
                <w:spacing w:val="3"/>
              </w:rPr>
              <w:t> </w:t>
            </w:r>
            <w:r>
              <w:rPr/>
              <w:t>políticas públicas</w:t>
              <w:tab/>
              <w:t>85</w:t>
            </w:r>
          </w:hyperlink>
        </w:p>
        <w:p>
          <w:pPr>
            <w:pStyle w:val="TOC4"/>
            <w:numPr>
              <w:ilvl w:val="2"/>
              <w:numId w:val="2"/>
            </w:numPr>
            <w:tabs>
              <w:tab w:pos="2032" w:val="left" w:leader="none"/>
              <w:tab w:pos="9259" w:val="right" w:leader="none"/>
            </w:tabs>
            <w:spacing w:line="241" w:lineRule="exact" w:before="128" w:after="0"/>
            <w:ind w:left="2031" w:right="0" w:hanging="538"/>
            <w:jc w:val="left"/>
          </w:pPr>
          <w:r>
            <w:rPr/>
            <w:t>Elementos clave </w:t>
          </w:r>
          <w:r>
            <w:rPr>
              <w:spacing w:val="3"/>
            </w:rPr>
            <w:t>de </w:t>
          </w:r>
          <w:r>
            <w:rPr>
              <w:spacing w:val="-3"/>
            </w:rPr>
            <w:t>la </w:t>
          </w:r>
          <w:r>
            <w:rPr/>
            <w:t>cooperación para</w:t>
          </w:r>
          <w:r>
            <w:rPr>
              <w:spacing w:val="14"/>
            </w:rPr>
            <w:t> </w:t>
          </w:r>
          <w:r>
            <w:rPr>
              <w:spacing w:val="-5"/>
            </w:rPr>
            <w:t>la</w:t>
          </w:r>
          <w:r>
            <w:rPr>
              <w:spacing w:val="6"/>
            </w:rPr>
            <w:t> </w:t>
          </w:r>
          <w:r>
            <w:rPr/>
            <w:t>formulación</w:t>
            <w:tab/>
            <w:t>88</w:t>
          </w:r>
        </w:p>
        <w:p>
          <w:pPr>
            <w:pStyle w:val="TOC4"/>
            <w:spacing w:line="241" w:lineRule="exact" w:before="0"/>
          </w:pPr>
          <w:r>
            <w:rPr/>
            <w:t>de políticas</w:t>
          </w:r>
        </w:p>
        <w:p>
          <w:pPr>
            <w:pStyle w:val="TOC4"/>
            <w:numPr>
              <w:ilvl w:val="2"/>
              <w:numId w:val="2"/>
            </w:numPr>
            <w:tabs>
              <w:tab w:pos="2033" w:val="left" w:leader="none"/>
              <w:tab w:pos="9259" w:val="right" w:leader="none"/>
            </w:tabs>
            <w:spacing w:line="241" w:lineRule="exact" w:before="13" w:after="0"/>
            <w:ind w:left="2032" w:right="0" w:hanging="539"/>
            <w:jc w:val="left"/>
          </w:pPr>
          <w:r>
            <w:rPr/>
            <w:t>Actores y escenarios institucionales </w:t>
          </w:r>
          <w:r>
            <w:rPr>
              <w:spacing w:val="-3"/>
            </w:rPr>
            <w:t>en </w:t>
          </w:r>
          <w:r>
            <w:rPr/>
            <w:t>los</w:t>
          </w:r>
          <w:r>
            <w:rPr>
              <w:spacing w:val="25"/>
            </w:rPr>
            <w:t> </w:t>
          </w:r>
          <w:r>
            <w:rPr/>
            <w:t>juegos</w:t>
          </w:r>
          <w:r>
            <w:rPr>
              <w:spacing w:val="1"/>
            </w:rPr>
            <w:t> </w:t>
          </w:r>
          <w:r>
            <w:rPr>
              <w:spacing w:val="3"/>
            </w:rPr>
            <w:t>de</w:t>
            <w:tab/>
          </w:r>
          <w:r>
            <w:rPr/>
            <w:t>90</w:t>
          </w:r>
        </w:p>
        <w:p>
          <w:pPr>
            <w:pStyle w:val="TOC4"/>
            <w:spacing w:line="241" w:lineRule="exact" w:before="0"/>
          </w:pPr>
          <w:r>
            <w:rPr/>
            <w:t>poder</w:t>
          </w:r>
        </w:p>
        <w:p>
          <w:pPr>
            <w:pStyle w:val="TOC3"/>
            <w:numPr>
              <w:ilvl w:val="1"/>
              <w:numId w:val="2"/>
            </w:numPr>
            <w:tabs>
              <w:tab w:pos="1162" w:val="left" w:leader="none"/>
              <w:tab w:pos="9259" w:val="right" w:leader="none"/>
            </w:tabs>
            <w:spacing w:line="240" w:lineRule="auto" w:before="13" w:after="0"/>
            <w:ind w:left="1161" w:right="0" w:hanging="359"/>
            <w:jc w:val="left"/>
          </w:pPr>
          <w:hyperlink w:history="true" w:anchor="_TOC_250006">
            <w:r>
              <w:rPr/>
              <w:t>El juego político del</w:t>
            </w:r>
            <w:r>
              <w:rPr>
                <w:spacing w:val="3"/>
              </w:rPr>
              <w:t> </w:t>
            </w:r>
            <w:r>
              <w:rPr/>
              <w:t>Poder</w:t>
            </w:r>
            <w:r>
              <w:rPr>
                <w:spacing w:val="-6"/>
              </w:rPr>
              <w:t> </w:t>
            </w:r>
            <w:r>
              <w:rPr/>
              <w:t>Ejecutivo</w:t>
              <w:tab/>
              <w:t>90</w:t>
            </w:r>
          </w:hyperlink>
        </w:p>
        <w:p>
          <w:pPr>
            <w:pStyle w:val="TOC4"/>
            <w:numPr>
              <w:ilvl w:val="2"/>
              <w:numId w:val="2"/>
            </w:numPr>
            <w:tabs>
              <w:tab w:pos="2031" w:val="left" w:leader="none"/>
              <w:tab w:pos="9259" w:val="right" w:leader="none"/>
            </w:tabs>
            <w:spacing w:line="238" w:lineRule="exact" w:before="128" w:after="0"/>
            <w:ind w:left="2030" w:right="0" w:hanging="537"/>
            <w:jc w:val="left"/>
          </w:pPr>
          <w:r>
            <w:rPr/>
            <w:t>Las facultades presidenciales </w:t>
          </w:r>
          <w:r>
            <w:rPr>
              <w:spacing w:val="2"/>
            </w:rPr>
            <w:t>en </w:t>
          </w:r>
          <w:r>
            <w:rPr/>
            <w:t>el</w:t>
          </w:r>
          <w:r>
            <w:rPr>
              <w:spacing w:val="6"/>
            </w:rPr>
            <w:t> </w:t>
          </w:r>
          <w:r>
            <w:rPr/>
            <w:t>proceso</w:t>
          </w:r>
          <w:r>
            <w:rPr>
              <w:spacing w:val="-5"/>
            </w:rPr>
            <w:t> </w:t>
          </w:r>
          <w:r>
            <w:rPr/>
            <w:t>de</w:t>
            <w:tab/>
            <w:t>93</w:t>
          </w:r>
        </w:p>
        <w:p>
          <w:pPr>
            <w:pStyle w:val="TOC4"/>
            <w:spacing w:line="238" w:lineRule="exact" w:before="0"/>
          </w:pPr>
          <w:r>
            <w:rPr/>
            <w:t>formulación de políticas</w:t>
          </w:r>
        </w:p>
        <w:p>
          <w:pPr>
            <w:pStyle w:val="TOC4"/>
            <w:numPr>
              <w:ilvl w:val="2"/>
              <w:numId w:val="2"/>
            </w:numPr>
            <w:tabs>
              <w:tab w:pos="2033" w:val="left" w:leader="none"/>
              <w:tab w:pos="9259" w:val="right" w:leader="none"/>
            </w:tabs>
            <w:spacing w:line="240" w:lineRule="auto" w:before="13" w:after="0"/>
            <w:ind w:left="2032" w:right="0" w:hanging="539"/>
            <w:jc w:val="left"/>
          </w:pPr>
          <w:hyperlink w:history="true" w:anchor="_TOC_250005">
            <w:r>
              <w:rPr/>
              <w:t>El presidente, </w:t>
            </w:r>
            <w:r>
              <w:rPr>
                <w:spacing w:val="-3"/>
              </w:rPr>
              <w:t>los </w:t>
            </w:r>
            <w:r>
              <w:rPr/>
              <w:t>maestros y el</w:t>
            </w:r>
            <w:r>
              <w:rPr>
                <w:spacing w:val="12"/>
              </w:rPr>
              <w:t> </w:t>
            </w:r>
            <w:r>
              <w:rPr/>
              <w:t>sindicato</w:t>
            </w:r>
            <w:r>
              <w:rPr>
                <w:spacing w:val="2"/>
              </w:rPr>
              <w:t> </w:t>
            </w:r>
            <w:r>
              <w:rPr/>
              <w:t>magisterial</w:t>
              <w:tab/>
              <w:t>96</w:t>
            </w:r>
          </w:hyperlink>
        </w:p>
        <w:p>
          <w:pPr>
            <w:pStyle w:val="TOC4"/>
            <w:numPr>
              <w:ilvl w:val="2"/>
              <w:numId w:val="2"/>
            </w:numPr>
            <w:tabs>
              <w:tab w:pos="2032" w:val="left" w:leader="none"/>
              <w:tab w:pos="9254" w:val="right" w:leader="none"/>
            </w:tabs>
            <w:spacing w:line="240" w:lineRule="auto" w:before="128" w:after="0"/>
            <w:ind w:left="2031" w:right="0" w:hanging="538"/>
            <w:jc w:val="left"/>
          </w:pPr>
          <w:hyperlink w:history="true" w:anchor="_TOC_250004">
            <w:r>
              <w:rPr/>
              <w:t>Burocracias autónomas y</w:t>
            </w:r>
            <w:r>
              <w:rPr>
                <w:spacing w:val="8"/>
              </w:rPr>
              <w:t> </w:t>
            </w:r>
            <w:r>
              <w:rPr/>
              <w:t>sindicato magisterial</w:t>
              <w:tab/>
              <w:t>105</w:t>
            </w:r>
          </w:hyperlink>
        </w:p>
        <w:p>
          <w:pPr>
            <w:pStyle w:val="TOC3"/>
            <w:numPr>
              <w:ilvl w:val="1"/>
              <w:numId w:val="2"/>
            </w:numPr>
            <w:tabs>
              <w:tab w:pos="1163" w:val="left" w:leader="none"/>
              <w:tab w:pos="9254" w:val="right" w:leader="none"/>
            </w:tabs>
            <w:spacing w:line="240" w:lineRule="auto" w:before="128" w:after="0"/>
            <w:ind w:left="1162" w:right="0" w:hanging="360"/>
            <w:jc w:val="left"/>
          </w:pPr>
          <w:hyperlink w:history="true" w:anchor="_TOC_250003">
            <w:r>
              <w:rPr/>
              <w:t>El poder legislativo como actor en los juegos</w:t>
            </w:r>
            <w:r>
              <w:rPr>
                <w:spacing w:val="9"/>
              </w:rPr>
              <w:t> </w:t>
            </w:r>
            <w:r>
              <w:rPr/>
              <w:t>de</w:t>
            </w:r>
            <w:r>
              <w:rPr>
                <w:spacing w:val="2"/>
              </w:rPr>
              <w:t> </w:t>
            </w:r>
            <w:r>
              <w:rPr/>
              <w:t>poder</w:t>
              <w:tab/>
              <w:t>106</w:t>
            </w:r>
          </w:hyperlink>
        </w:p>
        <w:p>
          <w:pPr>
            <w:pStyle w:val="TOC4"/>
            <w:numPr>
              <w:ilvl w:val="2"/>
              <w:numId w:val="2"/>
            </w:numPr>
            <w:tabs>
              <w:tab w:pos="2034" w:val="left" w:leader="none"/>
              <w:tab w:pos="9254" w:val="right" w:leader="none"/>
            </w:tabs>
            <w:spacing w:line="240" w:lineRule="auto" w:before="123" w:after="0"/>
            <w:ind w:left="2033" w:right="0" w:hanging="540"/>
            <w:jc w:val="left"/>
          </w:pPr>
          <w:hyperlink w:history="true" w:anchor="_TOC_250002">
            <w:r>
              <w:rPr/>
              <w:t>El desarrollo institucional del</w:t>
            </w:r>
            <w:r>
              <w:rPr>
                <w:spacing w:val="2"/>
              </w:rPr>
              <w:t> </w:t>
            </w:r>
            <w:r>
              <w:rPr/>
              <w:t>congreso</w:t>
            </w:r>
            <w:r>
              <w:rPr>
                <w:spacing w:val="2"/>
              </w:rPr>
              <w:t> </w:t>
            </w:r>
            <w:r>
              <w:rPr/>
              <w:t>mexicano</w:t>
              <w:tab/>
              <w:t>110</w:t>
            </w:r>
          </w:hyperlink>
        </w:p>
        <w:p>
          <w:pPr>
            <w:pStyle w:val="TOC4"/>
            <w:numPr>
              <w:ilvl w:val="2"/>
              <w:numId w:val="2"/>
            </w:numPr>
            <w:tabs>
              <w:tab w:pos="2034" w:val="left" w:leader="none"/>
              <w:tab w:pos="9254" w:val="right" w:leader="none"/>
            </w:tabs>
            <w:spacing w:line="240" w:lineRule="auto" w:before="128" w:after="0"/>
            <w:ind w:left="2033" w:right="0" w:hanging="540"/>
            <w:jc w:val="left"/>
          </w:pPr>
          <w:hyperlink w:history="true" w:anchor="_TOC_250001">
            <w:r>
              <w:rPr/>
              <w:t>El congreso y la</w:t>
            </w:r>
            <w:r>
              <w:rPr>
                <w:spacing w:val="-2"/>
              </w:rPr>
              <w:t> </w:t>
            </w:r>
            <w:r>
              <w:rPr/>
              <w:t>política</w:t>
            </w:r>
            <w:r>
              <w:rPr>
                <w:spacing w:val="1"/>
              </w:rPr>
              <w:t> </w:t>
            </w:r>
            <w:r>
              <w:rPr/>
              <w:t>educativa</w:t>
              <w:tab/>
              <w:t>118</w:t>
            </w:r>
          </w:hyperlink>
        </w:p>
        <w:p>
          <w:pPr>
            <w:pStyle w:val="TOC3"/>
            <w:numPr>
              <w:ilvl w:val="1"/>
              <w:numId w:val="2"/>
            </w:numPr>
            <w:tabs>
              <w:tab w:pos="1161" w:val="left" w:leader="none"/>
              <w:tab w:pos="9254" w:val="right" w:leader="none"/>
            </w:tabs>
            <w:spacing w:line="240" w:lineRule="auto" w:before="128" w:after="0"/>
            <w:ind w:left="1160" w:right="0" w:hanging="358"/>
            <w:jc w:val="left"/>
          </w:pPr>
          <w:hyperlink w:history="true" w:anchor="_TOC_250000">
            <w:r>
              <w:rPr/>
              <w:t>El papel de las autoridades subnacionales</w:t>
            </w:r>
            <w:r>
              <w:rPr>
                <w:spacing w:val="20"/>
              </w:rPr>
              <w:t> </w:t>
            </w:r>
            <w:r>
              <w:rPr/>
              <w:t>(los</w:t>
            </w:r>
            <w:r>
              <w:rPr>
                <w:spacing w:val="2"/>
              </w:rPr>
              <w:t> </w:t>
            </w:r>
            <w:r>
              <w:rPr/>
              <w:t>gobernadores)</w:t>
              <w:tab/>
              <w:t>121</w:t>
            </w:r>
          </w:hyperlink>
        </w:p>
      </w:sdtContent>
    </w:sdt>
    <w:p>
      <w:pPr>
        <w:spacing w:after="0" w:line="240" w:lineRule="auto"/>
        <w:jc w:val="left"/>
        <w:sectPr>
          <w:type w:val="continuous"/>
          <w:pgSz w:w="11910" w:h="16840"/>
          <w:pgMar w:top="1600" w:bottom="2522" w:left="1540" w:right="1000"/>
        </w:sectPr>
      </w:pPr>
    </w:p>
    <w:p>
      <w:pPr>
        <w:pStyle w:val="ListParagraph"/>
        <w:numPr>
          <w:ilvl w:val="2"/>
          <w:numId w:val="2"/>
        </w:numPr>
        <w:tabs>
          <w:tab w:pos="2032" w:val="left" w:leader="none"/>
        </w:tabs>
        <w:spacing w:line="367" w:lineRule="auto" w:before="128" w:after="0"/>
        <w:ind w:left="1493" w:right="0" w:firstLine="0"/>
        <w:jc w:val="left"/>
        <w:rPr>
          <w:sz w:val="21"/>
        </w:rPr>
      </w:pPr>
      <w:r>
        <w:rPr>
          <w:sz w:val="21"/>
        </w:rPr>
        <w:t>El marco institucional </w:t>
      </w:r>
      <w:r>
        <w:rPr>
          <w:spacing w:val="-3"/>
          <w:sz w:val="21"/>
        </w:rPr>
        <w:t>de </w:t>
      </w:r>
      <w:r>
        <w:rPr>
          <w:sz w:val="21"/>
        </w:rPr>
        <w:t>los gobiernos estatales </w:t>
      </w:r>
      <w:r>
        <w:rPr>
          <w:spacing w:val="3"/>
          <w:sz w:val="21"/>
        </w:rPr>
        <w:t>en </w:t>
      </w:r>
      <w:r>
        <w:rPr>
          <w:sz w:val="21"/>
        </w:rPr>
        <w:t>México</w:t>
      </w:r>
    </w:p>
    <w:p>
      <w:pPr>
        <w:spacing w:before="128"/>
        <w:ind w:left="0" w:right="106" w:firstLine="0"/>
        <w:jc w:val="right"/>
        <w:rPr>
          <w:sz w:val="21"/>
        </w:rPr>
      </w:pPr>
      <w:r>
        <w:rPr/>
        <w:br w:type="column"/>
      </w:r>
      <w:r>
        <w:rPr>
          <w:sz w:val="21"/>
        </w:rPr>
        <w:t>123</w:t>
      </w:r>
    </w:p>
    <w:p>
      <w:pPr>
        <w:spacing w:after="0"/>
        <w:jc w:val="right"/>
        <w:rPr>
          <w:sz w:val="21"/>
        </w:rPr>
        <w:sectPr>
          <w:type w:val="continuous"/>
          <w:pgSz w:w="11910" w:h="16840"/>
          <w:pgMar w:top="1380" w:bottom="280" w:left="1540" w:right="1000"/>
          <w:cols w:num="2" w:equalWidth="0">
            <w:col w:w="6902" w:space="505"/>
            <w:col w:w="1963"/>
          </w:cols>
        </w:sectPr>
      </w:pPr>
    </w:p>
    <w:p>
      <w:pPr>
        <w:pStyle w:val="ListParagraph"/>
        <w:numPr>
          <w:ilvl w:val="2"/>
          <w:numId w:val="3"/>
        </w:numPr>
        <w:tabs>
          <w:tab w:pos="2034" w:val="left" w:leader="none"/>
          <w:tab w:pos="9254" w:val="right" w:leader="none"/>
        </w:tabs>
        <w:spacing w:line="240" w:lineRule="auto" w:before="3" w:after="0"/>
        <w:ind w:left="2033" w:right="0" w:hanging="540"/>
        <w:jc w:val="left"/>
        <w:rPr>
          <w:sz w:val="21"/>
        </w:rPr>
      </w:pPr>
      <w:r>
        <w:rPr>
          <w:spacing w:val="-3"/>
          <w:sz w:val="21"/>
        </w:rPr>
        <w:t>Los </w:t>
      </w:r>
      <w:r>
        <w:rPr>
          <w:sz w:val="21"/>
        </w:rPr>
        <w:t>gobernadores y el</w:t>
      </w:r>
      <w:r>
        <w:rPr>
          <w:spacing w:val="17"/>
          <w:sz w:val="21"/>
        </w:rPr>
        <w:t> </w:t>
      </w:r>
      <w:r>
        <w:rPr>
          <w:sz w:val="21"/>
        </w:rPr>
        <w:t>federalismo</w:t>
      </w:r>
      <w:r>
        <w:rPr>
          <w:spacing w:val="2"/>
          <w:sz w:val="21"/>
        </w:rPr>
        <w:t> </w:t>
      </w:r>
      <w:r>
        <w:rPr>
          <w:sz w:val="21"/>
        </w:rPr>
        <w:t>educativo</w:t>
        <w:tab/>
        <w:t>128</w:t>
      </w:r>
    </w:p>
    <w:p>
      <w:pPr>
        <w:pStyle w:val="ListParagraph"/>
        <w:numPr>
          <w:ilvl w:val="2"/>
          <w:numId w:val="3"/>
        </w:numPr>
        <w:tabs>
          <w:tab w:pos="2031" w:val="left" w:leader="none"/>
          <w:tab w:pos="9254" w:val="right" w:leader="none"/>
        </w:tabs>
        <w:spacing w:line="240" w:lineRule="auto" w:before="133" w:after="0"/>
        <w:ind w:left="2030" w:right="0" w:hanging="537"/>
        <w:jc w:val="left"/>
        <w:rPr>
          <w:sz w:val="21"/>
        </w:rPr>
      </w:pPr>
      <w:r>
        <w:rPr>
          <w:sz w:val="21"/>
        </w:rPr>
        <w:t>La estructura centralizada del</w:t>
      </w:r>
      <w:r>
        <w:rPr>
          <w:spacing w:val="-4"/>
          <w:sz w:val="21"/>
        </w:rPr>
        <w:t> </w:t>
      </w:r>
      <w:r>
        <w:rPr>
          <w:sz w:val="21"/>
        </w:rPr>
        <w:t>gasto educativo</w:t>
        <w:tab/>
        <w:t>134</w:t>
      </w:r>
    </w:p>
    <w:p>
      <w:pPr>
        <w:spacing w:after="0" w:line="240" w:lineRule="auto"/>
        <w:jc w:val="left"/>
        <w:rPr>
          <w:sz w:val="21"/>
        </w:rPr>
        <w:sectPr>
          <w:type w:val="continuous"/>
          <w:pgSz w:w="11910" w:h="16840"/>
          <w:pgMar w:top="1380" w:bottom="280" w:left="1540" w:right="1000"/>
        </w:sectPr>
      </w:pPr>
    </w:p>
    <w:p>
      <w:pPr>
        <w:tabs>
          <w:tab w:pos="9254" w:val="right" w:leader="none"/>
        </w:tabs>
        <w:spacing w:before="499"/>
        <w:ind w:left="115" w:right="0" w:firstLine="0"/>
        <w:jc w:val="left"/>
        <w:rPr>
          <w:sz w:val="21"/>
        </w:rPr>
      </w:pPr>
      <w:r>
        <w:rPr>
          <w:b/>
          <w:sz w:val="21"/>
        </w:rPr>
        <w:t>Capítulo </w:t>
      </w:r>
      <w:r>
        <w:rPr>
          <w:b/>
          <w:spacing w:val="2"/>
          <w:sz w:val="21"/>
        </w:rPr>
        <w:t>3. </w:t>
      </w:r>
      <w:r>
        <w:rPr>
          <w:b/>
          <w:sz w:val="21"/>
        </w:rPr>
        <w:t>Las dimensiones </w:t>
      </w:r>
      <w:r>
        <w:rPr>
          <w:b/>
          <w:spacing w:val="-3"/>
          <w:sz w:val="21"/>
        </w:rPr>
        <w:t>del </w:t>
      </w:r>
      <w:r>
        <w:rPr>
          <w:b/>
          <w:sz w:val="21"/>
        </w:rPr>
        <w:t>rezago </w:t>
      </w:r>
      <w:r>
        <w:rPr>
          <w:b/>
          <w:spacing w:val="2"/>
          <w:sz w:val="21"/>
        </w:rPr>
        <w:t>en </w:t>
      </w:r>
      <w:r>
        <w:rPr>
          <w:b/>
          <w:spacing w:val="-4"/>
          <w:sz w:val="21"/>
        </w:rPr>
        <w:t>la</w:t>
      </w:r>
      <w:r>
        <w:rPr>
          <w:b/>
          <w:spacing w:val="29"/>
          <w:sz w:val="21"/>
        </w:rPr>
        <w:t> </w:t>
      </w:r>
      <w:r>
        <w:rPr>
          <w:b/>
          <w:sz w:val="21"/>
        </w:rPr>
        <w:t>calidad</w:t>
      </w:r>
      <w:r>
        <w:rPr>
          <w:b/>
          <w:spacing w:val="4"/>
          <w:sz w:val="21"/>
        </w:rPr>
        <w:t> </w:t>
      </w:r>
      <w:r>
        <w:rPr>
          <w:b/>
          <w:sz w:val="21"/>
        </w:rPr>
        <w:t>educativa</w:t>
      </w:r>
      <w:r>
        <w:rPr>
          <w:sz w:val="21"/>
        </w:rPr>
        <w:tab/>
        <w:t>144</w:t>
      </w:r>
    </w:p>
    <w:p>
      <w:pPr>
        <w:spacing w:after="0"/>
        <w:jc w:val="left"/>
        <w:rPr>
          <w:sz w:val="21"/>
        </w:rPr>
        <w:sectPr>
          <w:pgSz w:w="11910" w:h="16840"/>
          <w:pgMar w:top="1580" w:bottom="280" w:left="1540" w:right="1000"/>
        </w:sectPr>
      </w:pPr>
    </w:p>
    <w:p>
      <w:pPr>
        <w:spacing w:line="367" w:lineRule="auto" w:before="497"/>
        <w:ind w:left="115" w:right="0" w:firstLine="0"/>
        <w:jc w:val="left"/>
        <w:rPr>
          <w:b/>
          <w:sz w:val="21"/>
        </w:rPr>
      </w:pPr>
      <w:r>
        <w:rPr>
          <w:b/>
          <w:sz w:val="21"/>
        </w:rPr>
        <w:t>Capítulo 4. Las políticas de la calidad educativa en los sexenios del PAN: El límite del Presidente en los juegos de  poder</w:t>
      </w:r>
    </w:p>
    <w:p>
      <w:pPr>
        <w:spacing w:before="502"/>
        <w:ind w:left="115" w:right="0" w:firstLine="0"/>
        <w:jc w:val="left"/>
        <w:rPr>
          <w:sz w:val="21"/>
        </w:rPr>
      </w:pPr>
      <w:r>
        <w:rPr/>
        <w:br w:type="column"/>
      </w:r>
      <w:r>
        <w:rPr>
          <w:sz w:val="21"/>
        </w:rPr>
        <w:t>181</w:t>
      </w:r>
    </w:p>
    <w:p>
      <w:pPr>
        <w:spacing w:after="0"/>
        <w:jc w:val="left"/>
        <w:rPr>
          <w:sz w:val="21"/>
        </w:rPr>
        <w:sectPr>
          <w:type w:val="continuous"/>
          <w:pgSz w:w="11910" w:h="16840"/>
          <w:pgMar w:top="1380" w:bottom="280" w:left="1540" w:right="1000"/>
          <w:cols w:num="2" w:equalWidth="0">
            <w:col w:w="6986" w:space="1798"/>
            <w:col w:w="586"/>
          </w:cols>
        </w:sectPr>
      </w:pPr>
    </w:p>
    <w:p>
      <w:pPr>
        <w:pStyle w:val="ListParagraph"/>
        <w:numPr>
          <w:ilvl w:val="1"/>
          <w:numId w:val="4"/>
        </w:numPr>
        <w:tabs>
          <w:tab w:pos="1162" w:val="left" w:leader="none"/>
          <w:tab w:pos="9254" w:val="right" w:leader="none"/>
        </w:tabs>
        <w:spacing w:line="240" w:lineRule="auto" w:before="8" w:after="0"/>
        <w:ind w:left="802" w:right="0" w:firstLine="0"/>
        <w:jc w:val="left"/>
        <w:rPr>
          <w:sz w:val="21"/>
        </w:rPr>
      </w:pPr>
      <w:r>
        <w:rPr>
          <w:sz w:val="21"/>
        </w:rPr>
        <w:t>Compromiso Social por</w:t>
      </w:r>
      <w:r>
        <w:rPr>
          <w:spacing w:val="3"/>
          <w:sz w:val="21"/>
        </w:rPr>
        <w:t> </w:t>
      </w:r>
      <w:r>
        <w:rPr>
          <w:spacing w:val="-3"/>
          <w:sz w:val="21"/>
        </w:rPr>
        <w:t>la</w:t>
      </w:r>
      <w:r>
        <w:rPr>
          <w:sz w:val="21"/>
        </w:rPr>
        <w:t> Educación</w:t>
        <w:tab/>
        <w:t>182</w:t>
      </w:r>
    </w:p>
    <w:p>
      <w:pPr>
        <w:pStyle w:val="ListParagraph"/>
        <w:numPr>
          <w:ilvl w:val="2"/>
          <w:numId w:val="4"/>
        </w:numPr>
        <w:tabs>
          <w:tab w:pos="2032" w:val="left" w:leader="none"/>
          <w:tab w:pos="9254" w:val="right" w:leader="none"/>
        </w:tabs>
        <w:spacing w:line="240" w:lineRule="auto" w:before="123" w:after="0"/>
        <w:ind w:left="2031" w:right="0" w:hanging="538"/>
        <w:jc w:val="left"/>
        <w:rPr>
          <w:sz w:val="21"/>
        </w:rPr>
      </w:pPr>
      <w:r>
        <w:rPr>
          <w:sz w:val="21"/>
        </w:rPr>
        <w:t>El </w:t>
      </w:r>
      <w:r>
        <w:rPr>
          <w:i/>
          <w:sz w:val="21"/>
        </w:rPr>
        <w:t>Compromiso </w:t>
      </w:r>
      <w:r>
        <w:rPr>
          <w:sz w:val="21"/>
        </w:rPr>
        <w:t>y los juegos</w:t>
      </w:r>
      <w:r>
        <w:rPr>
          <w:spacing w:val="12"/>
          <w:sz w:val="21"/>
        </w:rPr>
        <w:t> </w:t>
      </w:r>
      <w:r>
        <w:rPr>
          <w:sz w:val="21"/>
        </w:rPr>
        <w:t>de</w:t>
      </w:r>
      <w:r>
        <w:rPr>
          <w:spacing w:val="2"/>
          <w:sz w:val="21"/>
        </w:rPr>
        <w:t> </w:t>
      </w:r>
      <w:r>
        <w:rPr>
          <w:sz w:val="21"/>
        </w:rPr>
        <w:t>poder</w:t>
        <w:tab/>
        <w:t>186</w:t>
      </w:r>
    </w:p>
    <w:p>
      <w:pPr>
        <w:pStyle w:val="ListParagraph"/>
        <w:numPr>
          <w:ilvl w:val="2"/>
          <w:numId w:val="4"/>
        </w:numPr>
        <w:tabs>
          <w:tab w:pos="2034" w:val="left" w:leader="none"/>
          <w:tab w:pos="9254" w:val="right" w:leader="none"/>
        </w:tabs>
        <w:spacing w:line="240" w:lineRule="auto" w:before="128" w:after="0"/>
        <w:ind w:left="2033" w:right="0" w:hanging="540"/>
        <w:jc w:val="left"/>
        <w:rPr>
          <w:sz w:val="21"/>
        </w:rPr>
      </w:pPr>
      <w:r>
        <w:rPr>
          <w:sz w:val="21"/>
        </w:rPr>
        <w:t>Autoridades educativas (federal</w:t>
      </w:r>
      <w:r>
        <w:rPr>
          <w:spacing w:val="6"/>
          <w:sz w:val="21"/>
        </w:rPr>
        <w:t> </w:t>
      </w:r>
      <w:r>
        <w:rPr>
          <w:sz w:val="21"/>
        </w:rPr>
        <w:t>y</w:t>
      </w:r>
      <w:r>
        <w:rPr>
          <w:spacing w:val="-4"/>
          <w:sz w:val="21"/>
        </w:rPr>
        <w:t> </w:t>
      </w:r>
      <w:r>
        <w:rPr>
          <w:sz w:val="21"/>
        </w:rPr>
        <w:t>estatales)</w:t>
        <w:tab/>
        <w:t>187</w:t>
      </w:r>
    </w:p>
    <w:p>
      <w:pPr>
        <w:pStyle w:val="ListParagraph"/>
        <w:numPr>
          <w:ilvl w:val="1"/>
          <w:numId w:val="4"/>
        </w:numPr>
        <w:tabs>
          <w:tab w:pos="1162" w:val="left" w:leader="none"/>
          <w:tab w:pos="9254" w:val="right" w:leader="none"/>
        </w:tabs>
        <w:spacing w:line="240" w:lineRule="auto" w:before="128" w:after="0"/>
        <w:ind w:left="1161" w:right="0" w:hanging="359"/>
        <w:jc w:val="left"/>
        <w:rPr>
          <w:sz w:val="21"/>
        </w:rPr>
      </w:pPr>
      <w:r>
        <w:rPr>
          <w:sz w:val="21"/>
        </w:rPr>
        <w:t>El compromiso de</w:t>
      </w:r>
      <w:r>
        <w:rPr>
          <w:spacing w:val="2"/>
          <w:sz w:val="21"/>
        </w:rPr>
        <w:t> </w:t>
      </w:r>
      <w:r>
        <w:rPr>
          <w:sz w:val="21"/>
        </w:rPr>
        <w:t>los legisladores</w:t>
        <w:tab/>
        <w:t>187</w:t>
      </w:r>
    </w:p>
    <w:p>
      <w:pPr>
        <w:pStyle w:val="ListParagraph"/>
        <w:numPr>
          <w:ilvl w:val="1"/>
          <w:numId w:val="4"/>
        </w:numPr>
        <w:tabs>
          <w:tab w:pos="1163" w:val="left" w:leader="none"/>
          <w:tab w:pos="9254" w:val="right" w:leader="none"/>
        </w:tabs>
        <w:spacing w:line="240" w:lineRule="auto" w:before="128" w:after="0"/>
        <w:ind w:left="1162" w:right="0" w:hanging="360"/>
        <w:jc w:val="left"/>
        <w:rPr>
          <w:sz w:val="21"/>
        </w:rPr>
      </w:pPr>
      <w:r>
        <w:rPr>
          <w:sz w:val="21"/>
        </w:rPr>
        <w:t>El compromiso del SNTE y </w:t>
      </w:r>
      <w:r>
        <w:rPr>
          <w:spacing w:val="-3"/>
          <w:sz w:val="21"/>
        </w:rPr>
        <w:t>los </w:t>
      </w:r>
      <w:r>
        <w:rPr>
          <w:sz w:val="21"/>
        </w:rPr>
        <w:t>trabajadores </w:t>
      </w:r>
      <w:r>
        <w:rPr>
          <w:spacing w:val="-3"/>
          <w:sz w:val="21"/>
        </w:rPr>
        <w:t>de</w:t>
      </w:r>
      <w:r>
        <w:rPr>
          <w:spacing w:val="32"/>
          <w:sz w:val="21"/>
        </w:rPr>
        <w:t> </w:t>
      </w:r>
      <w:r>
        <w:rPr>
          <w:sz w:val="21"/>
        </w:rPr>
        <w:t>la</w:t>
      </w:r>
      <w:r>
        <w:rPr>
          <w:spacing w:val="4"/>
          <w:sz w:val="21"/>
        </w:rPr>
        <w:t> </w:t>
      </w:r>
      <w:r>
        <w:rPr>
          <w:sz w:val="21"/>
        </w:rPr>
        <w:t>educación</w:t>
        <w:tab/>
        <w:t>188</w:t>
      </w:r>
    </w:p>
    <w:p>
      <w:pPr>
        <w:pStyle w:val="ListParagraph"/>
        <w:numPr>
          <w:ilvl w:val="1"/>
          <w:numId w:val="4"/>
        </w:numPr>
        <w:tabs>
          <w:tab w:pos="1161" w:val="left" w:leader="none"/>
          <w:tab w:pos="9254" w:val="right" w:leader="none"/>
        </w:tabs>
        <w:spacing w:line="240" w:lineRule="auto" w:before="128" w:after="0"/>
        <w:ind w:left="1160" w:right="0" w:hanging="358"/>
        <w:jc w:val="left"/>
        <w:rPr>
          <w:sz w:val="21"/>
        </w:rPr>
      </w:pPr>
      <w:r>
        <w:rPr>
          <w:sz w:val="21"/>
        </w:rPr>
        <w:t>El Instituto Nacional de Evaluación</w:t>
      </w:r>
      <w:r>
        <w:rPr>
          <w:spacing w:val="1"/>
          <w:sz w:val="21"/>
        </w:rPr>
        <w:t> </w:t>
      </w:r>
      <w:r>
        <w:rPr>
          <w:sz w:val="21"/>
        </w:rPr>
        <w:t>Educativa</w:t>
      </w:r>
      <w:r>
        <w:rPr>
          <w:spacing w:val="1"/>
          <w:sz w:val="21"/>
        </w:rPr>
        <w:t> </w:t>
      </w:r>
      <w:r>
        <w:rPr>
          <w:sz w:val="21"/>
        </w:rPr>
        <w:t>(INEE)</w:t>
        <w:tab/>
        <w:t>191</w:t>
      </w:r>
    </w:p>
    <w:p>
      <w:pPr>
        <w:pStyle w:val="ListParagraph"/>
        <w:numPr>
          <w:ilvl w:val="1"/>
          <w:numId w:val="4"/>
        </w:numPr>
        <w:tabs>
          <w:tab w:pos="1165" w:val="left" w:leader="none"/>
          <w:tab w:pos="9254" w:val="right" w:leader="none"/>
        </w:tabs>
        <w:spacing w:line="240" w:lineRule="auto" w:before="128" w:after="0"/>
        <w:ind w:left="1164" w:right="0" w:hanging="362"/>
        <w:jc w:val="left"/>
        <w:rPr>
          <w:sz w:val="21"/>
        </w:rPr>
      </w:pPr>
      <w:r>
        <w:rPr>
          <w:sz w:val="21"/>
        </w:rPr>
        <w:t>Programa Escuelas </w:t>
      </w:r>
      <w:r>
        <w:rPr>
          <w:spacing w:val="-3"/>
          <w:sz w:val="21"/>
        </w:rPr>
        <w:t>de</w:t>
      </w:r>
      <w:r>
        <w:rPr>
          <w:spacing w:val="13"/>
          <w:sz w:val="21"/>
        </w:rPr>
        <w:t> </w:t>
      </w:r>
      <w:r>
        <w:rPr>
          <w:sz w:val="21"/>
        </w:rPr>
        <w:t>Calidad</w:t>
      </w:r>
      <w:r>
        <w:rPr>
          <w:spacing w:val="3"/>
          <w:sz w:val="21"/>
        </w:rPr>
        <w:t> </w:t>
      </w:r>
      <w:r>
        <w:rPr>
          <w:sz w:val="21"/>
        </w:rPr>
        <w:t>(PEC)</w:t>
        <w:tab/>
        <w:t>198</w:t>
      </w:r>
    </w:p>
    <w:p>
      <w:pPr>
        <w:pStyle w:val="ListParagraph"/>
        <w:numPr>
          <w:ilvl w:val="2"/>
          <w:numId w:val="4"/>
        </w:numPr>
        <w:tabs>
          <w:tab w:pos="2033" w:val="left" w:leader="none"/>
          <w:tab w:pos="9254" w:val="right" w:leader="none"/>
        </w:tabs>
        <w:spacing w:line="240" w:lineRule="auto" w:before="128" w:after="0"/>
        <w:ind w:left="2032" w:right="0" w:hanging="539"/>
        <w:jc w:val="left"/>
        <w:rPr>
          <w:sz w:val="21"/>
        </w:rPr>
      </w:pPr>
      <w:r>
        <w:rPr>
          <w:sz w:val="21"/>
        </w:rPr>
        <w:t>El PEC y los juegos</w:t>
      </w:r>
      <w:r>
        <w:rPr>
          <w:spacing w:val="7"/>
          <w:sz w:val="21"/>
        </w:rPr>
        <w:t> </w:t>
      </w:r>
      <w:r>
        <w:rPr>
          <w:sz w:val="21"/>
        </w:rPr>
        <w:t>de poder</w:t>
        <w:tab/>
        <w:t>202</w:t>
      </w:r>
    </w:p>
    <w:p>
      <w:pPr>
        <w:spacing w:after="0" w:line="240" w:lineRule="auto"/>
        <w:jc w:val="left"/>
        <w:rPr>
          <w:sz w:val="21"/>
        </w:rPr>
        <w:sectPr>
          <w:type w:val="continuous"/>
          <w:pgSz w:w="11910" w:h="16840"/>
          <w:pgMar w:top="1380" w:bottom="280" w:left="1540" w:right="1000"/>
        </w:sectPr>
      </w:pPr>
    </w:p>
    <w:p>
      <w:pPr>
        <w:pStyle w:val="ListParagraph"/>
        <w:numPr>
          <w:ilvl w:val="1"/>
          <w:numId w:val="4"/>
        </w:numPr>
        <w:tabs>
          <w:tab w:pos="1163" w:val="left" w:leader="none"/>
        </w:tabs>
        <w:spacing w:line="367" w:lineRule="auto" w:before="128" w:after="0"/>
        <w:ind w:left="802" w:right="0" w:firstLine="0"/>
        <w:jc w:val="left"/>
        <w:rPr>
          <w:sz w:val="21"/>
        </w:rPr>
      </w:pPr>
      <w:r>
        <w:rPr>
          <w:sz w:val="21"/>
        </w:rPr>
        <w:t>Evaluación Nacional de Logro Académico </w:t>
      </w:r>
      <w:r>
        <w:rPr>
          <w:spacing w:val="-4"/>
          <w:sz w:val="21"/>
        </w:rPr>
        <w:t>en </w:t>
      </w:r>
      <w:r>
        <w:rPr>
          <w:sz w:val="21"/>
        </w:rPr>
        <w:t>Centros Escolares (Enlace)</w:t>
      </w:r>
    </w:p>
    <w:p>
      <w:pPr>
        <w:spacing w:before="128"/>
        <w:ind w:left="802" w:right="0" w:firstLine="0"/>
        <w:jc w:val="left"/>
        <w:rPr>
          <w:sz w:val="21"/>
        </w:rPr>
      </w:pPr>
      <w:r>
        <w:rPr/>
        <w:br w:type="column"/>
      </w:r>
      <w:r>
        <w:rPr>
          <w:sz w:val="21"/>
        </w:rPr>
        <w:t>208</w:t>
      </w:r>
    </w:p>
    <w:p>
      <w:pPr>
        <w:spacing w:after="0"/>
        <w:jc w:val="left"/>
        <w:rPr>
          <w:sz w:val="21"/>
        </w:rPr>
        <w:sectPr>
          <w:type w:val="continuous"/>
          <w:pgSz w:w="11910" w:h="16840"/>
          <w:pgMar w:top="1380" w:bottom="280" w:left="1540" w:right="1000"/>
          <w:cols w:num="2" w:equalWidth="0">
            <w:col w:w="7226" w:space="871"/>
            <w:col w:w="1273"/>
          </w:cols>
        </w:sectPr>
      </w:pPr>
    </w:p>
    <w:p>
      <w:pPr>
        <w:pStyle w:val="ListParagraph"/>
        <w:numPr>
          <w:ilvl w:val="2"/>
          <w:numId w:val="4"/>
        </w:numPr>
        <w:tabs>
          <w:tab w:pos="2032" w:val="left" w:leader="none"/>
          <w:tab w:pos="9254" w:val="right" w:leader="none"/>
        </w:tabs>
        <w:spacing w:line="240" w:lineRule="exact" w:before="0" w:after="0"/>
        <w:ind w:left="1493" w:right="0" w:firstLine="0"/>
        <w:jc w:val="left"/>
        <w:rPr>
          <w:sz w:val="21"/>
        </w:rPr>
      </w:pPr>
      <w:r>
        <w:rPr>
          <w:sz w:val="21"/>
        </w:rPr>
        <w:t>Autoridad y juegos</w:t>
      </w:r>
      <w:r>
        <w:rPr>
          <w:spacing w:val="-2"/>
          <w:sz w:val="21"/>
        </w:rPr>
        <w:t> </w:t>
      </w:r>
      <w:r>
        <w:rPr>
          <w:spacing w:val="3"/>
          <w:sz w:val="21"/>
        </w:rPr>
        <w:t>de</w:t>
      </w:r>
      <w:r>
        <w:rPr>
          <w:spacing w:val="-5"/>
          <w:sz w:val="21"/>
        </w:rPr>
        <w:t> </w:t>
      </w:r>
      <w:r>
        <w:rPr>
          <w:sz w:val="21"/>
        </w:rPr>
        <w:t>poder</w:t>
        <w:tab/>
        <w:t>210</w:t>
      </w:r>
    </w:p>
    <w:p>
      <w:pPr>
        <w:spacing w:after="0" w:line="240" w:lineRule="exact"/>
        <w:jc w:val="left"/>
        <w:rPr>
          <w:sz w:val="21"/>
        </w:rPr>
        <w:sectPr>
          <w:type w:val="continuous"/>
          <w:pgSz w:w="11910" w:h="16840"/>
          <w:pgMar w:top="1380" w:bottom="280" w:left="1540" w:right="1000"/>
        </w:sectPr>
      </w:pPr>
    </w:p>
    <w:p>
      <w:pPr>
        <w:pStyle w:val="ListParagraph"/>
        <w:numPr>
          <w:ilvl w:val="2"/>
          <w:numId w:val="4"/>
        </w:numPr>
        <w:tabs>
          <w:tab w:pos="2034" w:val="left" w:leader="none"/>
        </w:tabs>
        <w:spacing w:line="367" w:lineRule="auto" w:before="128" w:after="0"/>
        <w:ind w:left="1493" w:right="0" w:firstLine="0"/>
        <w:jc w:val="left"/>
        <w:rPr>
          <w:sz w:val="21"/>
        </w:rPr>
      </w:pPr>
      <w:r>
        <w:rPr>
          <w:spacing w:val="-3"/>
          <w:sz w:val="21"/>
        </w:rPr>
        <w:t>Los </w:t>
      </w:r>
      <w:r>
        <w:rPr>
          <w:sz w:val="21"/>
        </w:rPr>
        <w:t>resultados de Enlace en </w:t>
      </w:r>
      <w:r>
        <w:rPr>
          <w:spacing w:val="-3"/>
          <w:sz w:val="21"/>
        </w:rPr>
        <w:t>la </w:t>
      </w:r>
      <w:r>
        <w:rPr>
          <w:sz w:val="21"/>
        </w:rPr>
        <w:t>perspectiva de la desigualdad</w:t>
      </w:r>
      <w:r>
        <w:rPr>
          <w:spacing w:val="34"/>
          <w:sz w:val="21"/>
        </w:rPr>
        <w:t> </w:t>
      </w:r>
      <w:r>
        <w:rPr>
          <w:sz w:val="21"/>
        </w:rPr>
        <w:t>regional</w:t>
      </w:r>
    </w:p>
    <w:p>
      <w:pPr>
        <w:spacing w:before="128"/>
        <w:ind w:left="0" w:right="106" w:firstLine="0"/>
        <w:jc w:val="right"/>
        <w:rPr>
          <w:sz w:val="21"/>
        </w:rPr>
      </w:pPr>
      <w:r>
        <w:rPr/>
        <w:br w:type="column"/>
      </w:r>
      <w:r>
        <w:rPr>
          <w:sz w:val="21"/>
        </w:rPr>
        <w:t>212</w:t>
      </w:r>
    </w:p>
    <w:p>
      <w:pPr>
        <w:spacing w:after="0"/>
        <w:jc w:val="right"/>
        <w:rPr>
          <w:sz w:val="21"/>
        </w:rPr>
        <w:sectPr>
          <w:type w:val="continuous"/>
          <w:pgSz w:w="11910" w:h="16840"/>
          <w:pgMar w:top="1380" w:bottom="280" w:left="1540" w:right="1000"/>
          <w:cols w:num="2" w:equalWidth="0">
            <w:col w:w="6634" w:space="772"/>
            <w:col w:w="1964"/>
          </w:cols>
        </w:sectPr>
      </w:pPr>
    </w:p>
    <w:p>
      <w:pPr>
        <w:pStyle w:val="ListParagraph"/>
        <w:numPr>
          <w:ilvl w:val="2"/>
          <w:numId w:val="5"/>
        </w:numPr>
        <w:tabs>
          <w:tab w:pos="2035" w:val="left" w:leader="none"/>
          <w:tab w:pos="9254" w:val="right" w:leader="none"/>
        </w:tabs>
        <w:spacing w:line="240" w:lineRule="auto" w:before="3" w:after="0"/>
        <w:ind w:left="1493" w:right="0" w:firstLine="0"/>
        <w:jc w:val="left"/>
        <w:rPr>
          <w:sz w:val="21"/>
        </w:rPr>
      </w:pPr>
      <w:r>
        <w:rPr>
          <w:sz w:val="21"/>
        </w:rPr>
        <w:t>Usos y </w:t>
      </w:r>
      <w:r>
        <w:rPr>
          <w:spacing w:val="-3"/>
          <w:sz w:val="21"/>
        </w:rPr>
        <w:t>abusos </w:t>
      </w:r>
      <w:r>
        <w:rPr>
          <w:spacing w:val="2"/>
          <w:sz w:val="21"/>
        </w:rPr>
        <w:t>de</w:t>
      </w:r>
      <w:r>
        <w:rPr>
          <w:spacing w:val="14"/>
          <w:sz w:val="21"/>
        </w:rPr>
        <w:t> </w:t>
      </w:r>
      <w:r>
        <w:rPr>
          <w:spacing w:val="-3"/>
          <w:sz w:val="21"/>
        </w:rPr>
        <w:t>las</w:t>
      </w:r>
      <w:r>
        <w:rPr>
          <w:spacing w:val="2"/>
          <w:sz w:val="21"/>
        </w:rPr>
        <w:t> </w:t>
      </w:r>
      <w:r>
        <w:rPr>
          <w:sz w:val="21"/>
        </w:rPr>
        <w:t>pruebas</w:t>
        <w:tab/>
        <w:t>212</w:t>
      </w:r>
    </w:p>
    <w:p>
      <w:pPr>
        <w:spacing w:after="0" w:line="240" w:lineRule="auto"/>
        <w:jc w:val="left"/>
        <w:rPr>
          <w:sz w:val="21"/>
        </w:rPr>
        <w:sectPr>
          <w:type w:val="continuous"/>
          <w:pgSz w:w="11910" w:h="16840"/>
          <w:pgMar w:top="1380" w:bottom="280" w:left="1540" w:right="1000"/>
        </w:sectPr>
      </w:pPr>
    </w:p>
    <w:p>
      <w:pPr>
        <w:pStyle w:val="ListParagraph"/>
        <w:numPr>
          <w:ilvl w:val="2"/>
          <w:numId w:val="5"/>
        </w:numPr>
        <w:tabs>
          <w:tab w:pos="2036" w:val="left" w:leader="none"/>
        </w:tabs>
        <w:spacing w:line="367" w:lineRule="auto" w:before="128" w:after="0"/>
        <w:ind w:left="1493" w:right="0" w:firstLine="0"/>
        <w:jc w:val="left"/>
        <w:rPr>
          <w:sz w:val="21"/>
        </w:rPr>
      </w:pPr>
      <w:r>
        <w:rPr>
          <w:sz w:val="21"/>
        </w:rPr>
        <w:t>Interpretaciones de </w:t>
      </w:r>
      <w:r>
        <w:rPr>
          <w:spacing w:val="-3"/>
          <w:sz w:val="21"/>
        </w:rPr>
        <w:t>las </w:t>
      </w:r>
      <w:r>
        <w:rPr>
          <w:sz w:val="21"/>
        </w:rPr>
        <w:t>pruebas Enlace entre 2006 y 2010</w:t>
      </w:r>
    </w:p>
    <w:p>
      <w:pPr>
        <w:spacing w:before="128"/>
        <w:ind w:left="0" w:right="106" w:firstLine="0"/>
        <w:jc w:val="right"/>
        <w:rPr>
          <w:sz w:val="21"/>
        </w:rPr>
      </w:pPr>
      <w:r>
        <w:rPr/>
        <w:br w:type="column"/>
      </w:r>
      <w:r>
        <w:rPr>
          <w:sz w:val="21"/>
        </w:rPr>
        <w:t>215</w:t>
      </w:r>
    </w:p>
    <w:p>
      <w:pPr>
        <w:spacing w:after="0"/>
        <w:jc w:val="right"/>
        <w:rPr>
          <w:sz w:val="21"/>
        </w:rPr>
        <w:sectPr>
          <w:type w:val="continuous"/>
          <w:pgSz w:w="11910" w:h="16840"/>
          <w:pgMar w:top="1380" w:bottom="280" w:left="1540" w:right="1000"/>
          <w:cols w:num="2" w:equalWidth="0">
            <w:col w:w="6993" w:space="413"/>
            <w:col w:w="1964"/>
          </w:cols>
        </w:sectPr>
      </w:pPr>
    </w:p>
    <w:p>
      <w:pPr>
        <w:tabs>
          <w:tab w:pos="9254" w:val="right" w:leader="none"/>
        </w:tabs>
        <w:spacing w:before="8"/>
        <w:ind w:left="1493" w:right="0" w:firstLine="0"/>
        <w:jc w:val="left"/>
        <w:rPr>
          <w:sz w:val="21"/>
        </w:rPr>
      </w:pPr>
      <w:r>
        <w:rPr>
          <w:sz w:val="21"/>
        </w:rPr>
        <w:t>4.6.5 Exámenes de la Calidad y el Logro</w:t>
      </w:r>
      <w:r>
        <w:rPr>
          <w:spacing w:val="26"/>
          <w:sz w:val="21"/>
        </w:rPr>
        <w:t> </w:t>
      </w:r>
      <w:r>
        <w:rPr>
          <w:sz w:val="21"/>
        </w:rPr>
        <w:t>Educativo</w:t>
      </w:r>
      <w:r>
        <w:rPr>
          <w:spacing w:val="8"/>
          <w:sz w:val="21"/>
        </w:rPr>
        <w:t> </w:t>
      </w:r>
      <w:r>
        <w:rPr>
          <w:sz w:val="21"/>
        </w:rPr>
        <w:t>(Excale)</w:t>
        <w:tab/>
        <w:t>221</w:t>
      </w:r>
    </w:p>
    <w:p>
      <w:pPr>
        <w:spacing w:after="0"/>
        <w:jc w:val="left"/>
        <w:rPr>
          <w:sz w:val="21"/>
        </w:rPr>
        <w:sectPr>
          <w:type w:val="continuous"/>
          <w:pgSz w:w="11910" w:h="16840"/>
          <w:pgMar w:top="1380" w:bottom="280" w:left="1540" w:right="1000"/>
        </w:sectPr>
      </w:pPr>
    </w:p>
    <w:p>
      <w:pPr>
        <w:spacing w:line="367" w:lineRule="auto" w:before="128"/>
        <w:ind w:left="2180" w:right="65" w:firstLine="0"/>
        <w:jc w:val="left"/>
        <w:rPr>
          <w:sz w:val="21"/>
        </w:rPr>
      </w:pPr>
      <w:r>
        <w:rPr>
          <w:sz w:val="21"/>
        </w:rPr>
        <w:t>4.6.5.1 Excale, </w:t>
      </w:r>
      <w:r>
        <w:rPr>
          <w:spacing w:val="-4"/>
          <w:sz w:val="21"/>
        </w:rPr>
        <w:t>los </w:t>
      </w:r>
      <w:r>
        <w:rPr>
          <w:sz w:val="21"/>
        </w:rPr>
        <w:t>alcances para la calidad educativa  y los juegos de</w:t>
      </w:r>
      <w:r>
        <w:rPr>
          <w:spacing w:val="35"/>
          <w:sz w:val="21"/>
        </w:rPr>
        <w:t> </w:t>
      </w:r>
      <w:r>
        <w:rPr>
          <w:sz w:val="21"/>
        </w:rPr>
        <w:t>poder</w:t>
      </w:r>
    </w:p>
    <w:p>
      <w:pPr>
        <w:spacing w:before="128"/>
        <w:ind w:left="0" w:right="106" w:firstLine="0"/>
        <w:jc w:val="right"/>
        <w:rPr>
          <w:sz w:val="21"/>
        </w:rPr>
      </w:pPr>
      <w:r>
        <w:rPr/>
        <w:br w:type="column"/>
      </w:r>
      <w:r>
        <w:rPr>
          <w:sz w:val="21"/>
        </w:rPr>
        <w:t>227</w:t>
      </w:r>
    </w:p>
    <w:p>
      <w:pPr>
        <w:spacing w:after="0"/>
        <w:jc w:val="right"/>
        <w:rPr>
          <w:sz w:val="21"/>
        </w:rPr>
        <w:sectPr>
          <w:type w:val="continuous"/>
          <w:pgSz w:w="11910" w:h="16840"/>
          <w:pgMar w:top="1380" w:bottom="280" w:left="1540" w:right="1000"/>
          <w:cols w:num="2" w:equalWidth="0">
            <w:col w:w="7319" w:space="40"/>
            <w:col w:w="2011"/>
          </w:cols>
        </w:sectPr>
      </w:pPr>
    </w:p>
    <w:p>
      <w:pPr>
        <w:pStyle w:val="ListParagraph"/>
        <w:numPr>
          <w:ilvl w:val="1"/>
          <w:numId w:val="4"/>
        </w:numPr>
        <w:tabs>
          <w:tab w:pos="1163" w:val="left" w:leader="none"/>
          <w:tab w:pos="9254" w:val="right" w:leader="none"/>
        </w:tabs>
        <w:spacing w:line="240" w:lineRule="auto" w:before="3" w:after="0"/>
        <w:ind w:left="1162" w:right="0" w:hanging="360"/>
        <w:jc w:val="left"/>
        <w:rPr>
          <w:sz w:val="21"/>
        </w:rPr>
      </w:pPr>
      <w:r>
        <w:rPr>
          <w:sz w:val="21"/>
        </w:rPr>
        <w:t>Alianza para la Calidad </w:t>
      </w:r>
      <w:r>
        <w:rPr>
          <w:spacing w:val="-4"/>
          <w:sz w:val="21"/>
        </w:rPr>
        <w:t>de </w:t>
      </w:r>
      <w:r>
        <w:rPr>
          <w:sz w:val="21"/>
        </w:rPr>
        <w:t>la</w:t>
      </w:r>
      <w:r>
        <w:rPr>
          <w:spacing w:val="17"/>
          <w:sz w:val="21"/>
        </w:rPr>
        <w:t> </w:t>
      </w:r>
      <w:r>
        <w:rPr>
          <w:sz w:val="21"/>
        </w:rPr>
        <w:t>Educación</w:t>
      </w:r>
      <w:r>
        <w:rPr>
          <w:spacing w:val="3"/>
          <w:sz w:val="21"/>
        </w:rPr>
        <w:t> </w:t>
      </w:r>
      <w:r>
        <w:rPr>
          <w:sz w:val="21"/>
        </w:rPr>
        <w:t>(ACE)</w:t>
        <w:tab/>
        <w:t>228</w:t>
      </w:r>
    </w:p>
    <w:p>
      <w:pPr>
        <w:pStyle w:val="ListParagraph"/>
        <w:numPr>
          <w:ilvl w:val="2"/>
          <w:numId w:val="4"/>
        </w:numPr>
        <w:tabs>
          <w:tab w:pos="2031" w:val="left" w:leader="none"/>
          <w:tab w:pos="9254" w:val="right" w:leader="none"/>
        </w:tabs>
        <w:spacing w:line="240" w:lineRule="auto" w:before="123" w:after="0"/>
        <w:ind w:left="2030" w:right="0" w:hanging="537"/>
        <w:jc w:val="left"/>
        <w:rPr>
          <w:sz w:val="21"/>
        </w:rPr>
      </w:pPr>
      <w:r>
        <w:rPr>
          <w:sz w:val="21"/>
        </w:rPr>
        <w:t>Alcances efectivos </w:t>
      </w:r>
      <w:r>
        <w:rPr>
          <w:spacing w:val="2"/>
          <w:sz w:val="21"/>
        </w:rPr>
        <w:t>de </w:t>
      </w:r>
      <w:r>
        <w:rPr>
          <w:sz w:val="21"/>
        </w:rPr>
        <w:t>la ACE y los </w:t>
      </w:r>
      <w:r>
        <w:rPr>
          <w:i/>
          <w:sz w:val="21"/>
        </w:rPr>
        <w:t>juegos</w:t>
      </w:r>
      <w:r>
        <w:rPr>
          <w:i/>
          <w:spacing w:val="14"/>
          <w:sz w:val="21"/>
        </w:rPr>
        <w:t> </w:t>
      </w:r>
      <w:r>
        <w:rPr>
          <w:i/>
          <w:spacing w:val="-3"/>
          <w:sz w:val="21"/>
        </w:rPr>
        <w:t>de</w:t>
      </w:r>
      <w:r>
        <w:rPr>
          <w:i/>
          <w:spacing w:val="3"/>
          <w:sz w:val="21"/>
        </w:rPr>
        <w:t> </w:t>
      </w:r>
      <w:r>
        <w:rPr>
          <w:i/>
          <w:sz w:val="21"/>
        </w:rPr>
        <w:t>poder</w:t>
      </w:r>
      <w:r>
        <w:rPr>
          <w:sz w:val="21"/>
        </w:rPr>
        <w:tab/>
        <w:t>231</w:t>
      </w:r>
    </w:p>
    <w:p>
      <w:pPr>
        <w:spacing w:after="0" w:line="240" w:lineRule="auto"/>
        <w:jc w:val="left"/>
        <w:rPr>
          <w:sz w:val="21"/>
        </w:rPr>
        <w:sectPr>
          <w:type w:val="continuous"/>
          <w:pgSz w:w="11910" w:h="16840"/>
          <w:pgMar w:top="1380" w:bottom="280" w:left="1540" w:right="1000"/>
        </w:sectPr>
      </w:pPr>
    </w:p>
    <w:p>
      <w:pPr>
        <w:pStyle w:val="ListParagraph"/>
        <w:numPr>
          <w:ilvl w:val="1"/>
          <w:numId w:val="4"/>
        </w:numPr>
        <w:tabs>
          <w:tab w:pos="1168" w:val="left" w:leader="none"/>
        </w:tabs>
        <w:spacing w:line="367" w:lineRule="auto" w:before="128" w:after="0"/>
        <w:ind w:left="807" w:right="0" w:firstLine="0"/>
        <w:jc w:val="left"/>
        <w:rPr>
          <w:sz w:val="21"/>
        </w:rPr>
      </w:pPr>
      <w:r>
        <w:rPr>
          <w:sz w:val="21"/>
        </w:rPr>
        <w:t>Profesionalización: el peso </w:t>
      </w:r>
      <w:r>
        <w:rPr>
          <w:spacing w:val="-3"/>
          <w:sz w:val="21"/>
        </w:rPr>
        <w:t>las </w:t>
      </w:r>
      <w:r>
        <w:rPr>
          <w:sz w:val="21"/>
        </w:rPr>
        <w:t>burocracias </w:t>
      </w:r>
      <w:r>
        <w:rPr>
          <w:spacing w:val="-3"/>
          <w:sz w:val="21"/>
        </w:rPr>
        <w:t>urbanas </w:t>
      </w:r>
      <w:r>
        <w:rPr>
          <w:sz w:val="21"/>
        </w:rPr>
        <w:t>en </w:t>
      </w:r>
      <w:r>
        <w:rPr>
          <w:spacing w:val="-4"/>
          <w:sz w:val="21"/>
        </w:rPr>
        <w:t>la</w:t>
      </w:r>
      <w:r>
        <w:rPr>
          <w:spacing w:val="50"/>
          <w:sz w:val="21"/>
        </w:rPr>
        <w:t> </w:t>
      </w:r>
      <w:r>
        <w:rPr>
          <w:sz w:val="21"/>
        </w:rPr>
        <w:t>obtención </w:t>
      </w:r>
      <w:r>
        <w:rPr>
          <w:spacing w:val="-4"/>
          <w:sz w:val="21"/>
        </w:rPr>
        <w:t>de</w:t>
      </w:r>
      <w:r>
        <w:rPr>
          <w:spacing w:val="40"/>
          <w:sz w:val="21"/>
        </w:rPr>
        <w:t> </w:t>
      </w:r>
      <w:r>
        <w:rPr>
          <w:sz w:val="21"/>
        </w:rPr>
        <w:t>estímulos</w:t>
      </w:r>
    </w:p>
    <w:p>
      <w:pPr>
        <w:spacing w:before="128"/>
        <w:ind w:left="807" w:right="0" w:firstLine="0"/>
        <w:jc w:val="left"/>
        <w:rPr>
          <w:sz w:val="21"/>
        </w:rPr>
      </w:pPr>
      <w:r>
        <w:rPr/>
        <w:br w:type="column"/>
      </w:r>
      <w:r>
        <w:rPr>
          <w:sz w:val="21"/>
        </w:rPr>
        <w:t>233</w:t>
      </w:r>
    </w:p>
    <w:p>
      <w:pPr>
        <w:spacing w:after="0"/>
        <w:jc w:val="left"/>
        <w:rPr>
          <w:sz w:val="21"/>
        </w:rPr>
        <w:sectPr>
          <w:type w:val="continuous"/>
          <w:pgSz w:w="11910" w:h="16840"/>
          <w:pgMar w:top="1380" w:bottom="280" w:left="1540" w:right="1000"/>
          <w:cols w:num="2" w:equalWidth="0">
            <w:col w:w="6562" w:space="1531"/>
            <w:col w:w="1277"/>
          </w:cols>
        </w:sectPr>
      </w:pPr>
    </w:p>
    <w:p>
      <w:pPr>
        <w:pStyle w:val="ListParagraph"/>
        <w:numPr>
          <w:ilvl w:val="1"/>
          <w:numId w:val="4"/>
        </w:numPr>
        <w:tabs>
          <w:tab w:pos="1167" w:val="left" w:leader="none"/>
          <w:tab w:pos="9254" w:val="right" w:leader="none"/>
        </w:tabs>
        <w:spacing w:line="240" w:lineRule="auto" w:before="3" w:after="0"/>
        <w:ind w:left="1166" w:right="0" w:hanging="359"/>
        <w:jc w:val="left"/>
        <w:rPr>
          <w:sz w:val="21"/>
        </w:rPr>
      </w:pPr>
      <w:r>
        <w:rPr>
          <w:sz w:val="21"/>
        </w:rPr>
        <w:t>El factor </w:t>
      </w:r>
      <w:r>
        <w:rPr>
          <w:spacing w:val="-3"/>
          <w:sz w:val="21"/>
        </w:rPr>
        <w:t>SNTE </w:t>
      </w:r>
      <w:r>
        <w:rPr>
          <w:sz w:val="21"/>
        </w:rPr>
        <w:t>en la asignación</w:t>
      </w:r>
      <w:r>
        <w:rPr>
          <w:spacing w:val="12"/>
          <w:sz w:val="21"/>
        </w:rPr>
        <w:t> </w:t>
      </w:r>
      <w:r>
        <w:rPr>
          <w:spacing w:val="-3"/>
          <w:sz w:val="21"/>
        </w:rPr>
        <w:t>de</w:t>
      </w:r>
      <w:r>
        <w:rPr>
          <w:spacing w:val="-1"/>
          <w:sz w:val="21"/>
        </w:rPr>
        <w:t> </w:t>
      </w:r>
      <w:r>
        <w:rPr>
          <w:sz w:val="21"/>
        </w:rPr>
        <w:t>plazas</w:t>
        <w:tab/>
        <w:t>234</w:t>
      </w:r>
    </w:p>
    <w:p>
      <w:pPr>
        <w:spacing w:after="0" w:line="240" w:lineRule="auto"/>
        <w:jc w:val="left"/>
        <w:rPr>
          <w:sz w:val="21"/>
        </w:rPr>
        <w:sectPr>
          <w:type w:val="continuous"/>
          <w:pgSz w:w="11910" w:h="16840"/>
          <w:pgMar w:top="1380" w:bottom="280" w:left="1540" w:right="1000"/>
        </w:sectPr>
      </w:pPr>
    </w:p>
    <w:p>
      <w:pPr>
        <w:pStyle w:val="ListParagraph"/>
        <w:numPr>
          <w:ilvl w:val="1"/>
          <w:numId w:val="4"/>
        </w:numPr>
        <w:tabs>
          <w:tab w:pos="1283" w:val="left" w:leader="none"/>
        </w:tabs>
        <w:spacing w:line="367" w:lineRule="auto" w:before="128" w:after="0"/>
        <w:ind w:left="807" w:right="0" w:firstLine="0"/>
        <w:jc w:val="left"/>
        <w:rPr>
          <w:sz w:val="21"/>
        </w:rPr>
      </w:pPr>
      <w:r>
        <w:rPr>
          <w:sz w:val="21"/>
        </w:rPr>
        <w:t>El centralismo y el burocratismo como sello </w:t>
      </w:r>
      <w:r>
        <w:rPr>
          <w:spacing w:val="-3"/>
          <w:sz w:val="21"/>
        </w:rPr>
        <w:t>de </w:t>
      </w:r>
      <w:r>
        <w:rPr>
          <w:sz w:val="21"/>
        </w:rPr>
        <w:t>la reforma curricular</w:t>
      </w:r>
    </w:p>
    <w:p>
      <w:pPr>
        <w:spacing w:before="128"/>
        <w:ind w:left="807" w:right="0" w:firstLine="0"/>
        <w:jc w:val="left"/>
        <w:rPr>
          <w:sz w:val="21"/>
        </w:rPr>
      </w:pPr>
      <w:r>
        <w:rPr/>
        <w:br w:type="column"/>
      </w:r>
      <w:r>
        <w:rPr>
          <w:sz w:val="21"/>
        </w:rPr>
        <w:t>236</w:t>
      </w:r>
    </w:p>
    <w:p>
      <w:pPr>
        <w:spacing w:after="0"/>
        <w:jc w:val="left"/>
        <w:rPr>
          <w:sz w:val="21"/>
        </w:rPr>
        <w:sectPr>
          <w:type w:val="continuous"/>
          <w:pgSz w:w="11910" w:h="16840"/>
          <w:pgMar w:top="1380" w:bottom="280" w:left="1540" w:right="1000"/>
          <w:cols w:num="2" w:equalWidth="0">
            <w:col w:w="6725" w:space="1368"/>
            <w:col w:w="1277"/>
          </w:cols>
        </w:sectPr>
      </w:pPr>
    </w:p>
    <w:p>
      <w:pPr>
        <w:pStyle w:val="ListParagraph"/>
        <w:numPr>
          <w:ilvl w:val="1"/>
          <w:numId w:val="4"/>
        </w:numPr>
        <w:tabs>
          <w:tab w:pos="1283" w:val="left" w:leader="none"/>
          <w:tab w:pos="9254" w:val="right" w:leader="none"/>
        </w:tabs>
        <w:spacing w:line="240" w:lineRule="auto" w:before="3" w:after="0"/>
        <w:ind w:left="1282" w:right="0" w:hanging="475"/>
        <w:jc w:val="left"/>
        <w:rPr>
          <w:sz w:val="21"/>
        </w:rPr>
      </w:pPr>
      <w:r>
        <w:rPr>
          <w:sz w:val="21"/>
        </w:rPr>
        <w:t>La evaluación docente y </w:t>
      </w:r>
      <w:r>
        <w:rPr>
          <w:spacing w:val="2"/>
          <w:sz w:val="21"/>
        </w:rPr>
        <w:t>el </w:t>
      </w:r>
      <w:r>
        <w:rPr>
          <w:sz w:val="21"/>
        </w:rPr>
        <w:t>peso de las</w:t>
      </w:r>
      <w:r>
        <w:rPr>
          <w:spacing w:val="17"/>
          <w:sz w:val="21"/>
        </w:rPr>
        <w:t> </w:t>
      </w:r>
      <w:r>
        <w:rPr>
          <w:sz w:val="21"/>
        </w:rPr>
        <w:t>jerarquías</w:t>
      </w:r>
      <w:r>
        <w:rPr>
          <w:spacing w:val="3"/>
          <w:sz w:val="21"/>
        </w:rPr>
        <w:t> </w:t>
      </w:r>
      <w:r>
        <w:rPr>
          <w:sz w:val="21"/>
        </w:rPr>
        <w:t>burocráticas</w:t>
        <w:tab/>
        <w:t>237</w:t>
      </w:r>
    </w:p>
    <w:p>
      <w:pPr>
        <w:spacing w:after="0" w:line="240" w:lineRule="auto"/>
        <w:jc w:val="left"/>
        <w:rPr>
          <w:sz w:val="21"/>
        </w:rPr>
        <w:sectPr>
          <w:type w:val="continuous"/>
          <w:pgSz w:w="11910" w:h="16840"/>
          <w:pgMar w:top="1380" w:bottom="280" w:left="1540" w:right="1000"/>
        </w:sectPr>
      </w:pPr>
    </w:p>
    <w:p>
      <w:pPr>
        <w:pStyle w:val="ListParagraph"/>
        <w:numPr>
          <w:ilvl w:val="1"/>
          <w:numId w:val="4"/>
        </w:numPr>
        <w:tabs>
          <w:tab w:pos="1283" w:val="left" w:leader="none"/>
        </w:tabs>
        <w:spacing w:line="367" w:lineRule="auto" w:before="128" w:after="0"/>
        <w:ind w:left="807" w:right="0" w:firstLine="0"/>
        <w:jc w:val="left"/>
        <w:rPr>
          <w:sz w:val="21"/>
        </w:rPr>
      </w:pPr>
      <w:r>
        <w:rPr>
          <w:sz w:val="21"/>
        </w:rPr>
        <w:t>Acuerdo para la Evaluación Universal de Docentes y Directivos en Servicio de Educación Básica </w:t>
      </w:r>
      <w:r>
        <w:rPr>
          <w:spacing w:val="9"/>
          <w:sz w:val="21"/>
        </w:rPr>
        <w:t> </w:t>
      </w:r>
      <w:r>
        <w:rPr>
          <w:sz w:val="21"/>
        </w:rPr>
        <w:t>(AEUDDSEB)</w:t>
      </w:r>
    </w:p>
    <w:p>
      <w:pPr>
        <w:spacing w:before="128"/>
        <w:ind w:left="807" w:right="0" w:firstLine="0"/>
        <w:jc w:val="left"/>
        <w:rPr>
          <w:sz w:val="21"/>
        </w:rPr>
      </w:pPr>
      <w:r>
        <w:rPr/>
        <w:br w:type="column"/>
      </w:r>
      <w:r>
        <w:rPr>
          <w:sz w:val="21"/>
        </w:rPr>
        <w:t>238</w:t>
      </w:r>
    </w:p>
    <w:p>
      <w:pPr>
        <w:spacing w:after="0"/>
        <w:jc w:val="left"/>
        <w:rPr>
          <w:sz w:val="21"/>
        </w:rPr>
        <w:sectPr>
          <w:type w:val="continuous"/>
          <w:pgSz w:w="11910" w:h="16840"/>
          <w:pgMar w:top="1380" w:bottom="280" w:left="1540" w:right="1000"/>
          <w:cols w:num="2" w:equalWidth="0">
            <w:col w:w="7282" w:space="811"/>
            <w:col w:w="1277"/>
          </w:cols>
        </w:sectPr>
      </w:pPr>
    </w:p>
    <w:p>
      <w:pPr>
        <w:pStyle w:val="ListParagraph"/>
        <w:numPr>
          <w:ilvl w:val="2"/>
          <w:numId w:val="4"/>
        </w:numPr>
        <w:tabs>
          <w:tab w:pos="2150" w:val="left" w:leader="none"/>
          <w:tab w:pos="9254" w:val="right" w:leader="none"/>
        </w:tabs>
        <w:spacing w:line="240" w:lineRule="exact" w:before="0" w:after="0"/>
        <w:ind w:left="2149" w:right="0" w:hanging="656"/>
        <w:jc w:val="left"/>
        <w:rPr>
          <w:sz w:val="21"/>
        </w:rPr>
      </w:pPr>
      <w:r>
        <w:rPr>
          <w:sz w:val="21"/>
        </w:rPr>
        <w:t>Los juegos de poder y </w:t>
      </w:r>
      <w:r>
        <w:rPr>
          <w:spacing w:val="-3"/>
          <w:sz w:val="21"/>
        </w:rPr>
        <w:t>la </w:t>
      </w:r>
      <w:r>
        <w:rPr>
          <w:sz w:val="21"/>
        </w:rPr>
        <w:t>debilidad política de</w:t>
      </w:r>
      <w:r>
        <w:rPr>
          <w:spacing w:val="26"/>
          <w:sz w:val="21"/>
        </w:rPr>
        <w:t> </w:t>
      </w:r>
      <w:r>
        <w:rPr>
          <w:sz w:val="21"/>
        </w:rPr>
        <w:t>la</w:t>
      </w:r>
      <w:r>
        <w:rPr>
          <w:spacing w:val="3"/>
          <w:sz w:val="21"/>
        </w:rPr>
        <w:t> </w:t>
      </w:r>
      <w:r>
        <w:rPr>
          <w:sz w:val="21"/>
        </w:rPr>
        <w:t>SEP</w:t>
        <w:tab/>
        <w:t>239</w:t>
      </w:r>
    </w:p>
    <w:p>
      <w:pPr>
        <w:spacing w:after="0" w:line="240" w:lineRule="exact"/>
        <w:jc w:val="left"/>
        <w:rPr>
          <w:sz w:val="21"/>
        </w:rPr>
        <w:sectPr>
          <w:type w:val="continuous"/>
          <w:pgSz w:w="11910" w:h="16840"/>
          <w:pgMar w:top="1380" w:bottom="280" w:left="1540" w:right="1000"/>
        </w:sectPr>
      </w:pPr>
    </w:p>
    <w:p>
      <w:pPr>
        <w:spacing w:before="499"/>
        <w:ind w:left="1493" w:right="0" w:firstLine="0"/>
        <w:jc w:val="left"/>
        <w:rPr>
          <w:sz w:val="21"/>
        </w:rPr>
      </w:pPr>
      <w:r>
        <w:rPr>
          <w:sz w:val="21"/>
        </w:rPr>
        <w:t>ante el SNTE</w:t>
      </w:r>
    </w:p>
    <w:p>
      <w:pPr>
        <w:tabs>
          <w:tab w:pos="8899" w:val="left" w:leader="none"/>
        </w:tabs>
        <w:spacing w:before="502"/>
        <w:ind w:left="116" w:right="0" w:firstLine="0"/>
        <w:jc w:val="left"/>
        <w:rPr>
          <w:sz w:val="21"/>
        </w:rPr>
      </w:pPr>
      <w:r>
        <w:rPr>
          <w:sz w:val="21"/>
        </w:rPr>
        <w:t>CONCLUSIONES</w:t>
        <w:tab/>
        <w:t>246</w:t>
      </w:r>
    </w:p>
    <w:p>
      <w:pPr>
        <w:tabs>
          <w:tab w:pos="8899" w:val="left" w:leader="none"/>
        </w:tabs>
        <w:spacing w:before="128"/>
        <w:ind w:left="173" w:right="0" w:firstLine="0"/>
        <w:jc w:val="left"/>
        <w:rPr>
          <w:sz w:val="21"/>
        </w:rPr>
      </w:pPr>
      <w:r>
        <w:rPr>
          <w:sz w:val="21"/>
        </w:rPr>
        <w:t>Contenido</w:t>
      </w:r>
      <w:r>
        <w:rPr>
          <w:spacing w:val="8"/>
          <w:sz w:val="21"/>
        </w:rPr>
        <w:t> </w:t>
      </w:r>
      <w:r>
        <w:rPr>
          <w:sz w:val="21"/>
        </w:rPr>
        <w:t>de</w:t>
      </w:r>
      <w:r>
        <w:rPr>
          <w:spacing w:val="8"/>
          <w:sz w:val="21"/>
        </w:rPr>
        <w:t> </w:t>
      </w:r>
      <w:r>
        <w:rPr>
          <w:sz w:val="21"/>
        </w:rPr>
        <w:t>Tablas</w:t>
        <w:tab/>
        <w:t>262</w:t>
      </w:r>
    </w:p>
    <w:p>
      <w:pPr>
        <w:tabs>
          <w:tab w:pos="8899" w:val="left" w:leader="none"/>
        </w:tabs>
        <w:spacing w:before="128"/>
        <w:ind w:left="115" w:right="0" w:firstLine="0"/>
        <w:jc w:val="left"/>
        <w:rPr>
          <w:sz w:val="21"/>
        </w:rPr>
      </w:pPr>
      <w:r>
        <w:rPr>
          <w:sz w:val="21"/>
        </w:rPr>
        <w:t>Contenido</w:t>
      </w:r>
      <w:r>
        <w:rPr>
          <w:spacing w:val="10"/>
          <w:sz w:val="21"/>
        </w:rPr>
        <w:t> </w:t>
      </w:r>
      <w:r>
        <w:rPr>
          <w:sz w:val="21"/>
        </w:rPr>
        <w:t>de</w:t>
      </w:r>
      <w:r>
        <w:rPr>
          <w:spacing w:val="4"/>
          <w:sz w:val="21"/>
        </w:rPr>
        <w:t> </w:t>
      </w:r>
      <w:r>
        <w:rPr>
          <w:sz w:val="21"/>
        </w:rPr>
        <w:t>Gráficos</w:t>
        <w:tab/>
        <w:t>264</w:t>
      </w:r>
    </w:p>
    <w:p>
      <w:pPr>
        <w:tabs>
          <w:tab w:pos="8899" w:val="left" w:leader="none"/>
        </w:tabs>
        <w:spacing w:before="123"/>
        <w:ind w:left="115" w:right="0" w:firstLine="0"/>
        <w:jc w:val="left"/>
        <w:rPr>
          <w:sz w:val="21"/>
        </w:rPr>
      </w:pPr>
      <w:r>
        <w:rPr>
          <w:sz w:val="21"/>
        </w:rPr>
        <w:t>Bibliografía</w:t>
        <w:tab/>
        <w:t>265</w:t>
      </w:r>
    </w:p>
    <w:p>
      <w:pPr>
        <w:spacing w:after="0"/>
        <w:jc w:val="left"/>
        <w:rPr>
          <w:sz w:val="21"/>
        </w:rPr>
        <w:sectPr>
          <w:pgSz w:w="11910" w:h="16840"/>
          <w:pgMar w:top="1580" w:bottom="280" w:left="1540" w:right="1000"/>
        </w:sectPr>
      </w:pPr>
    </w:p>
    <w:p>
      <w:pPr>
        <w:pStyle w:val="BodyText"/>
        <w:spacing w:before="4"/>
        <w:rPr>
          <w:rFonts w:ascii="Times New Roman"/>
          <w:sz w:val="17"/>
        </w:rPr>
      </w:pPr>
    </w:p>
    <w:p>
      <w:pPr>
        <w:spacing w:after="0"/>
        <w:rPr>
          <w:rFonts w:ascii="Times New Roman"/>
          <w:sz w:val="17"/>
        </w:rPr>
        <w:sectPr>
          <w:pgSz w:w="11910" w:h="16840"/>
          <w:pgMar w:top="1580" w:bottom="280" w:left="1680" w:right="1680"/>
        </w:sectPr>
      </w:pPr>
    </w:p>
    <w:p>
      <w:pPr>
        <w:pStyle w:val="BodyText"/>
        <w:rPr>
          <w:rFonts w:ascii="Times New Roman"/>
          <w:sz w:val="22"/>
        </w:rPr>
      </w:pPr>
    </w:p>
    <w:p>
      <w:pPr>
        <w:pStyle w:val="BodyText"/>
        <w:spacing w:before="6"/>
        <w:rPr>
          <w:rFonts w:ascii="Times New Roman"/>
          <w:sz w:val="20"/>
        </w:rPr>
      </w:pPr>
    </w:p>
    <w:p>
      <w:pPr>
        <w:pStyle w:val="Heading3"/>
        <w:spacing w:before="1"/>
      </w:pPr>
      <w:bookmarkStart w:name="_TOC_250031" w:id="1"/>
      <w:bookmarkEnd w:id="1"/>
      <w:r>
        <w:rPr/>
        <w:t>Introducción</w:t>
      </w:r>
    </w:p>
    <w:p>
      <w:pPr>
        <w:pStyle w:val="BodyText"/>
        <w:spacing w:line="364" w:lineRule="auto" w:before="143"/>
        <w:ind w:left="115" w:right="105"/>
        <w:jc w:val="both"/>
      </w:pPr>
      <w:r>
        <w:rPr/>
        <w:t>El propósito de este trabajo es mostrar los alcances de la política de </w:t>
      </w:r>
      <w:r>
        <w:rPr>
          <w:spacing w:val="-4"/>
        </w:rPr>
        <w:t>la </w:t>
      </w:r>
      <w:r>
        <w:rPr/>
        <w:t>“calidad educativa” puesta en marcha durante los sexenios de Vicente Fox y </w:t>
      </w:r>
      <w:r>
        <w:rPr>
          <w:spacing w:val="-3"/>
        </w:rPr>
        <w:t>Felipe  </w:t>
      </w:r>
      <w:r>
        <w:rPr/>
        <w:t>Calderón. </w:t>
      </w:r>
      <w:r>
        <w:rPr>
          <w:spacing w:val="3"/>
        </w:rPr>
        <w:t>El </w:t>
      </w:r>
      <w:r>
        <w:rPr/>
        <w:t>eje analítico que guió esta investigación fue el alcance efectivo del gobierno federal para implementar su política pública de calidad. En este marco, </w:t>
      </w:r>
      <w:r>
        <w:rPr>
          <w:spacing w:val="-5"/>
        </w:rPr>
        <w:t>la </w:t>
      </w:r>
      <w:r>
        <w:rPr/>
        <w:t>efectividad, de acuerdo con </w:t>
      </w:r>
      <w:r>
        <w:rPr>
          <w:spacing w:val="-5"/>
        </w:rPr>
        <w:t>la  </w:t>
      </w:r>
      <w:r>
        <w:rPr/>
        <w:t>investigación que </w:t>
      </w:r>
      <w:r>
        <w:rPr>
          <w:spacing w:val="2"/>
        </w:rPr>
        <w:t>se </w:t>
      </w:r>
      <w:r>
        <w:rPr/>
        <w:t>presenta, </w:t>
      </w:r>
      <w:r>
        <w:rPr>
          <w:spacing w:val="3"/>
        </w:rPr>
        <w:t>se </w:t>
      </w:r>
      <w:r>
        <w:rPr/>
        <w:t>correlaciona con   </w:t>
      </w:r>
      <w:r>
        <w:rPr>
          <w:spacing w:val="-5"/>
        </w:rPr>
        <w:t>la </w:t>
      </w:r>
      <w:r>
        <w:rPr/>
        <w:t>capacidad de los gobiernos para impulsar políticas en función </w:t>
      </w:r>
      <w:r>
        <w:rPr>
          <w:spacing w:val="3"/>
        </w:rPr>
        <w:t>su </w:t>
      </w:r>
      <w:r>
        <w:rPr/>
        <w:t>posición de “poder” frente a otros actores institucionales o sociales eventualmente interesados en vetar o desvirtuar </w:t>
      </w:r>
      <w:r>
        <w:rPr>
          <w:spacing w:val="4"/>
        </w:rPr>
        <w:t>el </w:t>
      </w:r>
      <w:r>
        <w:rPr/>
        <w:t>propósito </w:t>
      </w:r>
      <w:r>
        <w:rPr>
          <w:spacing w:val="2"/>
        </w:rPr>
        <w:t>de </w:t>
      </w:r>
      <w:r>
        <w:rPr>
          <w:spacing w:val="-3"/>
        </w:rPr>
        <w:t>la </w:t>
      </w:r>
      <w:r>
        <w:rPr/>
        <w:t>propuesta original planteada por </w:t>
      </w:r>
      <w:r>
        <w:rPr>
          <w:spacing w:val="-3"/>
        </w:rPr>
        <w:t>las </w:t>
      </w:r>
      <w:r>
        <w:rPr/>
        <w:t>autoridades</w:t>
      </w:r>
      <w:r>
        <w:rPr>
          <w:spacing w:val="22"/>
        </w:rPr>
        <w:t> </w:t>
      </w:r>
      <w:r>
        <w:rPr/>
        <w:t>nacionales.</w:t>
      </w:r>
    </w:p>
    <w:p>
      <w:pPr>
        <w:pStyle w:val="BodyText"/>
        <w:spacing w:line="364" w:lineRule="auto" w:before="5"/>
        <w:ind w:left="115" w:right="109" w:firstLine="686"/>
        <w:jc w:val="both"/>
      </w:pPr>
      <w:r>
        <w:rPr/>
        <w:t>Así, la propuesta analítica que </w:t>
      </w:r>
      <w:r>
        <w:rPr>
          <w:spacing w:val="4"/>
        </w:rPr>
        <w:t>se </w:t>
      </w:r>
      <w:r>
        <w:rPr/>
        <w:t>presenta en esta investigación, parte </w:t>
      </w:r>
      <w:r>
        <w:rPr>
          <w:spacing w:val="2"/>
        </w:rPr>
        <w:t>de </w:t>
      </w:r>
      <w:r>
        <w:rPr>
          <w:spacing w:val="-3"/>
        </w:rPr>
        <w:t>la </w:t>
      </w:r>
      <w:r>
        <w:rPr/>
        <w:t>hipótesis de que no obstante la racionalidad gubernamental plasmada en </w:t>
      </w:r>
      <w:r>
        <w:rPr>
          <w:spacing w:val="-3"/>
        </w:rPr>
        <w:t>las </w:t>
      </w:r>
      <w:r>
        <w:rPr/>
        <w:t>propuestas de política pública </w:t>
      </w:r>
      <w:r>
        <w:rPr>
          <w:spacing w:val="-2"/>
        </w:rPr>
        <w:t>(la </w:t>
      </w:r>
      <w:r>
        <w:rPr/>
        <w:t>mejora del logro de los aprendizajes en el caso   de </w:t>
      </w:r>
      <w:r>
        <w:rPr>
          <w:spacing w:val="-3"/>
        </w:rPr>
        <w:t>la </w:t>
      </w:r>
      <w:r>
        <w:rPr/>
        <w:t>calidad educativa) y la autonomía normativa  de la autoridad,  existen una  serie de problemas </w:t>
      </w:r>
      <w:r>
        <w:rPr>
          <w:spacing w:val="3"/>
        </w:rPr>
        <w:t>de </w:t>
      </w:r>
      <w:r>
        <w:rPr/>
        <w:t>orden político que </w:t>
      </w:r>
      <w:r>
        <w:rPr>
          <w:spacing w:val="-3"/>
        </w:rPr>
        <w:t>impiden </w:t>
      </w:r>
      <w:r>
        <w:rPr/>
        <w:t>una  planeación y ejecución de </w:t>
      </w:r>
      <w:r>
        <w:rPr>
          <w:spacing w:val="-3"/>
        </w:rPr>
        <w:t>tipo </w:t>
      </w:r>
      <w:r>
        <w:rPr/>
        <w:t>racional y</w:t>
      </w:r>
      <w:r>
        <w:rPr>
          <w:spacing w:val="44"/>
        </w:rPr>
        <w:t> </w:t>
      </w:r>
      <w:r>
        <w:rPr/>
        <w:t>tecnocrática.</w:t>
      </w:r>
    </w:p>
    <w:p>
      <w:pPr>
        <w:spacing w:line="364" w:lineRule="auto" w:before="5"/>
        <w:ind w:left="115" w:right="101" w:firstLine="686"/>
        <w:jc w:val="both"/>
        <w:rPr>
          <w:sz w:val="23"/>
        </w:rPr>
      </w:pPr>
      <w:r>
        <w:rPr>
          <w:sz w:val="23"/>
        </w:rPr>
        <w:t>Los hallazgos más importantes en esta investigación se resumen de la siguiente forma: las políticas de la “calidad educativa durante los gobiernos, a nivel nacional, del PAN, entre las que </w:t>
      </w:r>
      <w:r>
        <w:rPr>
          <w:spacing w:val="2"/>
          <w:sz w:val="23"/>
        </w:rPr>
        <w:t>se </w:t>
      </w:r>
      <w:r>
        <w:rPr>
          <w:sz w:val="23"/>
        </w:rPr>
        <w:t>encuentran el </w:t>
      </w:r>
      <w:r>
        <w:rPr>
          <w:i/>
          <w:sz w:val="23"/>
        </w:rPr>
        <w:t>Compromiso Social por  </w:t>
      </w:r>
      <w:r>
        <w:rPr>
          <w:i/>
          <w:spacing w:val="-4"/>
          <w:sz w:val="23"/>
        </w:rPr>
        <w:t>la</w:t>
      </w:r>
      <w:r>
        <w:rPr>
          <w:i/>
          <w:spacing w:val="55"/>
          <w:sz w:val="23"/>
        </w:rPr>
        <w:t> </w:t>
      </w:r>
      <w:r>
        <w:rPr>
          <w:i/>
          <w:sz w:val="23"/>
        </w:rPr>
        <w:t>Calidad de la Educación</w:t>
      </w:r>
      <w:r>
        <w:rPr>
          <w:sz w:val="23"/>
        </w:rPr>
        <w:t>, el Instituto Nacional de Evaluación Educativa,  las  pruebas estandarizadas </w:t>
      </w:r>
      <w:r>
        <w:rPr>
          <w:spacing w:val="-3"/>
          <w:sz w:val="23"/>
        </w:rPr>
        <w:t>de </w:t>
      </w:r>
      <w:r>
        <w:rPr>
          <w:sz w:val="23"/>
        </w:rPr>
        <w:t>medición de los logros  del aprendizaje en los niveles  de primaria y secundaria (Enlace y Excale), el </w:t>
      </w:r>
      <w:r>
        <w:rPr>
          <w:i/>
          <w:sz w:val="23"/>
        </w:rPr>
        <w:t>Programa Escuelas de Calidad  </w:t>
      </w:r>
      <w:r>
        <w:rPr>
          <w:sz w:val="23"/>
        </w:rPr>
        <w:t>(PEC), </w:t>
      </w:r>
      <w:r>
        <w:rPr>
          <w:spacing w:val="-3"/>
          <w:sz w:val="23"/>
        </w:rPr>
        <w:t>la </w:t>
      </w:r>
      <w:r>
        <w:rPr>
          <w:i/>
          <w:sz w:val="23"/>
        </w:rPr>
        <w:t>Alianza para la Calidad </w:t>
      </w:r>
      <w:r>
        <w:rPr>
          <w:i/>
          <w:spacing w:val="3"/>
          <w:sz w:val="23"/>
        </w:rPr>
        <w:t>de </w:t>
      </w:r>
      <w:r>
        <w:rPr>
          <w:i/>
          <w:sz w:val="23"/>
        </w:rPr>
        <w:t>la Educación </w:t>
      </w:r>
      <w:r>
        <w:rPr>
          <w:sz w:val="23"/>
        </w:rPr>
        <w:t>(ACE) y el </w:t>
      </w:r>
      <w:r>
        <w:rPr>
          <w:i/>
          <w:sz w:val="23"/>
        </w:rPr>
        <w:t>Acuerdo para la </w:t>
      </w:r>
      <w:r>
        <w:rPr>
          <w:i/>
          <w:sz w:val="23"/>
        </w:rPr>
        <w:t>Evaluación Universal de Docentes y Directivos </w:t>
      </w:r>
      <w:r>
        <w:rPr>
          <w:i/>
          <w:spacing w:val="-3"/>
          <w:sz w:val="23"/>
        </w:rPr>
        <w:t>en </w:t>
      </w:r>
      <w:r>
        <w:rPr>
          <w:i/>
          <w:sz w:val="23"/>
        </w:rPr>
        <w:t>Servicio de Educación Básica</w:t>
      </w:r>
      <w:r>
        <w:rPr>
          <w:sz w:val="23"/>
        </w:rPr>
        <w:t>,  son propuestas que </w:t>
      </w:r>
      <w:r>
        <w:rPr>
          <w:spacing w:val="2"/>
          <w:sz w:val="23"/>
        </w:rPr>
        <w:t>no </w:t>
      </w:r>
      <w:r>
        <w:rPr>
          <w:sz w:val="23"/>
        </w:rPr>
        <w:t>parten de la concepción clásica sobre lo que </w:t>
      </w:r>
      <w:r>
        <w:rPr>
          <w:spacing w:val="-4"/>
          <w:sz w:val="23"/>
        </w:rPr>
        <w:t>es </w:t>
      </w:r>
      <w:r>
        <w:rPr>
          <w:sz w:val="23"/>
        </w:rPr>
        <w:t>la calidad educativa (mejorar el logro de los aprendizajes de manera verificable y sostenible), sino de   dos de sus premisas: medir los avances de los conocimientos (si es que    </w:t>
      </w:r>
      <w:r>
        <w:rPr>
          <w:spacing w:val="-5"/>
          <w:sz w:val="23"/>
        </w:rPr>
        <w:t>lo </w:t>
      </w:r>
      <w:r>
        <w:rPr>
          <w:sz w:val="23"/>
        </w:rPr>
        <w:t>hay) y maximizar el </w:t>
      </w:r>
      <w:r>
        <w:rPr>
          <w:spacing w:val="2"/>
          <w:sz w:val="23"/>
        </w:rPr>
        <w:t>uso </w:t>
      </w:r>
      <w:r>
        <w:rPr>
          <w:sz w:val="23"/>
        </w:rPr>
        <w:t>de </w:t>
      </w:r>
      <w:r>
        <w:rPr>
          <w:spacing w:val="-4"/>
          <w:sz w:val="23"/>
        </w:rPr>
        <w:t>los </w:t>
      </w:r>
      <w:r>
        <w:rPr>
          <w:sz w:val="23"/>
        </w:rPr>
        <w:t>recursos materiales y financieros del sistema educativo.</w:t>
      </w:r>
    </w:p>
    <w:p>
      <w:pPr>
        <w:pStyle w:val="BodyText"/>
        <w:spacing w:line="369" w:lineRule="auto"/>
        <w:ind w:left="115" w:right="116" w:firstLine="686"/>
        <w:jc w:val="both"/>
      </w:pPr>
      <w:r>
        <w:rPr/>
        <w:t>El resto de </w:t>
      </w:r>
      <w:r>
        <w:rPr>
          <w:spacing w:val="-3"/>
        </w:rPr>
        <w:t>las </w:t>
      </w:r>
      <w:r>
        <w:rPr/>
        <w:t>premisas están presentes en las políticas públicas de  </w:t>
      </w:r>
      <w:r>
        <w:rPr>
          <w:spacing w:val="-4"/>
        </w:rPr>
        <w:t>la </w:t>
      </w:r>
      <w:r>
        <w:rPr/>
        <w:t>calidad educativa, durante los sexenios</w:t>
      </w:r>
      <w:r>
        <w:rPr>
          <w:spacing w:val="51"/>
        </w:rPr>
        <w:t> </w:t>
      </w:r>
      <w:r>
        <w:rPr/>
        <w:t>2000-2006 y 2006-2012, pero de</w:t>
      </w:r>
      <w:r>
        <w:rPr>
          <w:spacing w:val="51"/>
        </w:rPr>
        <w:t> </w:t>
      </w:r>
      <w:r>
        <w:rPr/>
        <w:t>forma</w:t>
      </w:r>
    </w:p>
    <w:p>
      <w:pPr>
        <w:spacing w:after="0" w:line="369" w:lineRule="auto"/>
        <w:jc w:val="both"/>
        <w:sectPr>
          <w:footerReference w:type="default" r:id="rId7"/>
          <w:pgSz w:w="11910" w:h="16840"/>
          <w:pgMar w:footer="1457" w:header="0" w:top="1580" w:bottom="1640" w:left="1540" w:right="1540"/>
          <w:pgNumType w:start="2"/>
        </w:sectPr>
      </w:pPr>
    </w:p>
    <w:p>
      <w:pPr>
        <w:pStyle w:val="BodyText"/>
        <w:rPr>
          <w:sz w:val="20"/>
        </w:rPr>
      </w:pPr>
    </w:p>
    <w:p>
      <w:pPr>
        <w:pStyle w:val="BodyText"/>
        <w:spacing w:before="2"/>
        <w:rPr>
          <w:sz w:val="16"/>
        </w:rPr>
      </w:pPr>
    </w:p>
    <w:p>
      <w:pPr>
        <w:pStyle w:val="BodyText"/>
        <w:spacing w:line="364" w:lineRule="auto" w:before="74"/>
        <w:ind w:left="115" w:right="110"/>
        <w:jc w:val="both"/>
      </w:pPr>
      <w:r>
        <w:rPr/>
        <w:t>subsidiaria, como son los casos de la reforma del currículo o planes y programas  de estudio; igualdad de oportunidades para el acceso y permanencia de </w:t>
      </w:r>
      <w:r>
        <w:rPr>
          <w:spacing w:val="-2"/>
        </w:rPr>
        <w:t>los </w:t>
      </w:r>
      <w:r>
        <w:rPr/>
        <w:t>estudiantes y la profesionalización del personal docente y </w:t>
      </w:r>
      <w:r>
        <w:rPr>
          <w:spacing w:val="6"/>
        </w:rPr>
        <w:t> </w:t>
      </w:r>
      <w:r>
        <w:rPr/>
        <w:t>administrativo.</w:t>
      </w:r>
    </w:p>
    <w:p>
      <w:pPr>
        <w:pStyle w:val="BodyText"/>
        <w:spacing w:line="364" w:lineRule="auto" w:before="5"/>
        <w:ind w:left="115" w:right="103" w:firstLine="686"/>
        <w:jc w:val="both"/>
      </w:pPr>
      <w:r>
        <w:rPr/>
        <w:t>Otro hallazgo clave que en buena medida explica </w:t>
      </w:r>
      <w:r>
        <w:rPr>
          <w:spacing w:val="-3"/>
        </w:rPr>
        <w:t>la </w:t>
      </w:r>
      <w:r>
        <w:rPr/>
        <w:t>forma en que se orientaron las políticas públicas de </w:t>
      </w:r>
      <w:r>
        <w:rPr>
          <w:spacing w:val="-4"/>
        </w:rPr>
        <w:t>la </w:t>
      </w:r>
      <w:r>
        <w:rPr/>
        <w:t>“calidad educativa”, es que </w:t>
      </w:r>
      <w:r>
        <w:rPr>
          <w:spacing w:val="-4"/>
        </w:rPr>
        <w:t>la </w:t>
      </w:r>
      <w:r>
        <w:rPr/>
        <w:t>correlación de fuerzas en </w:t>
      </w:r>
      <w:r>
        <w:rPr>
          <w:spacing w:val="-3"/>
        </w:rPr>
        <w:t>“los </w:t>
      </w:r>
      <w:r>
        <w:rPr/>
        <w:t>juegos de poder”, en el ámbito de </w:t>
      </w:r>
      <w:r>
        <w:rPr>
          <w:spacing w:val="-5"/>
        </w:rPr>
        <w:t>la </w:t>
      </w:r>
      <w:r>
        <w:rPr/>
        <w:t>educación pública en su nivel básico y normal, no favorece al titular del poder Ejecutivo. </w:t>
      </w:r>
      <w:r>
        <w:rPr>
          <w:spacing w:val="2"/>
        </w:rPr>
        <w:t>Si </w:t>
      </w:r>
      <w:r>
        <w:rPr/>
        <w:t>bien la estructura de autoridad en el sistema educativo </w:t>
      </w:r>
      <w:r>
        <w:rPr>
          <w:spacing w:val="-3"/>
        </w:rPr>
        <w:t>está </w:t>
      </w:r>
      <w:r>
        <w:rPr/>
        <w:t>más o menos definida en la letra, en </w:t>
      </w:r>
      <w:r>
        <w:rPr>
          <w:spacing w:val="-4"/>
        </w:rPr>
        <w:t>la </w:t>
      </w:r>
      <w:r>
        <w:rPr/>
        <w:t>realidad, el poder del Sindicato Nacional de Trabajadores de la Educación (SNTE) implica la administración de las escuelas públicas y normales </w:t>
      </w:r>
      <w:r>
        <w:rPr>
          <w:spacing w:val="3"/>
        </w:rPr>
        <w:t>de </w:t>
      </w:r>
      <w:r>
        <w:rPr/>
        <w:t>todo el país. Asimismo, con la federalización de la educación básica y  normal,  los  gobernadores asumieron un papel protagónico en la forma de ejercer </w:t>
      </w:r>
      <w:r>
        <w:rPr>
          <w:spacing w:val="4"/>
        </w:rPr>
        <w:t>el </w:t>
      </w:r>
      <w:r>
        <w:rPr/>
        <w:t>gasto “nacional”, de forma que muchas de las veces lo reorientan o lo desvían </w:t>
      </w:r>
      <w:r>
        <w:rPr>
          <w:spacing w:val="-3"/>
        </w:rPr>
        <w:t>en </w:t>
      </w:r>
      <w:r>
        <w:rPr/>
        <w:t>su beneficio político, de forma que los objetivos de los programas federales se  cumplen</w:t>
      </w:r>
      <w:r>
        <w:rPr>
          <w:spacing w:val="16"/>
        </w:rPr>
        <w:t> </w:t>
      </w:r>
      <w:r>
        <w:rPr/>
        <w:t>cabalmente.</w:t>
      </w:r>
    </w:p>
    <w:p>
      <w:pPr>
        <w:pStyle w:val="BodyText"/>
        <w:spacing w:line="364" w:lineRule="auto"/>
        <w:ind w:left="115" w:right="102" w:firstLine="686"/>
        <w:jc w:val="both"/>
      </w:pPr>
      <w:r>
        <w:rPr/>
        <w:t>Esta situación, durante los sexenios </w:t>
      </w:r>
      <w:r>
        <w:rPr>
          <w:spacing w:val="3"/>
        </w:rPr>
        <w:t>de </w:t>
      </w:r>
      <w:r>
        <w:rPr/>
        <w:t>Vicente Fox y  Felipe  Calderón, obligó que las políticas públicas de </w:t>
      </w:r>
      <w:r>
        <w:rPr>
          <w:spacing w:val="-3"/>
        </w:rPr>
        <w:t>la </w:t>
      </w:r>
      <w:r>
        <w:rPr/>
        <w:t>“calidad educativa”,  fueran  conducidas  desde la Presidencia. De esta forma, al enlistar las políticas más importantes en  este rubro, se puede advertir que quien propone, orienta y ejecuta </w:t>
      </w:r>
      <w:r>
        <w:rPr>
          <w:spacing w:val="-3"/>
        </w:rPr>
        <w:t>es </w:t>
      </w:r>
      <w:r>
        <w:rPr/>
        <w:t>el poder Ejecutivo. Desde el punto de vista administrativo y tomando </w:t>
      </w:r>
      <w:r>
        <w:rPr>
          <w:spacing w:val="2"/>
        </w:rPr>
        <w:t>en </w:t>
      </w:r>
      <w:r>
        <w:rPr/>
        <w:t>cuenta </w:t>
      </w:r>
      <w:r>
        <w:rPr>
          <w:spacing w:val="-3"/>
        </w:rPr>
        <w:t>las  </w:t>
      </w:r>
      <w:r>
        <w:rPr/>
        <w:t>facultades constitucionales del Presidente puede justificarse, sin embargo, desde  un punto de vista federalista, republicano o pluralista, resulta cuestionable que en las políticas clave del sector educativo, se pase por alto a </w:t>
      </w:r>
      <w:r>
        <w:rPr>
          <w:spacing w:val="-3"/>
        </w:rPr>
        <w:t>los  </w:t>
      </w:r>
      <w:r>
        <w:rPr/>
        <w:t>partidos,  al  Congreso, a </w:t>
      </w:r>
      <w:r>
        <w:rPr>
          <w:spacing w:val="-3"/>
        </w:rPr>
        <w:t>los </w:t>
      </w:r>
      <w:r>
        <w:rPr/>
        <w:t>gobernadores y a la sociedad civil. Más aún, llama </w:t>
      </w:r>
      <w:r>
        <w:rPr>
          <w:spacing w:val="-3"/>
        </w:rPr>
        <w:t>la </w:t>
      </w:r>
      <w:r>
        <w:rPr/>
        <w:t>atención que el principal interlocutor del Presidente sean los líderes del SNTE.  Desde el punto  de vista político esto </w:t>
      </w:r>
      <w:r>
        <w:rPr>
          <w:spacing w:val="-3"/>
        </w:rPr>
        <w:t>es </w:t>
      </w:r>
      <w:r>
        <w:rPr/>
        <w:t>entendible y hasta justificable, pero desde el punto vista administrativo resulta cuestionable, pues surge </w:t>
      </w:r>
      <w:r>
        <w:rPr>
          <w:spacing w:val="-4"/>
        </w:rPr>
        <w:t>la </w:t>
      </w:r>
      <w:r>
        <w:rPr/>
        <w:t>interrogante ¿y donde está </w:t>
      </w:r>
      <w:r>
        <w:rPr>
          <w:spacing w:val="-4"/>
        </w:rPr>
        <w:t>la </w:t>
      </w:r>
      <w:r>
        <w:rPr/>
        <w:t>racionalidad gubernamental? o ¿dónde queda </w:t>
      </w:r>
      <w:r>
        <w:rPr>
          <w:spacing w:val="-5"/>
        </w:rPr>
        <w:t>la </w:t>
      </w:r>
      <w:r>
        <w:rPr/>
        <w:t>autonomía de las burocracias publicas frente a diversos actores</w:t>
      </w:r>
      <w:r>
        <w:rPr>
          <w:spacing w:val="41"/>
        </w:rPr>
        <w:t> </w:t>
      </w:r>
      <w:r>
        <w:rPr/>
        <w:t>sociales?.</w:t>
      </w:r>
    </w:p>
    <w:p>
      <w:pPr>
        <w:pStyle w:val="BodyText"/>
        <w:spacing w:line="369" w:lineRule="auto"/>
        <w:ind w:left="115" w:right="112" w:firstLine="686"/>
        <w:jc w:val="both"/>
      </w:pPr>
      <w:r>
        <w:rPr/>
        <w:t>Esta investigación es un estudio exploratorio, es decir, aunque tiene un carácter científico, sobre todo, busca  conocer los  alcances  de las  políticas  de   la</w:t>
      </w:r>
    </w:p>
    <w:p>
      <w:pPr>
        <w:spacing w:after="0" w:line="369"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6"/>
        <w:jc w:val="both"/>
      </w:pPr>
      <w:r>
        <w:rPr/>
        <w:t>“calidad educativa”, de forma que de antemano no </w:t>
      </w:r>
      <w:r>
        <w:rPr>
          <w:spacing w:val="4"/>
        </w:rPr>
        <w:t>se </w:t>
      </w:r>
      <w:r>
        <w:rPr/>
        <w:t>generan premisas sobre sus resultados, sino, literalmente descubrirlos a partir del esquema de análisis que a continuación </w:t>
      </w:r>
      <w:r>
        <w:rPr>
          <w:spacing w:val="3"/>
        </w:rPr>
        <w:t>se </w:t>
      </w:r>
      <w:r>
        <w:rPr/>
        <w:t>propone. Para realizar </w:t>
      </w:r>
      <w:r>
        <w:rPr>
          <w:spacing w:val="-5"/>
        </w:rPr>
        <w:t>la </w:t>
      </w:r>
      <w:r>
        <w:rPr/>
        <w:t>investigación, se revisaron informes </w:t>
      </w:r>
      <w:r>
        <w:rPr>
          <w:i/>
        </w:rPr>
        <w:t>oficiales</w:t>
      </w:r>
      <w:r>
        <w:rPr/>
        <w:t>, estudios académicos y artículos periodísticos para estructurar el análisis. Asimismo, se recurrió a un sinnúmero de autores que estudian y reflexionan sobre  el tema de </w:t>
      </w:r>
      <w:r>
        <w:rPr>
          <w:spacing w:val="-5"/>
        </w:rPr>
        <w:t>la </w:t>
      </w:r>
      <w:r>
        <w:rPr/>
        <w:t>calidad educativa. Se trata de trabajos que tienen una perspectiva teórica o que hacen trabajo</w:t>
      </w:r>
      <w:r>
        <w:rPr>
          <w:spacing w:val="39"/>
        </w:rPr>
        <w:t> </w:t>
      </w:r>
      <w:r>
        <w:rPr/>
        <w:t>empírico.</w:t>
      </w:r>
    </w:p>
    <w:p>
      <w:pPr>
        <w:pStyle w:val="BodyText"/>
        <w:spacing w:line="364" w:lineRule="auto" w:before="5"/>
        <w:ind w:left="115" w:right="106" w:firstLine="686"/>
        <w:jc w:val="both"/>
      </w:pPr>
      <w:r>
        <w:rPr/>
        <w:t>El esquema de análisis propuesto en esta investigación no pretende pasar por </w:t>
      </w:r>
      <w:r>
        <w:rPr>
          <w:spacing w:val="-3"/>
        </w:rPr>
        <w:t>alto  </w:t>
      </w:r>
      <w:r>
        <w:rPr>
          <w:spacing w:val="-5"/>
        </w:rPr>
        <w:t>la </w:t>
      </w:r>
      <w:r>
        <w:rPr/>
        <w:t>premisa de que, de acuerdo con Aguilar (2000a),   los gobiernos tienen   </w:t>
      </w:r>
      <w:r>
        <w:rPr>
          <w:spacing w:val="-5"/>
        </w:rPr>
        <w:t>la </w:t>
      </w:r>
      <w:r>
        <w:rPr/>
        <w:t>necesidad de acumular y procesar conocimiento y apoyo científico  para  </w:t>
      </w:r>
      <w:r>
        <w:rPr>
          <w:spacing w:val="3"/>
        </w:rPr>
        <w:t>el  </w:t>
      </w:r>
      <w:r>
        <w:rPr/>
        <w:t>diseño y </w:t>
      </w:r>
      <w:r>
        <w:rPr>
          <w:spacing w:val="-3"/>
        </w:rPr>
        <w:t>la </w:t>
      </w:r>
      <w:r>
        <w:rPr/>
        <w:t>puesta en marcha de las decisiones públicas. Asimismo, </w:t>
      </w:r>
      <w:r>
        <w:rPr>
          <w:spacing w:val="2"/>
        </w:rPr>
        <w:t>se </w:t>
      </w:r>
      <w:r>
        <w:rPr/>
        <w:t>reconoce que es en gran medida verificable </w:t>
      </w:r>
      <w:r>
        <w:rPr>
          <w:spacing w:val="-5"/>
        </w:rPr>
        <w:t>la </w:t>
      </w:r>
      <w:r>
        <w:rPr/>
        <w:t>propuesta de Larrue (2000), quien establece que las políticas públicas implican racionalidad y cierto grado de autonomía de </w:t>
      </w:r>
      <w:r>
        <w:rPr>
          <w:spacing w:val="-5"/>
        </w:rPr>
        <w:t>la </w:t>
      </w:r>
      <w:r>
        <w:rPr/>
        <w:t>burocracia del</w:t>
      </w:r>
      <w:r>
        <w:rPr>
          <w:spacing w:val="24"/>
        </w:rPr>
        <w:t> </w:t>
      </w:r>
      <w:r>
        <w:rPr/>
        <w:t>Estado.</w:t>
      </w:r>
    </w:p>
    <w:p>
      <w:pPr>
        <w:pStyle w:val="BodyText"/>
        <w:spacing w:line="364" w:lineRule="auto" w:before="5"/>
        <w:ind w:left="115" w:right="110" w:firstLine="686"/>
        <w:jc w:val="both"/>
      </w:pPr>
      <w:r>
        <w:rPr>
          <w:spacing w:val="-3"/>
        </w:rPr>
        <w:t>Sin </w:t>
      </w:r>
      <w:r>
        <w:rPr/>
        <w:t>embargo, el enfoque analítico que se privilegia en esta investigación, comparte </w:t>
      </w:r>
      <w:r>
        <w:rPr>
          <w:spacing w:val="-5"/>
        </w:rPr>
        <w:t>la </w:t>
      </w:r>
      <w:r>
        <w:rPr/>
        <w:t>premisa  de Majone (1978) en el sentido que </w:t>
      </w:r>
      <w:r>
        <w:rPr>
          <w:spacing w:val="-4"/>
        </w:rPr>
        <w:t>la  </w:t>
      </w:r>
      <w:r>
        <w:rPr/>
        <w:t>elección y desarrollo  de una política no necesariamente es resultado de un “sofisticado cálculo tecnocrático” o </w:t>
      </w:r>
      <w:r>
        <w:rPr>
          <w:spacing w:val="2"/>
        </w:rPr>
        <w:t>de </w:t>
      </w:r>
      <w:r>
        <w:rPr/>
        <w:t>una preferencia autocrática, sino que de </w:t>
      </w:r>
      <w:r>
        <w:rPr>
          <w:spacing w:val="-5"/>
        </w:rPr>
        <w:t>la </w:t>
      </w:r>
      <w:r>
        <w:rPr/>
        <w:t>discusión y  persuasión recíproca de “muchos actores sociales, políticos y gubernamentales”,  los cuales de </w:t>
      </w:r>
      <w:r>
        <w:rPr>
          <w:spacing w:val="-3"/>
        </w:rPr>
        <w:t>una </w:t>
      </w:r>
      <w:r>
        <w:rPr/>
        <w:t>u otra forma </w:t>
      </w:r>
      <w:r>
        <w:rPr>
          <w:spacing w:val="2"/>
        </w:rPr>
        <w:t>se </w:t>
      </w:r>
      <w:r>
        <w:rPr/>
        <w:t>involucran en </w:t>
      </w:r>
      <w:r>
        <w:rPr>
          <w:spacing w:val="3"/>
        </w:rPr>
        <w:t>su </w:t>
      </w:r>
      <w:r>
        <w:rPr/>
        <w:t>formulación,  aceptación  y puesta en</w:t>
      </w:r>
      <w:r>
        <w:rPr>
          <w:spacing w:val="16"/>
        </w:rPr>
        <w:t> </w:t>
      </w:r>
      <w:r>
        <w:rPr/>
        <w:t>práctica.</w:t>
      </w:r>
    </w:p>
    <w:p>
      <w:pPr>
        <w:pStyle w:val="BodyText"/>
        <w:spacing w:line="364" w:lineRule="auto" w:before="10"/>
        <w:ind w:left="115" w:right="110" w:firstLine="686"/>
        <w:jc w:val="both"/>
      </w:pPr>
      <w:r>
        <w:rPr/>
        <w:t>Así, de acuerdo con Méndez (2000) conviene estudiar las políticas públicas en función de tres elementos fundamentales que forman parte </w:t>
      </w:r>
      <w:r>
        <w:rPr>
          <w:spacing w:val="3"/>
        </w:rPr>
        <w:t>de </w:t>
      </w:r>
      <w:r>
        <w:rPr/>
        <w:t>ellas: </w:t>
      </w:r>
      <w:r>
        <w:rPr>
          <w:spacing w:val="-2"/>
        </w:rPr>
        <w:t>los</w:t>
      </w:r>
      <w:r>
        <w:rPr>
          <w:spacing w:val="59"/>
        </w:rPr>
        <w:t> </w:t>
      </w:r>
      <w:r>
        <w:rPr/>
        <w:t>objetivos públicos del Estado; </w:t>
      </w:r>
      <w:r>
        <w:rPr>
          <w:spacing w:val="-5"/>
        </w:rPr>
        <w:t>los </w:t>
      </w:r>
      <w:r>
        <w:rPr/>
        <w:t>programas diseñados para cumplir con esos objetivos, </w:t>
      </w:r>
      <w:r>
        <w:rPr>
          <w:spacing w:val="-3"/>
        </w:rPr>
        <w:t>así </w:t>
      </w:r>
      <w:r>
        <w:rPr/>
        <w:t>como su impacto en la</w:t>
      </w:r>
      <w:r>
        <w:rPr>
          <w:spacing w:val="55"/>
        </w:rPr>
        <w:t> </w:t>
      </w:r>
      <w:r>
        <w:rPr/>
        <w:t>sociedad.</w:t>
      </w:r>
    </w:p>
    <w:p>
      <w:pPr>
        <w:pStyle w:val="BodyText"/>
        <w:spacing w:line="367" w:lineRule="auto"/>
        <w:ind w:left="115" w:right="111" w:firstLine="686"/>
        <w:jc w:val="both"/>
      </w:pPr>
      <w:r>
        <w:rPr/>
        <w:t>Lowi (1964) al reflexionar sobre la forma en cómo entender </w:t>
      </w:r>
      <w:r>
        <w:rPr>
          <w:spacing w:val="-5"/>
        </w:rPr>
        <w:t>la  </w:t>
      </w:r>
      <w:r>
        <w:rPr/>
        <w:t>génesis  </w:t>
      </w:r>
      <w:r>
        <w:rPr>
          <w:spacing w:val="-3"/>
        </w:rPr>
        <w:t>de  </w:t>
      </w:r>
      <w:r>
        <w:rPr/>
        <w:t>las políticas públicas, planteó tres posibilidades:1) </w:t>
      </w:r>
      <w:r>
        <w:rPr>
          <w:spacing w:val="-3"/>
        </w:rPr>
        <w:t>la </w:t>
      </w:r>
      <w:r>
        <w:rPr/>
        <w:t>perspectiva racional, 2) organizativa y 3) la burocrática. El primero parte de la idea de que la política es decidida según un curso de acción que se considera eficiente y estratégico en </w:t>
      </w:r>
      <w:r>
        <w:rPr>
          <w:spacing w:val="-3"/>
        </w:rPr>
        <w:t>la </w:t>
      </w:r>
      <w:r>
        <w:rPr/>
        <w:t>realización de los objetivos. La segunda considera a </w:t>
      </w:r>
      <w:r>
        <w:rPr>
          <w:spacing w:val="-3"/>
        </w:rPr>
        <w:t>la </w:t>
      </w:r>
      <w:r>
        <w:rPr/>
        <w:t>política pública como resultado  del  funcionamiento  organizacional  de  los   gobiernos.  </w:t>
      </w:r>
      <w:r>
        <w:rPr>
          <w:spacing w:val="3"/>
        </w:rPr>
        <w:t>En  </w:t>
      </w:r>
      <w:r>
        <w:rPr/>
        <w:t>cambio,   </w:t>
      </w:r>
      <w:r>
        <w:rPr>
          <w:spacing w:val="18"/>
        </w:rPr>
        <w:t> </w:t>
      </w:r>
      <w:r>
        <w:rPr>
          <w:spacing w:val="-4"/>
        </w:rPr>
        <w:t>la</w:t>
      </w:r>
    </w:p>
    <w:p>
      <w:pPr>
        <w:spacing w:after="0" w:line="367"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5"/>
        <w:jc w:val="both"/>
      </w:pPr>
      <w:r>
        <w:rPr/>
        <w:t>perspectiva burocrática asume que una política pública es un resultado de orden político, esto es, de asimetrías en las relaciones  de  poder y  de  negociaciones entre actores sociales y entre actores institucionales con diferentes intereses y propósitos. Este último es el enfoque que se pretende abordar en  esta investigación.</w:t>
      </w:r>
    </w:p>
    <w:p>
      <w:pPr>
        <w:pStyle w:val="BodyText"/>
        <w:spacing w:line="364" w:lineRule="auto" w:before="5"/>
        <w:ind w:left="115" w:right="106" w:firstLine="686"/>
        <w:jc w:val="both"/>
      </w:pPr>
      <w:r>
        <w:rPr/>
        <w:t>En este sentido, el trabajo asume </w:t>
      </w:r>
      <w:r>
        <w:rPr>
          <w:spacing w:val="-4"/>
        </w:rPr>
        <w:t>la </w:t>
      </w:r>
      <w:r>
        <w:rPr/>
        <w:t>perspectiva de Charles  Lindblom  (2003), quien propuso que vale la pena analizar las políticas públicas a partir del peso de los actores, lo cual permite visualizar los “juegos </w:t>
      </w:r>
      <w:r>
        <w:rPr>
          <w:spacing w:val="-3"/>
        </w:rPr>
        <w:t>de </w:t>
      </w:r>
      <w:r>
        <w:rPr/>
        <w:t>poder” o “juegos políticos” al interior de las burocracias, entre las burocracias y los grupos  de interés; entre </w:t>
      </w:r>
      <w:r>
        <w:rPr>
          <w:spacing w:val="-3"/>
        </w:rPr>
        <w:t>los </w:t>
      </w:r>
      <w:r>
        <w:rPr/>
        <w:t>grupos de interés y entre burocracias y los ciudadanos organizados. Esto </w:t>
      </w:r>
      <w:r>
        <w:rPr>
          <w:spacing w:val="-3"/>
        </w:rPr>
        <w:t>es </w:t>
      </w:r>
      <w:r>
        <w:rPr/>
        <w:t>clave, dice Lindblom (2003), porque los “juegos </w:t>
      </w:r>
      <w:r>
        <w:rPr>
          <w:spacing w:val="3"/>
        </w:rPr>
        <w:t>de </w:t>
      </w:r>
      <w:r>
        <w:rPr/>
        <w:t>poder” limitan las posibilidades de hacer un </w:t>
      </w:r>
      <w:r>
        <w:rPr>
          <w:spacing w:val="-3"/>
        </w:rPr>
        <w:t>análisis </w:t>
      </w:r>
      <w:r>
        <w:rPr/>
        <w:t>racional del problema y más aún de hacer una política pública que resuelva, al menos parcialmente, </w:t>
      </w:r>
      <w:r>
        <w:rPr>
          <w:spacing w:val="-4"/>
        </w:rPr>
        <w:t>la </w:t>
      </w:r>
      <w:r>
        <w:rPr/>
        <w:t>problemática detectada. </w:t>
      </w:r>
      <w:r>
        <w:rPr>
          <w:spacing w:val="2"/>
        </w:rPr>
        <w:t>En </w:t>
      </w:r>
      <w:r>
        <w:rPr/>
        <w:t>esta lógica, </w:t>
      </w:r>
      <w:r>
        <w:rPr>
          <w:spacing w:val="-3"/>
        </w:rPr>
        <w:t>los </w:t>
      </w:r>
      <w:r>
        <w:rPr/>
        <w:t>juegos de poder dan lugar a políticas públicas posibles, o si se quiere, las mejores</w:t>
      </w:r>
      <w:r>
        <w:rPr>
          <w:spacing w:val="39"/>
        </w:rPr>
        <w:t> </w:t>
      </w:r>
      <w:r>
        <w:rPr/>
        <w:t>posibles.</w:t>
      </w:r>
    </w:p>
    <w:p>
      <w:pPr>
        <w:pStyle w:val="BodyText"/>
        <w:spacing w:line="364" w:lineRule="auto"/>
        <w:ind w:left="115" w:right="106" w:firstLine="686"/>
        <w:jc w:val="both"/>
      </w:pPr>
      <w:r>
        <w:rPr/>
        <w:t>Los “juegos de poder”, según </w:t>
      </w:r>
      <w:r>
        <w:rPr>
          <w:spacing w:val="-4"/>
        </w:rPr>
        <w:t>lo </w:t>
      </w:r>
      <w:r>
        <w:rPr/>
        <w:t>establecen Scartascini, Spiller, Stein y Tommasi (2011) pueden contribuir a la estabilidad de las políticas públicas o conducir a grandes vaivenes; pueden facilitar su adaptabilidad o llevarlas  a  </w:t>
      </w:r>
      <w:r>
        <w:rPr>
          <w:spacing w:val="-4"/>
        </w:rPr>
        <w:t>la </w:t>
      </w:r>
      <w:r>
        <w:rPr/>
        <w:t>rigidez excesiva; pueden producir políticas que promuevan tanto el bienestar  público como los intereses privados; pueden influir en </w:t>
      </w:r>
      <w:r>
        <w:rPr>
          <w:spacing w:val="-5"/>
        </w:rPr>
        <w:t>la </w:t>
      </w:r>
      <w:r>
        <w:rPr/>
        <w:t>calidad de </w:t>
      </w:r>
      <w:r>
        <w:rPr>
          <w:spacing w:val="-5"/>
        </w:rPr>
        <w:t>la </w:t>
      </w:r>
      <w:r>
        <w:rPr/>
        <w:t>implementación y el </w:t>
      </w:r>
      <w:r>
        <w:rPr>
          <w:i/>
        </w:rPr>
        <w:t>enforcement </w:t>
      </w:r>
      <w:r>
        <w:rPr/>
        <w:t>o eficacia. En este marco, se puede considerar que una sociedad carente de estructuras organizativas, es decir,  de  “capital  social”, no tiene las mejores condiciones políticas para exigir sus derechos a </w:t>
      </w:r>
      <w:r>
        <w:rPr>
          <w:spacing w:val="-2"/>
        </w:rPr>
        <w:t>las </w:t>
      </w:r>
      <w:r>
        <w:rPr/>
        <w:t>burocracias</w:t>
      </w:r>
      <w:r>
        <w:rPr>
          <w:spacing w:val="24"/>
        </w:rPr>
        <w:t> </w:t>
      </w:r>
      <w:r>
        <w:rPr/>
        <w:t>públicas.</w:t>
      </w:r>
    </w:p>
    <w:p>
      <w:pPr>
        <w:pStyle w:val="BodyText"/>
        <w:spacing w:line="364" w:lineRule="auto" w:before="5"/>
        <w:ind w:left="115" w:right="108" w:firstLine="686"/>
        <w:jc w:val="both"/>
      </w:pPr>
      <w:r>
        <w:rPr/>
        <w:t>Ahora bien, el análisis de </w:t>
      </w:r>
      <w:r>
        <w:rPr>
          <w:spacing w:val="-3"/>
        </w:rPr>
        <w:t>los </w:t>
      </w:r>
      <w:r>
        <w:rPr/>
        <w:t>resultad de los “juegos de poder”, desde </w:t>
      </w:r>
      <w:r>
        <w:rPr>
          <w:spacing w:val="-4"/>
        </w:rPr>
        <w:t>la </w:t>
      </w:r>
      <w:r>
        <w:rPr/>
        <w:t>perspectiva de esta investigación, es clave para entender </w:t>
      </w:r>
      <w:r>
        <w:rPr>
          <w:spacing w:val="-3"/>
        </w:rPr>
        <w:t>la </w:t>
      </w:r>
      <w:r>
        <w:rPr/>
        <w:t>magnitud del rezago educativo en México. </w:t>
      </w:r>
      <w:r>
        <w:rPr>
          <w:spacing w:val="2"/>
        </w:rPr>
        <w:t>En </w:t>
      </w:r>
      <w:r>
        <w:rPr/>
        <w:t>el Plan Nacional de Desarrollo  2007-2012, se afirma que  </w:t>
      </w:r>
      <w:r>
        <w:rPr>
          <w:spacing w:val="-5"/>
        </w:rPr>
        <w:t>la </w:t>
      </w:r>
      <w:r>
        <w:rPr/>
        <w:t>cobertura </w:t>
      </w:r>
      <w:r>
        <w:rPr>
          <w:spacing w:val="2"/>
        </w:rPr>
        <w:t>de </w:t>
      </w:r>
      <w:r>
        <w:rPr>
          <w:spacing w:val="-3"/>
        </w:rPr>
        <w:t>la </w:t>
      </w:r>
      <w:r>
        <w:rPr/>
        <w:t>educación básica presenta diferencias por nivel educativo: en preescolar es de 66.9%; </w:t>
      </w:r>
      <w:r>
        <w:rPr>
          <w:spacing w:val="2"/>
        </w:rPr>
        <w:t>en </w:t>
      </w:r>
      <w:r>
        <w:rPr/>
        <w:t>primaria, de 94.1%, y en secundaria, de 87%, siendo dicha cobertura desigual e inequitativa entre regiones y grupos de población (PND, 2007).</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6" w:right="104" w:firstLine="686"/>
        <w:jc w:val="both"/>
      </w:pPr>
      <w:r>
        <w:rPr/>
        <w:t>En dicho documento, se reconoce también que gran parte de  </w:t>
      </w:r>
      <w:r>
        <w:rPr>
          <w:spacing w:val="-5"/>
        </w:rPr>
        <w:t>la  </w:t>
      </w:r>
      <w:r>
        <w:rPr/>
        <w:t>población no tiene oportunidad de acceder a una educación “de calidad”. En 2006, el 49.8% de las 214.4 </w:t>
      </w:r>
      <w:r>
        <w:rPr>
          <w:spacing w:val="-3"/>
        </w:rPr>
        <w:t>miles </w:t>
      </w:r>
      <w:r>
        <w:rPr/>
        <w:t>de escuelas de educación básica era multigrado;  en  su  mayoría, los alumnos de </w:t>
      </w:r>
      <w:r>
        <w:rPr>
          <w:spacing w:val="-3"/>
        </w:rPr>
        <w:t>estos </w:t>
      </w:r>
      <w:r>
        <w:rPr/>
        <w:t>planteles tienen una comprensión de lectura deficiente por razones obvias; el 30.4% de las  escuelas de educación básica era  de organización incompleta, esto es, ofrecían al menos un grado escolar sin completar </w:t>
      </w:r>
      <w:r>
        <w:rPr>
          <w:spacing w:val="-3"/>
        </w:rPr>
        <w:t>los </w:t>
      </w:r>
      <w:r>
        <w:rPr/>
        <w:t>grados </w:t>
      </w:r>
      <w:r>
        <w:rPr>
          <w:spacing w:val="-3"/>
        </w:rPr>
        <w:t>que </w:t>
      </w:r>
      <w:r>
        <w:rPr/>
        <w:t>integraban el nivel educativo (tres para preescolar, seis para primaria, y tres para secundaria) (PND,</w:t>
      </w:r>
      <w:r>
        <w:rPr>
          <w:spacing w:val="49"/>
        </w:rPr>
        <w:t> </w:t>
      </w:r>
      <w:r>
        <w:rPr/>
        <w:t>2007).</w:t>
      </w:r>
    </w:p>
    <w:p>
      <w:pPr>
        <w:pStyle w:val="BodyText"/>
        <w:spacing w:line="364" w:lineRule="auto" w:before="5"/>
        <w:ind w:left="116" w:right="105" w:firstLine="686"/>
        <w:jc w:val="both"/>
      </w:pPr>
      <w:r>
        <w:rPr/>
        <w:t>De acuerdo con  </w:t>
      </w:r>
      <w:r>
        <w:rPr>
          <w:spacing w:val="-4"/>
        </w:rPr>
        <w:t>las  </w:t>
      </w:r>
      <w:r>
        <w:rPr/>
        <w:t>cifras del PND, en 2006, en el país había 28,355.7  miles de personas en edad de cursar la educación básica (3 a 14 años), de los cuales el Sistema Educativo Nacional (SEN) sólo absorbió  al  88.6%  (25,131.8 miles de estudiantes), y quedaron sin ingresar al servicio educativo 3,223.9 </w:t>
      </w:r>
      <w:r>
        <w:rPr>
          <w:spacing w:val="-3"/>
        </w:rPr>
        <w:t>miles </w:t>
      </w:r>
      <w:r>
        <w:rPr/>
        <w:t>(11.4% de </w:t>
      </w:r>
      <w:r>
        <w:rPr>
          <w:spacing w:val="-3"/>
        </w:rPr>
        <w:t>los </w:t>
      </w:r>
      <w:r>
        <w:rPr/>
        <w:t>niños y jóvenes en edad de cursar </w:t>
      </w:r>
      <w:r>
        <w:rPr>
          <w:spacing w:val="-6"/>
        </w:rPr>
        <w:t>la </w:t>
      </w:r>
      <w:r>
        <w:rPr/>
        <w:t>educación básica), los cuales  en su mayoría habitaban en localidades aisladas y de difícil acceso, en campamentos de jornaleros agrícolas migrantes, en zonas urbano-marginadas, o bien eran niños que vivían </w:t>
      </w:r>
      <w:r>
        <w:rPr>
          <w:spacing w:val="-3"/>
        </w:rPr>
        <w:t>en </w:t>
      </w:r>
      <w:r>
        <w:rPr/>
        <w:t>situación de calle que no se incorporaron al SEN. (PND,</w:t>
      </w:r>
      <w:r>
        <w:rPr>
          <w:spacing w:val="12"/>
        </w:rPr>
        <w:t> </w:t>
      </w:r>
      <w:r>
        <w:rPr/>
        <w:t>2007).</w:t>
      </w:r>
    </w:p>
    <w:p>
      <w:pPr>
        <w:pStyle w:val="BodyText"/>
        <w:spacing w:line="364" w:lineRule="auto" w:before="10"/>
        <w:ind w:left="116" w:right="110" w:firstLine="686"/>
        <w:jc w:val="both"/>
      </w:pPr>
      <w:r>
        <w:rPr/>
        <w:t>En lo que respecta a diferencias de género, según el PND, hay una diferencia, de acceso a </w:t>
      </w:r>
      <w:r>
        <w:rPr>
          <w:spacing w:val="-4"/>
        </w:rPr>
        <w:t>la </w:t>
      </w:r>
      <w:r>
        <w:rPr/>
        <w:t>educación, de tres puntos y medio entre hombres y mujeres, ya que los primeros alcanzan una tasa de 94.4 por ciento y las segundas sólo 91.9; la brecha </w:t>
      </w:r>
      <w:r>
        <w:rPr>
          <w:spacing w:val="3"/>
        </w:rPr>
        <w:t>se </w:t>
      </w:r>
      <w:r>
        <w:rPr/>
        <w:t>mantiene en 3.5 desde 2000, pero tiene que ver con  cambios</w:t>
      </w:r>
      <w:r>
        <w:rPr>
          <w:spacing w:val="21"/>
        </w:rPr>
        <w:t> </w:t>
      </w:r>
      <w:r>
        <w:rPr/>
        <w:t>generacionales.</w:t>
      </w:r>
    </w:p>
    <w:p>
      <w:pPr>
        <w:pStyle w:val="BodyText"/>
        <w:spacing w:line="364" w:lineRule="auto"/>
        <w:ind w:left="116" w:right="102" w:firstLine="686"/>
        <w:jc w:val="both"/>
      </w:pPr>
      <w:r>
        <w:rPr/>
        <w:t>La diferencia entre generación </w:t>
      </w:r>
      <w:r>
        <w:rPr>
          <w:spacing w:val="-4"/>
        </w:rPr>
        <w:t>es </w:t>
      </w:r>
      <w:r>
        <w:rPr/>
        <w:t>también significativa. Mientras que en el grupo de 60 años o </w:t>
      </w:r>
      <w:r>
        <w:rPr>
          <w:spacing w:val="-3"/>
        </w:rPr>
        <w:t>más </w:t>
      </w:r>
      <w:r>
        <w:rPr/>
        <w:t>son analfabetas 9.9% </w:t>
      </w:r>
      <w:r>
        <w:rPr>
          <w:spacing w:val="-3"/>
        </w:rPr>
        <w:t>de </w:t>
      </w:r>
      <w:r>
        <w:rPr/>
        <w:t>hombres contra 15.3  de  mujeres, </w:t>
      </w:r>
      <w:r>
        <w:rPr>
          <w:spacing w:val="-3"/>
        </w:rPr>
        <w:t>es </w:t>
      </w:r>
      <w:r>
        <w:rPr/>
        <w:t>decir, una brecha de 5 puntos, esa diferencia </w:t>
      </w:r>
      <w:r>
        <w:rPr>
          <w:spacing w:val="2"/>
        </w:rPr>
        <w:t>se </w:t>
      </w:r>
      <w:r>
        <w:rPr>
          <w:spacing w:val="-2"/>
        </w:rPr>
        <w:t>reduce </w:t>
      </w:r>
      <w:r>
        <w:rPr/>
        <w:t>a 2.5 en el grupo entre 45 y 59 años, y a 0.8 entre 35 y 44.Después la tendencia </w:t>
      </w:r>
      <w:r>
        <w:rPr>
          <w:spacing w:val="3"/>
        </w:rPr>
        <w:t>se </w:t>
      </w:r>
      <w:r>
        <w:rPr/>
        <w:t>revierte, pues 25 a 34 años </w:t>
      </w:r>
      <w:r>
        <w:rPr>
          <w:spacing w:val="-4"/>
        </w:rPr>
        <w:t>ya </w:t>
      </w:r>
      <w:r>
        <w:rPr/>
        <w:t>hay más analfabetas hombres, 1.8, que mujeres, sólo 1.4, y en el grupo de 15 a </w:t>
      </w:r>
      <w:r>
        <w:rPr>
          <w:spacing w:val="-3"/>
        </w:rPr>
        <w:t>24 </w:t>
      </w:r>
      <w:r>
        <w:rPr/>
        <w:t>años son 1.2 por ciento de hombres y sólo 0.8 de </w:t>
      </w:r>
      <w:r>
        <w:rPr>
          <w:spacing w:val="29"/>
        </w:rPr>
        <w:t> </w:t>
      </w:r>
      <w:r>
        <w:rPr/>
        <w:t>mujeres.</w:t>
      </w:r>
    </w:p>
    <w:p>
      <w:pPr>
        <w:pStyle w:val="BodyText"/>
        <w:spacing w:line="364" w:lineRule="auto" w:before="5"/>
        <w:ind w:left="116" w:right="109" w:firstLine="686"/>
        <w:jc w:val="both"/>
      </w:pPr>
      <w:r>
        <w:rPr/>
        <w:t>En materia de infraestructura educativa, el PND afirma que existen atrasos    y desigualdades… el 14% </w:t>
      </w:r>
      <w:r>
        <w:rPr>
          <w:spacing w:val="3"/>
        </w:rPr>
        <w:t>de </w:t>
      </w:r>
      <w:r>
        <w:rPr/>
        <w:t>las primarias presenta cuarteaduras en sus edificaciones;</w:t>
      </w:r>
      <w:r>
        <w:rPr>
          <w:spacing w:val="42"/>
        </w:rPr>
        <w:t> </w:t>
      </w:r>
      <w:r>
        <w:rPr/>
        <w:t>en</w:t>
      </w:r>
      <w:r>
        <w:rPr>
          <w:spacing w:val="39"/>
        </w:rPr>
        <w:t> </w:t>
      </w:r>
      <w:r>
        <w:rPr/>
        <w:t>secundaria</w:t>
      </w:r>
      <w:r>
        <w:rPr>
          <w:spacing w:val="39"/>
        </w:rPr>
        <w:t> </w:t>
      </w:r>
      <w:r>
        <w:rPr/>
        <w:t>sólo</w:t>
      </w:r>
      <w:r>
        <w:rPr>
          <w:spacing w:val="39"/>
        </w:rPr>
        <w:t> </w:t>
      </w:r>
      <w:r>
        <w:rPr/>
        <w:t>el</w:t>
      </w:r>
      <w:r>
        <w:rPr>
          <w:spacing w:val="39"/>
        </w:rPr>
        <w:t> </w:t>
      </w:r>
      <w:r>
        <w:rPr/>
        <w:t>50%</w:t>
      </w:r>
      <w:r>
        <w:rPr>
          <w:spacing w:val="39"/>
        </w:rPr>
        <w:t> </w:t>
      </w:r>
      <w:r>
        <w:rPr/>
        <w:t>de</w:t>
      </w:r>
      <w:r>
        <w:rPr>
          <w:spacing w:val="39"/>
        </w:rPr>
        <w:t> </w:t>
      </w:r>
      <w:r>
        <w:rPr/>
        <w:t>los</w:t>
      </w:r>
      <w:r>
        <w:rPr>
          <w:spacing w:val="45"/>
        </w:rPr>
        <w:t> </w:t>
      </w:r>
      <w:r>
        <w:rPr/>
        <w:t>planteles</w:t>
      </w:r>
      <w:r>
        <w:rPr>
          <w:spacing w:val="45"/>
        </w:rPr>
        <w:t> </w:t>
      </w:r>
      <w:r>
        <w:rPr/>
        <w:t>se</w:t>
      </w:r>
      <w:r>
        <w:rPr>
          <w:spacing w:val="39"/>
        </w:rPr>
        <w:t> </w:t>
      </w:r>
      <w:r>
        <w:rPr/>
        <w:t>encuentra</w:t>
      </w:r>
      <w:r>
        <w:rPr>
          <w:spacing w:val="39"/>
        </w:rPr>
        <w:t> </w:t>
      </w:r>
      <w:r>
        <w:rPr/>
        <w:t>en</w:t>
      </w:r>
      <w:r>
        <w:rPr>
          <w:spacing w:val="39"/>
        </w:rPr>
        <w:t> </w:t>
      </w:r>
      <w:r>
        <w:rPr/>
        <w:t>nivel</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6"/>
        <w:jc w:val="both"/>
      </w:pPr>
      <w:r>
        <w:rPr/>
        <w:t>óptimo, en el caso </w:t>
      </w:r>
      <w:r>
        <w:rPr>
          <w:spacing w:val="3"/>
        </w:rPr>
        <w:t>de </w:t>
      </w:r>
      <w:r>
        <w:rPr>
          <w:spacing w:val="-3"/>
        </w:rPr>
        <w:t>las </w:t>
      </w:r>
      <w:r>
        <w:rPr/>
        <w:t>telesecundarias, 4 de cada 10 cuentan con salón de cómputo y biblioteca, y la proporción de escuelas con laboratorios de  física,  química y biología es todavía menor. (PND,</w:t>
      </w:r>
      <w:r>
        <w:rPr>
          <w:spacing w:val="53"/>
        </w:rPr>
        <w:t> </w:t>
      </w:r>
      <w:r>
        <w:rPr/>
        <w:t>2007).</w:t>
      </w:r>
    </w:p>
    <w:p>
      <w:pPr>
        <w:pStyle w:val="BodyText"/>
        <w:spacing w:line="364" w:lineRule="auto" w:before="5"/>
        <w:ind w:left="115" w:right="105" w:firstLine="686"/>
        <w:jc w:val="both"/>
      </w:pPr>
      <w:r>
        <w:rPr/>
        <w:t>Al respecto, Sylvia Schmelkes, Felipe Martínez </w:t>
      </w:r>
      <w:r>
        <w:rPr>
          <w:spacing w:val="-3"/>
        </w:rPr>
        <w:t>Rizo </w:t>
      </w:r>
      <w:r>
        <w:rPr/>
        <w:t>y Manuel  Ulloa  (Ornelas, 2009), distinguidos especialistas </w:t>
      </w:r>
      <w:r>
        <w:rPr>
          <w:spacing w:val="-3"/>
        </w:rPr>
        <w:t>del </w:t>
      </w:r>
      <w:r>
        <w:rPr/>
        <w:t>ámbito educativo, sostienen que el sistema educativo mexicano ofrece una  educación  pobre  precisamente  en aquellas situaciones en las </w:t>
      </w:r>
      <w:r>
        <w:rPr>
          <w:spacing w:val="-3"/>
        </w:rPr>
        <w:t>que </w:t>
      </w:r>
      <w:r>
        <w:rPr/>
        <w:t>las condiciones de </w:t>
      </w:r>
      <w:r>
        <w:rPr>
          <w:spacing w:val="-5"/>
        </w:rPr>
        <w:t>la </w:t>
      </w:r>
      <w:r>
        <w:rPr/>
        <w:t>demanda son </w:t>
      </w:r>
      <w:r>
        <w:rPr>
          <w:spacing w:val="-3"/>
        </w:rPr>
        <w:t>más </w:t>
      </w:r>
      <w:r>
        <w:rPr/>
        <w:t>desfavorables. Al respecto, resaltan el problema de “poder”  que  tienen  </w:t>
      </w:r>
      <w:r>
        <w:rPr>
          <w:spacing w:val="-2"/>
        </w:rPr>
        <w:t>las</w:t>
      </w:r>
      <w:r>
        <w:rPr>
          <w:spacing w:val="59"/>
        </w:rPr>
        <w:t> </w:t>
      </w:r>
      <w:r>
        <w:rPr/>
        <w:t>regiones de mayor marginación: </w:t>
      </w:r>
      <w:r>
        <w:rPr>
          <w:spacing w:val="-3"/>
        </w:rPr>
        <w:t>falta </w:t>
      </w:r>
      <w:r>
        <w:rPr/>
        <w:t>de capacidad por parte de las comunidades     y de los padres de exigir servicios educativos de mejor calidad. Consideran que </w:t>
      </w:r>
      <w:r>
        <w:rPr>
          <w:spacing w:val="-4"/>
        </w:rPr>
        <w:t>lo </w:t>
      </w:r>
      <w:r>
        <w:rPr/>
        <w:t>más grave de esta situación es </w:t>
      </w:r>
      <w:r>
        <w:rPr>
          <w:spacing w:val="-3"/>
        </w:rPr>
        <w:t>que </w:t>
      </w:r>
      <w:r>
        <w:rPr/>
        <w:t>la baja calidad educativa, supone que </w:t>
      </w:r>
      <w:r>
        <w:rPr>
          <w:spacing w:val="-3"/>
        </w:rPr>
        <w:t>lo </w:t>
      </w:r>
      <w:r>
        <w:rPr/>
        <w:t>aprendido por los niños en la educación básica, carece de puntos de referencia y  de precisiones para su mejoramiento (Ornelas, 2009:</w:t>
      </w:r>
      <w:r>
        <w:rPr>
          <w:spacing w:val="57"/>
        </w:rPr>
        <w:t> </w:t>
      </w:r>
      <w:r>
        <w:rPr/>
        <w:t>244).</w:t>
      </w:r>
    </w:p>
    <w:p>
      <w:pPr>
        <w:pStyle w:val="BodyText"/>
        <w:spacing w:line="364" w:lineRule="auto" w:before="10"/>
        <w:ind w:left="115" w:right="107" w:firstLine="686"/>
        <w:jc w:val="both"/>
      </w:pPr>
      <w:r>
        <w:rPr/>
        <w:t>En </w:t>
      </w:r>
      <w:r>
        <w:rPr>
          <w:spacing w:val="-5"/>
        </w:rPr>
        <w:t>la </w:t>
      </w:r>
      <w:r>
        <w:rPr/>
        <w:t>perspectiva de este documento, el concepto de calidad como política pública transmite </w:t>
      </w:r>
      <w:r>
        <w:rPr>
          <w:spacing w:val="-5"/>
        </w:rPr>
        <w:t>la </w:t>
      </w:r>
      <w:r>
        <w:rPr/>
        <w:t>idea de compromiso con el ciudadano, </w:t>
      </w:r>
      <w:r>
        <w:rPr>
          <w:spacing w:val="-3"/>
        </w:rPr>
        <w:t>lo </w:t>
      </w:r>
      <w:r>
        <w:rPr/>
        <w:t>cual tendría que materializarse </w:t>
      </w:r>
      <w:r>
        <w:rPr>
          <w:spacing w:val="3"/>
        </w:rPr>
        <w:t>en </w:t>
      </w:r>
      <w:r>
        <w:rPr/>
        <w:t>hacer efectivo </w:t>
      </w:r>
      <w:r>
        <w:rPr>
          <w:i/>
        </w:rPr>
        <w:t>un contrato social </w:t>
      </w:r>
      <w:r>
        <w:rPr/>
        <w:t>(Bouckaert, 1995; Pérez  Menayo, 1998), a través del cual las burocracias públicas  buscarían adaptarse a  las necesidades y expectativas de los ciudadanos. Según esta perspectiva, en comparación con el contrato mercantil en el sector privado, el </w:t>
      </w:r>
      <w:r>
        <w:rPr>
          <w:i/>
        </w:rPr>
        <w:t>contrato social </w:t>
      </w:r>
      <w:r>
        <w:rPr/>
        <w:t>debe conceptualizarse como una contraprestación no monetaria, como una transacción derivada de los deberes de las organizaciones públicas y </w:t>
      </w:r>
      <w:r>
        <w:rPr>
          <w:spacing w:val="-3"/>
        </w:rPr>
        <w:t>los </w:t>
      </w:r>
      <w:r>
        <w:rPr/>
        <w:t>derechos de </w:t>
      </w:r>
      <w:r>
        <w:rPr>
          <w:spacing w:val="-3"/>
        </w:rPr>
        <w:t>los </w:t>
      </w:r>
      <w:r>
        <w:rPr/>
        <w:t>ciudadanos. Es decir, se trata de generar legitimidad desde el ámbito gubernamental hacia los ciudadanos, para </w:t>
      </w:r>
      <w:r>
        <w:rPr>
          <w:spacing w:val="-3"/>
        </w:rPr>
        <w:t>lo </w:t>
      </w:r>
      <w:r>
        <w:rPr/>
        <w:t>cual las  burocracias  públicas  tendrían que ofertar servicios </w:t>
      </w:r>
      <w:r>
        <w:rPr>
          <w:spacing w:val="3"/>
        </w:rPr>
        <w:t>de </w:t>
      </w:r>
      <w:r>
        <w:rPr/>
        <w:t>calidad y quedar sujetos, en </w:t>
      </w:r>
      <w:r>
        <w:rPr>
          <w:spacing w:val="-3"/>
        </w:rPr>
        <w:t>ese </w:t>
      </w:r>
      <w:r>
        <w:rPr/>
        <w:t>propósito, a la evaluación de los usuarios (Parrado y Ruiz, 2010:</w:t>
      </w:r>
      <w:r>
        <w:rPr>
          <w:spacing w:val="59"/>
        </w:rPr>
        <w:t> </w:t>
      </w:r>
      <w:r>
        <w:rPr/>
        <w:t>54).</w:t>
      </w:r>
    </w:p>
    <w:p>
      <w:pPr>
        <w:pStyle w:val="BodyText"/>
        <w:spacing w:line="367" w:lineRule="auto"/>
        <w:ind w:left="115" w:right="108" w:firstLine="686"/>
        <w:jc w:val="both"/>
      </w:pPr>
      <w:r>
        <w:rPr/>
        <w:t>Esto implica emplear y adaptar </w:t>
      </w:r>
      <w:r>
        <w:rPr>
          <w:spacing w:val="4"/>
        </w:rPr>
        <w:t>al </w:t>
      </w:r>
      <w:r>
        <w:rPr/>
        <w:t>ejercicio público el concepto (cliente), </w:t>
      </w:r>
      <w:r>
        <w:rPr>
          <w:spacing w:val="5"/>
        </w:rPr>
        <w:t>el </w:t>
      </w:r>
      <w:r>
        <w:rPr/>
        <w:t>cual proviene de las empresas del sector privado y de las dinámicas del mercado. Pero incluso en </w:t>
      </w:r>
      <w:r>
        <w:rPr>
          <w:spacing w:val="3"/>
        </w:rPr>
        <w:t>el </w:t>
      </w:r>
      <w:r>
        <w:rPr/>
        <w:t>ámbito de las empresas, la concepción de cliente cambia; el cliente ya no es una concentración de derechos y deberes </w:t>
      </w:r>
      <w:r>
        <w:rPr>
          <w:spacing w:val="-3"/>
        </w:rPr>
        <w:t>en  </w:t>
      </w:r>
      <w:r>
        <w:rPr/>
        <w:t>el mismo sentido  que </w:t>
      </w:r>
      <w:r>
        <w:rPr>
          <w:spacing w:val="-3"/>
        </w:rPr>
        <w:t>es </w:t>
      </w:r>
      <w:r>
        <w:rPr/>
        <w:t>definido el ciudadano, sino que </w:t>
      </w:r>
      <w:r>
        <w:rPr>
          <w:spacing w:val="-3"/>
        </w:rPr>
        <w:t>es </w:t>
      </w:r>
      <w:r>
        <w:rPr/>
        <w:t>una concentración de necesidades y satisfacción</w:t>
      </w:r>
      <w:r>
        <w:rPr>
          <w:spacing w:val="15"/>
        </w:rPr>
        <w:t> </w:t>
      </w:r>
      <w:r>
        <w:rPr/>
        <w:t>de</w:t>
      </w:r>
      <w:r>
        <w:rPr>
          <w:spacing w:val="19"/>
        </w:rPr>
        <w:t> </w:t>
      </w:r>
      <w:r>
        <w:rPr/>
        <w:t>necesidades</w:t>
      </w:r>
      <w:r>
        <w:rPr>
          <w:spacing w:val="21"/>
        </w:rPr>
        <w:t> </w:t>
      </w:r>
      <w:r>
        <w:rPr/>
        <w:t>en</w:t>
      </w:r>
      <w:r>
        <w:rPr>
          <w:spacing w:val="15"/>
        </w:rPr>
        <w:t> </w:t>
      </w:r>
      <w:r>
        <w:rPr/>
        <w:t>el</w:t>
      </w:r>
      <w:r>
        <w:rPr>
          <w:spacing w:val="15"/>
        </w:rPr>
        <w:t> </w:t>
      </w:r>
      <w:r>
        <w:rPr/>
        <w:t>seno</w:t>
      </w:r>
      <w:r>
        <w:rPr>
          <w:spacing w:val="15"/>
        </w:rPr>
        <w:t> </w:t>
      </w:r>
      <w:r>
        <w:rPr/>
        <w:t>de</w:t>
      </w:r>
      <w:r>
        <w:rPr>
          <w:spacing w:val="21"/>
        </w:rPr>
        <w:t> </w:t>
      </w:r>
      <w:r>
        <w:rPr>
          <w:spacing w:val="-3"/>
        </w:rPr>
        <w:t>una</w:t>
      </w:r>
      <w:r>
        <w:rPr>
          <w:spacing w:val="15"/>
        </w:rPr>
        <w:t> </w:t>
      </w:r>
      <w:r>
        <w:rPr/>
        <w:t>situación</w:t>
      </w:r>
      <w:r>
        <w:rPr>
          <w:spacing w:val="15"/>
        </w:rPr>
        <w:t> </w:t>
      </w:r>
      <w:r>
        <w:rPr/>
        <w:t>de</w:t>
      </w:r>
      <w:r>
        <w:rPr>
          <w:spacing w:val="15"/>
        </w:rPr>
        <w:t> </w:t>
      </w:r>
      <w:r>
        <w:rPr/>
        <w:t>mercado,</w:t>
      </w:r>
      <w:r>
        <w:rPr>
          <w:spacing w:val="15"/>
        </w:rPr>
        <w:t> </w:t>
      </w:r>
      <w:r>
        <w:rPr/>
        <w:t>es</w:t>
      </w:r>
      <w:r>
        <w:rPr>
          <w:spacing w:val="22"/>
        </w:rPr>
        <w:t> </w:t>
      </w:r>
      <w:r>
        <w:rPr/>
        <w:t>decir,</w:t>
      </w:r>
      <w:r>
        <w:rPr>
          <w:spacing w:val="15"/>
        </w:rPr>
        <w:t> </w:t>
      </w:r>
      <w:r>
        <w:rPr/>
        <w:t>de</w:t>
      </w:r>
    </w:p>
    <w:p>
      <w:pPr>
        <w:spacing w:after="0" w:line="367"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9" w:lineRule="auto" w:before="74"/>
        <w:ind w:left="115" w:right="109"/>
        <w:jc w:val="both"/>
      </w:pPr>
      <w:r>
        <w:rPr/>
        <w:t>oferta y demanda de bienes y servicios dentro de una jerarquía de necesidades sometidas a disponibilidad de pagar, según se valore el  resultado.</w:t>
      </w:r>
    </w:p>
    <w:p>
      <w:pPr>
        <w:pStyle w:val="BodyText"/>
        <w:spacing w:line="364" w:lineRule="auto"/>
        <w:ind w:left="115" w:right="108" w:firstLine="686"/>
        <w:jc w:val="both"/>
      </w:pPr>
      <w:r>
        <w:rPr/>
        <w:t>Cuando se traslada al sector público, la dimensión de cliente, incorporada </w:t>
      </w:r>
      <w:r>
        <w:rPr>
          <w:spacing w:val="3"/>
        </w:rPr>
        <w:t>al </w:t>
      </w:r>
      <w:r>
        <w:rPr/>
        <w:t>concepto compuesto de ciudadano, mantiene la noción </w:t>
      </w:r>
      <w:r>
        <w:rPr>
          <w:spacing w:val="2"/>
        </w:rPr>
        <w:t>de </w:t>
      </w:r>
      <w:r>
        <w:rPr/>
        <w:t>concentración de necesidades y satisfacción de necesidades, pero ya en situación de monopolio  y  no de mercado. Por el hecho de ser ciudadano y por la inexistencia de mercado no procede la referencia a la jerarquía de necesidades sometidas a la disponibilidad  de pagar. </w:t>
      </w:r>
      <w:r>
        <w:rPr>
          <w:spacing w:val="2"/>
        </w:rPr>
        <w:t>El </w:t>
      </w:r>
      <w:r>
        <w:rPr/>
        <w:t>ciudadano-cliente exige individualmente </w:t>
      </w:r>
      <w:r>
        <w:rPr>
          <w:spacing w:val="-3"/>
        </w:rPr>
        <w:t>la </w:t>
      </w:r>
      <w:r>
        <w:rPr/>
        <w:t>satisfacción  de  necesidades individuales que paga colectivamente como ciudadano-contribuyente (Parrado y Ruiz, 2010:</w:t>
      </w:r>
      <w:r>
        <w:rPr>
          <w:spacing w:val="29"/>
        </w:rPr>
        <w:t> </w:t>
      </w:r>
      <w:r>
        <w:rPr/>
        <w:t>58).</w:t>
      </w:r>
    </w:p>
    <w:p>
      <w:pPr>
        <w:pStyle w:val="BodyText"/>
        <w:spacing w:line="364" w:lineRule="auto" w:before="5"/>
        <w:ind w:left="115" w:right="105" w:firstLine="686"/>
        <w:jc w:val="both"/>
      </w:pPr>
      <w:r>
        <w:rPr/>
        <w:t>En cuanto a calidad educativa, el concepto que se desarrolla en esta investigación, considera los siguientes elementos: a) establece un currículo adecuado </w:t>
      </w:r>
      <w:r>
        <w:rPr>
          <w:spacing w:val="2"/>
        </w:rPr>
        <w:t>al </w:t>
      </w:r>
      <w:r>
        <w:rPr/>
        <w:t>entorno en el que se ubica, o sea, es relevante; b) logra que un gran número de alumnos accedan a </w:t>
      </w:r>
      <w:r>
        <w:rPr>
          <w:spacing w:val="-5"/>
        </w:rPr>
        <w:t>la </w:t>
      </w:r>
      <w:r>
        <w:rPr/>
        <w:t>escuela, permanezca en ella  hasta  el último grado previsto y egrese habiendo alcanzado los objetivos de aprendizaje establecidos (tiene eficacia externa e interna); c) logra  que  el  aprendizaje  adquirido por los alumnos sea de  </w:t>
      </w:r>
      <w:r>
        <w:rPr>
          <w:spacing w:val="-3"/>
        </w:rPr>
        <w:t>largo  </w:t>
      </w:r>
      <w:r>
        <w:rPr/>
        <w:t>plazo y que consiga darle utilidad en </w:t>
      </w:r>
      <w:r>
        <w:rPr>
          <w:spacing w:val="2"/>
        </w:rPr>
        <w:t>su  </w:t>
      </w:r>
      <w:r>
        <w:rPr/>
        <w:t>vida adulta (tiene impacto positivo); d) evita despilfarros y  derroches,  aprovechando consecuente y de </w:t>
      </w:r>
      <w:r>
        <w:rPr>
          <w:spacing w:val="-5"/>
        </w:rPr>
        <w:t>la </w:t>
      </w:r>
      <w:r>
        <w:rPr/>
        <w:t>mejor manera los recursos asignados (es eficiente); e) las técnicas de medición han avanzado a lo largo del siglo </w:t>
      </w:r>
      <w:r>
        <w:rPr>
          <w:spacing w:val="-4"/>
        </w:rPr>
        <w:t>XX, </w:t>
      </w:r>
      <w:r>
        <w:rPr/>
        <w:t>sobresaliendo los acercamientos a </w:t>
      </w:r>
      <w:r>
        <w:rPr>
          <w:spacing w:val="-4"/>
        </w:rPr>
        <w:t>la </w:t>
      </w:r>
      <w:r>
        <w:rPr/>
        <w:t>detección de rasgos latentes o teoría de respuesta a los ítems, </w:t>
      </w:r>
      <w:r>
        <w:rPr>
          <w:spacing w:val="-4"/>
        </w:rPr>
        <w:t>lo </w:t>
      </w:r>
      <w:r>
        <w:rPr/>
        <w:t>que permite acercar los enfoques cualitativos a </w:t>
      </w:r>
      <w:r>
        <w:rPr>
          <w:spacing w:val="-3"/>
        </w:rPr>
        <w:t>los </w:t>
      </w:r>
      <w:r>
        <w:rPr/>
        <w:t>cuantitativos, con la certeza de que </w:t>
      </w:r>
      <w:r>
        <w:rPr>
          <w:spacing w:val="-5"/>
        </w:rPr>
        <w:t>la </w:t>
      </w:r>
      <w:r>
        <w:rPr/>
        <w:t>combinación ofrecerá resultados </w:t>
      </w:r>
      <w:r>
        <w:rPr>
          <w:spacing w:val="-3"/>
        </w:rPr>
        <w:t>más </w:t>
      </w:r>
      <w:r>
        <w:rPr/>
        <w:t>contundentes, que </w:t>
      </w:r>
      <w:r>
        <w:rPr>
          <w:spacing w:val="2"/>
        </w:rPr>
        <w:t>si </w:t>
      </w:r>
      <w:r>
        <w:rPr/>
        <w:t>se utilizan por</w:t>
      </w:r>
      <w:r>
        <w:rPr>
          <w:spacing w:val="44"/>
        </w:rPr>
        <w:t> </w:t>
      </w:r>
      <w:r>
        <w:rPr/>
        <w:t>separado.</w:t>
      </w:r>
    </w:p>
    <w:p>
      <w:pPr>
        <w:pStyle w:val="BodyText"/>
        <w:spacing w:line="364" w:lineRule="auto" w:before="5"/>
        <w:ind w:left="115" w:right="113" w:firstLine="686"/>
        <w:jc w:val="both"/>
      </w:pPr>
      <w:r>
        <w:rPr/>
        <w:t>La pregunta de investigación que guió este trabajo se planteó de siguiente manera: ¿Cuáles </w:t>
      </w:r>
      <w:r>
        <w:rPr>
          <w:spacing w:val="3"/>
        </w:rPr>
        <w:t>son </w:t>
      </w:r>
      <w:r>
        <w:rPr/>
        <w:t>los límites políticos del gobierno federal para poner en marcha y ejecutar las políticas públicas referidas a la calidad </w:t>
      </w:r>
      <w:r>
        <w:rPr>
          <w:spacing w:val="18"/>
        </w:rPr>
        <w:t> </w:t>
      </w:r>
      <w:r>
        <w:rPr/>
        <w:t>educativa?</w:t>
      </w:r>
    </w:p>
    <w:p>
      <w:pPr>
        <w:pStyle w:val="BodyText"/>
        <w:spacing w:line="364" w:lineRule="auto" w:before="5"/>
        <w:ind w:left="115" w:right="108"/>
        <w:jc w:val="both"/>
      </w:pPr>
      <w:r>
        <w:rPr/>
        <w:t>La hipótesis planteada establece que </w:t>
      </w:r>
      <w:r>
        <w:rPr>
          <w:spacing w:val="-3"/>
        </w:rPr>
        <w:t>la </w:t>
      </w:r>
      <w:r>
        <w:rPr/>
        <w:t>racionalidad del gobierno federal en  México, así como su autonomía normativa, están acotadas por los  “juegos  de poder” que se desarrollan en el marco de </w:t>
      </w:r>
      <w:r>
        <w:rPr>
          <w:spacing w:val="-5"/>
        </w:rPr>
        <w:t>la </w:t>
      </w:r>
      <w:r>
        <w:rPr/>
        <w:t>actividad pública, en la  que  el  sindicato  magisterial  y los  gobiernos  estatales,  tienen condiciones  para  frenar</w:t>
      </w:r>
      <w:r>
        <w:rPr>
          <w:spacing w:val="12"/>
        </w:rPr>
        <w:t> </w:t>
      </w:r>
      <w:r>
        <w:rPr/>
        <w:t>o</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9" w:lineRule="auto" w:before="74"/>
        <w:ind w:left="115" w:right="109"/>
        <w:jc w:val="both"/>
      </w:pPr>
      <w:r>
        <w:rPr/>
        <w:t>reorientar las propuestas de política pública del Poder Ejecutivo en la medida que afecten sus intereses políticos.</w:t>
      </w:r>
    </w:p>
    <w:p>
      <w:pPr>
        <w:pStyle w:val="BodyText"/>
        <w:rPr>
          <w:sz w:val="22"/>
        </w:rPr>
      </w:pPr>
    </w:p>
    <w:p>
      <w:pPr>
        <w:pStyle w:val="Heading3"/>
        <w:spacing w:before="145"/>
      </w:pPr>
      <w:r>
        <w:rPr/>
        <w:t>Plan de la tesis</w:t>
      </w:r>
    </w:p>
    <w:p>
      <w:pPr>
        <w:pStyle w:val="BodyText"/>
        <w:spacing w:line="364" w:lineRule="auto" w:before="138"/>
        <w:ind w:left="115" w:right="111"/>
        <w:jc w:val="both"/>
      </w:pPr>
      <w:r>
        <w:rPr/>
        <w:t>El trabajo se divide en cuatro capítulos. En el primero se hace un recuento teórico de lo que es una política pública, de los términos en que ésta puede considerarse como “racional” y puede organizarse en forma tecnocrática por los gobiernos. Para tal efecto, se revisaron los trabajos de Lowi (1964), Aguilar (2000a), Larrue (2000), Majone (1978) y Méndez (2000), entre los más  importantes.</w:t>
      </w:r>
    </w:p>
    <w:p>
      <w:pPr>
        <w:pStyle w:val="BodyText"/>
        <w:spacing w:line="364" w:lineRule="auto" w:before="5"/>
        <w:ind w:left="115" w:right="104" w:firstLine="686"/>
        <w:jc w:val="both"/>
      </w:pPr>
      <w:r>
        <w:rPr/>
        <w:t>En este mismo capítulo, se revisa </w:t>
      </w:r>
      <w:r>
        <w:rPr>
          <w:spacing w:val="-3"/>
        </w:rPr>
        <w:t>la </w:t>
      </w:r>
      <w:r>
        <w:rPr/>
        <w:t>discusión sobre la forma en que diferentes actores sociales y políticos, se involucran en el diseño, puesta en  marcha y operación de las políticas públicas. En este punto, se retoma </w:t>
      </w:r>
      <w:r>
        <w:rPr>
          <w:spacing w:val="-3"/>
        </w:rPr>
        <w:t>la </w:t>
      </w:r>
      <w:r>
        <w:rPr/>
        <w:t>premisa de Scartascini, Spiller, Stein y Tommasi, (2011), quienes sostienen  que  el  </w:t>
      </w:r>
      <w:r>
        <w:rPr>
          <w:i/>
        </w:rPr>
        <w:t>potencial </w:t>
      </w:r>
      <w:r>
        <w:rPr/>
        <w:t>de una política pública depende, en gran medida, de la </w:t>
      </w:r>
      <w:r>
        <w:rPr>
          <w:i/>
        </w:rPr>
        <w:t>calidad </w:t>
      </w:r>
      <w:r>
        <w:rPr/>
        <w:t>del proceso de formulación y de la forma en que se involucran los incentivos para los grupos sociales e institucionales</w:t>
      </w:r>
      <w:r>
        <w:rPr>
          <w:spacing w:val="49"/>
        </w:rPr>
        <w:t> </w:t>
      </w:r>
      <w:r>
        <w:rPr/>
        <w:t>involucrados.</w:t>
      </w:r>
    </w:p>
    <w:p>
      <w:pPr>
        <w:pStyle w:val="BodyText"/>
        <w:spacing w:line="364" w:lineRule="auto" w:before="5"/>
        <w:ind w:left="115" w:right="104" w:firstLine="686"/>
        <w:jc w:val="both"/>
      </w:pPr>
      <w:r>
        <w:rPr/>
        <w:t>Así, se retoma </w:t>
      </w:r>
      <w:r>
        <w:rPr>
          <w:spacing w:val="-5"/>
        </w:rPr>
        <w:t>la </w:t>
      </w:r>
      <w:r>
        <w:rPr/>
        <w:t>propuesta de análisis de Lindblom (citado  en  Aguilar, 2000), quien establece que para hacer valer el </w:t>
      </w:r>
      <w:r>
        <w:rPr>
          <w:i/>
        </w:rPr>
        <w:t>potencial </w:t>
      </w:r>
      <w:r>
        <w:rPr/>
        <w:t>de una política pública es preciso valorar </w:t>
      </w:r>
      <w:r>
        <w:rPr>
          <w:spacing w:val="-3"/>
        </w:rPr>
        <w:t>los </w:t>
      </w:r>
      <w:r>
        <w:rPr/>
        <w:t>“juegos </w:t>
      </w:r>
      <w:r>
        <w:rPr>
          <w:spacing w:val="-3"/>
        </w:rPr>
        <w:t>de </w:t>
      </w:r>
      <w:r>
        <w:rPr/>
        <w:t>poder” o “juegos políticos” al interior de las burocracias, entre las burocracias y </w:t>
      </w:r>
      <w:r>
        <w:rPr>
          <w:spacing w:val="-3"/>
        </w:rPr>
        <w:t>los </w:t>
      </w:r>
      <w:r>
        <w:rPr/>
        <w:t>grupos de interés, entre los grupos de  interés y entre burocracias y </w:t>
      </w:r>
      <w:r>
        <w:rPr>
          <w:spacing w:val="-3"/>
        </w:rPr>
        <w:t>los </w:t>
      </w:r>
      <w:r>
        <w:rPr/>
        <w:t>ciudadanos organizados. Al respecto, establece Lindblom, los juegos </w:t>
      </w:r>
      <w:r>
        <w:rPr>
          <w:spacing w:val="-3"/>
        </w:rPr>
        <w:t>de </w:t>
      </w:r>
      <w:r>
        <w:rPr/>
        <w:t>poder limitan las posibilidades </w:t>
      </w:r>
      <w:r>
        <w:rPr>
          <w:spacing w:val="-3"/>
        </w:rPr>
        <w:t>de </w:t>
      </w:r>
      <w:r>
        <w:rPr/>
        <w:t>hacer  un  análisis  racional del problema y más aún de hacer una política pública que resuelva, al menos parcialmente, la problemática</w:t>
      </w:r>
      <w:r>
        <w:rPr>
          <w:spacing w:val="52"/>
        </w:rPr>
        <w:t> </w:t>
      </w:r>
      <w:r>
        <w:rPr/>
        <w:t>detectada.</w:t>
      </w:r>
    </w:p>
    <w:p>
      <w:pPr>
        <w:pStyle w:val="BodyText"/>
        <w:spacing w:line="364" w:lineRule="auto" w:before="5"/>
        <w:ind w:left="115" w:right="105" w:firstLine="686"/>
        <w:jc w:val="both"/>
      </w:pPr>
      <w:r>
        <w:rPr/>
        <w:t>Posteriormente en este capítulo se revisan los términos </w:t>
      </w:r>
      <w:r>
        <w:rPr>
          <w:spacing w:val="3"/>
        </w:rPr>
        <w:t>en </w:t>
      </w:r>
      <w:r>
        <w:rPr/>
        <w:t>que se ha desarrollado </w:t>
      </w:r>
      <w:r>
        <w:rPr>
          <w:spacing w:val="-5"/>
        </w:rPr>
        <w:t>la </w:t>
      </w:r>
      <w:r>
        <w:rPr/>
        <w:t>discusión sobre las políticas educativas </w:t>
      </w:r>
      <w:r>
        <w:rPr>
          <w:spacing w:val="3"/>
        </w:rPr>
        <w:t>en </w:t>
      </w:r>
      <w:r>
        <w:rPr/>
        <w:t>los últimos cincuenta años. Al respecto, se destaca que las políticas educativas  actuales responden a  una “configuración estatal emergente” a </w:t>
      </w:r>
      <w:r>
        <w:rPr>
          <w:spacing w:val="-4"/>
        </w:rPr>
        <w:t>lo </w:t>
      </w:r>
      <w:r>
        <w:rPr/>
        <w:t>que Dale (2001) denomina “Estado competitivo”, </w:t>
      </w:r>
      <w:r>
        <w:rPr>
          <w:spacing w:val="3"/>
        </w:rPr>
        <w:t>el </w:t>
      </w:r>
      <w:r>
        <w:rPr/>
        <w:t>cual </w:t>
      </w:r>
      <w:r>
        <w:rPr>
          <w:spacing w:val="3"/>
        </w:rPr>
        <w:t>se </w:t>
      </w:r>
      <w:r>
        <w:rPr/>
        <w:t>vincula de manera estrecha con las necesidades </w:t>
      </w:r>
      <w:r>
        <w:rPr>
          <w:spacing w:val="-3"/>
        </w:rPr>
        <w:t>de </w:t>
      </w:r>
      <w:r>
        <w:rPr/>
        <w:t>competencia de la economía global y actúa en sectores como el educativo, modificando algunos  criterios, mecanismos  e instrumentos para adecuarlos  a   </w:t>
      </w:r>
      <w:r>
        <w:rPr>
          <w:spacing w:val="54"/>
        </w:rPr>
        <w:t> </w:t>
      </w:r>
      <w:r>
        <w:rPr>
          <w:spacing w:val="-4"/>
        </w:rPr>
        <w:t>la</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9" w:lineRule="auto" w:before="74"/>
        <w:ind w:left="115" w:right="191"/>
      </w:pPr>
      <w:r>
        <w:rPr/>
        <w:t>dinámica de competencia global, pero sin que necesariamente </w:t>
      </w:r>
      <w:r>
        <w:rPr>
          <w:spacing w:val="3"/>
        </w:rPr>
        <w:t>se </w:t>
      </w:r>
      <w:r>
        <w:rPr/>
        <w:t>reflejen en  lógicas de</w:t>
      </w:r>
      <w:r>
        <w:rPr>
          <w:spacing w:val="25"/>
        </w:rPr>
        <w:t> </w:t>
      </w:r>
      <w:r>
        <w:rPr/>
        <w:t>mercantilización.</w:t>
      </w:r>
    </w:p>
    <w:p>
      <w:pPr>
        <w:pStyle w:val="BodyText"/>
        <w:spacing w:line="364" w:lineRule="auto"/>
        <w:ind w:left="115" w:right="101" w:firstLine="686"/>
        <w:jc w:val="both"/>
      </w:pPr>
      <w:r>
        <w:rPr/>
        <w:t>También se revisa </w:t>
      </w:r>
      <w:r>
        <w:rPr>
          <w:spacing w:val="-4"/>
        </w:rPr>
        <w:t>los</w:t>
      </w:r>
      <w:r>
        <w:rPr>
          <w:spacing w:val="55"/>
        </w:rPr>
        <w:t> </w:t>
      </w:r>
      <w:r>
        <w:rPr/>
        <w:t>términos en que el concepto de “calidad”  ha  avanzado a </w:t>
      </w:r>
      <w:r>
        <w:rPr>
          <w:spacing w:val="-3"/>
        </w:rPr>
        <w:t>lo largo </w:t>
      </w:r>
      <w:r>
        <w:rPr/>
        <w:t>de la historia. Sobre el particular, se destaca </w:t>
      </w:r>
      <w:r>
        <w:rPr>
          <w:spacing w:val="-5"/>
        </w:rPr>
        <w:t>la </w:t>
      </w:r>
      <w:r>
        <w:rPr/>
        <w:t>definición de Feigenbaun (1991), quien establece que </w:t>
      </w:r>
      <w:r>
        <w:rPr>
          <w:spacing w:val="-5"/>
        </w:rPr>
        <w:t>la </w:t>
      </w:r>
      <w:r>
        <w:rPr/>
        <w:t>calidad del producto y servicio puede definirse como: </w:t>
      </w:r>
      <w:r>
        <w:rPr>
          <w:spacing w:val="-4"/>
        </w:rPr>
        <w:t>la </w:t>
      </w:r>
      <w:r>
        <w:rPr/>
        <w:t>resultante total de las características del producto y servicio de mercadotecnia, ingeniería, fabricación y mantenimiento a través de los cuales el producto o servicio en </w:t>
      </w:r>
      <w:r>
        <w:rPr>
          <w:spacing w:val="3"/>
        </w:rPr>
        <w:t>uso </w:t>
      </w:r>
      <w:r>
        <w:rPr/>
        <w:t>satisfaga las expectativas del cliente. En el marco de </w:t>
      </w:r>
      <w:r>
        <w:rPr>
          <w:spacing w:val="-3"/>
        </w:rPr>
        <w:t>la </w:t>
      </w:r>
      <w:r>
        <w:rPr/>
        <w:t>acción gubernamental, el concepto </w:t>
      </w:r>
      <w:r>
        <w:rPr>
          <w:spacing w:val="-3"/>
        </w:rPr>
        <w:t>de </w:t>
      </w:r>
      <w:r>
        <w:rPr/>
        <w:t>calidad, debe transmitir, según Bouckaert, (1995) y Pérez Menayo, (1998) la idea de compromiso con  el ciudadano, </w:t>
      </w:r>
      <w:r>
        <w:rPr>
          <w:spacing w:val="-3"/>
        </w:rPr>
        <w:t>mismo  </w:t>
      </w:r>
      <w:r>
        <w:rPr/>
        <w:t>que tendría que materializarse en hacer efectivo </w:t>
      </w:r>
      <w:r>
        <w:rPr>
          <w:i/>
        </w:rPr>
        <w:t>un contrato social</w:t>
      </w:r>
      <w:r>
        <w:rPr/>
        <w:t>, a través  del  cual las burocracias públicas buscarían adaptarse a las necesidades  y  expectativas </w:t>
      </w:r>
      <w:r>
        <w:rPr>
          <w:spacing w:val="-3"/>
        </w:rPr>
        <w:t>de </w:t>
      </w:r>
      <w:r>
        <w:rPr/>
        <w:t>los</w:t>
      </w:r>
      <w:r>
        <w:rPr>
          <w:spacing w:val="44"/>
        </w:rPr>
        <w:t> </w:t>
      </w:r>
      <w:r>
        <w:rPr/>
        <w:t>ciudadanos.</w:t>
      </w:r>
    </w:p>
    <w:p>
      <w:pPr>
        <w:pStyle w:val="BodyText"/>
        <w:spacing w:line="364" w:lineRule="auto" w:before="10"/>
        <w:ind w:left="115" w:right="111" w:firstLine="686"/>
        <w:jc w:val="both"/>
      </w:pPr>
      <w:r>
        <w:rPr/>
        <w:t>En </w:t>
      </w:r>
      <w:r>
        <w:rPr>
          <w:spacing w:val="-5"/>
        </w:rPr>
        <w:t>lo  </w:t>
      </w:r>
      <w:r>
        <w:rPr/>
        <w:t>que respecta al concepto de calidad educativa, se retoma </w:t>
      </w:r>
      <w:r>
        <w:rPr>
          <w:spacing w:val="3"/>
        </w:rPr>
        <w:t>el </w:t>
      </w:r>
      <w:r>
        <w:rPr/>
        <w:t>análisis  de Jorge Seibold (2000), quien señala que la idea debe ser integral, de tal forma que incorpore a la equidad y a los restantes valores en </w:t>
      </w:r>
      <w:r>
        <w:rPr>
          <w:spacing w:val="3"/>
        </w:rPr>
        <w:t>su </w:t>
      </w:r>
      <w:r>
        <w:rPr/>
        <w:t>más completa amplitud    y profundidad. Así, </w:t>
      </w:r>
      <w:r>
        <w:rPr>
          <w:spacing w:val="-3"/>
        </w:rPr>
        <w:t>la </w:t>
      </w:r>
      <w:r>
        <w:rPr/>
        <w:t>calidad integral educativa debe impregnar </w:t>
      </w:r>
      <w:r>
        <w:rPr>
          <w:spacing w:val="-4"/>
        </w:rPr>
        <w:t>la </w:t>
      </w:r>
      <w:r>
        <w:rPr/>
        <w:t>totalidad del proceso educativo, y </w:t>
      </w:r>
      <w:r>
        <w:rPr>
          <w:spacing w:val="-6"/>
        </w:rPr>
        <w:t>la </w:t>
      </w:r>
      <w:r>
        <w:rPr/>
        <w:t>evaluación, en correspondencia con este proceso, deberá ayudar a consolidar y no a encubrir </w:t>
      </w:r>
      <w:r>
        <w:rPr>
          <w:spacing w:val="-4"/>
        </w:rPr>
        <w:t>la </w:t>
      </w:r>
      <w:r>
        <w:rPr/>
        <w:t>transformación educativa en marcha en cualquier institución</w:t>
      </w:r>
      <w:r>
        <w:rPr>
          <w:spacing w:val="25"/>
        </w:rPr>
        <w:t> </w:t>
      </w:r>
      <w:r>
        <w:rPr/>
        <w:t>escolar.</w:t>
      </w:r>
    </w:p>
    <w:p>
      <w:pPr>
        <w:pStyle w:val="BodyText"/>
        <w:spacing w:line="364" w:lineRule="auto" w:before="5"/>
        <w:ind w:left="115" w:right="108" w:firstLine="686"/>
        <w:jc w:val="both"/>
      </w:pPr>
      <w:r>
        <w:rPr/>
        <w:t>En </w:t>
      </w:r>
      <w:r>
        <w:rPr>
          <w:spacing w:val="2"/>
        </w:rPr>
        <w:t>el </w:t>
      </w:r>
      <w:r>
        <w:rPr/>
        <w:t>segundo capítulo </w:t>
      </w:r>
      <w:r>
        <w:rPr>
          <w:spacing w:val="3"/>
        </w:rPr>
        <w:t>se </w:t>
      </w:r>
      <w:r>
        <w:rPr/>
        <w:t>hace </w:t>
      </w:r>
      <w:r>
        <w:rPr>
          <w:spacing w:val="-3"/>
        </w:rPr>
        <w:t>una </w:t>
      </w:r>
      <w:r>
        <w:rPr/>
        <w:t>revisión exhaustiva de los actores involucrados </w:t>
      </w:r>
      <w:r>
        <w:rPr>
          <w:spacing w:val="-3"/>
        </w:rPr>
        <w:t>en </w:t>
      </w:r>
      <w:r>
        <w:rPr/>
        <w:t>los “juegos de poder” en el ámbito de </w:t>
      </w:r>
      <w:r>
        <w:rPr>
          <w:spacing w:val="-3"/>
        </w:rPr>
        <w:t>la </w:t>
      </w:r>
      <w:r>
        <w:rPr/>
        <w:t>política educativa. Así, se repasa </w:t>
      </w:r>
      <w:r>
        <w:rPr>
          <w:spacing w:val="-5"/>
        </w:rPr>
        <w:t>la </w:t>
      </w:r>
      <w:r>
        <w:rPr/>
        <w:t>forma en que el Presidente lidera </w:t>
      </w:r>
      <w:r>
        <w:rPr>
          <w:spacing w:val="-3"/>
        </w:rPr>
        <w:t>los </w:t>
      </w:r>
      <w:r>
        <w:rPr/>
        <w:t>procesos de </w:t>
      </w:r>
      <w:r>
        <w:rPr>
          <w:spacing w:val="-5"/>
        </w:rPr>
        <w:t>la </w:t>
      </w:r>
      <w:r>
        <w:rPr/>
        <w:t>innovación gubernamental en materia educativa; </w:t>
      </w:r>
      <w:r>
        <w:rPr>
          <w:spacing w:val="-4"/>
        </w:rPr>
        <w:t>la </w:t>
      </w:r>
      <w:r>
        <w:rPr/>
        <w:t>forma en que el SNTE limita las políticas educativas cuando afectan sus espacios </w:t>
      </w:r>
      <w:r>
        <w:rPr>
          <w:spacing w:val="-3"/>
        </w:rPr>
        <w:t>de </w:t>
      </w:r>
      <w:r>
        <w:rPr/>
        <w:t>poder. Asimismo, muestra que pese a su estatus político, el Congreso mexicano no se involucra en  </w:t>
      </w:r>
      <w:r>
        <w:rPr>
          <w:spacing w:val="-5"/>
        </w:rPr>
        <w:t>la  </w:t>
      </w:r>
      <w:r>
        <w:rPr/>
        <w:t>formulación,  puesta en marcha y operación de la política educativa. Ello por </w:t>
      </w:r>
      <w:r>
        <w:rPr>
          <w:spacing w:val="2"/>
        </w:rPr>
        <w:t>el </w:t>
      </w:r>
      <w:r>
        <w:rPr/>
        <w:t>peso histórico  que ha tenido el Presidente frente a diputados o senadores, o bien porque </w:t>
      </w:r>
      <w:r>
        <w:rPr>
          <w:spacing w:val="-3"/>
        </w:rPr>
        <w:t>los </w:t>
      </w:r>
      <w:r>
        <w:rPr/>
        <w:t>legisladores no tendrían en ese propósito algún tipo de ganancia </w:t>
      </w:r>
      <w:r>
        <w:rPr>
          <w:spacing w:val="11"/>
        </w:rPr>
        <w:t> </w:t>
      </w:r>
      <w:r>
        <w:rPr/>
        <w:t>política.</w:t>
      </w:r>
    </w:p>
    <w:p>
      <w:pPr>
        <w:spacing w:after="0" w:line="364" w:lineRule="auto"/>
        <w:jc w:val="both"/>
        <w:sectPr>
          <w:footerReference w:type="default" r:id="rId8"/>
          <w:pgSz w:w="11910" w:h="16840"/>
          <w:pgMar w:footer="1457" w:header="0" w:top="1580" w:bottom="1640" w:left="1540" w:right="1540"/>
        </w:sectPr>
      </w:pPr>
    </w:p>
    <w:p>
      <w:pPr>
        <w:pStyle w:val="BodyText"/>
        <w:rPr>
          <w:sz w:val="20"/>
        </w:rPr>
      </w:pPr>
    </w:p>
    <w:p>
      <w:pPr>
        <w:pStyle w:val="BodyText"/>
        <w:spacing w:before="2"/>
        <w:rPr>
          <w:sz w:val="16"/>
        </w:rPr>
      </w:pPr>
    </w:p>
    <w:p>
      <w:pPr>
        <w:pStyle w:val="BodyText"/>
        <w:spacing w:line="364" w:lineRule="auto" w:before="74"/>
        <w:ind w:left="116" w:right="106" w:firstLine="686"/>
        <w:jc w:val="both"/>
      </w:pPr>
      <w:r>
        <w:rPr/>
        <w:t>Por otra parte, </w:t>
      </w:r>
      <w:r>
        <w:rPr>
          <w:spacing w:val="2"/>
        </w:rPr>
        <w:t>se </w:t>
      </w:r>
      <w:r>
        <w:rPr/>
        <w:t>revisan las paradojas de la “descentralización” o “federalización” de la educación básica. Resulta una paradoja porque, aparentemente, con este proceso político, </w:t>
      </w:r>
      <w:r>
        <w:rPr>
          <w:spacing w:val="-3"/>
        </w:rPr>
        <w:t>los  </w:t>
      </w:r>
      <w:r>
        <w:rPr/>
        <w:t>gobiernos  estatales  tendrían  mejores condiciones para organizar, en </w:t>
      </w:r>
      <w:r>
        <w:rPr>
          <w:spacing w:val="2"/>
        </w:rPr>
        <w:t>base </w:t>
      </w:r>
      <w:r>
        <w:rPr/>
        <w:t>a </w:t>
      </w:r>
      <w:r>
        <w:rPr>
          <w:spacing w:val="-3"/>
        </w:rPr>
        <w:t>sus </w:t>
      </w:r>
      <w:r>
        <w:rPr/>
        <w:t>necesidades, </w:t>
      </w:r>
      <w:r>
        <w:rPr>
          <w:spacing w:val="2"/>
        </w:rPr>
        <w:t>un </w:t>
      </w:r>
      <w:r>
        <w:rPr/>
        <w:t>sistema educativo estatal, sin embargo, implicó dos problemas. </w:t>
      </w:r>
      <w:r>
        <w:rPr>
          <w:spacing w:val="2"/>
        </w:rPr>
        <w:t>Por </w:t>
      </w:r>
      <w:r>
        <w:rPr/>
        <w:t>un lado </w:t>
      </w:r>
      <w:r>
        <w:rPr>
          <w:spacing w:val="3"/>
        </w:rPr>
        <w:t>el </w:t>
      </w:r>
      <w:r>
        <w:rPr/>
        <w:t>gobierno central mantuvo </w:t>
      </w:r>
      <w:r>
        <w:rPr>
          <w:spacing w:val="-3"/>
        </w:rPr>
        <w:t>las </w:t>
      </w:r>
      <w:r>
        <w:rPr/>
        <w:t>prerrogativas de organizar el gasto y el funcionamiento de </w:t>
      </w:r>
      <w:r>
        <w:rPr>
          <w:spacing w:val="-5"/>
        </w:rPr>
        <w:t>la </w:t>
      </w:r>
      <w:r>
        <w:rPr/>
        <w:t>currícula, pero por otra parte, </w:t>
      </w:r>
      <w:r>
        <w:rPr>
          <w:spacing w:val="-4"/>
        </w:rPr>
        <w:t>los </w:t>
      </w:r>
      <w:r>
        <w:rPr/>
        <w:t>gobernadores, comenzaron a utilizar los recursos del sector educativo para propósitos diferentes a </w:t>
      </w:r>
      <w:r>
        <w:rPr>
          <w:spacing w:val="-6"/>
        </w:rPr>
        <w:t>lo </w:t>
      </w:r>
      <w:r>
        <w:rPr/>
        <w:t>establecido por </w:t>
      </w:r>
      <w:r>
        <w:rPr>
          <w:spacing w:val="-3"/>
        </w:rPr>
        <w:t>la  </w:t>
      </w:r>
      <w:r>
        <w:rPr/>
        <w:t>SEP  y por  las bases presupuestales de cada</w:t>
      </w:r>
      <w:r>
        <w:rPr>
          <w:spacing w:val="41"/>
        </w:rPr>
        <w:t> </w:t>
      </w:r>
      <w:r>
        <w:rPr/>
        <w:t>rubro.</w:t>
      </w:r>
    </w:p>
    <w:p>
      <w:pPr>
        <w:pStyle w:val="BodyText"/>
        <w:spacing w:line="364" w:lineRule="auto" w:before="5"/>
        <w:ind w:left="116" w:right="106" w:firstLine="686"/>
        <w:jc w:val="both"/>
      </w:pPr>
      <w:r>
        <w:rPr/>
        <w:t>En el capítulo tres </w:t>
      </w:r>
      <w:r>
        <w:rPr>
          <w:spacing w:val="3"/>
        </w:rPr>
        <w:t>se </w:t>
      </w:r>
      <w:r>
        <w:rPr/>
        <w:t>hace una revisión exhaustiva de los términos en que  se identifica el rezago en materia educativa y </w:t>
      </w:r>
      <w:r>
        <w:rPr>
          <w:spacing w:val="-3"/>
        </w:rPr>
        <w:t>los </w:t>
      </w:r>
      <w:r>
        <w:rPr/>
        <w:t>problemas que ello ha generado. En este sentido, se destaca que el sistema educativo mexicano </w:t>
      </w:r>
      <w:r>
        <w:rPr>
          <w:spacing w:val="-3"/>
        </w:rPr>
        <w:t>en </w:t>
      </w:r>
      <w:r>
        <w:rPr/>
        <w:t>sus inicios privilegió la expansión, pero no hubo políticas  que  aseguraran  </w:t>
      </w:r>
      <w:r>
        <w:rPr>
          <w:spacing w:val="-5"/>
        </w:rPr>
        <w:t>la  </w:t>
      </w:r>
      <w:r>
        <w:rPr/>
        <w:t>debida evaluación y crítica de lo realizado. Según Ornelas (2009), el sistema educativo mexicano creció dominado por </w:t>
      </w:r>
      <w:r>
        <w:rPr>
          <w:spacing w:val="-4"/>
        </w:rPr>
        <w:t>la </w:t>
      </w:r>
      <w:r>
        <w:rPr/>
        <w:t>inercia de las rutinas y los hábitos consagrados por </w:t>
      </w:r>
      <w:r>
        <w:rPr>
          <w:spacing w:val="-4"/>
        </w:rPr>
        <w:t>la </w:t>
      </w:r>
      <w:r>
        <w:rPr/>
        <w:t>tradición, condenado a la clausura  de una perspectiva </w:t>
      </w:r>
      <w:r>
        <w:rPr>
          <w:spacing w:val="-3"/>
        </w:rPr>
        <w:t>de </w:t>
      </w:r>
      <w:r>
        <w:rPr>
          <w:spacing w:val="35"/>
        </w:rPr>
        <w:t> </w:t>
      </w:r>
      <w:r>
        <w:rPr/>
        <w:t>innovación.</w:t>
      </w:r>
    </w:p>
    <w:p>
      <w:pPr>
        <w:pStyle w:val="BodyText"/>
        <w:spacing w:line="364" w:lineRule="auto" w:before="5"/>
        <w:ind w:left="115" w:right="104" w:firstLine="686"/>
        <w:jc w:val="both"/>
      </w:pPr>
      <w:r>
        <w:rPr/>
        <w:t>Se explica que fue hasta finales de </w:t>
      </w:r>
      <w:r>
        <w:rPr>
          <w:spacing w:val="-4"/>
        </w:rPr>
        <w:t>la </w:t>
      </w:r>
      <w:r>
        <w:rPr/>
        <w:t>década de los ochenta y principios de los noventa, cuando empiezan a impulsarse, desde la academia y desde el gobierno, discusiones sobre la importancia de mejorar la calidad de los servicios educativos. A partir de ahí surgen trabajos que dan cuenta de </w:t>
      </w:r>
      <w:r>
        <w:rPr>
          <w:spacing w:val="-3"/>
        </w:rPr>
        <w:t>los </w:t>
      </w:r>
      <w:r>
        <w:rPr/>
        <w:t>rezagos, de </w:t>
      </w:r>
      <w:r>
        <w:rPr>
          <w:spacing w:val="-2"/>
        </w:rPr>
        <w:t>los </w:t>
      </w:r>
      <w:r>
        <w:rPr/>
        <w:t>problemas de inequidad y la situación del bajo nivel en </w:t>
      </w:r>
      <w:r>
        <w:rPr>
          <w:spacing w:val="2"/>
        </w:rPr>
        <w:t>el  </w:t>
      </w:r>
      <w:r>
        <w:rPr/>
        <w:t>logro  de  </w:t>
      </w:r>
      <w:r>
        <w:rPr>
          <w:spacing w:val="-2"/>
        </w:rPr>
        <w:t>los </w:t>
      </w:r>
      <w:r>
        <w:rPr/>
        <w:t>aprendizajes. Así, aparecen documentos como </w:t>
      </w:r>
      <w:r>
        <w:rPr>
          <w:i/>
        </w:rPr>
        <w:t>La catástrofe silenciosa </w:t>
      </w:r>
      <w:r>
        <w:rPr/>
        <w:t>de Gilberto Guevara (1992), </w:t>
      </w:r>
      <w:r>
        <w:rPr>
          <w:i/>
        </w:rPr>
        <w:t>Educación para una economía competitiva </w:t>
      </w:r>
      <w:r>
        <w:rPr/>
        <w:t>de Guillermo Trejo (1992), así como diagnósticos gubernamentales, como el </w:t>
      </w:r>
      <w:r>
        <w:rPr>
          <w:i/>
        </w:rPr>
        <w:t>Programa para </w:t>
      </w:r>
      <w:r>
        <w:rPr>
          <w:i/>
          <w:spacing w:val="-3"/>
        </w:rPr>
        <w:t>la </w:t>
      </w:r>
      <w:r>
        <w:rPr>
          <w:i/>
        </w:rPr>
        <w:t>Modernización educativa 1989-1994</w:t>
      </w:r>
      <w:r>
        <w:rPr/>
        <w:t>, entre</w:t>
      </w:r>
      <w:r>
        <w:rPr>
          <w:spacing w:val="55"/>
        </w:rPr>
        <w:t> </w:t>
      </w:r>
      <w:r>
        <w:rPr/>
        <w:t>otros.</w:t>
      </w:r>
    </w:p>
    <w:p>
      <w:pPr>
        <w:pStyle w:val="BodyText"/>
        <w:spacing w:line="367" w:lineRule="auto"/>
        <w:ind w:left="115" w:right="109" w:firstLine="686"/>
        <w:jc w:val="both"/>
      </w:pPr>
      <w:r>
        <w:rPr/>
        <w:t>En este capítulo también se da cuenta que en México nunca ha habido una educación con buena calidad, Por ejemplo, la eficiencia  terminal  promedio reportada de 1976 a 1990 según los datos obtenidos de Hayashi (1992), pasó de</w:t>
      </w:r>
    </w:p>
    <w:p>
      <w:pPr>
        <w:pStyle w:val="BodyText"/>
        <w:spacing w:line="364" w:lineRule="auto" w:before="2"/>
        <w:ind w:left="115" w:right="108"/>
        <w:jc w:val="both"/>
      </w:pPr>
      <w:r>
        <w:rPr/>
        <w:t>42.6 a 57.1% en el nivel primaria y de 70.7 a 73.0% en educación secundaria; el índice de reprobación </w:t>
      </w:r>
      <w:r>
        <w:rPr>
          <w:spacing w:val="2"/>
        </w:rPr>
        <w:t>en </w:t>
      </w:r>
      <w:r>
        <w:rPr/>
        <w:t>el nivel primaria se mantuvo en el 10.3% mientras que en el nivel secundaria </w:t>
      </w:r>
      <w:r>
        <w:rPr>
          <w:spacing w:val="3"/>
        </w:rPr>
        <w:t>se </w:t>
      </w:r>
      <w:r>
        <w:rPr/>
        <w:t>elevó ligeramente al pasar </w:t>
      </w:r>
      <w:r>
        <w:rPr>
          <w:spacing w:val="2"/>
        </w:rPr>
        <w:t>de </w:t>
      </w:r>
      <w:r>
        <w:rPr/>
        <w:t>27.3 a</w:t>
      </w:r>
      <w:r>
        <w:rPr>
          <w:spacing w:val="57"/>
        </w:rPr>
        <w:t> </w:t>
      </w:r>
      <w:r>
        <w:rPr/>
        <w:t>27.7%.</w:t>
      </w:r>
    </w:p>
    <w:p>
      <w:pPr>
        <w:spacing w:after="0" w:line="364" w:lineRule="auto"/>
        <w:jc w:val="both"/>
        <w:sectPr>
          <w:footerReference w:type="default" r:id="rId9"/>
          <w:pgSz w:w="11910" w:h="16840"/>
          <w:pgMar w:footer="1457" w:header="0" w:top="1580" w:bottom="1640" w:left="1540" w:right="1540"/>
          <w:pgNumType w:start="11"/>
        </w:sectPr>
      </w:pPr>
    </w:p>
    <w:p>
      <w:pPr>
        <w:pStyle w:val="BodyText"/>
        <w:rPr>
          <w:sz w:val="20"/>
        </w:rPr>
      </w:pPr>
    </w:p>
    <w:p>
      <w:pPr>
        <w:pStyle w:val="BodyText"/>
        <w:spacing w:before="2"/>
        <w:rPr>
          <w:sz w:val="16"/>
        </w:rPr>
      </w:pPr>
    </w:p>
    <w:p>
      <w:pPr>
        <w:pStyle w:val="BodyText"/>
        <w:spacing w:line="364" w:lineRule="auto" w:before="74"/>
        <w:ind w:left="116" w:right="108" w:firstLine="686"/>
        <w:jc w:val="both"/>
      </w:pPr>
      <w:r>
        <w:rPr/>
        <w:t>Se reconoce, por otro lado, en este capítulo que los problemas de calidad educativa no son sólo problemas del gobierno, sino que el problema debe analizarse tanto desde </w:t>
      </w:r>
      <w:r>
        <w:rPr>
          <w:spacing w:val="-4"/>
        </w:rPr>
        <w:t>la </w:t>
      </w:r>
      <w:r>
        <w:rPr/>
        <w:t>perspectiva de la oferta, como de </w:t>
      </w:r>
      <w:r>
        <w:rPr>
          <w:spacing w:val="-4"/>
        </w:rPr>
        <w:t>la </w:t>
      </w:r>
      <w:r>
        <w:rPr/>
        <w:t>demanda. Del lado   de </w:t>
      </w:r>
      <w:r>
        <w:rPr>
          <w:spacing w:val="-4"/>
        </w:rPr>
        <w:t>la </w:t>
      </w:r>
      <w:r>
        <w:rPr/>
        <w:t>oferta, entre otros factores, destaca </w:t>
      </w:r>
      <w:r>
        <w:rPr>
          <w:spacing w:val="-3"/>
        </w:rPr>
        <w:t>que </w:t>
      </w:r>
      <w:r>
        <w:rPr/>
        <w:t>los maestros no siempre tienen </w:t>
      </w:r>
      <w:r>
        <w:rPr>
          <w:spacing w:val="-5"/>
        </w:rPr>
        <w:t>la </w:t>
      </w:r>
      <w:r>
        <w:rPr/>
        <w:t>mejor preparación, sus actividades no siempre están enfocadas  hacia  </w:t>
      </w:r>
      <w:r>
        <w:rPr>
          <w:spacing w:val="-5"/>
        </w:rPr>
        <w:t>la </w:t>
      </w:r>
      <w:r>
        <w:rPr/>
        <w:t>enseñanza y su actitud no siempre </w:t>
      </w:r>
      <w:r>
        <w:rPr>
          <w:spacing w:val="2"/>
        </w:rPr>
        <w:t>es </w:t>
      </w:r>
      <w:r>
        <w:rPr/>
        <w:t>la más positiva. Desde el punto de vista de    </w:t>
      </w:r>
      <w:r>
        <w:rPr>
          <w:spacing w:val="-5"/>
        </w:rPr>
        <w:t>la </w:t>
      </w:r>
      <w:r>
        <w:rPr/>
        <w:t>demanda, se encontró que no siempre las aspiraciones de los padres de familia apuntan a </w:t>
      </w:r>
      <w:r>
        <w:rPr>
          <w:spacing w:val="3"/>
        </w:rPr>
        <w:t>un </w:t>
      </w:r>
      <w:r>
        <w:rPr>
          <w:spacing w:val="-3"/>
        </w:rPr>
        <w:t>alto </w:t>
      </w:r>
      <w:r>
        <w:rPr/>
        <w:t>nivel de aprendizaje o </w:t>
      </w:r>
      <w:r>
        <w:rPr>
          <w:spacing w:val="1"/>
        </w:rPr>
        <w:t> </w:t>
      </w:r>
      <w:r>
        <w:rPr/>
        <w:t>conocimientos.</w:t>
      </w:r>
    </w:p>
    <w:p>
      <w:pPr>
        <w:spacing w:line="364" w:lineRule="auto" w:before="5"/>
        <w:ind w:left="115" w:right="102" w:firstLine="686"/>
        <w:jc w:val="both"/>
        <w:rPr>
          <w:sz w:val="23"/>
        </w:rPr>
      </w:pPr>
      <w:r>
        <w:rPr>
          <w:sz w:val="23"/>
        </w:rPr>
        <w:t>En el capítulo cuatro se analizan las políticas más importantes en el marco  de </w:t>
      </w:r>
      <w:r>
        <w:rPr>
          <w:spacing w:val="-4"/>
          <w:sz w:val="23"/>
        </w:rPr>
        <w:t>la </w:t>
      </w:r>
      <w:r>
        <w:rPr>
          <w:sz w:val="23"/>
        </w:rPr>
        <w:t>búsqueda de la calidad educativa. En dicho análisis, se hace </w:t>
      </w:r>
      <w:r>
        <w:rPr>
          <w:spacing w:val="-3"/>
          <w:sz w:val="23"/>
        </w:rPr>
        <w:t>una </w:t>
      </w:r>
      <w:r>
        <w:rPr>
          <w:sz w:val="23"/>
        </w:rPr>
        <w:t>revisión del alcance de </w:t>
      </w:r>
      <w:r>
        <w:rPr>
          <w:spacing w:val="-3"/>
          <w:sz w:val="23"/>
        </w:rPr>
        <w:t>sus </w:t>
      </w:r>
      <w:r>
        <w:rPr>
          <w:sz w:val="23"/>
        </w:rPr>
        <w:t>objetivos, y posteriormente, a la luz de algunos informes </w:t>
      </w:r>
      <w:r>
        <w:rPr>
          <w:i/>
          <w:sz w:val="23"/>
        </w:rPr>
        <w:t>oficiales </w:t>
      </w:r>
      <w:r>
        <w:rPr>
          <w:sz w:val="23"/>
        </w:rPr>
        <w:t>y de tipo académico, </w:t>
      </w:r>
      <w:r>
        <w:rPr>
          <w:spacing w:val="3"/>
          <w:sz w:val="23"/>
        </w:rPr>
        <w:t>se </w:t>
      </w:r>
      <w:r>
        <w:rPr>
          <w:sz w:val="23"/>
        </w:rPr>
        <w:t>observan sus logros y limitaciones. En este capítulo se analizan en el sexenio de Vicente Fox, el </w:t>
      </w:r>
      <w:r>
        <w:rPr>
          <w:i/>
          <w:sz w:val="23"/>
        </w:rPr>
        <w:t>Compromiso Social por la Calidad de la </w:t>
      </w:r>
      <w:r>
        <w:rPr>
          <w:i/>
          <w:sz w:val="23"/>
        </w:rPr>
        <w:t>Educación</w:t>
      </w:r>
      <w:r>
        <w:rPr>
          <w:sz w:val="23"/>
        </w:rPr>
        <w:t>, puesto en marcha en agosto de 2002; la creación del INEE, así como    el desarrollo de las pruebas estandarizadas de medición de los logros del aprendizaje, denominadas, por sus acrónimos, como Enlace y Excale. Asimismo,  en este periodo sexenal </w:t>
      </w:r>
      <w:r>
        <w:rPr>
          <w:spacing w:val="3"/>
          <w:sz w:val="23"/>
        </w:rPr>
        <w:t>se </w:t>
      </w:r>
      <w:r>
        <w:rPr>
          <w:sz w:val="23"/>
        </w:rPr>
        <w:t>revisan los alcances del </w:t>
      </w:r>
      <w:r>
        <w:rPr>
          <w:i/>
          <w:sz w:val="23"/>
        </w:rPr>
        <w:t>Programa  Escuelas  de  </w:t>
      </w:r>
      <w:r>
        <w:rPr>
          <w:i/>
          <w:sz w:val="23"/>
        </w:rPr>
        <w:t>Calidad </w:t>
      </w:r>
      <w:r>
        <w:rPr>
          <w:sz w:val="23"/>
        </w:rPr>
        <w:t>(PEC). En el caso del sexenio de Felipe Calderón, se revisa la  </w:t>
      </w:r>
      <w:r>
        <w:rPr>
          <w:i/>
          <w:sz w:val="23"/>
        </w:rPr>
        <w:t>Alianza  </w:t>
      </w:r>
      <w:r>
        <w:rPr>
          <w:i/>
          <w:sz w:val="23"/>
        </w:rPr>
        <w:t>para la Calidad de la Educación </w:t>
      </w:r>
      <w:r>
        <w:rPr>
          <w:sz w:val="23"/>
        </w:rPr>
        <w:t>(ACE), puesta en marcha en mayo de 2007 y el </w:t>
      </w:r>
      <w:r>
        <w:rPr>
          <w:i/>
          <w:sz w:val="23"/>
        </w:rPr>
        <w:t>Acuerdo para la Evaluación Universal de Docentes y Directivos </w:t>
      </w:r>
      <w:r>
        <w:rPr>
          <w:i/>
          <w:spacing w:val="3"/>
          <w:sz w:val="23"/>
        </w:rPr>
        <w:t>en </w:t>
      </w:r>
      <w:r>
        <w:rPr>
          <w:i/>
          <w:sz w:val="23"/>
        </w:rPr>
        <w:t>Servicio de </w:t>
      </w:r>
      <w:r>
        <w:rPr>
          <w:i/>
          <w:sz w:val="23"/>
        </w:rPr>
        <w:t>Educación Básica</w:t>
      </w:r>
      <w:r>
        <w:rPr>
          <w:sz w:val="23"/>
        </w:rPr>
        <w:t>, que </w:t>
      </w:r>
      <w:r>
        <w:rPr>
          <w:spacing w:val="-3"/>
          <w:sz w:val="23"/>
        </w:rPr>
        <w:t>inició </w:t>
      </w:r>
      <w:r>
        <w:rPr>
          <w:spacing w:val="3"/>
          <w:sz w:val="23"/>
        </w:rPr>
        <w:t>en </w:t>
      </w:r>
      <w:r>
        <w:rPr>
          <w:sz w:val="23"/>
        </w:rPr>
        <w:t>mayo de </w:t>
      </w:r>
      <w:r>
        <w:rPr>
          <w:spacing w:val="1"/>
          <w:sz w:val="23"/>
        </w:rPr>
        <w:t> </w:t>
      </w:r>
      <w:r>
        <w:rPr>
          <w:sz w:val="23"/>
        </w:rPr>
        <w:t>2011.</w:t>
      </w:r>
    </w:p>
    <w:p>
      <w:pPr>
        <w:pStyle w:val="BodyText"/>
        <w:spacing w:line="364" w:lineRule="auto" w:before="10"/>
        <w:ind w:left="115" w:right="104" w:firstLine="686"/>
        <w:jc w:val="both"/>
      </w:pPr>
      <w:r>
        <w:rPr/>
        <w:t>En todos los casos, además </w:t>
      </w:r>
      <w:r>
        <w:rPr>
          <w:spacing w:val="-3"/>
        </w:rPr>
        <w:t>del </w:t>
      </w:r>
      <w:r>
        <w:rPr/>
        <w:t>análisis sobre la efectividad de las políticas, se revisa </w:t>
      </w:r>
      <w:r>
        <w:rPr>
          <w:spacing w:val="-3"/>
        </w:rPr>
        <w:t>los </w:t>
      </w:r>
      <w:r>
        <w:rPr/>
        <w:t>términos en que el Presidente, el SNTE y los gobiernos estatales,  como principales actores del proceso educativo en México,  se  involucran,  así como los términos en que se desarrollan los “juegos de poder” desde el diseño, puesta en marcha y operación </w:t>
      </w:r>
      <w:r>
        <w:rPr>
          <w:spacing w:val="3"/>
        </w:rPr>
        <w:t>de </w:t>
      </w:r>
      <w:r>
        <w:rPr/>
        <w:t>cada una </w:t>
      </w:r>
      <w:r>
        <w:rPr>
          <w:spacing w:val="-4"/>
        </w:rPr>
        <w:t>de </w:t>
      </w:r>
      <w:r>
        <w:rPr/>
        <w:t>las políticas </w:t>
      </w:r>
      <w:r>
        <w:rPr>
          <w:spacing w:val="11"/>
        </w:rPr>
        <w:t> </w:t>
      </w:r>
      <w:r>
        <w:rPr/>
        <w:t>mencionadas.</w:t>
      </w:r>
    </w:p>
    <w:p>
      <w:pPr>
        <w:spacing w:after="0" w:line="364" w:lineRule="auto"/>
        <w:jc w:val="both"/>
        <w:sectPr>
          <w:pgSz w:w="11910" w:h="16840"/>
          <w:pgMar w:header="0" w:footer="1457" w:top="1580" w:bottom="1640" w:left="1540" w:right="15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6"/>
        </w:rPr>
      </w:pPr>
    </w:p>
    <w:p>
      <w:pPr>
        <w:pStyle w:val="Heading1"/>
      </w:pPr>
      <w:r>
        <w:rPr/>
        <w:t>Capítulo 1</w:t>
      </w:r>
    </w:p>
    <w:p>
      <w:pPr>
        <w:pStyle w:val="Heading2"/>
        <w:spacing w:line="247" w:lineRule="auto"/>
        <w:ind w:left="2500" w:right="2622"/>
      </w:pPr>
      <w:r>
        <w:rPr/>
        <w:t>Políticas públicas y calidad educativa: actores sociales y juegos de</w:t>
      </w:r>
      <w:r>
        <w:rPr>
          <w:spacing w:val="53"/>
        </w:rPr>
        <w:t> </w:t>
      </w:r>
      <w:r>
        <w:rPr/>
        <w:t>poder</w:t>
      </w:r>
    </w:p>
    <w:p>
      <w:pPr>
        <w:spacing w:after="0" w:line="247" w:lineRule="auto"/>
        <w:sectPr>
          <w:pgSz w:w="11910" w:h="16840"/>
          <w:pgMar w:header="0" w:footer="1457" w:top="1580" w:bottom="1640" w:left="1680" w:right="1540"/>
        </w:sectPr>
      </w:pPr>
    </w:p>
    <w:p>
      <w:pPr>
        <w:pStyle w:val="BodyText"/>
        <w:rPr>
          <w:b/>
          <w:sz w:val="20"/>
        </w:rPr>
      </w:pPr>
    </w:p>
    <w:p>
      <w:pPr>
        <w:pStyle w:val="BodyText"/>
        <w:spacing w:before="2"/>
        <w:rPr>
          <w:b/>
          <w:sz w:val="16"/>
        </w:rPr>
      </w:pPr>
    </w:p>
    <w:p>
      <w:pPr>
        <w:pStyle w:val="Heading3"/>
        <w:numPr>
          <w:ilvl w:val="1"/>
          <w:numId w:val="6"/>
        </w:numPr>
        <w:tabs>
          <w:tab w:pos="503" w:val="left" w:leader="none"/>
        </w:tabs>
        <w:spacing w:line="240" w:lineRule="auto" w:before="74" w:after="0"/>
        <w:ind w:left="502" w:right="0" w:hanging="386"/>
        <w:jc w:val="both"/>
      </w:pPr>
      <w:bookmarkStart w:name="_TOC_250030" w:id="2"/>
      <w:r>
        <w:rPr>
          <w:spacing w:val="4"/>
        </w:rPr>
        <w:t>La </w:t>
      </w:r>
      <w:r>
        <w:rPr/>
        <w:t>política pública como orientación científica del</w:t>
      </w:r>
      <w:r>
        <w:rPr>
          <w:spacing w:val="60"/>
        </w:rPr>
        <w:t> </w:t>
      </w:r>
      <w:bookmarkEnd w:id="2"/>
      <w:r>
        <w:rPr/>
        <w:t>gobierno</w:t>
      </w:r>
    </w:p>
    <w:p>
      <w:pPr>
        <w:pStyle w:val="BodyText"/>
        <w:spacing w:line="364" w:lineRule="auto" w:before="143"/>
        <w:ind w:left="115" w:right="104"/>
        <w:jc w:val="both"/>
      </w:pPr>
      <w:r>
        <w:rPr/>
        <w:t>En la propuesta de Policy Science de Harold D. Lasswell, formulada en 1951, el enfoque de política pública surge como una respuesta a </w:t>
      </w:r>
      <w:r>
        <w:rPr>
          <w:spacing w:val="-6"/>
        </w:rPr>
        <w:t>la </w:t>
      </w:r>
      <w:r>
        <w:rPr/>
        <w:t>fragmentación de </w:t>
      </w:r>
      <w:r>
        <w:rPr>
          <w:spacing w:val="-2"/>
        </w:rPr>
        <w:t>las </w:t>
      </w:r>
      <w:r>
        <w:rPr/>
        <w:t>ciencias sociales en el análisis de la realidad social; en este  marco,  hasta  entonces no había una línea de estudios de la actividad gubernamental, la cual se guiaba por la economía, la filosofía o </w:t>
      </w:r>
      <w:r>
        <w:rPr>
          <w:spacing w:val="-5"/>
        </w:rPr>
        <w:t>la </w:t>
      </w:r>
      <w:r>
        <w:rPr/>
        <w:t>sociología o  la administración privada,  entre otras disciplinas. </w:t>
      </w:r>
      <w:r>
        <w:rPr>
          <w:spacing w:val="5"/>
        </w:rPr>
        <w:t>En </w:t>
      </w:r>
      <w:r>
        <w:rPr/>
        <w:t>este sentido, se manifiesta la necesidad de que el gobierno tenga mayor conocimiento y apoyo científico para el diseño  y </w:t>
      </w:r>
      <w:r>
        <w:rPr>
          <w:spacing w:val="-4"/>
        </w:rPr>
        <w:t>la  </w:t>
      </w:r>
      <w:r>
        <w:rPr/>
        <w:t>puesta  en marcha de </w:t>
      </w:r>
      <w:r>
        <w:rPr>
          <w:spacing w:val="-3"/>
        </w:rPr>
        <w:t>las </w:t>
      </w:r>
      <w:r>
        <w:rPr/>
        <w:t>decisiones públicas (Aguilar, </w:t>
      </w:r>
      <w:r>
        <w:rPr>
          <w:spacing w:val="6"/>
        </w:rPr>
        <w:t> </w:t>
      </w:r>
      <w:r>
        <w:rPr/>
        <w:t>2000a).</w:t>
      </w:r>
    </w:p>
    <w:p>
      <w:pPr>
        <w:pStyle w:val="BodyText"/>
        <w:spacing w:line="364" w:lineRule="auto" w:before="5"/>
        <w:ind w:left="115" w:right="108" w:firstLine="686"/>
        <w:jc w:val="both"/>
      </w:pPr>
      <w:r>
        <w:rPr/>
        <w:t>Esto, cabe decir, tiene que ver con el advenimiento de la “segunda ola” de    </w:t>
      </w:r>
      <w:r>
        <w:rPr>
          <w:spacing w:val="-5"/>
        </w:rPr>
        <w:t>la </w:t>
      </w:r>
      <w:r>
        <w:rPr/>
        <w:t>democracia después de </w:t>
      </w:r>
      <w:r>
        <w:rPr>
          <w:spacing w:val="-3"/>
        </w:rPr>
        <w:t>la </w:t>
      </w:r>
      <w:r>
        <w:rPr/>
        <w:t>Segunda Guerra; los dictadores en buena medida estuvieron en condiciones de profesionalizar a sus funcionarios públicos, pero las nacientes democracias, aunque contaban con políticos profesionales, pese a </w:t>
      </w:r>
      <w:r>
        <w:rPr>
          <w:spacing w:val="-5"/>
        </w:rPr>
        <w:t>la </w:t>
      </w:r>
      <w:r>
        <w:rPr/>
        <w:t>represión de los gobiernos autoritarios, no habían tenido condiciones políticas para formar a sus servidores públicos. Evidentemente,  un escenario  de  alternancia  en el poder, exigía un esquema de profesionalización que garantizara un eficaz funcionamiento de la actividad</w:t>
      </w:r>
      <w:r>
        <w:rPr>
          <w:spacing w:val="42"/>
        </w:rPr>
        <w:t> </w:t>
      </w:r>
      <w:r>
        <w:rPr/>
        <w:t>gubernamental.</w:t>
      </w:r>
    </w:p>
    <w:p>
      <w:pPr>
        <w:pStyle w:val="BodyText"/>
        <w:spacing w:line="364" w:lineRule="auto" w:before="10"/>
        <w:ind w:left="115" w:right="104" w:firstLine="686"/>
        <w:jc w:val="both"/>
      </w:pPr>
      <w:r>
        <w:rPr/>
        <w:t>Ahora bien, las políticas públicas son concebidas por Lasswell como una orientación multidisciplinaria, pues conllevan aspectos políticos, económicos, administrativos, culturales, entre otros. Sin embargo, </w:t>
      </w:r>
      <w:r>
        <w:rPr>
          <w:spacing w:val="-4"/>
        </w:rPr>
        <w:t>la </w:t>
      </w:r>
      <w:r>
        <w:rPr/>
        <w:t>distinción es que el </w:t>
      </w:r>
      <w:r>
        <w:rPr>
          <w:spacing w:val="-3"/>
        </w:rPr>
        <w:t>eje </w:t>
      </w:r>
      <w:r>
        <w:rPr/>
        <w:t>analítico es </w:t>
      </w:r>
      <w:r>
        <w:rPr>
          <w:spacing w:val="-4"/>
        </w:rPr>
        <w:t>la</w:t>
      </w:r>
      <w:r>
        <w:rPr>
          <w:spacing w:val="55"/>
        </w:rPr>
        <w:t> </w:t>
      </w:r>
      <w:r>
        <w:rPr/>
        <w:t>actividad pública cotidiana. Por otro lado, dependiendo de </w:t>
      </w:r>
      <w:r>
        <w:rPr>
          <w:spacing w:val="-4"/>
        </w:rPr>
        <w:t>la</w:t>
      </w:r>
      <w:r>
        <w:rPr>
          <w:spacing w:val="55"/>
        </w:rPr>
        <w:t> </w:t>
      </w:r>
      <w:r>
        <w:rPr/>
        <w:t>literatura que </w:t>
      </w:r>
      <w:r>
        <w:rPr>
          <w:spacing w:val="5"/>
        </w:rPr>
        <w:t>se </w:t>
      </w:r>
      <w:r>
        <w:rPr/>
        <w:t>analice, la definición de </w:t>
      </w:r>
      <w:r>
        <w:rPr>
          <w:i/>
        </w:rPr>
        <w:t>policy, </w:t>
      </w:r>
      <w:r>
        <w:rPr>
          <w:spacing w:val="3"/>
        </w:rPr>
        <w:t>se </w:t>
      </w:r>
      <w:r>
        <w:rPr/>
        <w:t>puede obtener a partir de dos enfoques: descriptivo y teórico. El enfoque descriptivo </w:t>
      </w:r>
      <w:r>
        <w:rPr>
          <w:spacing w:val="3"/>
        </w:rPr>
        <w:t>se </w:t>
      </w:r>
      <w:r>
        <w:rPr/>
        <w:t>centra en analizar si </w:t>
      </w:r>
      <w:r>
        <w:rPr>
          <w:spacing w:val="-5"/>
        </w:rPr>
        <w:t>la </w:t>
      </w:r>
      <w:r>
        <w:rPr/>
        <w:t>política </w:t>
      </w:r>
      <w:r>
        <w:rPr>
          <w:spacing w:val="-3"/>
        </w:rPr>
        <w:t>es </w:t>
      </w:r>
      <w:r>
        <w:rPr/>
        <w:t>sólo decisión, producto de una autoridad legítima que actúa en un contexto legal o implica algo más, como puede ser </w:t>
      </w:r>
      <w:r>
        <w:rPr>
          <w:spacing w:val="-5"/>
        </w:rPr>
        <w:t>la  </w:t>
      </w:r>
      <w:r>
        <w:rPr/>
        <w:t>presión  de  algún  grupo social o incluso de actores extranjeros (Aguilar:</w:t>
      </w:r>
      <w:r>
        <w:rPr>
          <w:spacing w:val="53"/>
        </w:rPr>
        <w:t> </w:t>
      </w:r>
      <w:r>
        <w:rPr/>
        <w:t>2000b).</w:t>
      </w:r>
    </w:p>
    <w:p>
      <w:pPr>
        <w:pStyle w:val="BodyText"/>
        <w:spacing w:line="364" w:lineRule="auto" w:before="10"/>
        <w:ind w:left="115" w:right="106" w:firstLine="686"/>
        <w:jc w:val="both"/>
      </w:pPr>
      <w:r>
        <w:rPr/>
        <w:t>Es importante recalcar, sin embargo, justo en el marco del enfoque descriptivo, que la palabra </w:t>
      </w:r>
      <w:r>
        <w:rPr>
          <w:i/>
        </w:rPr>
        <w:t>políticas </w:t>
      </w:r>
      <w:r>
        <w:rPr/>
        <w:t>forma parte de la dicotomía conceptual que en  </w:t>
      </w:r>
      <w:r>
        <w:rPr>
          <w:spacing w:val="-5"/>
        </w:rPr>
        <w:t>la </w:t>
      </w:r>
      <w:r>
        <w:rPr/>
        <w:t>lengua inglesa distingue </w:t>
      </w:r>
      <w:r>
        <w:rPr>
          <w:i/>
        </w:rPr>
        <w:t>politics </w:t>
      </w:r>
      <w:r>
        <w:rPr/>
        <w:t>para indicar </w:t>
      </w:r>
      <w:r>
        <w:rPr>
          <w:spacing w:val="4"/>
        </w:rPr>
        <w:t>el </w:t>
      </w:r>
      <w:r>
        <w:rPr/>
        <w:t>proceso de lucha en defensa de intereses, </w:t>
      </w:r>
      <w:r>
        <w:rPr>
          <w:spacing w:val="-5"/>
        </w:rPr>
        <w:t>la </w:t>
      </w:r>
      <w:r>
        <w:rPr/>
        <w:t>competencia, el conflicto y negociación entre individuos y organizaciones  por </w:t>
      </w:r>
      <w:r>
        <w:rPr>
          <w:spacing w:val="-5"/>
        </w:rPr>
        <w:t>la  </w:t>
      </w:r>
      <w:r>
        <w:rPr/>
        <w:t>distribución  del  poder político,  y </w:t>
      </w:r>
      <w:r>
        <w:rPr>
          <w:i/>
        </w:rPr>
        <w:t>policy, </w:t>
      </w:r>
      <w:r>
        <w:rPr/>
        <w:t>como el cúmulo </w:t>
      </w:r>
      <w:r>
        <w:rPr>
          <w:spacing w:val="4"/>
        </w:rPr>
        <w:t> </w:t>
      </w:r>
      <w:r>
        <w:rPr/>
        <w:t>de</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7"/>
        <w:jc w:val="both"/>
      </w:pPr>
      <w:r>
        <w:rPr>
          <w:i/>
        </w:rPr>
        <w:t>opciones y estrategias de acción y decisión</w:t>
      </w:r>
      <w:r>
        <w:rPr/>
        <w:t>, que tienen como objetivo enfrentar, resolver o mejorar los problemas que son responsabilidad del Estado. Según se puede ver, en el primer proceso, la racionalidad pública está fuertemente limitada por la presión de los actores sociales, mientras que en el segundo se presume una actuación estrictamente racional de la autoridad.</w:t>
      </w:r>
    </w:p>
    <w:p>
      <w:pPr>
        <w:spacing w:line="364" w:lineRule="auto" w:before="5"/>
        <w:ind w:left="115" w:right="106" w:firstLine="686"/>
        <w:jc w:val="both"/>
        <w:rPr>
          <w:sz w:val="23"/>
        </w:rPr>
      </w:pPr>
      <w:r>
        <w:rPr>
          <w:sz w:val="23"/>
        </w:rPr>
        <w:t>En el mismo sentido, Roth señala que las políticas públicas, en tanto </w:t>
      </w:r>
      <w:r>
        <w:rPr>
          <w:i/>
          <w:sz w:val="23"/>
        </w:rPr>
        <w:t>programas de acciones, son representaciones sociales </w:t>
      </w:r>
      <w:r>
        <w:rPr>
          <w:sz w:val="23"/>
        </w:rPr>
        <w:t>diversas, pero al mismo tiempo, </w:t>
      </w:r>
      <w:r>
        <w:rPr>
          <w:i/>
          <w:sz w:val="23"/>
        </w:rPr>
        <w:t>realización concreta de decisiones </w:t>
      </w:r>
      <w:r>
        <w:rPr>
          <w:sz w:val="23"/>
        </w:rPr>
        <w:t>que el Estado, utiliza mediante  el  cambio de las reglas del juego operantes hasta entonces (Roth: </w:t>
      </w:r>
      <w:r>
        <w:rPr>
          <w:spacing w:val="15"/>
          <w:sz w:val="23"/>
        </w:rPr>
        <w:t> </w:t>
      </w:r>
      <w:r>
        <w:rPr>
          <w:sz w:val="23"/>
        </w:rPr>
        <w:t>2009).</w:t>
      </w:r>
    </w:p>
    <w:p>
      <w:pPr>
        <w:pStyle w:val="BodyText"/>
        <w:spacing w:line="364" w:lineRule="auto" w:before="5"/>
        <w:ind w:left="115" w:right="104" w:firstLine="686"/>
        <w:jc w:val="both"/>
      </w:pPr>
      <w:r>
        <w:rPr/>
        <w:t>Por su parte, Rua y Aguilar definen a las </w:t>
      </w:r>
      <w:r>
        <w:rPr>
          <w:i/>
        </w:rPr>
        <w:t>políticas públicas </w:t>
      </w:r>
      <w:r>
        <w:rPr/>
        <w:t>como las </w:t>
      </w:r>
      <w:r>
        <w:rPr>
          <w:i/>
        </w:rPr>
        <w:t>decisiones de gobierno</w:t>
      </w:r>
      <w:r>
        <w:rPr/>
        <w:t>; sin embargo, el primero enfatiza que dichas decisiones se corresponden con el destino de los valores, preferencias, opiniones y creencias acerca de los problemas o cuestiones </w:t>
      </w:r>
      <w:r>
        <w:rPr>
          <w:spacing w:val="-3"/>
        </w:rPr>
        <w:t>de </w:t>
      </w:r>
      <w:r>
        <w:rPr/>
        <w:t>índole pública (Rua: 1998); mientras que para el segundo, bajo </w:t>
      </w:r>
      <w:r>
        <w:rPr>
          <w:spacing w:val="-4"/>
        </w:rPr>
        <w:t>la</w:t>
      </w:r>
      <w:r>
        <w:rPr>
          <w:spacing w:val="55"/>
        </w:rPr>
        <w:t> </w:t>
      </w:r>
      <w:r>
        <w:rPr/>
        <w:t>misma línea, establece que las políticas públicas incorporan </w:t>
      </w:r>
      <w:r>
        <w:rPr>
          <w:spacing w:val="-3"/>
        </w:rPr>
        <w:t>la </w:t>
      </w:r>
      <w:r>
        <w:rPr/>
        <w:t>opinión, </w:t>
      </w:r>
      <w:r>
        <w:rPr>
          <w:spacing w:val="-5"/>
        </w:rPr>
        <w:t>la </w:t>
      </w:r>
      <w:r>
        <w:rPr/>
        <w:t>participación, </w:t>
      </w:r>
      <w:r>
        <w:rPr>
          <w:spacing w:val="-3"/>
        </w:rPr>
        <w:t>la </w:t>
      </w:r>
      <w:r>
        <w:rPr/>
        <w:t>corresponsabilidad y </w:t>
      </w:r>
      <w:r>
        <w:rPr>
          <w:spacing w:val="4"/>
        </w:rPr>
        <w:t>el </w:t>
      </w:r>
      <w:r>
        <w:rPr/>
        <w:t>dinero de los privados, en su calidad de ciudadanos electores y contribuyentes y concede </w:t>
      </w:r>
      <w:r>
        <w:rPr>
          <w:spacing w:val="-3"/>
        </w:rPr>
        <w:t>la </w:t>
      </w:r>
      <w:r>
        <w:rPr/>
        <w:t>disminución del protagonismo gubernamental, en aumento del peso de </w:t>
      </w:r>
      <w:r>
        <w:rPr>
          <w:spacing w:val="-2"/>
        </w:rPr>
        <w:t>los </w:t>
      </w:r>
      <w:r>
        <w:rPr/>
        <w:t>individuos y de sus organizaciones (Aguilar:  2000b).  Según se  puede  apreciar, esta postura ubica al Estado como un espacio que refleja en alguna medida las preferencias ciudadanas, y no como una entidad autónoma que tiene una </w:t>
      </w:r>
      <w:r>
        <w:rPr>
          <w:spacing w:val="-3"/>
        </w:rPr>
        <w:t>lógica </w:t>
      </w:r>
      <w:r>
        <w:rPr/>
        <w:t>propia.</w:t>
      </w:r>
    </w:p>
    <w:p>
      <w:pPr>
        <w:pStyle w:val="BodyText"/>
        <w:spacing w:line="364" w:lineRule="auto" w:before="10"/>
        <w:ind w:left="115" w:right="106" w:firstLine="686"/>
        <w:jc w:val="both"/>
      </w:pPr>
      <w:r>
        <w:rPr/>
        <w:t>Aguilar precisa que el Estado tiene una función clave en </w:t>
      </w:r>
      <w:r>
        <w:rPr>
          <w:spacing w:val="2"/>
        </w:rPr>
        <w:t>el </w:t>
      </w:r>
      <w:r>
        <w:rPr/>
        <w:t>ámbito de </w:t>
      </w:r>
      <w:r>
        <w:rPr>
          <w:spacing w:val="-2"/>
        </w:rPr>
        <w:t>las </w:t>
      </w:r>
      <w:r>
        <w:rPr/>
        <w:t>políticas públicas, porque encarna la actividad gubernamental y salvaguarda el elemento institucional, de forma que las decisiones son tomadas por una autoridad formal legalmente constituida, es </w:t>
      </w:r>
      <w:r>
        <w:rPr>
          <w:spacing w:val="-3"/>
        </w:rPr>
        <w:t>decir, </w:t>
      </w:r>
      <w:r>
        <w:rPr/>
        <w:t>con legitimidad para imponer dichas decisiones, proceso que se ubica dentro de un sistema político, </w:t>
      </w:r>
      <w:r>
        <w:rPr>
          <w:spacing w:val="-5"/>
        </w:rPr>
        <w:t>lo </w:t>
      </w:r>
      <w:r>
        <w:rPr/>
        <w:t>cual, al menos  en teoría, implica que las decisiones se toman considerando la  relación fines/medios por parte de </w:t>
      </w:r>
      <w:r>
        <w:rPr>
          <w:spacing w:val="-4"/>
        </w:rPr>
        <w:t>la </w:t>
      </w:r>
      <w:r>
        <w:rPr/>
        <w:t>autoridad; esto es, el gobierno actúa bajo </w:t>
      </w:r>
      <w:r>
        <w:rPr>
          <w:spacing w:val="-4"/>
        </w:rPr>
        <w:t>la </w:t>
      </w:r>
      <w:r>
        <w:rPr/>
        <w:t>lógica de   </w:t>
      </w:r>
      <w:r>
        <w:rPr>
          <w:spacing w:val="-5"/>
        </w:rPr>
        <w:t>la </w:t>
      </w:r>
      <w:r>
        <w:rPr/>
        <w:t>acción o la inacción (Aguilar: 2000b). Esto no </w:t>
      </w:r>
      <w:r>
        <w:rPr>
          <w:spacing w:val="-3"/>
        </w:rPr>
        <w:t>es </w:t>
      </w:r>
      <w:r>
        <w:rPr/>
        <w:t>poca cosa porque  </w:t>
      </w:r>
      <w:r>
        <w:rPr>
          <w:spacing w:val="-2"/>
        </w:rPr>
        <w:t>las</w:t>
      </w:r>
      <w:r>
        <w:rPr>
          <w:spacing w:val="59"/>
        </w:rPr>
        <w:t> </w:t>
      </w:r>
      <w:r>
        <w:rPr/>
        <w:t>decisiones o políticas públicas, dice Rua, producen efectos específicos e influyen   en </w:t>
      </w:r>
      <w:r>
        <w:rPr>
          <w:spacing w:val="-4"/>
        </w:rPr>
        <w:t>la </w:t>
      </w:r>
      <w:r>
        <w:rPr/>
        <w:t>vida de los ciudadanos. (Rua:</w:t>
      </w:r>
      <w:r>
        <w:rPr>
          <w:spacing w:val="54"/>
        </w:rPr>
        <w:t> </w:t>
      </w:r>
      <w:r>
        <w:rPr/>
        <w:t>1998).</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6" w:right="113" w:firstLine="686"/>
        <w:jc w:val="both"/>
      </w:pPr>
      <w:r>
        <w:rPr/>
        <w:t>En </w:t>
      </w:r>
      <w:r>
        <w:rPr>
          <w:spacing w:val="3"/>
        </w:rPr>
        <w:t>el </w:t>
      </w:r>
      <w:r>
        <w:rPr/>
        <w:t>campo disciplinario, </w:t>
      </w:r>
      <w:r>
        <w:rPr>
          <w:spacing w:val="3"/>
        </w:rPr>
        <w:t>el </w:t>
      </w:r>
      <w:r>
        <w:rPr/>
        <w:t>aporte principal del estudio de las políticas públicas fue lograr que la manera como la política </w:t>
      </w:r>
      <w:r>
        <w:rPr>
          <w:spacing w:val="-3"/>
        </w:rPr>
        <w:t>era </w:t>
      </w:r>
      <w:r>
        <w:rPr/>
        <w:t>elaborada, decidida y ejecutada llegara a convertirse en objeto de estudio epistemológicamente válido y académicamente relevante y que su conocimiento  fuera considerado crucial para   </w:t>
      </w:r>
      <w:r>
        <w:rPr>
          <w:spacing w:val="-5"/>
        </w:rPr>
        <w:t>la </w:t>
      </w:r>
      <w:r>
        <w:rPr/>
        <w:t>mejora de la acción de gobierno (Aguilar: </w:t>
      </w:r>
      <w:r>
        <w:rPr>
          <w:spacing w:val="4"/>
        </w:rPr>
        <w:t> </w:t>
      </w:r>
      <w:r>
        <w:rPr/>
        <w:t>2004).</w:t>
      </w:r>
    </w:p>
    <w:p>
      <w:pPr>
        <w:pStyle w:val="BodyText"/>
        <w:rPr>
          <w:sz w:val="22"/>
        </w:rPr>
      </w:pPr>
    </w:p>
    <w:p>
      <w:pPr>
        <w:pStyle w:val="BodyText"/>
        <w:spacing w:before="6"/>
      </w:pPr>
    </w:p>
    <w:p>
      <w:pPr>
        <w:pStyle w:val="Heading3"/>
        <w:numPr>
          <w:ilvl w:val="2"/>
          <w:numId w:val="6"/>
        </w:numPr>
        <w:tabs>
          <w:tab w:pos="701" w:val="left" w:leader="none"/>
        </w:tabs>
        <w:spacing w:line="240" w:lineRule="auto" w:before="0" w:after="0"/>
        <w:ind w:left="116" w:right="0" w:firstLine="0"/>
        <w:jc w:val="both"/>
      </w:pPr>
      <w:bookmarkStart w:name="_TOC_250029" w:id="3"/>
      <w:r>
        <w:rPr/>
        <w:t>Racionalidad gubernamental y políticas</w:t>
      </w:r>
      <w:r>
        <w:rPr>
          <w:spacing w:val="52"/>
        </w:rPr>
        <w:t> </w:t>
      </w:r>
      <w:bookmarkEnd w:id="3"/>
      <w:r>
        <w:rPr/>
        <w:t>públicas</w:t>
      </w:r>
    </w:p>
    <w:p>
      <w:pPr>
        <w:pStyle w:val="BodyText"/>
        <w:spacing w:line="364" w:lineRule="auto" w:before="138"/>
        <w:ind w:left="116" w:right="106"/>
        <w:jc w:val="both"/>
      </w:pPr>
      <w:r>
        <w:rPr/>
        <w:t>Larrue (2000) propone una definición de las políticas públicas que sugiere racionalidad y cierto grado de autonomía </w:t>
      </w:r>
      <w:r>
        <w:rPr>
          <w:spacing w:val="2"/>
        </w:rPr>
        <w:t>de </w:t>
      </w:r>
      <w:r>
        <w:rPr>
          <w:spacing w:val="-3"/>
        </w:rPr>
        <w:t>la </w:t>
      </w:r>
      <w:r>
        <w:rPr/>
        <w:t>burocracia del Estado: “Una </w:t>
      </w:r>
      <w:r>
        <w:rPr>
          <w:i/>
        </w:rPr>
        <w:t>concatenación de actividades, decisiones o de medidas coherentes </w:t>
      </w:r>
      <w:r>
        <w:rPr/>
        <w:t>por </w:t>
      </w:r>
      <w:r>
        <w:rPr>
          <w:spacing w:val="-4"/>
        </w:rPr>
        <w:t>lo </w:t>
      </w:r>
      <w:r>
        <w:rPr/>
        <w:t>menos  en </w:t>
      </w:r>
      <w:r>
        <w:rPr>
          <w:spacing w:val="3"/>
        </w:rPr>
        <w:t>su </w:t>
      </w:r>
      <w:r>
        <w:rPr/>
        <w:t>intención, y tomadas principalmente por </w:t>
      </w:r>
      <w:r>
        <w:rPr>
          <w:spacing w:val="-3"/>
        </w:rPr>
        <w:t>los </w:t>
      </w:r>
      <w:r>
        <w:rPr/>
        <w:t>actores </w:t>
      </w:r>
      <w:r>
        <w:rPr>
          <w:spacing w:val="-3"/>
        </w:rPr>
        <w:t>del </w:t>
      </w:r>
      <w:r>
        <w:rPr/>
        <w:t>sistema político- administrativo de un país con </w:t>
      </w:r>
      <w:r>
        <w:rPr>
          <w:spacing w:val="-4"/>
        </w:rPr>
        <w:t>la </w:t>
      </w:r>
      <w:r>
        <w:rPr/>
        <w:t>finalidad de resolver un problema colectivo. Estas decisiones dan lugar a actos formalizados, </w:t>
      </w:r>
      <w:r>
        <w:rPr>
          <w:spacing w:val="-3"/>
        </w:rPr>
        <w:t>de </w:t>
      </w:r>
      <w:r>
        <w:rPr/>
        <w:t>naturaleza más o menos coercitiva, “con el objetivo de modificar </w:t>
      </w:r>
      <w:r>
        <w:rPr>
          <w:spacing w:val="3"/>
        </w:rPr>
        <w:t>el </w:t>
      </w:r>
      <w:r>
        <w:rPr/>
        <w:t>comportamiento de “grupos  que  conforman  blancos, los cuales </w:t>
      </w:r>
      <w:r>
        <w:rPr>
          <w:spacing w:val="2"/>
        </w:rPr>
        <w:t>se </w:t>
      </w:r>
      <w:r>
        <w:rPr/>
        <w:t>encuentran supuestamente  en  el origen  del problema   </w:t>
      </w:r>
      <w:r>
        <w:rPr>
          <w:spacing w:val="2"/>
        </w:rPr>
        <w:t> </w:t>
      </w:r>
      <w:r>
        <w:rPr/>
        <w:t>por</w:t>
      </w:r>
    </w:p>
    <w:p>
      <w:pPr>
        <w:pStyle w:val="BodyText"/>
        <w:spacing w:line="270" w:lineRule="exact"/>
        <w:ind w:left="116"/>
        <w:jc w:val="both"/>
        <w:rPr>
          <w:sz w:val="15"/>
        </w:rPr>
      </w:pPr>
      <w:r>
        <w:rPr/>
        <w:t>resolver” (Majone: 1978).</w:t>
      </w:r>
      <w:r>
        <w:rPr>
          <w:position w:val="11"/>
          <w:sz w:val="15"/>
        </w:rPr>
        <w:t>1</w:t>
      </w:r>
    </w:p>
    <w:p>
      <w:pPr>
        <w:pStyle w:val="BodyText"/>
        <w:spacing w:line="367" w:lineRule="auto" w:before="134"/>
        <w:ind w:left="115" w:right="106" w:firstLine="686"/>
        <w:jc w:val="both"/>
      </w:pPr>
      <w:r>
        <w:rPr/>
        <w:t>Majone asume que las políticas públicas se desarrollan en contextos </w:t>
      </w:r>
      <w:r>
        <w:rPr>
          <w:spacing w:val="-3"/>
        </w:rPr>
        <w:t>de </w:t>
      </w:r>
      <w:r>
        <w:rPr/>
        <w:t>gobiernos democráticos, cuyas burocracias propician el diálogo y la discusión abierta, los cuales son factores constitutivos de </w:t>
      </w:r>
      <w:r>
        <w:rPr>
          <w:spacing w:val="-5"/>
        </w:rPr>
        <w:t>la </w:t>
      </w:r>
      <w:r>
        <w:rPr/>
        <w:t>elaboración de las políticas. En este marco, </w:t>
      </w:r>
      <w:r>
        <w:rPr>
          <w:spacing w:val="-3"/>
        </w:rPr>
        <w:t>la </w:t>
      </w:r>
      <w:r>
        <w:rPr/>
        <w:t>elección y desarrollo de una política no resulta de un sofisticado cálculo tecnocrático o de una preferencia autocrática. Es, producto de la discusión   y persuasión recíproca de muchos actores políticos y gubernamentales, participantes en su formulación, aceptación y puesta en práctica (Majone: </w:t>
      </w:r>
      <w:r>
        <w:rPr>
          <w:spacing w:val="16"/>
        </w:rPr>
        <w:t> </w:t>
      </w:r>
      <w:r>
        <w:rPr/>
        <w:t>1978).</w:t>
      </w:r>
    </w:p>
    <w:p>
      <w:pPr>
        <w:pStyle w:val="BodyText"/>
        <w:spacing w:line="364" w:lineRule="auto"/>
        <w:ind w:left="115" w:right="104" w:firstLine="686"/>
        <w:jc w:val="both"/>
      </w:pPr>
      <w:r>
        <w:rPr/>
        <w:t>No es ocioso señalar, por otra parte que las políticas públicas </w:t>
      </w:r>
      <w:r>
        <w:rPr>
          <w:spacing w:val="3"/>
        </w:rPr>
        <w:t>no </w:t>
      </w:r>
      <w:r>
        <w:rPr/>
        <w:t>son una rutina de la actividad gubernamental, sino que </w:t>
      </w:r>
      <w:r>
        <w:rPr>
          <w:spacing w:val="2"/>
        </w:rPr>
        <w:t>se </w:t>
      </w:r>
      <w:r>
        <w:rPr/>
        <w:t>identifican con las decisiones, y las correlaciones de un problema percibido o presentado como público que es el punto de referencia y  la fuente original de donde surge la dirección inherente a  toda política; </w:t>
      </w:r>
      <w:r>
        <w:rPr>
          <w:spacing w:val="2"/>
        </w:rPr>
        <w:t>de </w:t>
      </w:r>
      <w:r>
        <w:rPr/>
        <w:t>esta forma, también implican en parte, un diagnóstico causal del problema  y  algunas  posibles  medidas  que  pudieran  solucionarlo.  De  hecho,</w:t>
      </w:r>
      <w:r>
        <w:rPr>
          <w:spacing w:val="17"/>
        </w:rPr>
        <w:t> </w:t>
      </w:r>
      <w:r>
        <w:rPr/>
        <w:t>el</w:t>
      </w:r>
    </w:p>
    <w:p>
      <w:pPr>
        <w:pStyle w:val="BodyText"/>
        <w:rPr>
          <w:sz w:val="22"/>
        </w:rPr>
      </w:pPr>
      <w:r>
        <w:rPr/>
        <w:pict>
          <v:line style="position:absolute;mso-position-horizontal-relative:page;mso-position-vertical-relative:paragraph;z-index:1048;mso-wrap-distance-left:0;mso-wrap-distance-right:0" from="82.799004pt,15.006207pt" to="222.958004pt,15.006207pt" stroked="true" strokeweight=".72pt" strokecolor="#000000">
            <w10:wrap type="topAndBottom"/>
          </v:line>
        </w:pict>
      </w:r>
    </w:p>
    <w:p>
      <w:pPr>
        <w:spacing w:line="247" w:lineRule="auto" w:before="46"/>
        <w:ind w:left="115" w:right="110" w:firstLine="0"/>
        <w:jc w:val="left"/>
        <w:rPr>
          <w:sz w:val="19"/>
        </w:rPr>
      </w:pPr>
      <w:r>
        <w:rPr>
          <w:w w:val="105"/>
          <w:position w:val="10"/>
          <w:sz w:val="12"/>
        </w:rPr>
        <w:t>1 </w:t>
      </w:r>
      <w:r>
        <w:rPr>
          <w:w w:val="105"/>
          <w:sz w:val="19"/>
        </w:rPr>
        <w:t>Lowi aportó la característica de ser colectivamente obligatorias y, por ende, comportan factual o virtualmente coactividad (Lowi: 1972).</w:t>
      </w:r>
    </w:p>
    <w:p>
      <w:pPr>
        <w:spacing w:after="0" w:line="247" w:lineRule="auto"/>
        <w:jc w:val="left"/>
        <w:rPr>
          <w:sz w:val="19"/>
        </w:rPr>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9" w:lineRule="auto" w:before="74"/>
        <w:ind w:left="115" w:right="191"/>
      </w:pPr>
      <w:r>
        <w:rPr/>
        <w:t>diagnóstico está detrás de dos de </w:t>
      </w:r>
      <w:r>
        <w:rPr>
          <w:spacing w:val="-3"/>
        </w:rPr>
        <w:t>los </w:t>
      </w:r>
      <w:r>
        <w:rPr/>
        <w:t>elementos de las políticas públicas: </w:t>
      </w:r>
      <w:r>
        <w:rPr>
          <w:spacing w:val="-4"/>
        </w:rPr>
        <w:t>la  </w:t>
      </w:r>
      <w:r>
        <w:rPr/>
        <w:t>solución y </w:t>
      </w:r>
      <w:r>
        <w:rPr>
          <w:spacing w:val="-4"/>
        </w:rPr>
        <w:t>la </w:t>
      </w:r>
      <w:r>
        <w:rPr/>
        <w:t>estrategia (Méndez:</w:t>
      </w:r>
      <w:r>
        <w:rPr>
          <w:spacing w:val="52"/>
        </w:rPr>
        <w:t> </w:t>
      </w:r>
      <w:r>
        <w:rPr/>
        <w:t>1993).</w:t>
      </w:r>
    </w:p>
    <w:p>
      <w:pPr>
        <w:pStyle w:val="BodyText"/>
        <w:spacing w:line="364" w:lineRule="auto"/>
        <w:ind w:left="115" w:right="104" w:firstLine="686"/>
        <w:jc w:val="both"/>
      </w:pPr>
      <w:r>
        <w:rPr/>
        <w:t>En este sentido, </w:t>
      </w:r>
      <w:r>
        <w:rPr>
          <w:spacing w:val="3"/>
        </w:rPr>
        <w:t>se </w:t>
      </w:r>
      <w:r>
        <w:rPr/>
        <w:t>puede afirmar que las políticas públicas implican objetivos globales presupuestos como soluciones del problema, mientras que </w:t>
      </w:r>
      <w:r>
        <w:rPr>
          <w:spacing w:val="-5"/>
        </w:rPr>
        <w:t>la </w:t>
      </w:r>
      <w:r>
        <w:rPr/>
        <w:t>estrategia está constituida </w:t>
      </w:r>
      <w:r>
        <w:rPr>
          <w:spacing w:val="2"/>
        </w:rPr>
        <w:t>por </w:t>
      </w:r>
      <w:r>
        <w:rPr/>
        <w:t>un paquete de acciones relacionadas y  generalmente </w:t>
      </w:r>
      <w:r>
        <w:rPr>
          <w:spacing w:val="3"/>
        </w:rPr>
        <w:t>con </w:t>
      </w:r>
      <w:r>
        <w:rPr/>
        <w:t>cierto orden. Implican también la disposición de ciertos recursos  y </w:t>
      </w:r>
      <w:r>
        <w:rPr>
          <w:spacing w:val="-3"/>
        </w:rPr>
        <w:t>la </w:t>
      </w:r>
      <w:r>
        <w:rPr/>
        <w:t>conciencia de que, para que una política exista, el paquete  de  acciones previsto tiene que realizarse en alguna medida. Estos  mismos cursos de acción  son pactados por los diferentes actores participantes y dirigidos e instrumentados por el gobierno </w:t>
      </w:r>
      <w:r>
        <w:rPr>
          <w:spacing w:val="3"/>
        </w:rPr>
        <w:t>de </w:t>
      </w:r>
      <w:r>
        <w:rPr>
          <w:spacing w:val="-3"/>
        </w:rPr>
        <w:t>la </w:t>
      </w:r>
      <w:r>
        <w:rPr/>
        <w:t>esfera de su competencia (Mendoza, 2002:  20).</w:t>
      </w:r>
    </w:p>
    <w:p>
      <w:pPr>
        <w:pStyle w:val="BodyText"/>
        <w:spacing w:line="364" w:lineRule="auto" w:before="5"/>
        <w:ind w:left="115" w:right="104" w:firstLine="686"/>
        <w:jc w:val="both"/>
      </w:pPr>
      <w:r>
        <w:rPr/>
        <w:t>Cuando se estudia las políticas públicas se tiene que hacer referencia a tres elementos fundamentales que forman parte de ellas: los objetivos públicos del Estado; </w:t>
      </w:r>
      <w:r>
        <w:rPr>
          <w:spacing w:val="-3"/>
        </w:rPr>
        <w:t>los </w:t>
      </w:r>
      <w:r>
        <w:rPr/>
        <w:t>programas diseñados para cumplir con esos objetivos, así como su impacto en </w:t>
      </w:r>
      <w:r>
        <w:rPr>
          <w:spacing w:val="-4"/>
        </w:rPr>
        <w:t>la </w:t>
      </w:r>
      <w:r>
        <w:rPr/>
        <w:t>sociedad. No obstante, la política pública no siempre se entiende debido a que no </w:t>
      </w:r>
      <w:r>
        <w:rPr>
          <w:spacing w:val="-3"/>
        </w:rPr>
        <w:t>es </w:t>
      </w:r>
      <w:r>
        <w:rPr/>
        <w:t>analizada como variable dependiente y porque  pocos  entienden que las teorías que las  sustentan,  actúan  como  variables independientes (Méndez:</w:t>
      </w:r>
      <w:r>
        <w:rPr>
          <w:spacing w:val="35"/>
        </w:rPr>
        <w:t> </w:t>
      </w:r>
      <w:r>
        <w:rPr/>
        <w:t>2000).</w:t>
      </w:r>
    </w:p>
    <w:p>
      <w:pPr>
        <w:pStyle w:val="BodyText"/>
        <w:spacing w:line="364" w:lineRule="auto" w:before="10"/>
        <w:ind w:left="115" w:right="107" w:firstLine="686"/>
        <w:jc w:val="both"/>
      </w:pPr>
      <w:r>
        <w:rPr/>
        <w:t>Si ponemos la pregunta sobre ¿cuál </w:t>
      </w:r>
      <w:r>
        <w:rPr>
          <w:spacing w:val="-3"/>
        </w:rPr>
        <w:t>es </w:t>
      </w:r>
      <w:r>
        <w:rPr/>
        <w:t>el alcance de los estudios de </w:t>
      </w:r>
      <w:r>
        <w:rPr>
          <w:spacing w:val="-2"/>
        </w:rPr>
        <w:t>las </w:t>
      </w:r>
      <w:r>
        <w:rPr/>
        <w:t>políticas públicas y cuáles son sus límites?, se puede afirmar, de acuerdo con </w:t>
      </w:r>
      <w:r>
        <w:rPr>
          <w:spacing w:val="-3"/>
        </w:rPr>
        <w:t>Dye </w:t>
      </w:r>
      <w:r>
        <w:rPr/>
        <w:t>(1976), citando a Palumbo, que los “estudios” y el “análisis”, las “ciencias” de “políticas”, se refieren a “cualquier investigación que se relaciona con el </w:t>
      </w:r>
      <w:r>
        <w:rPr>
          <w:spacing w:val="-3"/>
        </w:rPr>
        <w:t>interés </w:t>
      </w:r>
      <w:r>
        <w:rPr/>
        <w:t>público o lo promueve”; o que </w:t>
      </w:r>
      <w:r>
        <w:rPr>
          <w:spacing w:val="-3"/>
        </w:rPr>
        <w:t>“la </w:t>
      </w:r>
      <w:r>
        <w:rPr/>
        <w:t>política pública </w:t>
      </w:r>
      <w:r>
        <w:rPr>
          <w:spacing w:val="-3"/>
        </w:rPr>
        <w:t>es </w:t>
      </w:r>
      <w:r>
        <w:rPr/>
        <w:t>cualquier cosa que </w:t>
      </w:r>
      <w:r>
        <w:rPr>
          <w:spacing w:val="-2"/>
        </w:rPr>
        <w:t>los </w:t>
      </w:r>
      <w:r>
        <w:rPr/>
        <w:t>gobiernos decidan hacer o no hacer” y que el análisis  busca  “describir y explicar  las causas y las consecuencias </w:t>
      </w:r>
      <w:r>
        <w:rPr>
          <w:spacing w:val="-3"/>
        </w:rPr>
        <w:t>de </w:t>
      </w:r>
      <w:r>
        <w:rPr/>
        <w:t>la actividad del gobierno” (Dye: 1976); o que “para entender la elaboración de </w:t>
      </w:r>
      <w:r>
        <w:rPr>
          <w:spacing w:val="-5"/>
        </w:rPr>
        <w:t>la </w:t>
      </w:r>
      <w:r>
        <w:rPr/>
        <w:t>política se debe entender </w:t>
      </w:r>
      <w:r>
        <w:rPr>
          <w:spacing w:val="-3"/>
        </w:rPr>
        <w:t>la </w:t>
      </w:r>
      <w:r>
        <w:rPr/>
        <w:t>actividad política” (Aguilar:</w:t>
      </w:r>
      <w:r>
        <w:rPr>
          <w:spacing w:val="10"/>
        </w:rPr>
        <w:t> </w:t>
      </w:r>
      <w:r>
        <w:rPr/>
        <w:t>2000).</w:t>
      </w:r>
    </w:p>
    <w:p>
      <w:pPr>
        <w:pStyle w:val="BodyText"/>
        <w:rPr>
          <w:sz w:val="22"/>
        </w:rPr>
      </w:pPr>
    </w:p>
    <w:p>
      <w:pPr>
        <w:pStyle w:val="Heading3"/>
        <w:numPr>
          <w:ilvl w:val="2"/>
          <w:numId w:val="6"/>
        </w:numPr>
        <w:tabs>
          <w:tab w:pos="699" w:val="left" w:leader="none"/>
        </w:tabs>
        <w:spacing w:line="240" w:lineRule="auto" w:before="160" w:after="0"/>
        <w:ind w:left="698" w:right="0" w:hanging="582"/>
        <w:jc w:val="left"/>
      </w:pPr>
      <w:bookmarkStart w:name="_TOC_250028" w:id="4"/>
      <w:r>
        <w:rPr/>
        <w:t>Las políticas públicas ¿planificación o</w:t>
      </w:r>
      <w:r>
        <w:rPr>
          <w:spacing w:val="51"/>
        </w:rPr>
        <w:t> </w:t>
      </w:r>
      <w:bookmarkEnd w:id="4"/>
      <w:r>
        <w:rPr/>
        <w:t>reacción?</w:t>
      </w:r>
    </w:p>
    <w:p>
      <w:pPr>
        <w:pStyle w:val="BodyText"/>
        <w:spacing w:line="362" w:lineRule="auto" w:before="138"/>
        <w:ind w:left="115" w:right="128"/>
      </w:pPr>
      <w:r>
        <w:rPr/>
        <w:t>La política pública puede identificarse con dos enfoques, según  Lowi  (1972):  macro enfoques y enfoques de alcance medio. En el caso de los primeros </w:t>
      </w:r>
      <w:r>
        <w:rPr>
          <w:spacing w:val="3"/>
        </w:rPr>
        <w:t>se </w:t>
      </w:r>
      <w:r>
        <w:rPr>
          <w:spacing w:val="23"/>
        </w:rPr>
        <w:t> </w:t>
      </w:r>
      <w:r>
        <w:rPr/>
        <w:t>ubica</w:t>
      </w:r>
    </w:p>
    <w:p>
      <w:pPr>
        <w:spacing w:after="0" w:line="362" w:lineRule="auto"/>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9" w:lineRule="auto" w:before="74"/>
        <w:ind w:left="115" w:right="116"/>
        <w:jc w:val="both"/>
      </w:pPr>
      <w:r>
        <w:rPr/>
        <w:t>el tipo pluralista y el estatista; en el segundo se ubican el tipo cultural-nacional, coyuntural y el ecológico.</w:t>
      </w:r>
    </w:p>
    <w:p>
      <w:pPr>
        <w:pStyle w:val="BodyText"/>
        <w:spacing w:line="364" w:lineRule="auto"/>
        <w:ind w:left="115" w:right="107" w:firstLine="686"/>
        <w:jc w:val="both"/>
      </w:pPr>
      <w:r>
        <w:rPr/>
        <w:t>En el caso del macro enfoque pluralista o liberal. (50’s y 60’s EUA), </w:t>
      </w:r>
      <w:r>
        <w:rPr>
          <w:spacing w:val="2"/>
        </w:rPr>
        <w:t>se </w:t>
      </w:r>
      <w:r>
        <w:rPr/>
        <w:t>parte de </w:t>
      </w:r>
      <w:r>
        <w:rPr>
          <w:spacing w:val="-4"/>
        </w:rPr>
        <w:t>la </w:t>
      </w:r>
      <w:r>
        <w:rPr/>
        <w:t>premisa que las políticas públicas son respuestas pragmáticas o inmediatas    a las presiones de una variedad de grupos de interés  y  organizaciones burocráticas; por lo tanto, </w:t>
      </w:r>
      <w:r>
        <w:rPr>
          <w:spacing w:val="3"/>
        </w:rPr>
        <w:t>se </w:t>
      </w:r>
      <w:r>
        <w:rPr/>
        <w:t>argumenta que dichas políticas  difícilmente conllevarán </w:t>
      </w:r>
      <w:r>
        <w:rPr>
          <w:spacing w:val="-3"/>
        </w:rPr>
        <w:t>la </w:t>
      </w:r>
      <w:r>
        <w:rPr/>
        <w:t>claridad de metas y </w:t>
      </w:r>
      <w:r>
        <w:rPr>
          <w:spacing w:val="-3"/>
        </w:rPr>
        <w:t>la </w:t>
      </w:r>
      <w:r>
        <w:rPr/>
        <w:t>coordinación necesarias para promover objetivos de mediano o largo</w:t>
      </w:r>
      <w:r>
        <w:rPr>
          <w:spacing w:val="31"/>
        </w:rPr>
        <w:t> </w:t>
      </w:r>
      <w:r>
        <w:rPr/>
        <w:t>plazo.</w:t>
      </w:r>
    </w:p>
    <w:p>
      <w:pPr>
        <w:pStyle w:val="BodyText"/>
        <w:spacing w:line="364" w:lineRule="auto" w:before="5"/>
        <w:ind w:left="115" w:right="102" w:firstLine="686"/>
        <w:jc w:val="both"/>
      </w:pPr>
      <w:r>
        <w:rPr/>
        <w:t>En el caso </w:t>
      </w:r>
      <w:r>
        <w:rPr>
          <w:spacing w:val="-3"/>
        </w:rPr>
        <w:t>del </w:t>
      </w:r>
      <w:r>
        <w:rPr/>
        <w:t>macro enfoque estatista (80’s) el mayor peso de </w:t>
      </w:r>
      <w:r>
        <w:rPr>
          <w:spacing w:val="-3"/>
        </w:rPr>
        <w:t>las  </w:t>
      </w:r>
      <w:r>
        <w:rPr/>
        <w:t>decisiones recae en </w:t>
      </w:r>
      <w:r>
        <w:rPr>
          <w:spacing w:val="3"/>
        </w:rPr>
        <w:t>el </w:t>
      </w:r>
      <w:r>
        <w:rPr/>
        <w:t>Estado como actor; en principio, existe </w:t>
      </w:r>
      <w:r>
        <w:rPr>
          <w:spacing w:val="-3"/>
        </w:rPr>
        <w:t>la </w:t>
      </w:r>
      <w:r>
        <w:rPr/>
        <w:t>premisa de que </w:t>
      </w:r>
      <w:r>
        <w:rPr>
          <w:spacing w:val="-3"/>
        </w:rPr>
        <w:t>la </w:t>
      </w:r>
      <w:r>
        <w:rPr/>
        <w:t>burocracia gubernamental es un actor “neutral” y su propósito es  defender  el interés general, </w:t>
      </w:r>
      <w:r>
        <w:rPr>
          <w:spacing w:val="2"/>
        </w:rPr>
        <w:t>por </w:t>
      </w:r>
      <w:r>
        <w:rPr/>
        <w:t>tanto sus propósitos conducirán generalmente a la formulación  y puesta en práctica de políticas públicas </w:t>
      </w:r>
      <w:r>
        <w:rPr>
          <w:spacing w:val="-3"/>
        </w:rPr>
        <w:t>que </w:t>
      </w:r>
      <w:r>
        <w:rPr/>
        <w:t>promuevan el interés de largo plazo  de </w:t>
      </w:r>
      <w:r>
        <w:rPr>
          <w:spacing w:val="-5"/>
        </w:rPr>
        <w:t>la </w:t>
      </w:r>
      <w:r>
        <w:rPr/>
        <w:t>nación. Así </w:t>
      </w:r>
      <w:r>
        <w:rPr>
          <w:spacing w:val="-3"/>
        </w:rPr>
        <w:t>las </w:t>
      </w:r>
      <w:r>
        <w:rPr/>
        <w:t>políticas tenderán a ser pasivas o semi </w:t>
      </w:r>
      <w:r>
        <w:rPr>
          <w:spacing w:val="40"/>
        </w:rPr>
        <w:t> </w:t>
      </w:r>
      <w:r>
        <w:rPr/>
        <w:t>activas.</w:t>
      </w:r>
    </w:p>
    <w:p>
      <w:pPr>
        <w:pStyle w:val="BodyText"/>
        <w:spacing w:line="364" w:lineRule="auto" w:before="5"/>
        <w:ind w:left="115" w:right="109"/>
        <w:jc w:val="both"/>
      </w:pPr>
      <w:r>
        <w:rPr/>
        <w:t>En </w:t>
      </w:r>
      <w:r>
        <w:rPr>
          <w:spacing w:val="2"/>
        </w:rPr>
        <w:t>el </w:t>
      </w:r>
      <w:r>
        <w:rPr/>
        <w:t>caso del enfoque </w:t>
      </w:r>
      <w:r>
        <w:rPr>
          <w:spacing w:val="-3"/>
        </w:rPr>
        <w:t>de </w:t>
      </w:r>
      <w:r>
        <w:rPr/>
        <w:t>alcance medio, supone que </w:t>
      </w:r>
      <w:r>
        <w:rPr>
          <w:spacing w:val="-3"/>
        </w:rPr>
        <w:t>“la </w:t>
      </w:r>
      <w:r>
        <w:rPr/>
        <w:t>naturaleza” de  </w:t>
      </w:r>
      <w:r>
        <w:rPr>
          <w:spacing w:val="-3"/>
        </w:rPr>
        <w:t>las </w:t>
      </w:r>
      <w:r>
        <w:rPr/>
        <w:t>políticas varía </w:t>
      </w:r>
      <w:r>
        <w:rPr>
          <w:spacing w:val="-3"/>
        </w:rPr>
        <w:t>de </w:t>
      </w:r>
      <w:r>
        <w:rPr/>
        <w:t>acuerdo con algún factor específico. Es decir, las políticas  públicas pueden provenir de la interacción entre gobierno y sociedad, o bien del Estado.</w:t>
      </w:r>
    </w:p>
    <w:p>
      <w:pPr>
        <w:pStyle w:val="BodyText"/>
        <w:spacing w:line="364" w:lineRule="auto" w:before="5"/>
        <w:ind w:left="115" w:right="107" w:firstLine="686"/>
        <w:jc w:val="both"/>
      </w:pPr>
      <w:r>
        <w:rPr/>
        <w:t>Por </w:t>
      </w:r>
      <w:r>
        <w:rPr>
          <w:spacing w:val="2"/>
        </w:rPr>
        <w:t>su </w:t>
      </w:r>
      <w:r>
        <w:rPr/>
        <w:t>parte, el enfoque de los estilos nacionales, establece que </w:t>
      </w:r>
      <w:r>
        <w:rPr>
          <w:spacing w:val="-2"/>
        </w:rPr>
        <w:t>los </w:t>
      </w:r>
      <w:r>
        <w:rPr/>
        <w:t>diferentes tipos de cultura e instituciones nacionales determinarán el tipo de políticas y organizaciones públicas. Así, se espera que dentro de  una  </w:t>
      </w:r>
      <w:r>
        <w:rPr>
          <w:spacing w:val="-3"/>
        </w:rPr>
        <w:t>misma </w:t>
      </w:r>
      <w:r>
        <w:rPr/>
        <w:t>nación o entre naciones con culturas similares, dichas políticas y organizaciones sean muy similares a </w:t>
      </w:r>
      <w:r>
        <w:rPr>
          <w:spacing w:val="-3"/>
        </w:rPr>
        <w:t>lo </w:t>
      </w:r>
      <w:r>
        <w:rPr/>
        <w:t>largo de diferentes coyunturas o problemas públicos, mientras que naciones culturalmente diferentes tengan distintos tipos de políticas y organizaciones públicas, aún frente a coyunturas o problemas </w:t>
      </w:r>
      <w:r>
        <w:rPr>
          <w:spacing w:val="13"/>
        </w:rPr>
        <w:t> </w:t>
      </w:r>
      <w:r>
        <w:rPr/>
        <w:t>parecidos.</w:t>
      </w:r>
    </w:p>
    <w:p>
      <w:pPr>
        <w:pStyle w:val="BodyText"/>
        <w:spacing w:line="367" w:lineRule="auto"/>
        <w:ind w:left="115" w:right="111" w:firstLine="686"/>
        <w:jc w:val="both"/>
      </w:pPr>
      <w:r>
        <w:rPr/>
        <w:t>El enfoque coyuntural o de las arenas de política pública, señala que </w:t>
      </w:r>
      <w:r>
        <w:rPr>
          <w:spacing w:val="-5"/>
        </w:rPr>
        <w:t>la </w:t>
      </w:r>
      <w:r>
        <w:rPr/>
        <w:t>naturaleza de </w:t>
      </w:r>
      <w:r>
        <w:rPr>
          <w:spacing w:val="-3"/>
        </w:rPr>
        <w:t>las </w:t>
      </w:r>
      <w:r>
        <w:rPr/>
        <w:t>políticas dependerá del tipo de problema, por lo que los mismos tipos de arenas o problemas de políticas conducirán a comportamientos políticos similares en las naciones, aun cuando tales naciones sean culturalmente muy diferentes. Este enfoque fue popularizado por Lowi, quien clasificó en 3 tipos </w:t>
      </w:r>
      <w:r>
        <w:rPr>
          <w:spacing w:val="-5"/>
        </w:rPr>
        <w:t>la </w:t>
      </w:r>
      <w:r>
        <w:rPr/>
        <w:t>acción </w:t>
      </w:r>
      <w:r>
        <w:rPr>
          <w:spacing w:val="3"/>
        </w:rPr>
        <w:t>de </w:t>
      </w:r>
      <w:r>
        <w:rPr/>
        <w:t>las políticas públicas: distributivas, redistributivas y</w:t>
      </w:r>
      <w:r>
        <w:rPr>
          <w:spacing w:val="59"/>
        </w:rPr>
        <w:t> </w:t>
      </w:r>
      <w:r>
        <w:rPr/>
        <w:t>reguladoras.</w:t>
      </w:r>
    </w:p>
    <w:p>
      <w:pPr>
        <w:spacing w:after="0" w:line="367"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6" w:right="110" w:firstLine="686"/>
        <w:jc w:val="both"/>
      </w:pPr>
      <w:r>
        <w:rPr/>
        <w:t>Por último, en el caso del enfoque ecológico, Hampson (1986) argumenta que en contextos de “normalidad”, los actores tienden a defender sus intereses particulares sobre </w:t>
      </w:r>
      <w:r>
        <w:rPr>
          <w:spacing w:val="-3"/>
        </w:rPr>
        <w:t>los </w:t>
      </w:r>
      <w:r>
        <w:rPr/>
        <w:t>del conjunto de </w:t>
      </w:r>
      <w:r>
        <w:rPr>
          <w:spacing w:val="-5"/>
        </w:rPr>
        <w:t>la </w:t>
      </w:r>
      <w:r>
        <w:rPr/>
        <w:t>sociedad; sin embargo cuando se da una crisis que amenaza </w:t>
      </w:r>
      <w:r>
        <w:rPr>
          <w:spacing w:val="2"/>
        </w:rPr>
        <w:t>el </w:t>
      </w:r>
      <w:r>
        <w:rPr>
          <w:i/>
        </w:rPr>
        <w:t>statu quo </w:t>
      </w:r>
      <w:r>
        <w:rPr/>
        <w:t>de la colectividad, surge un interés generalizado  por </w:t>
      </w:r>
      <w:r>
        <w:rPr>
          <w:spacing w:val="-3"/>
        </w:rPr>
        <w:t>los </w:t>
      </w:r>
      <w:r>
        <w:rPr/>
        <w:t>programas </w:t>
      </w:r>
      <w:r>
        <w:rPr>
          <w:spacing w:val="3"/>
        </w:rPr>
        <w:t>de </w:t>
      </w:r>
      <w:r>
        <w:rPr/>
        <w:t>acción directa y coordinada dirigidos a </w:t>
      </w:r>
      <w:r>
        <w:rPr>
          <w:spacing w:val="-3"/>
        </w:rPr>
        <w:t>darle </w:t>
      </w:r>
      <w:r>
        <w:rPr>
          <w:spacing w:val="28"/>
        </w:rPr>
        <w:t> </w:t>
      </w:r>
      <w:r>
        <w:rPr/>
        <w:t>solución.</w:t>
      </w:r>
    </w:p>
    <w:p>
      <w:pPr>
        <w:pStyle w:val="BodyText"/>
        <w:spacing w:line="364" w:lineRule="auto" w:before="5"/>
        <w:ind w:left="116" w:right="106"/>
        <w:jc w:val="both"/>
      </w:pPr>
      <w:r>
        <w:rPr/>
        <w:t>Roth por su parte, indica que para el análisis de las políticas públicas, </w:t>
      </w:r>
      <w:r>
        <w:rPr>
          <w:spacing w:val="3"/>
        </w:rPr>
        <w:t>se </w:t>
      </w:r>
      <w:r>
        <w:rPr/>
        <w:t>debe  optar por métodos acordes </w:t>
      </w:r>
      <w:r>
        <w:rPr>
          <w:spacing w:val="2"/>
        </w:rPr>
        <w:t>con </w:t>
      </w:r>
      <w:r>
        <w:rPr/>
        <w:t>el objeto de estudio, por ejemplo: 1) </w:t>
      </w:r>
      <w:r>
        <w:rPr>
          <w:spacing w:val="-3"/>
        </w:rPr>
        <w:t>las </w:t>
      </w:r>
      <w:r>
        <w:rPr/>
        <w:t>tipologías que buscan organizar las acciones públicas para facilitar su análisis y comparación nacional e internacional (p. ej. la tipología de Lowi mencionada anteriormente); 2) las</w:t>
      </w:r>
      <w:r>
        <w:rPr>
          <w:spacing w:val="38"/>
        </w:rPr>
        <w:t> </w:t>
      </w:r>
      <w:r>
        <w:rPr/>
        <w:t>distinciones</w:t>
      </w:r>
      <w:r>
        <w:rPr>
          <w:spacing w:val="38"/>
        </w:rPr>
        <w:t> </w:t>
      </w:r>
      <w:r>
        <w:rPr/>
        <w:t>entre</w:t>
      </w:r>
      <w:r>
        <w:rPr>
          <w:spacing w:val="38"/>
        </w:rPr>
        <w:t> </w:t>
      </w:r>
      <w:r>
        <w:rPr/>
        <w:t>instrumentos</w:t>
      </w:r>
      <w:r>
        <w:rPr>
          <w:spacing w:val="44"/>
        </w:rPr>
        <w:t> </w:t>
      </w:r>
      <w:r>
        <w:rPr/>
        <w:t>de</w:t>
      </w:r>
      <w:r>
        <w:rPr>
          <w:spacing w:val="38"/>
        </w:rPr>
        <w:t> </w:t>
      </w:r>
      <w:r>
        <w:rPr/>
        <w:t>intervención</w:t>
      </w:r>
      <w:r>
        <w:rPr>
          <w:spacing w:val="38"/>
        </w:rPr>
        <w:t> </w:t>
      </w:r>
      <w:r>
        <w:rPr/>
        <w:t>del</w:t>
      </w:r>
      <w:r>
        <w:rPr>
          <w:spacing w:val="34"/>
        </w:rPr>
        <w:t> </w:t>
      </w:r>
      <w:r>
        <w:rPr/>
        <w:t>Estado;</w:t>
      </w:r>
      <w:r>
        <w:rPr>
          <w:spacing w:val="38"/>
        </w:rPr>
        <w:t> </w:t>
      </w:r>
      <w:r>
        <w:rPr/>
        <w:t>3)</w:t>
      </w:r>
      <w:r>
        <w:rPr>
          <w:spacing w:val="33"/>
        </w:rPr>
        <w:t> </w:t>
      </w:r>
      <w:r>
        <w:rPr/>
        <w:t>los</w:t>
      </w:r>
      <w:r>
        <w:rPr>
          <w:spacing w:val="46"/>
        </w:rPr>
        <w:t> </w:t>
      </w:r>
      <w:r>
        <w:rPr/>
        <w:t>programas</w:t>
      </w:r>
    </w:p>
    <w:p>
      <w:pPr>
        <w:pStyle w:val="BodyText"/>
        <w:spacing w:line="270" w:lineRule="exact"/>
        <w:ind w:left="116"/>
        <w:jc w:val="both"/>
        <w:rPr>
          <w:sz w:val="15"/>
        </w:rPr>
      </w:pPr>
      <w:r>
        <w:rPr/>
        <w:t>de políticas públicas; y 4) el ciclo de política o </w:t>
      </w:r>
      <w:r>
        <w:rPr>
          <w:i/>
        </w:rPr>
        <w:t>policy</w:t>
      </w:r>
      <w:r>
        <w:rPr>
          <w:i/>
          <w:spacing w:val="53"/>
        </w:rPr>
        <w:t> </w:t>
      </w:r>
      <w:r>
        <w:rPr>
          <w:i/>
        </w:rPr>
        <w:t>cicle</w:t>
      </w:r>
      <w:r>
        <w:rPr/>
        <w:t>.</w:t>
      </w:r>
      <w:r>
        <w:rPr>
          <w:position w:val="11"/>
          <w:sz w:val="15"/>
        </w:rPr>
        <w:t>2</w:t>
      </w:r>
    </w:p>
    <w:p>
      <w:pPr>
        <w:pStyle w:val="BodyText"/>
        <w:spacing w:line="364" w:lineRule="auto" w:before="138"/>
        <w:ind w:left="116" w:right="104" w:firstLine="686"/>
        <w:jc w:val="both"/>
      </w:pPr>
      <w:r>
        <w:rPr/>
        <w:t>Otra propuesta de análisis de las políticas públicas, proviene  de  Lowi  (1964), quien hace énfasis  en el estilo del proceso administrativo.  Así, visualiza  tres modelos: el racional, el organizativo y el burocrático. El modelo de política racional implica que </w:t>
      </w:r>
      <w:r>
        <w:rPr>
          <w:spacing w:val="-5"/>
        </w:rPr>
        <w:t>la </w:t>
      </w:r>
      <w:r>
        <w:rPr/>
        <w:t>política es decidida según un curso de acción que se considera eficiente para la realización de los objetivos perseguidos; dicho curso de acción también </w:t>
      </w:r>
      <w:r>
        <w:rPr>
          <w:spacing w:val="3"/>
        </w:rPr>
        <w:t>se </w:t>
      </w:r>
      <w:r>
        <w:rPr/>
        <w:t>considera estratégico frente a otras opciones  </w:t>
      </w:r>
      <w:r>
        <w:rPr>
          <w:spacing w:val="-3"/>
        </w:rPr>
        <w:t>que  </w:t>
      </w:r>
      <w:r>
        <w:rPr/>
        <w:t>supuestamente se enmarcan en esquemas de racionalidad estricta. El modelo organizativo </w:t>
      </w:r>
      <w:r>
        <w:rPr>
          <w:spacing w:val="4"/>
        </w:rPr>
        <w:t>ve </w:t>
      </w:r>
      <w:r>
        <w:rPr/>
        <w:t>el curso de la política como  un  producto  organizacional. Finalmente, el modelo de política burocrática considera a la política  pública  más  un “resultado político” (Lowi:</w:t>
      </w:r>
      <w:r>
        <w:rPr>
          <w:spacing w:val="28"/>
        </w:rPr>
        <w:t> </w:t>
      </w:r>
      <w:r>
        <w:rPr/>
        <w:t>1964).</w:t>
      </w:r>
    </w:p>
    <w:p>
      <w:pPr>
        <w:pStyle w:val="BodyText"/>
        <w:spacing w:line="364" w:lineRule="auto" w:before="10"/>
        <w:ind w:left="116" w:right="107" w:firstLine="686"/>
        <w:jc w:val="both"/>
      </w:pPr>
      <w:r>
        <w:rPr/>
        <w:t>Asimismo, el análisis de políticas puede ser prospectivo, sobre todo cuando  </w:t>
      </w:r>
      <w:r>
        <w:rPr>
          <w:spacing w:val="-5"/>
        </w:rPr>
        <w:t>la </w:t>
      </w:r>
      <w:r>
        <w:rPr/>
        <w:t>función consiste en brindar información especializada a los encargados de elaborar la política para que llegue a tomar una decisión. </w:t>
      </w:r>
      <w:r>
        <w:rPr>
          <w:spacing w:val="-3"/>
        </w:rPr>
        <w:t>Sin </w:t>
      </w:r>
      <w:r>
        <w:rPr/>
        <w:t>embargo, también los análisis posdecisión-retrospección en la terminología </w:t>
      </w:r>
      <w:r>
        <w:rPr>
          <w:spacing w:val="3"/>
        </w:rPr>
        <w:t>de </w:t>
      </w:r>
      <w:r>
        <w:rPr/>
        <w:t>Aaron Wildavsky, son indispensables en el proceso de hechura </w:t>
      </w:r>
      <w:r>
        <w:rPr>
          <w:spacing w:val="-3"/>
        </w:rPr>
        <w:t>de </w:t>
      </w:r>
      <w:r>
        <w:rPr/>
        <w:t>las políticas. </w:t>
      </w:r>
      <w:r>
        <w:rPr>
          <w:spacing w:val="3"/>
        </w:rPr>
        <w:t>La </w:t>
      </w:r>
      <w:r>
        <w:rPr/>
        <w:t>racionalidad tiene sentido respecto de lo que </w:t>
      </w:r>
      <w:r>
        <w:rPr>
          <w:spacing w:val="2"/>
        </w:rPr>
        <w:t>se </w:t>
      </w:r>
      <w:r>
        <w:rPr>
          <w:spacing w:val="-3"/>
        </w:rPr>
        <w:t>ha </w:t>
      </w:r>
      <w:r>
        <w:rPr/>
        <w:t>dicho, no de lo que será (Majone: 1978). Ahora bien,  de  acuerdo  con  Majone  (1978)  la  racionalidad  del  especialista  y  de   </w:t>
      </w:r>
      <w:r>
        <w:rPr>
          <w:spacing w:val="44"/>
        </w:rPr>
        <w:t> </w:t>
      </w:r>
      <w:r>
        <w:rPr>
          <w:spacing w:val="-5"/>
        </w:rPr>
        <w:t>la</w:t>
      </w:r>
    </w:p>
    <w:p>
      <w:pPr>
        <w:pStyle w:val="BodyText"/>
        <w:spacing w:before="1"/>
        <w:rPr>
          <w:sz w:val="9"/>
        </w:rPr>
      </w:pPr>
      <w:r>
        <w:rPr/>
        <w:pict>
          <v:line style="position:absolute;mso-position-horizontal-relative:page;mso-position-vertical-relative:paragraph;z-index:1072;mso-wrap-distance-left:0;mso-wrap-distance-right:0" from="82.799004pt,7.567711pt" to="222.958004pt,7.567711pt" stroked="true" strokeweight=".719pt" strokecolor="#000000">
            <w10:wrap type="topAndBottom"/>
          </v:line>
        </w:pict>
      </w:r>
    </w:p>
    <w:p>
      <w:pPr>
        <w:spacing w:line="247" w:lineRule="auto" w:before="41"/>
        <w:ind w:left="115" w:right="105" w:firstLine="0"/>
        <w:jc w:val="both"/>
        <w:rPr>
          <w:sz w:val="19"/>
        </w:rPr>
      </w:pPr>
      <w:r>
        <w:rPr>
          <w:w w:val="105"/>
          <w:position w:val="10"/>
          <w:sz w:val="12"/>
        </w:rPr>
        <w:t>2 </w:t>
      </w:r>
      <w:r>
        <w:rPr>
          <w:w w:val="105"/>
          <w:sz w:val="19"/>
        </w:rPr>
        <w:t>De acuerdo </w:t>
      </w:r>
      <w:r>
        <w:rPr>
          <w:spacing w:val="-3"/>
          <w:w w:val="105"/>
          <w:sz w:val="19"/>
        </w:rPr>
        <w:t>con </w:t>
      </w:r>
      <w:r>
        <w:rPr>
          <w:w w:val="105"/>
          <w:sz w:val="19"/>
        </w:rPr>
        <w:t>Roth (2006) para que el análisis de las políticas públicas llegue a ser la nueva ciencia</w:t>
      </w:r>
      <w:r>
        <w:rPr>
          <w:spacing w:val="-12"/>
          <w:w w:val="105"/>
          <w:sz w:val="19"/>
        </w:rPr>
        <w:t> </w:t>
      </w:r>
      <w:r>
        <w:rPr>
          <w:w w:val="105"/>
          <w:sz w:val="19"/>
        </w:rPr>
        <w:t>capaz</w:t>
      </w:r>
      <w:r>
        <w:rPr>
          <w:spacing w:val="-9"/>
          <w:w w:val="105"/>
          <w:sz w:val="19"/>
        </w:rPr>
        <w:t> </w:t>
      </w:r>
      <w:r>
        <w:rPr>
          <w:w w:val="105"/>
          <w:sz w:val="19"/>
        </w:rPr>
        <w:t>de</w:t>
      </w:r>
      <w:r>
        <w:rPr>
          <w:spacing w:val="-12"/>
          <w:w w:val="105"/>
          <w:sz w:val="19"/>
        </w:rPr>
        <w:t> </w:t>
      </w:r>
      <w:r>
        <w:rPr>
          <w:w w:val="105"/>
          <w:sz w:val="19"/>
        </w:rPr>
        <w:t>abordar</w:t>
      </w:r>
      <w:r>
        <w:rPr>
          <w:spacing w:val="-12"/>
          <w:w w:val="105"/>
          <w:sz w:val="19"/>
        </w:rPr>
        <w:t> </w:t>
      </w:r>
      <w:r>
        <w:rPr>
          <w:w w:val="105"/>
          <w:sz w:val="19"/>
        </w:rPr>
        <w:t>a</w:t>
      </w:r>
      <w:r>
        <w:rPr>
          <w:spacing w:val="-9"/>
          <w:w w:val="105"/>
          <w:sz w:val="19"/>
        </w:rPr>
        <w:t> </w:t>
      </w:r>
      <w:r>
        <w:rPr>
          <w:w w:val="105"/>
          <w:sz w:val="19"/>
        </w:rPr>
        <w:t>la</w:t>
      </w:r>
      <w:r>
        <w:rPr>
          <w:spacing w:val="-12"/>
          <w:w w:val="105"/>
          <w:sz w:val="19"/>
        </w:rPr>
        <w:t> </w:t>
      </w:r>
      <w:r>
        <w:rPr>
          <w:w w:val="105"/>
          <w:sz w:val="19"/>
        </w:rPr>
        <w:t>sociedad</w:t>
      </w:r>
      <w:r>
        <w:rPr>
          <w:spacing w:val="-12"/>
          <w:w w:val="105"/>
          <w:sz w:val="19"/>
        </w:rPr>
        <w:t> </w:t>
      </w:r>
      <w:r>
        <w:rPr>
          <w:w w:val="105"/>
          <w:sz w:val="19"/>
        </w:rPr>
        <w:t>globalizada,</w:t>
      </w:r>
      <w:r>
        <w:rPr>
          <w:spacing w:val="-12"/>
          <w:w w:val="105"/>
          <w:sz w:val="19"/>
        </w:rPr>
        <w:t> </w:t>
      </w:r>
      <w:r>
        <w:rPr>
          <w:w w:val="105"/>
          <w:sz w:val="19"/>
        </w:rPr>
        <w:t>se</w:t>
      </w:r>
      <w:r>
        <w:rPr>
          <w:spacing w:val="-12"/>
          <w:w w:val="105"/>
          <w:sz w:val="19"/>
        </w:rPr>
        <w:t> </w:t>
      </w:r>
      <w:r>
        <w:rPr>
          <w:w w:val="105"/>
          <w:sz w:val="19"/>
        </w:rPr>
        <w:t>requiere</w:t>
      </w:r>
      <w:r>
        <w:rPr>
          <w:spacing w:val="-12"/>
          <w:w w:val="105"/>
          <w:sz w:val="19"/>
        </w:rPr>
        <w:t> </w:t>
      </w:r>
      <w:r>
        <w:rPr>
          <w:w w:val="105"/>
          <w:sz w:val="19"/>
        </w:rPr>
        <w:t>contar</w:t>
      </w:r>
      <w:r>
        <w:rPr>
          <w:spacing w:val="-17"/>
          <w:w w:val="105"/>
          <w:sz w:val="19"/>
        </w:rPr>
        <w:t> </w:t>
      </w:r>
      <w:r>
        <w:rPr>
          <w:w w:val="105"/>
          <w:sz w:val="19"/>
        </w:rPr>
        <w:t>con</w:t>
      </w:r>
      <w:r>
        <w:rPr>
          <w:spacing w:val="-12"/>
          <w:w w:val="105"/>
          <w:sz w:val="19"/>
        </w:rPr>
        <w:t> </w:t>
      </w:r>
      <w:r>
        <w:rPr>
          <w:w w:val="105"/>
          <w:sz w:val="19"/>
        </w:rPr>
        <w:t>las</w:t>
      </w:r>
      <w:r>
        <w:rPr>
          <w:spacing w:val="-12"/>
          <w:w w:val="105"/>
          <w:sz w:val="19"/>
        </w:rPr>
        <w:t> </w:t>
      </w:r>
      <w:r>
        <w:rPr>
          <w:w w:val="105"/>
          <w:sz w:val="19"/>
        </w:rPr>
        <w:t>herramientas</w:t>
      </w:r>
      <w:r>
        <w:rPr>
          <w:spacing w:val="-12"/>
          <w:w w:val="105"/>
          <w:sz w:val="19"/>
        </w:rPr>
        <w:t> </w:t>
      </w:r>
      <w:r>
        <w:rPr>
          <w:w w:val="105"/>
          <w:sz w:val="19"/>
        </w:rPr>
        <w:t>que</w:t>
      </w:r>
      <w:r>
        <w:rPr>
          <w:spacing w:val="-12"/>
          <w:w w:val="105"/>
          <w:sz w:val="19"/>
        </w:rPr>
        <w:t> </w:t>
      </w:r>
      <w:r>
        <w:rPr>
          <w:w w:val="105"/>
          <w:sz w:val="19"/>
        </w:rPr>
        <w:t>le faciliten </w:t>
      </w:r>
      <w:r>
        <w:rPr>
          <w:spacing w:val="2"/>
          <w:w w:val="105"/>
          <w:sz w:val="19"/>
        </w:rPr>
        <w:t>al </w:t>
      </w:r>
      <w:r>
        <w:rPr>
          <w:w w:val="105"/>
          <w:sz w:val="19"/>
        </w:rPr>
        <w:t>Estado y </w:t>
      </w:r>
      <w:r>
        <w:rPr>
          <w:spacing w:val="-3"/>
          <w:w w:val="105"/>
          <w:sz w:val="19"/>
        </w:rPr>
        <w:t>la </w:t>
      </w:r>
      <w:r>
        <w:rPr>
          <w:w w:val="105"/>
          <w:sz w:val="19"/>
        </w:rPr>
        <w:t>sociedad asumir nuevos roles. El análisis de las políticas públicas </w:t>
      </w:r>
      <w:r>
        <w:rPr>
          <w:spacing w:val="-3"/>
          <w:w w:val="105"/>
          <w:sz w:val="19"/>
        </w:rPr>
        <w:t>se </w:t>
      </w:r>
      <w:r>
        <w:rPr>
          <w:w w:val="105"/>
          <w:sz w:val="19"/>
        </w:rPr>
        <w:t>vislumbra</w:t>
      </w:r>
      <w:r>
        <w:rPr>
          <w:spacing w:val="-15"/>
          <w:w w:val="105"/>
          <w:sz w:val="19"/>
        </w:rPr>
        <w:t> </w:t>
      </w:r>
      <w:r>
        <w:rPr>
          <w:w w:val="105"/>
          <w:sz w:val="19"/>
        </w:rPr>
        <w:t>como</w:t>
      </w:r>
      <w:r>
        <w:rPr>
          <w:spacing w:val="-20"/>
          <w:w w:val="105"/>
          <w:sz w:val="19"/>
        </w:rPr>
        <w:t> </w:t>
      </w:r>
      <w:r>
        <w:rPr>
          <w:w w:val="105"/>
          <w:sz w:val="19"/>
        </w:rPr>
        <w:t>la</w:t>
      </w:r>
      <w:r>
        <w:rPr>
          <w:spacing w:val="-20"/>
          <w:w w:val="105"/>
          <w:sz w:val="19"/>
        </w:rPr>
        <w:t> </w:t>
      </w:r>
      <w:r>
        <w:rPr>
          <w:w w:val="105"/>
          <w:sz w:val="19"/>
        </w:rPr>
        <w:t>ciencia</w:t>
      </w:r>
      <w:r>
        <w:rPr>
          <w:spacing w:val="-20"/>
          <w:w w:val="105"/>
          <w:sz w:val="19"/>
        </w:rPr>
        <w:t> </w:t>
      </w:r>
      <w:r>
        <w:rPr>
          <w:w w:val="105"/>
          <w:sz w:val="19"/>
        </w:rPr>
        <w:t>capaz</w:t>
      </w:r>
      <w:r>
        <w:rPr>
          <w:spacing w:val="-20"/>
          <w:w w:val="105"/>
          <w:sz w:val="19"/>
        </w:rPr>
        <w:t> </w:t>
      </w:r>
      <w:r>
        <w:rPr>
          <w:spacing w:val="2"/>
          <w:w w:val="105"/>
          <w:sz w:val="19"/>
        </w:rPr>
        <w:t>de</w:t>
      </w:r>
      <w:r>
        <w:rPr>
          <w:spacing w:val="-20"/>
          <w:w w:val="105"/>
          <w:sz w:val="19"/>
        </w:rPr>
        <w:t> </w:t>
      </w:r>
      <w:r>
        <w:rPr>
          <w:w w:val="105"/>
          <w:sz w:val="19"/>
        </w:rPr>
        <w:t>dar</w:t>
      </w:r>
      <w:r>
        <w:rPr>
          <w:spacing w:val="-22"/>
          <w:w w:val="105"/>
          <w:sz w:val="19"/>
        </w:rPr>
        <w:t> </w:t>
      </w:r>
      <w:r>
        <w:rPr>
          <w:w w:val="105"/>
          <w:sz w:val="19"/>
        </w:rPr>
        <w:t>respuestas</w:t>
      </w:r>
      <w:r>
        <w:rPr>
          <w:spacing w:val="-20"/>
          <w:w w:val="105"/>
          <w:sz w:val="19"/>
        </w:rPr>
        <w:t> </w:t>
      </w:r>
      <w:r>
        <w:rPr>
          <w:w w:val="105"/>
          <w:sz w:val="19"/>
        </w:rPr>
        <w:t>acertadas</w:t>
      </w:r>
      <w:r>
        <w:rPr>
          <w:spacing w:val="-20"/>
          <w:w w:val="105"/>
          <w:sz w:val="19"/>
        </w:rPr>
        <w:t> </w:t>
      </w:r>
      <w:r>
        <w:rPr>
          <w:w w:val="105"/>
          <w:sz w:val="19"/>
        </w:rPr>
        <w:t>a</w:t>
      </w:r>
      <w:r>
        <w:rPr>
          <w:spacing w:val="-20"/>
          <w:w w:val="105"/>
          <w:sz w:val="19"/>
        </w:rPr>
        <w:t> </w:t>
      </w:r>
      <w:r>
        <w:rPr>
          <w:w w:val="105"/>
          <w:sz w:val="19"/>
        </w:rPr>
        <w:t>la</w:t>
      </w:r>
      <w:r>
        <w:rPr>
          <w:spacing w:val="-18"/>
          <w:w w:val="105"/>
          <w:sz w:val="19"/>
        </w:rPr>
        <w:t> </w:t>
      </w:r>
      <w:r>
        <w:rPr>
          <w:w w:val="105"/>
          <w:sz w:val="19"/>
        </w:rPr>
        <w:t>sociedad</w:t>
      </w:r>
      <w:r>
        <w:rPr>
          <w:spacing w:val="-20"/>
          <w:w w:val="105"/>
          <w:sz w:val="19"/>
        </w:rPr>
        <w:t> </w:t>
      </w:r>
      <w:r>
        <w:rPr>
          <w:w w:val="105"/>
          <w:sz w:val="19"/>
        </w:rPr>
        <w:t>globalizada.</w:t>
      </w:r>
    </w:p>
    <w:p>
      <w:pPr>
        <w:spacing w:after="0" w:line="247" w:lineRule="auto"/>
        <w:jc w:val="both"/>
        <w:rPr>
          <w:sz w:val="19"/>
        </w:rPr>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7"/>
        <w:jc w:val="both"/>
      </w:pPr>
      <w:r>
        <w:rPr/>
        <w:t>burocracia no son suficientes para que una política pública se convierta en una solución: “decidir racionalmente, no es suficiente; las decisiones deben llevarse a    </w:t>
      </w:r>
      <w:r>
        <w:rPr>
          <w:spacing w:val="-5"/>
        </w:rPr>
        <w:t>la </w:t>
      </w:r>
      <w:r>
        <w:rPr/>
        <w:t>práctica” para su adecuada</w:t>
      </w:r>
      <w:r>
        <w:rPr>
          <w:spacing w:val="56"/>
        </w:rPr>
        <w:t> </w:t>
      </w:r>
      <w:r>
        <w:rPr/>
        <w:t>valoración.</w:t>
      </w:r>
    </w:p>
    <w:p>
      <w:pPr>
        <w:pStyle w:val="BodyText"/>
        <w:spacing w:line="364" w:lineRule="auto" w:before="5"/>
        <w:ind w:left="115" w:right="105" w:firstLine="686"/>
        <w:jc w:val="both"/>
      </w:pPr>
      <w:r>
        <w:rPr/>
        <w:t>De cualquier forma, señala Majone, es fundamental establecer parámetros para estudiar las políticas públicas. Al respecto establece que la concepción del análisis como artesanía proporciona categorías (datos, información, herramientas, evidencias, argumento) que son importantes para cualquier tipo de enfoque analítico, sea retrospectivo, prescriptivo o argumentativo, entre otros. (Majone: 1978).</w:t>
      </w:r>
    </w:p>
    <w:p>
      <w:pPr>
        <w:pStyle w:val="BodyText"/>
        <w:spacing w:line="364" w:lineRule="auto" w:before="5"/>
        <w:ind w:left="115" w:right="107" w:firstLine="686"/>
        <w:jc w:val="both"/>
      </w:pPr>
      <w:r>
        <w:rPr/>
        <w:t>En 1986 Sabatier ofreció una síntesis </w:t>
      </w:r>
      <w:r>
        <w:rPr>
          <w:spacing w:val="-3"/>
        </w:rPr>
        <w:t>de </w:t>
      </w:r>
      <w:r>
        <w:rPr/>
        <w:t>los dos enfoques a lo que él </w:t>
      </w:r>
      <w:r>
        <w:rPr>
          <w:spacing w:val="-3"/>
        </w:rPr>
        <w:t>llama </w:t>
      </w:r>
      <w:r>
        <w:rPr/>
        <w:t>“sociedades industriales modernas”. Sabatier argumentó que para entenderlas mejor, </w:t>
      </w:r>
      <w:r>
        <w:rPr>
          <w:spacing w:val="4"/>
        </w:rPr>
        <w:t>se </w:t>
      </w:r>
      <w:r>
        <w:rPr/>
        <w:t>deben estudiar las políticas por periodos más largos de  tiempo.  Su modelo de análisis denominado </w:t>
      </w:r>
      <w:r>
        <w:rPr>
          <w:i/>
        </w:rPr>
        <w:t>Advocacy Coalition Framework </w:t>
      </w:r>
      <w:r>
        <w:rPr/>
        <w:t>(ACF) intenta  buscar alternativas para ubicar las etapas heurísticas, sintetizar lo mejor de </w:t>
      </w:r>
      <w:r>
        <w:rPr>
          <w:spacing w:val="-2"/>
        </w:rPr>
        <w:t>los </w:t>
      </w:r>
      <w:r>
        <w:rPr/>
        <w:t>enfoques top-down y bottom-up (de abajo hacia arriba y de arriba hacia abajo) y producir una teoría del proceso de política o “policy</w:t>
      </w:r>
      <w:r>
        <w:rPr>
          <w:spacing w:val="62"/>
        </w:rPr>
        <w:t> </w:t>
      </w:r>
      <w:r>
        <w:rPr/>
        <w:t>process”.</w:t>
      </w:r>
    </w:p>
    <w:p>
      <w:pPr>
        <w:pStyle w:val="BodyText"/>
        <w:spacing w:line="364" w:lineRule="auto" w:before="5"/>
        <w:ind w:left="115" w:right="107" w:firstLine="686"/>
        <w:jc w:val="both"/>
      </w:pPr>
      <w:r>
        <w:rPr/>
        <w:t>Este enfoque, promovido como una teoría causal del proceso de </w:t>
      </w:r>
      <w:r>
        <w:rPr>
          <w:spacing w:val="-3"/>
        </w:rPr>
        <w:t>las  </w:t>
      </w:r>
      <w:r>
        <w:rPr/>
        <w:t>políticas, está basado en cinco premisas: las teorías del proceso de políticas o del cambio de políticas necesitan mencionar el rol de </w:t>
      </w:r>
      <w:r>
        <w:rPr>
          <w:spacing w:val="-5"/>
        </w:rPr>
        <w:t>la </w:t>
      </w:r>
      <w:r>
        <w:rPr/>
        <w:t>información técnica contenido en las diferentes soluciones; el análisis requiere una perspectiva de largo plazo; </w:t>
      </w:r>
      <w:r>
        <w:rPr>
          <w:spacing w:val="-5"/>
        </w:rPr>
        <w:t>la </w:t>
      </w:r>
      <w:r>
        <w:rPr/>
        <w:t>unidad de análisis no es una organización no gubernamental o programa  específico, sino un subsistema en el cual una variedad de actores de organizaciones públicas y privadas están interesadas en el asunto;  </w:t>
      </w:r>
      <w:r>
        <w:rPr>
          <w:spacing w:val="-3"/>
        </w:rPr>
        <w:t>los  </w:t>
      </w:r>
      <w:r>
        <w:rPr/>
        <w:t>subsistemas de las políticas involucran actores de diferentes niveles de gobierno; las políticas públicas y programas involucran teorías </w:t>
      </w:r>
      <w:r>
        <w:rPr>
          <w:spacing w:val="-2"/>
        </w:rPr>
        <w:t>implícitas </w:t>
      </w:r>
      <w:r>
        <w:rPr/>
        <w:t>acerca </w:t>
      </w:r>
      <w:r>
        <w:rPr>
          <w:spacing w:val="-3"/>
        </w:rPr>
        <w:t>de </w:t>
      </w:r>
      <w:r>
        <w:rPr/>
        <w:t>cómo alcanzar sus objetivos (Revuelta:</w:t>
      </w:r>
      <w:r>
        <w:rPr>
          <w:spacing w:val="39"/>
        </w:rPr>
        <w:t> </w:t>
      </w:r>
      <w:r>
        <w:rPr/>
        <w:t>2007).</w:t>
      </w:r>
    </w:p>
    <w:p>
      <w:pPr>
        <w:pStyle w:val="BodyText"/>
        <w:spacing w:line="364" w:lineRule="auto" w:before="10"/>
        <w:ind w:left="115" w:right="102" w:firstLine="686"/>
        <w:jc w:val="both"/>
      </w:pPr>
      <w:r>
        <w:rPr/>
        <w:t>De acuerdo con Eugene Bardach, el análisis de políticas públicas no es </w:t>
      </w:r>
      <w:r>
        <w:rPr>
          <w:spacing w:val="-3"/>
        </w:rPr>
        <w:t>un </w:t>
      </w:r>
      <w:r>
        <w:rPr/>
        <w:t>conocimiento o modelo específico, </w:t>
      </w:r>
      <w:r>
        <w:rPr>
          <w:spacing w:val="-4"/>
        </w:rPr>
        <w:t>es</w:t>
      </w:r>
      <w:r>
        <w:rPr>
          <w:spacing w:val="55"/>
        </w:rPr>
        <w:t> </w:t>
      </w:r>
      <w:r>
        <w:rPr/>
        <w:t>la manera en como utilizamos el conocimiento de otras ciencias para resolver, justa y eficientemente, problemas concretos de política pública (Bardach, 2008: 6). En este sentido, el  autor  menciona que </w:t>
      </w:r>
      <w:r>
        <w:rPr>
          <w:spacing w:val="-5"/>
        </w:rPr>
        <w:t>la </w:t>
      </w:r>
      <w:r>
        <w:rPr/>
        <w:t>solución de problemas públicos es   </w:t>
      </w:r>
      <w:r>
        <w:rPr>
          <w:spacing w:val="15"/>
        </w:rPr>
        <w:t> </w:t>
      </w:r>
      <w:r>
        <w:rPr/>
        <w:t>un esfuerzo de prueba y error</w:t>
      </w:r>
    </w:p>
    <w:p>
      <w:pPr>
        <w:spacing w:after="0" w:line="364" w:lineRule="auto"/>
        <w:jc w:val="both"/>
        <w:sectPr>
          <w:footerReference w:type="default" r:id="rId10"/>
          <w:pgSz w:w="11910" w:h="16840"/>
          <w:pgMar w:footer="1457" w:header="0" w:top="1580" w:bottom="1640" w:left="1540" w:right="1540"/>
        </w:sectPr>
      </w:pPr>
    </w:p>
    <w:p>
      <w:pPr>
        <w:pStyle w:val="BodyText"/>
        <w:rPr>
          <w:sz w:val="20"/>
        </w:rPr>
      </w:pPr>
    </w:p>
    <w:p>
      <w:pPr>
        <w:pStyle w:val="BodyText"/>
        <w:spacing w:before="2"/>
        <w:rPr>
          <w:sz w:val="16"/>
        </w:rPr>
      </w:pPr>
    </w:p>
    <w:p>
      <w:pPr>
        <w:pStyle w:val="BodyText"/>
        <w:spacing w:line="369" w:lineRule="auto" w:before="74"/>
        <w:ind w:left="115" w:right="191"/>
      </w:pPr>
      <w:r>
        <w:rPr/>
        <w:t>y no un programa comprehensivo y contundente de soluciones (Bardach, 2008:  </w:t>
      </w:r>
      <w:r>
        <w:rPr>
          <w:spacing w:val="-3"/>
        </w:rPr>
        <w:t>6,7).</w:t>
      </w:r>
    </w:p>
    <w:p>
      <w:pPr>
        <w:pStyle w:val="BodyText"/>
        <w:spacing w:line="364" w:lineRule="auto"/>
        <w:ind w:left="115" w:right="104" w:firstLine="686"/>
        <w:jc w:val="both"/>
      </w:pPr>
      <w:r>
        <w:rPr/>
        <w:t>Para ponderar </w:t>
      </w:r>
      <w:r>
        <w:rPr>
          <w:spacing w:val="-3"/>
        </w:rPr>
        <w:t>los </w:t>
      </w:r>
      <w:r>
        <w:rPr/>
        <w:t>criterios evaluativos utilizados en el análisis de políticas debe maximizarse el bienestar de las personas tal como lo interpretan los propios ciudadanos. </w:t>
      </w:r>
      <w:r>
        <w:rPr>
          <w:spacing w:val="3"/>
        </w:rPr>
        <w:t>En </w:t>
      </w:r>
      <w:r>
        <w:rPr/>
        <w:t>términos económicos “maximice </w:t>
      </w:r>
      <w:r>
        <w:rPr>
          <w:spacing w:val="-5"/>
        </w:rPr>
        <w:t>la </w:t>
      </w:r>
      <w:r>
        <w:rPr/>
        <w:t>suma </w:t>
      </w:r>
      <w:r>
        <w:rPr>
          <w:spacing w:val="3"/>
        </w:rPr>
        <w:t>de </w:t>
      </w:r>
      <w:r>
        <w:rPr/>
        <w:t>las utilidades individuales” o “maximice los beneficios netos”. Este es el enfoque típico del  análisis de “costo-efectividad” y de “costo-beneficio”. Se le puede llamar criterio de “eficiencia”.</w:t>
      </w:r>
    </w:p>
    <w:p>
      <w:pPr>
        <w:pStyle w:val="BodyText"/>
        <w:spacing w:line="364" w:lineRule="auto" w:before="5"/>
        <w:ind w:left="115" w:right="111" w:firstLine="686"/>
        <w:jc w:val="both"/>
      </w:pPr>
      <w:r>
        <w:rPr/>
        <w:t>A pesar de que el término “eficiencia” tiene un tono antiséptico, tecnocrático  y elitista, </w:t>
      </w:r>
      <w:r>
        <w:rPr>
          <w:spacing w:val="-3"/>
        </w:rPr>
        <w:t>la </w:t>
      </w:r>
      <w:r>
        <w:rPr/>
        <w:t>insistencia aquí de que la “utilidad” debe ser entendida desde </w:t>
      </w:r>
      <w:r>
        <w:rPr>
          <w:spacing w:val="-3"/>
        </w:rPr>
        <w:t>la </w:t>
      </w:r>
      <w:r>
        <w:rPr/>
        <w:t>perspectiva que tienen </w:t>
      </w:r>
      <w:r>
        <w:rPr>
          <w:spacing w:val="-4"/>
        </w:rPr>
        <w:t>los </w:t>
      </w:r>
      <w:r>
        <w:rPr/>
        <w:t>ciudadanos de su propio bienestar es </w:t>
      </w:r>
      <w:r>
        <w:rPr>
          <w:spacing w:val="-3"/>
        </w:rPr>
        <w:t>una </w:t>
      </w:r>
      <w:r>
        <w:rPr/>
        <w:t>visión altamente</w:t>
      </w:r>
      <w:r>
        <w:rPr>
          <w:spacing w:val="22"/>
        </w:rPr>
        <w:t> </w:t>
      </w:r>
      <w:r>
        <w:rPr/>
        <w:t>“democrática”.</w:t>
      </w:r>
    </w:p>
    <w:p>
      <w:pPr>
        <w:pStyle w:val="BodyText"/>
        <w:spacing w:line="367" w:lineRule="auto"/>
        <w:ind w:left="115" w:right="109" w:firstLine="686"/>
        <w:jc w:val="both"/>
      </w:pPr>
      <w:r>
        <w:rPr/>
        <w:t>Aunque </w:t>
      </w:r>
      <w:r>
        <w:rPr>
          <w:spacing w:val="-3"/>
        </w:rPr>
        <w:t>los </w:t>
      </w:r>
      <w:r>
        <w:rPr/>
        <w:t>análisis “costo-efectividad”  (CE)  y  “costo-beneficio”  (CB) puedan parecer similares y con frecuencia vayan acompañados  uno del otro, no  son iguales y sus usos pueden ser muy diferentes. Es cierto que ambos conceptualizan </w:t>
      </w:r>
      <w:r>
        <w:rPr>
          <w:spacing w:val="2"/>
        </w:rPr>
        <w:t>un </w:t>
      </w:r>
      <w:r>
        <w:rPr/>
        <w:t>conjunto de beneficios  acumulados  por  ciudadanos individuales, que </w:t>
      </w:r>
      <w:r>
        <w:rPr>
          <w:spacing w:val="-3"/>
        </w:rPr>
        <w:t>es </w:t>
      </w:r>
      <w:r>
        <w:rPr/>
        <w:t>evaluado (por los propios ciudadanos) en términos de su “utilidad”. Ambos consideran problema de la política como un tipo de relación de producción entre recursos y resultados</w:t>
      </w:r>
      <w:r>
        <w:rPr>
          <w:spacing w:val="60"/>
        </w:rPr>
        <w:t> </w:t>
      </w:r>
      <w:r>
        <w:rPr/>
        <w:t>benéficos.</w:t>
      </w:r>
    </w:p>
    <w:p>
      <w:pPr>
        <w:pStyle w:val="BodyText"/>
        <w:spacing w:line="364" w:lineRule="auto"/>
        <w:ind w:left="115" w:right="106" w:firstLine="686"/>
        <w:jc w:val="both"/>
      </w:pPr>
      <w:r>
        <w:rPr>
          <w:spacing w:val="-3"/>
        </w:rPr>
        <w:t>Sin </w:t>
      </w:r>
      <w:r>
        <w:rPr/>
        <w:t>embargo, el análisis CE considera a uno u otro de ellos (recursos o resultados) como “fijo” o “propuesto”; el análisis intenta entonces encontrar las mejores formas para manipularlos (ya sea, maximizar según el  resultado propuesto). El análisis CB, por otro lado, permite que ambos factores, recursos y resultados, se consideren como variables proporcionadas.  Por  consiguiente,  es más complicado que el análisis  CE; </w:t>
      </w:r>
      <w:r>
        <w:rPr>
          <w:spacing w:val="-3"/>
        </w:rPr>
        <w:t>pues  </w:t>
      </w:r>
      <w:r>
        <w:rPr/>
        <w:t>aunque tanto CB como CE tienen que  ver con </w:t>
      </w:r>
      <w:r>
        <w:rPr>
          <w:spacing w:val="-3"/>
        </w:rPr>
        <w:t>la </w:t>
      </w:r>
      <w:r>
        <w:rPr/>
        <w:t>eficiencia productiva del programa o proyecto, </w:t>
      </w:r>
      <w:r>
        <w:rPr>
          <w:spacing w:val="-3"/>
        </w:rPr>
        <w:t>CB </w:t>
      </w:r>
      <w:r>
        <w:rPr/>
        <w:t>tiene también que ver con su escala (Bardach, 2008:</w:t>
      </w:r>
      <w:r>
        <w:rPr>
          <w:spacing w:val="37"/>
        </w:rPr>
        <w:t> </w:t>
      </w:r>
      <w:r>
        <w:rPr/>
        <w:t>39).</w:t>
      </w:r>
    </w:p>
    <w:p>
      <w:pPr>
        <w:pStyle w:val="BodyText"/>
        <w:spacing w:line="364" w:lineRule="auto" w:before="5"/>
        <w:ind w:left="115" w:right="110" w:firstLine="686"/>
        <w:jc w:val="both"/>
      </w:pPr>
      <w:r>
        <w:rPr/>
        <w:t>Igualmente cuando hay valores de por medio, como sucede en la selección de criterios, debemos considerar cómo ponderar los valores opuestos. Hay dos enfoques generales de este problema. Uno de los enfoques consiste simplemente en  dejar  que  los  procesos  gubernamentales  y  políticos  existentes  efectúen   la</w:t>
      </w:r>
    </w:p>
    <w:p>
      <w:pPr>
        <w:spacing w:after="0" w:line="364" w:lineRule="auto"/>
        <w:jc w:val="both"/>
        <w:sectPr>
          <w:footerReference w:type="default" r:id="rId11"/>
          <w:pgSz w:w="11910" w:h="16840"/>
          <w:pgMar w:footer="1457" w:header="0" w:top="1580" w:bottom="1640" w:left="1540" w:right="1540"/>
          <w:pgNumType w:start="21"/>
        </w:sectPr>
      </w:pPr>
    </w:p>
    <w:p>
      <w:pPr>
        <w:pStyle w:val="BodyText"/>
        <w:rPr>
          <w:sz w:val="20"/>
        </w:rPr>
      </w:pPr>
    </w:p>
    <w:p>
      <w:pPr>
        <w:pStyle w:val="BodyText"/>
        <w:spacing w:before="2"/>
        <w:rPr>
          <w:sz w:val="16"/>
        </w:rPr>
      </w:pPr>
    </w:p>
    <w:p>
      <w:pPr>
        <w:pStyle w:val="BodyText"/>
        <w:spacing w:line="364" w:lineRule="auto" w:before="74"/>
        <w:ind w:left="115" w:right="109"/>
        <w:jc w:val="both"/>
      </w:pPr>
      <w:r>
        <w:rPr/>
        <w:t>ponderación. Este enfoque por </w:t>
      </w:r>
      <w:r>
        <w:rPr>
          <w:spacing w:val="-4"/>
        </w:rPr>
        <w:t>lo </w:t>
      </w:r>
      <w:r>
        <w:rPr/>
        <w:t>general </w:t>
      </w:r>
      <w:r>
        <w:rPr>
          <w:spacing w:val="-3"/>
        </w:rPr>
        <w:t>le  </w:t>
      </w:r>
      <w:r>
        <w:rPr/>
        <w:t>dará primacía al empleador o cliente  del analista y, por consiguiente, estará influido por aquellas partes de </w:t>
      </w:r>
      <w:r>
        <w:rPr>
          <w:spacing w:val="-4"/>
        </w:rPr>
        <w:t>la </w:t>
      </w:r>
      <w:r>
        <w:rPr/>
        <w:t>esfera en cuestión que son importantes para el empleador o cliente del </w:t>
      </w:r>
      <w:r>
        <w:rPr>
          <w:spacing w:val="3"/>
        </w:rPr>
        <w:t> </w:t>
      </w:r>
      <w:r>
        <w:rPr/>
        <w:t>analista.</w:t>
      </w:r>
    </w:p>
    <w:p>
      <w:pPr>
        <w:pStyle w:val="BodyText"/>
        <w:spacing w:line="364" w:lineRule="auto" w:before="5"/>
        <w:ind w:left="115" w:right="105" w:firstLine="686"/>
        <w:jc w:val="both"/>
      </w:pPr>
      <w:r>
        <w:rPr/>
        <w:t>En el segundo enfoque, el analista modifica por sí mismo –aunque no reemplaza- la ponderación acordada por el empleador o cliente considerando una determinada concepción filosófica o política. La justificación típica para este enfoque es que ciertos intereses, y quizás  filosofías, están subrepresentados* en   el gobierno y en la política y que el analista está en mejor posición que muchos otros participantes para “ver”, “entender” o “apreciar” este problema de subrepresentación </w:t>
      </w:r>
      <w:r>
        <w:rPr>
          <w:spacing w:val="-3"/>
        </w:rPr>
        <w:t>y, </w:t>
      </w:r>
      <w:r>
        <w:rPr/>
        <w:t>por tanto, está obligado, o por </w:t>
      </w:r>
      <w:r>
        <w:rPr>
          <w:spacing w:val="-4"/>
        </w:rPr>
        <w:t>lo </w:t>
      </w:r>
      <w:r>
        <w:rPr/>
        <w:t>menos en el derecho, de equilibrar </w:t>
      </w:r>
      <w:r>
        <w:rPr>
          <w:spacing w:val="-6"/>
        </w:rPr>
        <w:t>la </w:t>
      </w:r>
      <w:r>
        <w:rPr/>
        <w:t>balanza en nombre de la equidad.” Es decir, representar a todas </w:t>
      </w:r>
      <w:r>
        <w:rPr>
          <w:spacing w:val="-2"/>
        </w:rPr>
        <w:t>las </w:t>
      </w:r>
      <w:r>
        <w:rPr/>
        <w:t>posturas y filosofías por igual (Bardach, 2008:</w:t>
      </w:r>
      <w:r>
        <w:rPr>
          <w:spacing w:val="48"/>
        </w:rPr>
        <w:t> </w:t>
      </w:r>
      <w:r>
        <w:rPr/>
        <w:t>42).</w:t>
      </w:r>
    </w:p>
    <w:p>
      <w:pPr>
        <w:pStyle w:val="BodyText"/>
        <w:spacing w:line="367" w:lineRule="auto"/>
        <w:ind w:left="115" w:right="108" w:firstLine="686"/>
        <w:jc w:val="both"/>
      </w:pPr>
      <w:r>
        <w:rPr/>
        <w:t>Una variable de este enfoque </w:t>
      </w:r>
      <w:r>
        <w:rPr>
          <w:spacing w:val="-3"/>
        </w:rPr>
        <w:t>incluye </w:t>
      </w:r>
      <w:r>
        <w:rPr/>
        <w:t>la idea de un “proceso educativo”. Dependiendo de las circunstancias, el analista debe animar a los actores políticos importantes –incluido tal vez su jefe o su cliente principal- a reconsiderar  sus criterios evaluativos a la luz de hechos o argumentos con </w:t>
      </w:r>
      <w:r>
        <w:rPr>
          <w:spacing w:val="-3"/>
        </w:rPr>
        <w:t>los </w:t>
      </w:r>
      <w:r>
        <w:rPr/>
        <w:t>que el analista podría llamar </w:t>
      </w:r>
      <w:r>
        <w:rPr>
          <w:spacing w:val="2"/>
        </w:rPr>
        <w:t>su </w:t>
      </w:r>
      <w:r>
        <w:rPr/>
        <w:t>atención. </w:t>
      </w:r>
      <w:r>
        <w:rPr>
          <w:spacing w:val="3"/>
        </w:rPr>
        <w:t>En </w:t>
      </w:r>
      <w:r>
        <w:rPr/>
        <w:t>este caso el analista es responsable de abrir el diálogo, haciendo quizá un llamado a </w:t>
      </w:r>
      <w:r>
        <w:rPr>
          <w:spacing w:val="-3"/>
        </w:rPr>
        <w:t>la </w:t>
      </w:r>
      <w:r>
        <w:rPr/>
        <w:t>razón y a la mesura, pero luego debe permitir que   el proceso político continúe (Bardach, 2008:</w:t>
      </w:r>
      <w:r>
        <w:rPr>
          <w:spacing w:val="40"/>
        </w:rPr>
        <w:t> </w:t>
      </w:r>
      <w:r>
        <w:rPr/>
        <w:t>43).</w:t>
      </w:r>
    </w:p>
    <w:p>
      <w:pPr>
        <w:pStyle w:val="BodyText"/>
        <w:rPr>
          <w:sz w:val="22"/>
        </w:rPr>
      </w:pPr>
    </w:p>
    <w:p>
      <w:pPr>
        <w:pStyle w:val="Heading3"/>
        <w:numPr>
          <w:ilvl w:val="2"/>
          <w:numId w:val="6"/>
        </w:numPr>
        <w:tabs>
          <w:tab w:pos="702" w:val="left" w:leader="none"/>
        </w:tabs>
        <w:spacing w:line="240" w:lineRule="auto" w:before="148" w:after="0"/>
        <w:ind w:left="701" w:right="0" w:hanging="585"/>
        <w:jc w:val="both"/>
      </w:pPr>
      <w:r>
        <w:rPr/>
        <w:t>Requisitos para una política pública ¿Por qué es </w:t>
      </w:r>
      <w:r>
        <w:rPr>
          <w:spacing w:val="3"/>
        </w:rPr>
        <w:t> </w:t>
      </w:r>
      <w:r>
        <w:rPr/>
        <w:t>necesaria?</w:t>
      </w:r>
    </w:p>
    <w:p>
      <w:pPr>
        <w:pStyle w:val="BodyText"/>
        <w:spacing w:line="364" w:lineRule="auto" w:before="143"/>
        <w:ind w:left="115" w:right="105"/>
        <w:jc w:val="both"/>
      </w:pPr>
      <w:r>
        <w:rPr/>
        <w:t>Si bien, la observación simple y no analítica de un problema social, puede intuitivamente dar pauta para creer que es precisa </w:t>
      </w:r>
      <w:r>
        <w:rPr>
          <w:spacing w:val="-5"/>
        </w:rPr>
        <w:t>la </w:t>
      </w:r>
      <w:r>
        <w:rPr/>
        <w:t>intervención del gobierno, y eventualmente la puesta en marcha de </w:t>
      </w:r>
      <w:r>
        <w:rPr>
          <w:spacing w:val="-3"/>
        </w:rPr>
        <w:t>una </w:t>
      </w:r>
      <w:r>
        <w:rPr/>
        <w:t>política pública. Empero, dice Majone (1978), no cualquier “problema” social es una evidencia para deducir que  es  precisa la elaboración de una política</w:t>
      </w:r>
      <w:r>
        <w:rPr>
          <w:spacing w:val="44"/>
        </w:rPr>
        <w:t> </w:t>
      </w:r>
      <w:r>
        <w:rPr/>
        <w:t>pública.</w:t>
      </w:r>
    </w:p>
    <w:p>
      <w:pPr>
        <w:pStyle w:val="BodyText"/>
        <w:spacing w:line="364" w:lineRule="auto" w:before="10"/>
        <w:ind w:left="115" w:right="106" w:firstLine="686"/>
        <w:jc w:val="both"/>
      </w:pPr>
      <w:r>
        <w:rPr/>
        <w:t>La evidencia parcial de determinado problema (p. ej. en educación, salud, transporte, etc.), dice Majone, no es sinónimo de dato, ni tampoco es igual a información; es apenas, información seleccionada e introducida en un punto específico del argumento para persuadir a un auditorio particular (ciudadanos o gobierno)  de  la  verdad  o  falsedad  de  un  enunciado  tácito.  En  este     sentido,</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12"/>
        <w:jc w:val="both"/>
      </w:pPr>
      <w:r>
        <w:rPr/>
        <w:t>propone que deben ser distintos los criterios para evaluar evidencias y  para  evaluar hechos. Por ejemplo, creer que la violencia es generalizada porque se han generado incidentes aislados en </w:t>
      </w:r>
      <w:r>
        <w:rPr>
          <w:spacing w:val="-3"/>
        </w:rPr>
        <w:t>una </w:t>
      </w:r>
      <w:r>
        <w:rPr/>
        <w:t>región, puede ser un error si no se analizan adecuadamente </w:t>
      </w:r>
      <w:r>
        <w:rPr>
          <w:spacing w:val="-3"/>
        </w:rPr>
        <w:t>los</w:t>
      </w:r>
      <w:r>
        <w:rPr>
          <w:spacing w:val="44"/>
        </w:rPr>
        <w:t> </w:t>
      </w:r>
      <w:r>
        <w:rPr/>
        <w:t>sucesos.</w:t>
      </w:r>
    </w:p>
    <w:p>
      <w:pPr>
        <w:pStyle w:val="BodyText"/>
        <w:spacing w:line="364" w:lineRule="auto" w:before="5"/>
        <w:ind w:left="115" w:right="111" w:firstLine="686"/>
        <w:jc w:val="both"/>
      </w:pPr>
      <w:r>
        <w:rPr/>
        <w:t>La hechura de políticas implica simultáneamente, señala Majone, “saber cómo” (capacidad de hacer ciertas cosas, adoptar la conducta a las nuevas circunstancias) y “saber eso” (conciencia de las proposiciones generales y de las reglas de conducta explícitas).</w:t>
      </w:r>
    </w:p>
    <w:p>
      <w:pPr>
        <w:pStyle w:val="BodyText"/>
        <w:spacing w:line="364" w:lineRule="auto" w:before="5"/>
        <w:ind w:left="115" w:right="112" w:firstLine="686"/>
        <w:jc w:val="both"/>
      </w:pPr>
      <w:r>
        <w:rPr/>
        <w:t>Méndez identifica seis elementos conformadores de una política pública: 1)   el problema, 2) </w:t>
      </w:r>
      <w:r>
        <w:rPr>
          <w:spacing w:val="3"/>
        </w:rPr>
        <w:t>el </w:t>
      </w:r>
      <w:r>
        <w:rPr/>
        <w:t>diagnóstico, </w:t>
      </w:r>
      <w:r>
        <w:rPr>
          <w:spacing w:val="3"/>
        </w:rPr>
        <w:t>3) </w:t>
      </w:r>
      <w:r>
        <w:rPr/>
        <w:t>la solución, 4) la estrategia, 5) los recursos y 6) </w:t>
      </w:r>
      <w:r>
        <w:rPr>
          <w:spacing w:val="-5"/>
        </w:rPr>
        <w:t>la </w:t>
      </w:r>
      <w:r>
        <w:rPr/>
        <w:t>ejecución (Méndez:</w:t>
      </w:r>
      <w:r>
        <w:rPr>
          <w:spacing w:val="29"/>
        </w:rPr>
        <w:t> </w:t>
      </w:r>
      <w:r>
        <w:rPr/>
        <w:t>1993).</w:t>
      </w:r>
    </w:p>
    <w:p>
      <w:pPr>
        <w:pStyle w:val="BodyText"/>
        <w:spacing w:line="364" w:lineRule="auto" w:before="5"/>
        <w:ind w:left="115" w:right="106" w:firstLine="686"/>
        <w:jc w:val="both"/>
      </w:pPr>
      <w:r>
        <w:rPr/>
        <w:t>Rua, por su parte, indica que en las sociedades democráticas el proceso  para </w:t>
      </w:r>
      <w:r>
        <w:rPr>
          <w:spacing w:val="-4"/>
        </w:rPr>
        <w:t>la </w:t>
      </w:r>
      <w:r>
        <w:rPr/>
        <w:t>implementación de políticas públicas comprende las fases de decisión, elaboración e implementación y evaluación, pasos que permiten comparar los resultados o los impactos de </w:t>
      </w:r>
      <w:r>
        <w:rPr>
          <w:spacing w:val="-3"/>
        </w:rPr>
        <w:t>una </w:t>
      </w:r>
      <w:r>
        <w:rPr/>
        <w:t>política, programa o proyecto (Rua: 1998). A su vez, Revuelta destaca los siguientes pasos: toma de decisiones (o formación y diseño de </w:t>
      </w:r>
      <w:r>
        <w:rPr>
          <w:spacing w:val="-4"/>
        </w:rPr>
        <w:t>la </w:t>
      </w:r>
      <w:r>
        <w:rPr/>
        <w:t>política), implementación de la política y evaluación (Revuelta: </w:t>
      </w:r>
      <w:r>
        <w:rPr>
          <w:spacing w:val="24"/>
        </w:rPr>
        <w:t> </w:t>
      </w:r>
      <w:r>
        <w:rPr/>
        <w:t>2007).</w:t>
      </w:r>
    </w:p>
    <w:p>
      <w:pPr>
        <w:pStyle w:val="BodyText"/>
        <w:spacing w:line="364" w:lineRule="auto" w:before="10"/>
        <w:ind w:left="115" w:right="105" w:firstLine="686"/>
        <w:jc w:val="both"/>
      </w:pPr>
      <w:r>
        <w:rPr/>
        <w:t>En ciertas ocasiones, son sinónimos la propuesta </w:t>
      </w:r>
      <w:r>
        <w:rPr>
          <w:spacing w:val="-3"/>
        </w:rPr>
        <w:t>de </w:t>
      </w:r>
      <w:r>
        <w:rPr/>
        <w:t>hechura ideal de una política y </w:t>
      </w:r>
      <w:r>
        <w:rPr>
          <w:spacing w:val="-6"/>
        </w:rPr>
        <w:t>lo  </w:t>
      </w:r>
      <w:r>
        <w:rPr/>
        <w:t>que </w:t>
      </w:r>
      <w:r>
        <w:rPr>
          <w:spacing w:val="3"/>
        </w:rPr>
        <w:t>se </w:t>
      </w:r>
      <w:r>
        <w:rPr/>
        <w:t>considera como decisiones racionales  o solución racional de  los problemas en el análisis de políticas (Majone: 1978). Por ejemplo, esta concepción es formulada por John Rawls cuando señala que </w:t>
      </w:r>
      <w:r>
        <w:rPr>
          <w:spacing w:val="2"/>
        </w:rPr>
        <w:t>son </w:t>
      </w:r>
      <w:r>
        <w:rPr/>
        <w:t>correctas </w:t>
      </w:r>
      <w:r>
        <w:rPr>
          <w:spacing w:val="-2"/>
        </w:rPr>
        <w:t>las </w:t>
      </w:r>
      <w:r>
        <w:rPr/>
        <w:t>instituciones y los actos que producen el mayor bien. Este concepto de </w:t>
      </w:r>
      <w:r>
        <w:rPr>
          <w:spacing w:val="-4"/>
        </w:rPr>
        <w:t>la</w:t>
      </w:r>
      <w:r>
        <w:rPr>
          <w:spacing w:val="55"/>
        </w:rPr>
        <w:t> </w:t>
      </w:r>
      <w:r>
        <w:rPr/>
        <w:t>racionalidad, lamentablemente no se aplica </w:t>
      </w:r>
      <w:r>
        <w:rPr>
          <w:spacing w:val="3"/>
        </w:rPr>
        <w:t>de </w:t>
      </w:r>
      <w:r>
        <w:rPr/>
        <w:t>manera directa a </w:t>
      </w:r>
      <w:r>
        <w:rPr>
          <w:spacing w:val="-5"/>
        </w:rPr>
        <w:t>la </w:t>
      </w:r>
      <w:r>
        <w:rPr/>
        <w:t>toma de decisiones bajo incertidumbre. Como no hay racionalidad perfecta, el vínculo entre preferencias sociales y la apuesta por </w:t>
      </w:r>
      <w:r>
        <w:rPr>
          <w:spacing w:val="-4"/>
        </w:rPr>
        <w:t>la </w:t>
      </w:r>
      <w:r>
        <w:rPr/>
        <w:t>“mejor” solución, </w:t>
      </w:r>
      <w:r>
        <w:rPr>
          <w:spacing w:val="3"/>
        </w:rPr>
        <w:t>es </w:t>
      </w:r>
      <w:r>
        <w:rPr>
          <w:spacing w:val="-3"/>
        </w:rPr>
        <w:t>lo </w:t>
      </w:r>
      <w:r>
        <w:rPr/>
        <w:t>que </w:t>
      </w:r>
      <w:r>
        <w:rPr>
          <w:spacing w:val="3"/>
        </w:rPr>
        <w:t>se </w:t>
      </w:r>
      <w:r>
        <w:rPr/>
        <w:t>denomina coherencia.</w:t>
      </w:r>
    </w:p>
    <w:p>
      <w:pPr>
        <w:pStyle w:val="BodyText"/>
        <w:rPr>
          <w:sz w:val="22"/>
        </w:rPr>
      </w:pPr>
    </w:p>
    <w:p>
      <w:pPr>
        <w:pStyle w:val="ListParagraph"/>
        <w:numPr>
          <w:ilvl w:val="2"/>
          <w:numId w:val="6"/>
        </w:numPr>
        <w:tabs>
          <w:tab w:pos="702" w:val="left" w:leader="none"/>
        </w:tabs>
        <w:spacing w:line="364" w:lineRule="auto" w:before="160" w:after="0"/>
        <w:ind w:left="116" w:right="108" w:firstLine="0"/>
        <w:jc w:val="left"/>
        <w:rPr>
          <w:sz w:val="23"/>
        </w:rPr>
      </w:pPr>
      <w:r>
        <w:rPr>
          <w:b/>
          <w:sz w:val="23"/>
        </w:rPr>
        <w:t>Los problemas de la planificación de las políticas, según Lindblom </w:t>
      </w:r>
      <w:r>
        <w:rPr>
          <w:sz w:val="23"/>
        </w:rPr>
        <w:t>Lindblom señala que hay </w:t>
      </w:r>
      <w:r>
        <w:rPr>
          <w:spacing w:val="-3"/>
          <w:sz w:val="23"/>
        </w:rPr>
        <w:t>dos </w:t>
      </w:r>
      <w:r>
        <w:rPr>
          <w:sz w:val="23"/>
        </w:rPr>
        <w:t>formas de formular política pública: la primera, en donde el administrador comienza con una metodología de investigación  que  ofrezca</w:t>
      </w:r>
      <w:r>
        <w:rPr>
          <w:spacing w:val="38"/>
          <w:sz w:val="23"/>
        </w:rPr>
        <w:t> </w:t>
      </w:r>
      <w:r>
        <w:rPr>
          <w:sz w:val="23"/>
        </w:rPr>
        <w:t>las</w:t>
      </w:r>
      <w:r>
        <w:rPr>
          <w:spacing w:val="38"/>
          <w:sz w:val="23"/>
        </w:rPr>
        <w:t> </w:t>
      </w:r>
      <w:r>
        <w:rPr>
          <w:sz w:val="23"/>
        </w:rPr>
        <w:t>opciones</w:t>
      </w:r>
      <w:r>
        <w:rPr>
          <w:spacing w:val="42"/>
          <w:sz w:val="23"/>
        </w:rPr>
        <w:t> </w:t>
      </w:r>
      <w:r>
        <w:rPr>
          <w:sz w:val="23"/>
        </w:rPr>
        <w:t>de</w:t>
      </w:r>
      <w:r>
        <w:rPr>
          <w:spacing w:val="38"/>
          <w:sz w:val="23"/>
        </w:rPr>
        <w:t> </w:t>
      </w:r>
      <w:r>
        <w:rPr>
          <w:sz w:val="23"/>
        </w:rPr>
        <w:t>política</w:t>
      </w:r>
      <w:r>
        <w:rPr>
          <w:spacing w:val="46"/>
          <w:sz w:val="23"/>
        </w:rPr>
        <w:t> </w:t>
      </w:r>
      <w:r>
        <w:rPr>
          <w:sz w:val="23"/>
        </w:rPr>
        <w:t>posibles,</w:t>
      </w:r>
      <w:r>
        <w:rPr>
          <w:spacing w:val="38"/>
          <w:sz w:val="23"/>
        </w:rPr>
        <w:t> </w:t>
      </w:r>
      <w:r>
        <w:rPr>
          <w:sz w:val="23"/>
        </w:rPr>
        <w:t>con</w:t>
      </w:r>
      <w:r>
        <w:rPr>
          <w:spacing w:val="38"/>
          <w:sz w:val="23"/>
        </w:rPr>
        <w:t> </w:t>
      </w:r>
      <w:r>
        <w:rPr>
          <w:sz w:val="23"/>
        </w:rPr>
        <w:t>una</w:t>
      </w:r>
      <w:r>
        <w:rPr>
          <w:spacing w:val="32"/>
          <w:sz w:val="23"/>
        </w:rPr>
        <w:t> </w:t>
      </w:r>
      <w:r>
        <w:rPr>
          <w:sz w:val="23"/>
        </w:rPr>
        <w:t>clasificación</w:t>
      </w:r>
      <w:r>
        <w:rPr>
          <w:spacing w:val="38"/>
          <w:sz w:val="23"/>
        </w:rPr>
        <w:t> </w:t>
      </w:r>
      <w:r>
        <w:rPr>
          <w:sz w:val="23"/>
        </w:rPr>
        <w:t>de</w:t>
      </w:r>
      <w:r>
        <w:rPr>
          <w:spacing w:val="45"/>
          <w:sz w:val="23"/>
        </w:rPr>
        <w:t> </w:t>
      </w:r>
      <w:r>
        <w:rPr>
          <w:sz w:val="23"/>
        </w:rPr>
        <w:t>acuerdo</w:t>
      </w:r>
      <w:r>
        <w:rPr>
          <w:spacing w:val="38"/>
          <w:sz w:val="23"/>
        </w:rPr>
        <w:t> </w:t>
      </w:r>
      <w:r>
        <w:rPr>
          <w:sz w:val="23"/>
        </w:rPr>
        <w:t>a</w:t>
      </w:r>
      <w:r>
        <w:rPr>
          <w:spacing w:val="38"/>
          <w:sz w:val="23"/>
        </w:rPr>
        <w:t> </w:t>
      </w:r>
      <w:r>
        <w:rPr>
          <w:sz w:val="23"/>
        </w:rPr>
        <w:t>su</w:t>
      </w:r>
    </w:p>
    <w:p>
      <w:pPr>
        <w:spacing w:after="0" w:line="364" w:lineRule="auto"/>
        <w:jc w:val="left"/>
        <w:rPr>
          <w:sz w:val="23"/>
        </w:rPr>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10"/>
        <w:jc w:val="both"/>
      </w:pPr>
      <w:r>
        <w:rPr/>
        <w:t>eficiencia, una ponderación máxima de valores, para luego comparar </w:t>
      </w:r>
      <w:r>
        <w:rPr>
          <w:spacing w:val="-3"/>
        </w:rPr>
        <w:t>las </w:t>
      </w:r>
      <w:r>
        <w:rPr/>
        <w:t>teorías y apoyarse en cualquier  teoría disponible que ofrezca </w:t>
      </w:r>
      <w:r>
        <w:rPr>
          <w:spacing w:val="-4"/>
        </w:rPr>
        <w:t>las </w:t>
      </w:r>
      <w:r>
        <w:rPr/>
        <w:t>generalizaciones respecto  a las diferentes clases de políticas (Aguilar, 2003: </w:t>
      </w:r>
      <w:r>
        <w:rPr>
          <w:spacing w:val="2"/>
        </w:rPr>
        <w:t> </w:t>
      </w:r>
      <w:r>
        <w:rPr/>
        <w:t>201-202)</w:t>
      </w:r>
    </w:p>
    <w:p>
      <w:pPr>
        <w:pStyle w:val="BodyText"/>
        <w:spacing w:line="364" w:lineRule="auto" w:before="5"/>
        <w:ind w:left="115" w:right="111" w:firstLine="686"/>
        <w:jc w:val="both"/>
      </w:pPr>
      <w:r>
        <w:rPr/>
        <w:t>La segunda, supone describir las alternativas que le vinieran a la mente y proceder a compararlas. Por lo común no encontrará un cuerpo teórico lo suficientemente preciso que le sea útil y le permita ponderar las consecuencias respectivas de las pocas alternativas que tomó en consideración a partir de las políticas que le eran conocidas por controversias anteriores; en cambio, se basará en el registro de la experiencia anterior que le indicaría las consecuencias de los pasos anteriores a modo de predicción (Aguilar 2003:  201-202).</w:t>
      </w:r>
    </w:p>
    <w:p>
      <w:pPr>
        <w:pStyle w:val="BodyText"/>
        <w:spacing w:line="364" w:lineRule="auto" w:before="5"/>
        <w:ind w:left="115" w:right="106" w:firstLine="686"/>
        <w:jc w:val="both"/>
      </w:pPr>
      <w:r>
        <w:rPr/>
        <w:t>Para problemas complejos, el primero de estos dos enfoques es imposible, señala Lindblom. Se le puede describir, pero no se </w:t>
      </w:r>
      <w:r>
        <w:rPr>
          <w:spacing w:val="-4"/>
        </w:rPr>
        <w:t>le </w:t>
      </w:r>
      <w:r>
        <w:rPr/>
        <w:t>puede utilizar más que para problemas relativamente simples y aun así sólo en forma modificada. Supone capacidades intelectuales y fuentes de información que los hombres simplemente no tienen, por </w:t>
      </w:r>
      <w:r>
        <w:rPr>
          <w:spacing w:val="-4"/>
        </w:rPr>
        <w:t>lo </w:t>
      </w:r>
      <w:r>
        <w:rPr/>
        <w:t>que es absurdo emplearlo como enfoque para elaborar política cuando el tiempo y el dinero que </w:t>
      </w:r>
      <w:r>
        <w:rPr>
          <w:spacing w:val="2"/>
        </w:rPr>
        <w:t>se </w:t>
      </w:r>
      <w:r>
        <w:rPr/>
        <w:t>puede asignar a un problema de política son limitados (Aguilar Villanueva, 2003:</w:t>
      </w:r>
      <w:r>
        <w:rPr>
          <w:spacing w:val="40"/>
        </w:rPr>
        <w:t> </w:t>
      </w:r>
      <w:r>
        <w:rPr/>
        <w:t>203).</w:t>
      </w:r>
    </w:p>
    <w:p>
      <w:pPr>
        <w:pStyle w:val="BodyText"/>
        <w:spacing w:line="364" w:lineRule="auto" w:before="10"/>
        <w:ind w:left="115" w:right="108" w:firstLine="686"/>
        <w:jc w:val="both"/>
      </w:pPr>
      <w:r>
        <w:rPr/>
        <w:t>Lindblom apunta incluso que normalmente los gobiernos no tienen muchas condiciones para revisar alternativas: en realidad, la administración pública tiene, política o legalmente, funciones y limitaciones circunscritas, razón por </w:t>
      </w:r>
      <w:r>
        <w:rPr>
          <w:spacing w:val="-5"/>
        </w:rPr>
        <w:t>la </w:t>
      </w:r>
      <w:r>
        <w:rPr/>
        <w:t>cual concentra su atención en relativamente pocos  valores  y  pocas  políticas alternativas entre las innumerables opciones de acción que se podrían imaginar.   De hecho, pone en práctica el segundo método (Aguilar 2003: </w:t>
      </w:r>
      <w:r>
        <w:rPr>
          <w:spacing w:val="8"/>
        </w:rPr>
        <w:t> </w:t>
      </w:r>
      <w:r>
        <w:rPr/>
        <w:t>203).</w:t>
      </w:r>
    </w:p>
    <w:p>
      <w:pPr>
        <w:pStyle w:val="BodyText"/>
        <w:spacing w:line="364" w:lineRule="auto" w:before="5"/>
        <w:ind w:left="115" w:right="109" w:firstLine="686"/>
        <w:jc w:val="both"/>
      </w:pPr>
      <w:r>
        <w:rPr>
          <w:spacing w:val="-3"/>
        </w:rPr>
        <w:t>Sin </w:t>
      </w:r>
      <w:r>
        <w:rPr/>
        <w:t>embargo, en </w:t>
      </w:r>
      <w:r>
        <w:rPr>
          <w:spacing w:val="-4"/>
        </w:rPr>
        <w:t>la </w:t>
      </w:r>
      <w:r>
        <w:rPr/>
        <w:t>literatura </w:t>
      </w:r>
      <w:r>
        <w:rPr>
          <w:spacing w:val="3"/>
        </w:rPr>
        <w:t>de </w:t>
      </w:r>
      <w:r>
        <w:rPr/>
        <w:t>toma de decisiones, el análisis de políticas,   </w:t>
      </w:r>
      <w:r>
        <w:rPr>
          <w:spacing w:val="-5"/>
        </w:rPr>
        <w:t>la </w:t>
      </w:r>
      <w:r>
        <w:rPr/>
        <w:t>planeación y administración pública se  privilegia </w:t>
      </w:r>
      <w:r>
        <w:rPr>
          <w:spacing w:val="3"/>
        </w:rPr>
        <w:t>el </w:t>
      </w:r>
      <w:r>
        <w:rPr/>
        <w:t>primer enfoque,  dejando a  los administradores públicos que enfrentan decisiones complejas en </w:t>
      </w:r>
      <w:r>
        <w:rPr>
          <w:spacing w:val="-4"/>
        </w:rPr>
        <w:t>la </w:t>
      </w:r>
      <w:r>
        <w:rPr/>
        <w:t>posición de practicar </w:t>
      </w:r>
      <w:r>
        <w:rPr>
          <w:spacing w:val="-3"/>
        </w:rPr>
        <w:t>lo </w:t>
      </w:r>
      <w:r>
        <w:rPr/>
        <w:t>que muchos predican </w:t>
      </w:r>
      <w:r>
        <w:rPr>
          <w:spacing w:val="-3"/>
        </w:rPr>
        <w:t>pero </w:t>
      </w:r>
      <w:r>
        <w:rPr/>
        <w:t>pocos ponen  en práctica  (Aguilar  2003: 203).</w:t>
      </w:r>
    </w:p>
    <w:p>
      <w:pPr>
        <w:pStyle w:val="BodyText"/>
        <w:spacing w:line="364" w:lineRule="auto" w:before="5"/>
        <w:ind w:left="115" w:right="111" w:firstLine="686"/>
        <w:jc w:val="both"/>
      </w:pPr>
      <w:r>
        <w:rPr/>
        <w:t>La tendencia a pensar que </w:t>
      </w:r>
      <w:r>
        <w:rPr>
          <w:spacing w:val="-3"/>
        </w:rPr>
        <w:t>la </w:t>
      </w:r>
      <w:r>
        <w:rPr/>
        <w:t>formulación de políticas, </w:t>
      </w:r>
      <w:r>
        <w:rPr>
          <w:spacing w:val="-3"/>
        </w:rPr>
        <w:t>aún </w:t>
      </w:r>
      <w:r>
        <w:rPr/>
        <w:t>frente a  problemas complejos, procede conforme al primer enfoque, se ha fortalecido por </w:t>
      </w:r>
      <w:r>
        <w:rPr>
          <w:spacing w:val="-5"/>
        </w:rPr>
        <w:t>la </w:t>
      </w:r>
      <w:r>
        <w:rPr/>
        <w:t>atención  que  </w:t>
      </w:r>
      <w:r>
        <w:rPr>
          <w:spacing w:val="-5"/>
        </w:rPr>
        <w:t>le   </w:t>
      </w:r>
      <w:r>
        <w:rPr/>
        <w:t>han  prestado  y  </w:t>
      </w:r>
      <w:r>
        <w:rPr>
          <w:spacing w:val="4"/>
        </w:rPr>
        <w:t>el  </w:t>
      </w:r>
      <w:r>
        <w:rPr/>
        <w:t>éxito  que  han  tenido  </w:t>
      </w:r>
      <w:r>
        <w:rPr>
          <w:spacing w:val="-4"/>
        </w:rPr>
        <w:t>la </w:t>
      </w:r>
      <w:r>
        <w:rPr>
          <w:spacing w:val="55"/>
        </w:rPr>
        <w:t> </w:t>
      </w:r>
      <w:r>
        <w:rPr/>
        <w:t>investigación   </w:t>
      </w:r>
      <w:r>
        <w:rPr>
          <w:spacing w:val="18"/>
        </w:rPr>
        <w:t> </w:t>
      </w:r>
      <w:r>
        <w:rPr/>
        <w:t>de</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4"/>
        <w:jc w:val="both"/>
      </w:pPr>
      <w:r>
        <w:rPr/>
        <w:t>operaciones, la teoría estadística </w:t>
      </w:r>
      <w:r>
        <w:rPr>
          <w:spacing w:val="3"/>
        </w:rPr>
        <w:t>de </w:t>
      </w:r>
      <w:r>
        <w:rPr/>
        <w:t>decisiones y el análisis de sistemas. Las características de estos procedimientos, típicas del primer enfoque, son </w:t>
      </w:r>
      <w:r>
        <w:rPr>
          <w:spacing w:val="-5"/>
        </w:rPr>
        <w:t>la </w:t>
      </w:r>
      <w:r>
        <w:rPr/>
        <w:t>claridad en el objetivo y su valoración explícita, </w:t>
      </w:r>
      <w:r>
        <w:rPr>
          <w:spacing w:val="-3"/>
        </w:rPr>
        <w:t>la </w:t>
      </w:r>
      <w:r>
        <w:rPr/>
        <w:t>amplitud de la visión y, si es posible, </w:t>
      </w:r>
      <w:r>
        <w:rPr>
          <w:spacing w:val="-5"/>
        </w:rPr>
        <w:t>la </w:t>
      </w:r>
      <w:r>
        <w:rPr/>
        <w:t>cuantificación </w:t>
      </w:r>
      <w:r>
        <w:rPr>
          <w:spacing w:val="2"/>
        </w:rPr>
        <w:t>de </w:t>
      </w:r>
      <w:r>
        <w:rPr/>
        <w:t>valores para facilitar </w:t>
      </w:r>
      <w:r>
        <w:rPr>
          <w:spacing w:val="3"/>
        </w:rPr>
        <w:t>el </w:t>
      </w:r>
      <w:r>
        <w:rPr/>
        <w:t>análisis matemático. Pero estos procedimientos avanzados siguen siendo en gran  medida  técnicas  apropiadas sólo para resolver problemas </w:t>
      </w:r>
      <w:r>
        <w:rPr>
          <w:spacing w:val="3"/>
        </w:rPr>
        <w:t>de </w:t>
      </w:r>
      <w:r>
        <w:rPr/>
        <w:t>pequeña escala, en los que el número total de variables a considerar es pequeño y los problemas valorativos limitados (Aguilar 2003:</w:t>
      </w:r>
      <w:r>
        <w:rPr>
          <w:spacing w:val="24"/>
        </w:rPr>
        <w:t> </w:t>
      </w:r>
      <w:r>
        <w:rPr>
          <w:spacing w:val="-3"/>
        </w:rPr>
        <w:t>204).</w:t>
      </w:r>
    </w:p>
    <w:p>
      <w:pPr>
        <w:pStyle w:val="BodyText"/>
        <w:spacing w:line="364" w:lineRule="auto" w:before="5"/>
        <w:ind w:left="115" w:right="105" w:firstLine="686"/>
        <w:jc w:val="both"/>
      </w:pPr>
      <w:r>
        <w:rPr/>
        <w:t>El segundo método </w:t>
      </w:r>
      <w:r>
        <w:rPr>
          <w:spacing w:val="3"/>
        </w:rPr>
        <w:t>se </w:t>
      </w:r>
      <w:r>
        <w:rPr/>
        <w:t>puede describir como el “método de las comparaciones </w:t>
      </w:r>
      <w:r>
        <w:rPr>
          <w:spacing w:val="-3"/>
        </w:rPr>
        <w:t>limitadas </w:t>
      </w:r>
      <w:r>
        <w:rPr/>
        <w:t>sucesivas”. Se puede contrastar con el primer enfoque, que podría llamarse el método racional-exhaustivo u onmicomprensivo (rational- comprehensive method). “El primero </w:t>
      </w:r>
      <w:r>
        <w:rPr>
          <w:spacing w:val="3"/>
        </w:rPr>
        <w:t>se </w:t>
      </w:r>
      <w:r>
        <w:rPr/>
        <w:t>construye a partir de la situación actual,  muy gradualmente; </w:t>
      </w:r>
      <w:r>
        <w:rPr>
          <w:spacing w:val="3"/>
        </w:rPr>
        <w:t>el </w:t>
      </w:r>
      <w:r>
        <w:rPr/>
        <w:t>segundo parte de nuevos fundamentos cada vez y se construye sobre </w:t>
      </w:r>
      <w:r>
        <w:rPr>
          <w:spacing w:val="-3"/>
        </w:rPr>
        <w:t>la </w:t>
      </w:r>
      <w:r>
        <w:rPr/>
        <w:t>base del pasado,  en tanto </w:t>
      </w:r>
      <w:r>
        <w:rPr>
          <w:spacing w:val="-3"/>
        </w:rPr>
        <w:t>la  </w:t>
      </w:r>
      <w:r>
        <w:rPr/>
        <w:t>experiencia ha sido incorporada  en una teoría, y está siempre dispuesto a comenzar desde </w:t>
      </w:r>
      <w:r>
        <w:rPr>
          <w:spacing w:val="-4"/>
        </w:rPr>
        <w:t>la </w:t>
      </w:r>
      <w:r>
        <w:rPr/>
        <w:t>base” (Aguilar 2003: 205).</w:t>
      </w:r>
    </w:p>
    <w:p>
      <w:pPr>
        <w:pStyle w:val="BodyText"/>
        <w:spacing w:line="364" w:lineRule="auto" w:before="5"/>
        <w:ind w:left="115" w:right="104" w:firstLine="686"/>
        <w:jc w:val="both"/>
      </w:pPr>
      <w:r>
        <w:rPr/>
        <w:t>Según Lindblom, </w:t>
      </w:r>
      <w:r>
        <w:rPr>
          <w:spacing w:val="3"/>
        </w:rPr>
        <w:t>hay </w:t>
      </w:r>
      <w:r>
        <w:rPr/>
        <w:t>que distinguir dos aspectos en el proceso de determinación de valores, tal como ocurre en </w:t>
      </w:r>
      <w:r>
        <w:rPr>
          <w:spacing w:val="-3"/>
        </w:rPr>
        <w:t>la </w:t>
      </w:r>
      <w:r>
        <w:rPr/>
        <w:t>realidad. El primero es claro: </w:t>
      </w:r>
      <w:r>
        <w:rPr>
          <w:spacing w:val="-5"/>
        </w:rPr>
        <w:t>la </w:t>
      </w:r>
      <w:r>
        <w:rPr/>
        <w:t>valoración y </w:t>
      </w:r>
      <w:r>
        <w:rPr>
          <w:spacing w:val="3"/>
        </w:rPr>
        <w:t>el </w:t>
      </w:r>
      <w:r>
        <w:rPr/>
        <w:t>análisis empírico están entrelazados; esto es, </w:t>
      </w:r>
      <w:r>
        <w:rPr>
          <w:spacing w:val="3"/>
        </w:rPr>
        <w:t>se </w:t>
      </w:r>
      <w:r>
        <w:rPr>
          <w:spacing w:val="-3"/>
        </w:rPr>
        <w:t>elige </w:t>
      </w:r>
      <w:r>
        <w:rPr/>
        <w:t>entre valores  y entre políticas al mismo tiempo. De modo menos simplista, se elige simultáneamente una política para lograr ciertos objetivos y los objetivos mismos.  El segundo aspecto está relacionado con el primero pero es distinto: el administrador centra </w:t>
      </w:r>
      <w:r>
        <w:rPr>
          <w:spacing w:val="2"/>
        </w:rPr>
        <w:t>su </w:t>
      </w:r>
      <w:r>
        <w:rPr/>
        <w:t>atención en valores marginales o incrementales. Esté consciente de </w:t>
      </w:r>
      <w:r>
        <w:rPr>
          <w:spacing w:val="-3"/>
        </w:rPr>
        <w:t>ello </w:t>
      </w:r>
      <w:r>
        <w:rPr/>
        <w:t>o no, no </w:t>
      </w:r>
      <w:r>
        <w:rPr>
          <w:spacing w:val="-5"/>
        </w:rPr>
        <w:t>le </w:t>
      </w:r>
      <w:r>
        <w:rPr/>
        <w:t>parecen muy útiles para </w:t>
      </w:r>
      <w:r>
        <w:rPr>
          <w:spacing w:val="3"/>
        </w:rPr>
        <w:t>su </w:t>
      </w:r>
      <w:r>
        <w:rPr/>
        <w:t>trabajo las grandes formulaciones generales de objetivos, por </w:t>
      </w:r>
      <w:r>
        <w:rPr>
          <w:spacing w:val="-3"/>
        </w:rPr>
        <w:t>lo </w:t>
      </w:r>
      <w:r>
        <w:rPr/>
        <w:t>que en realidad procede a hacer comparaciones específicas marginales e incrementales” (Aguilar, 2003: </w:t>
      </w:r>
      <w:r>
        <w:rPr>
          <w:spacing w:val="11"/>
        </w:rPr>
        <w:t> </w:t>
      </w:r>
      <w:r>
        <w:rPr/>
        <w:t>210).</w:t>
      </w:r>
    </w:p>
    <w:p>
      <w:pPr>
        <w:pStyle w:val="BodyText"/>
        <w:rPr>
          <w:sz w:val="22"/>
        </w:rPr>
      </w:pPr>
    </w:p>
    <w:p>
      <w:pPr>
        <w:pStyle w:val="Heading3"/>
        <w:numPr>
          <w:ilvl w:val="2"/>
          <w:numId w:val="6"/>
        </w:numPr>
        <w:tabs>
          <w:tab w:pos="745" w:val="left" w:leader="none"/>
          <w:tab w:pos="5193" w:val="left" w:leader="none"/>
        </w:tabs>
        <w:spacing w:line="364" w:lineRule="auto" w:before="160" w:after="0"/>
        <w:ind w:left="115" w:right="106" w:firstLine="1"/>
        <w:jc w:val="left"/>
      </w:pPr>
      <w:r>
        <w:rPr/>
        <w:t>La  </w:t>
      </w:r>
      <w:r>
        <w:rPr>
          <w:i/>
        </w:rPr>
        <w:t>intervención  </w:t>
      </w:r>
      <w:r>
        <w:rPr/>
        <w:t>gubernamental</w:t>
      </w:r>
      <w:r>
        <w:rPr>
          <w:spacing w:val="31"/>
        </w:rPr>
        <w:t> </w:t>
      </w:r>
      <w:r>
        <w:rPr/>
        <w:t>y</w:t>
      </w:r>
      <w:r>
        <w:rPr>
          <w:spacing w:val="52"/>
        </w:rPr>
        <w:t> </w:t>
      </w:r>
      <w:r>
        <w:rPr/>
        <w:t>los</w:t>
        <w:tab/>
        <w:t>efectos  </w:t>
      </w:r>
      <w:r>
        <w:rPr>
          <w:spacing w:val="2"/>
        </w:rPr>
        <w:t>de  </w:t>
      </w:r>
      <w:r>
        <w:rPr/>
        <w:t>cooperación</w:t>
      </w:r>
      <w:r>
        <w:rPr>
          <w:spacing w:val="24"/>
        </w:rPr>
        <w:t> </w:t>
      </w:r>
      <w:r>
        <w:rPr/>
        <w:t>de</w:t>
      </w:r>
      <w:r>
        <w:rPr>
          <w:spacing w:val="50"/>
        </w:rPr>
        <w:t> </w:t>
      </w:r>
      <w:r>
        <w:rPr/>
        <w:t>los</w:t>
      </w:r>
      <w:r>
        <w:rPr>
          <w:spacing w:val="-1"/>
          <w:w w:val="101"/>
        </w:rPr>
        <w:t> </w:t>
      </w:r>
      <w:r>
        <w:rPr/>
        <w:t>actores</w:t>
      </w:r>
      <w:r>
        <w:rPr>
          <w:spacing w:val="15"/>
        </w:rPr>
        <w:t> </w:t>
      </w:r>
      <w:r>
        <w:rPr/>
        <w:t>sociales</w:t>
      </w:r>
    </w:p>
    <w:p>
      <w:pPr>
        <w:pStyle w:val="BodyText"/>
        <w:spacing w:line="369" w:lineRule="auto"/>
        <w:ind w:left="115" w:right="110"/>
      </w:pPr>
      <w:r>
        <w:rPr/>
        <w:t>De acuerdo con Bardach, en </w:t>
      </w:r>
      <w:r>
        <w:rPr>
          <w:spacing w:val="-5"/>
        </w:rPr>
        <w:t>la </w:t>
      </w:r>
      <w:r>
        <w:rPr/>
        <w:t>hechura e implementación de  las  políticas  públicas,  el  elemento  “básico”  en  muchas  “alternativas”  es  una  “estrategia  </w:t>
      </w:r>
      <w:r>
        <w:rPr>
          <w:spacing w:val="1"/>
        </w:rPr>
        <w:t> </w:t>
      </w:r>
      <w:r>
        <w:rPr/>
        <w:t>de</w:t>
      </w:r>
    </w:p>
    <w:p>
      <w:pPr>
        <w:spacing w:after="0" w:line="369" w:lineRule="auto"/>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2"/>
        <w:jc w:val="both"/>
      </w:pPr>
      <w:r>
        <w:rPr/>
        <w:t>intervención”, como un fortalecimiento en </w:t>
      </w:r>
      <w:r>
        <w:rPr>
          <w:spacing w:val="-5"/>
        </w:rPr>
        <w:t>la </w:t>
      </w:r>
      <w:r>
        <w:rPr/>
        <w:t>regulación, un subsidio o un incentivo fiscal que haga que la gente o </w:t>
      </w:r>
      <w:r>
        <w:rPr>
          <w:spacing w:val="-4"/>
        </w:rPr>
        <w:t>las</w:t>
      </w:r>
      <w:r>
        <w:rPr>
          <w:spacing w:val="55"/>
        </w:rPr>
        <w:t> </w:t>
      </w:r>
      <w:r>
        <w:rPr/>
        <w:t>instituciones cambien su  conducta.  Pero  ninguna estrategia de intervención directa puede mantenerse sola: debe ser implementada por una o varias organizaciones </w:t>
      </w:r>
      <w:r>
        <w:rPr>
          <w:spacing w:val="-2"/>
        </w:rPr>
        <w:t>(quizá </w:t>
      </w:r>
      <w:r>
        <w:rPr/>
        <w:t>incluso por organismos no lucrativos) y debe contar con </w:t>
      </w:r>
      <w:r>
        <w:rPr>
          <w:spacing w:val="-3"/>
        </w:rPr>
        <w:t>una </w:t>
      </w:r>
      <w:r>
        <w:rPr/>
        <w:t>fuente </w:t>
      </w:r>
      <w:r>
        <w:rPr>
          <w:spacing w:val="-3"/>
        </w:rPr>
        <w:t>de </w:t>
      </w:r>
      <w:r>
        <w:rPr/>
        <w:t>financiamiento. Por lo general, </w:t>
      </w:r>
      <w:r>
        <w:rPr>
          <w:spacing w:val="-2"/>
        </w:rPr>
        <w:t>las </w:t>
      </w:r>
      <w:r>
        <w:rPr/>
        <w:t>“variantes” de la estrategia básica incluyen diferentes métodos </w:t>
      </w:r>
      <w:r>
        <w:rPr>
          <w:spacing w:val="-3"/>
        </w:rPr>
        <w:t>de </w:t>
      </w:r>
      <w:r>
        <w:rPr/>
        <w:t>implementación   y de financiamiento (Bardach, 2008:</w:t>
      </w:r>
      <w:r>
        <w:rPr>
          <w:spacing w:val="44"/>
        </w:rPr>
        <w:t> </w:t>
      </w:r>
      <w:r>
        <w:rPr/>
        <w:t>34).</w:t>
      </w:r>
    </w:p>
    <w:p>
      <w:pPr>
        <w:pStyle w:val="BodyText"/>
        <w:spacing w:line="364" w:lineRule="auto" w:before="5"/>
        <w:ind w:left="115" w:right="108" w:firstLine="686"/>
        <w:jc w:val="both"/>
      </w:pPr>
      <w:r>
        <w:rPr/>
        <w:t>“Alternativa”, dice Bardach, no significa necesariamente  que  las  opciones de política se excluyen entre ellas. Entre los analistas de políticas el término “alternativas” se </w:t>
      </w:r>
      <w:r>
        <w:rPr>
          <w:spacing w:val="-3"/>
        </w:rPr>
        <w:t>utiliza </w:t>
      </w:r>
      <w:r>
        <w:rPr/>
        <w:t>ambiguamente. A veces significa que la elección de una implica descartar otra; y otras veces significa simplemente una acción más de política que podría ayudar a resolver o mitigar algún problema, quizás en  conjunción con otras alternativas” (Bardach, 2008:</w:t>
      </w:r>
      <w:r>
        <w:rPr>
          <w:spacing w:val="54"/>
        </w:rPr>
        <w:t> </w:t>
      </w:r>
      <w:r>
        <w:rPr/>
        <w:t>36).</w:t>
      </w:r>
    </w:p>
    <w:p>
      <w:pPr>
        <w:pStyle w:val="BodyText"/>
        <w:spacing w:line="364" w:lineRule="auto" w:before="10"/>
        <w:ind w:left="115" w:right="106" w:firstLine="686"/>
        <w:jc w:val="both"/>
      </w:pPr>
      <w:r>
        <w:rPr/>
        <w:t>También Bardach sostiene que para argumentar el impulso de cualquier política </w:t>
      </w:r>
      <w:r>
        <w:rPr>
          <w:spacing w:val="-3"/>
        </w:rPr>
        <w:t>es </w:t>
      </w:r>
      <w:r>
        <w:rPr/>
        <w:t>útil imaginar que se tienen dos líneas discursivas interconectadas pero separables, la analítica y </w:t>
      </w:r>
      <w:r>
        <w:rPr>
          <w:spacing w:val="-4"/>
        </w:rPr>
        <w:t>la </w:t>
      </w:r>
      <w:r>
        <w:rPr/>
        <w:t>evaluativa. </w:t>
      </w:r>
      <w:r>
        <w:rPr>
          <w:spacing w:val="3"/>
        </w:rPr>
        <w:t>La </w:t>
      </w:r>
      <w:r>
        <w:rPr/>
        <w:t>primera es todo lo  referente  a  los hechos y proyecciones imparciales de las consecuencias, mientras  </w:t>
      </w:r>
      <w:r>
        <w:rPr>
          <w:spacing w:val="-3"/>
        </w:rPr>
        <w:t>que  </w:t>
      </w:r>
      <w:r>
        <w:rPr>
          <w:spacing w:val="-5"/>
        </w:rPr>
        <w:t>la  </w:t>
      </w:r>
      <w:r>
        <w:rPr/>
        <w:t>segunda </w:t>
      </w:r>
      <w:r>
        <w:rPr>
          <w:spacing w:val="-3"/>
        </w:rPr>
        <w:t>es </w:t>
      </w:r>
      <w:r>
        <w:rPr/>
        <w:t>todo lo relativo a los juicios de valor. Idealmente todas las personas de mente abierta y analítica pueden estar de acuerdo, más o menos, con los aciertos   y errores del argumento analítico, pero el evaluativo requiere más subjetividad y filosofía social para </w:t>
      </w:r>
      <w:r>
        <w:rPr>
          <w:spacing w:val="2"/>
        </w:rPr>
        <w:t>su </w:t>
      </w:r>
      <w:r>
        <w:rPr/>
        <w:t>manejo. El argumento analítico razonará </w:t>
      </w:r>
      <w:r>
        <w:rPr>
          <w:spacing w:val="2"/>
        </w:rPr>
        <w:t>si </w:t>
      </w:r>
      <w:r>
        <w:rPr>
          <w:spacing w:val="-3"/>
        </w:rPr>
        <w:t>es </w:t>
      </w:r>
      <w:r>
        <w:rPr/>
        <w:t>probable que suceda </w:t>
      </w:r>
      <w:r>
        <w:rPr>
          <w:spacing w:val="-4"/>
        </w:rPr>
        <w:t>X, </w:t>
      </w:r>
      <w:r>
        <w:rPr/>
        <w:t>Y o Z, pero en el evaluativo es donde aprendemos </w:t>
      </w:r>
      <w:r>
        <w:rPr>
          <w:spacing w:val="4"/>
        </w:rPr>
        <w:t>si </w:t>
      </w:r>
      <w:r>
        <w:rPr>
          <w:spacing w:val="-4"/>
        </w:rPr>
        <w:t>X, </w:t>
      </w:r>
      <w:r>
        <w:rPr/>
        <w:t>Y o Z  son  buenos o malos para el</w:t>
      </w:r>
      <w:r>
        <w:rPr>
          <w:spacing w:val="25"/>
        </w:rPr>
        <w:t> </w:t>
      </w:r>
      <w:r>
        <w:rPr/>
        <w:t>mundo.</w:t>
      </w:r>
    </w:p>
    <w:p>
      <w:pPr>
        <w:pStyle w:val="BodyText"/>
        <w:spacing w:line="364" w:lineRule="auto" w:before="5"/>
        <w:ind w:left="115" w:right="109" w:firstLine="686"/>
        <w:jc w:val="both"/>
      </w:pPr>
      <w:r>
        <w:rPr/>
        <w:t>Este paso, señala Bardach, pertenece al argumento evaluativo y es el paso más importante para que los valores y la filosofía entren en el análisis de políticas, porque los “criterios” son normas evaluativas utilizadas para juzgar la “bondad” de los resultados de la política que han sido proyectados en cada una de las alternativas (Bardach, 2008: 37).</w:t>
      </w:r>
    </w:p>
    <w:p>
      <w:pPr>
        <w:pStyle w:val="BodyText"/>
        <w:spacing w:line="364" w:lineRule="auto" w:before="5"/>
        <w:ind w:left="115" w:right="107" w:firstLine="686"/>
        <w:jc w:val="both"/>
      </w:pPr>
      <w:r>
        <w:rPr/>
        <w:t>Ahora bien, aclara Bardach, no todos los criterios que intervienen </w:t>
      </w:r>
      <w:r>
        <w:rPr>
          <w:spacing w:val="-3"/>
        </w:rPr>
        <w:t>en </w:t>
      </w:r>
      <w:r>
        <w:rPr/>
        <w:t>un análisis son parte de la línea evaluativa. Algunos son puramente prácticos  y  forman  parte de </w:t>
      </w:r>
      <w:r>
        <w:rPr>
          <w:spacing w:val="-3"/>
        </w:rPr>
        <w:t>la  línea  </w:t>
      </w:r>
      <w:r>
        <w:rPr/>
        <w:t>analítica. Esto  tiene que ver con  </w:t>
      </w:r>
      <w:r>
        <w:rPr>
          <w:spacing w:val="-5"/>
        </w:rPr>
        <w:t>lo  </w:t>
      </w:r>
      <w:r>
        <w:rPr/>
        <w:t>que </w:t>
      </w:r>
      <w:r>
        <w:rPr>
          <w:spacing w:val="-3"/>
        </w:rPr>
        <w:t>le  </w:t>
      </w:r>
      <w:r>
        <w:rPr/>
        <w:t>pasa  a   </w:t>
      </w:r>
      <w:r>
        <w:rPr>
          <w:spacing w:val="19"/>
        </w:rPr>
        <w:t> </w:t>
      </w:r>
      <w:r>
        <w:rPr/>
        <w:t>una</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6"/>
        <w:jc w:val="both"/>
      </w:pPr>
      <w:r>
        <w:rPr/>
        <w:t>alternativa con </w:t>
      </w:r>
      <w:r>
        <w:rPr>
          <w:spacing w:val="-4"/>
        </w:rPr>
        <w:t>la </w:t>
      </w:r>
      <w:r>
        <w:rPr/>
        <w:t>política y los procesos de implementación. </w:t>
      </w:r>
      <w:r>
        <w:rPr>
          <w:spacing w:val="-3"/>
        </w:rPr>
        <w:t>Los </w:t>
      </w:r>
      <w:r>
        <w:rPr/>
        <w:t>principales son: legalidad, viabilidad política, solidez en condiciones de implementación administrativa y perfectibilidad (Bardach, 2008:</w:t>
      </w:r>
      <w:r>
        <w:rPr>
          <w:spacing w:val="52"/>
        </w:rPr>
        <w:t> </w:t>
      </w:r>
      <w:r>
        <w:rPr/>
        <w:t>43).</w:t>
      </w:r>
    </w:p>
    <w:p>
      <w:pPr>
        <w:pStyle w:val="BodyText"/>
        <w:spacing w:line="364" w:lineRule="auto" w:before="5"/>
        <w:ind w:left="115" w:right="108" w:firstLine="686"/>
        <w:jc w:val="both"/>
      </w:pPr>
      <w:r>
        <w:rPr>
          <w:b/>
        </w:rPr>
        <w:t>Legalidad: </w:t>
      </w:r>
      <w:r>
        <w:rPr/>
        <w:t>una política viable no debe violar los derechos constitucionales, estatutarios o de la ley común aunque los derechos legales están cambiando constantemente </w:t>
      </w:r>
      <w:r>
        <w:rPr>
          <w:spacing w:val="-3"/>
        </w:rPr>
        <w:t>y, </w:t>
      </w:r>
      <w:r>
        <w:rPr/>
        <w:t>a menudo, son ambiguos. A veces vale </w:t>
      </w:r>
      <w:r>
        <w:rPr>
          <w:spacing w:val="-5"/>
        </w:rPr>
        <w:t>la </w:t>
      </w:r>
      <w:r>
        <w:rPr/>
        <w:t>pena arriesgarse con una política que podría –o no- ser juzgada como ilegal en caso de </w:t>
      </w:r>
      <w:r>
        <w:rPr>
          <w:spacing w:val="-3"/>
        </w:rPr>
        <w:t>llegar </w:t>
      </w:r>
      <w:r>
        <w:rPr/>
        <w:t>a un  tribunal (Bardach, 2008:</w:t>
      </w:r>
      <w:r>
        <w:rPr>
          <w:spacing w:val="26"/>
        </w:rPr>
        <w:t> </w:t>
      </w:r>
      <w:r>
        <w:rPr/>
        <w:t>43).</w:t>
      </w:r>
    </w:p>
    <w:p>
      <w:pPr>
        <w:pStyle w:val="BodyText"/>
        <w:spacing w:line="364" w:lineRule="auto" w:before="5"/>
        <w:ind w:left="115" w:right="105" w:firstLine="686"/>
        <w:jc w:val="both"/>
      </w:pPr>
      <w:r>
        <w:rPr>
          <w:b/>
        </w:rPr>
        <w:t>Viabilidad política: </w:t>
      </w:r>
      <w:r>
        <w:rPr/>
        <w:t>una política viable debe ser políticamente aceptable, o   al menos no inaceptable. La inaceptabilidad política es una combinación de dos cosas: “demasiada” oposición (que puede ser amplia o intensa o ambas) </w:t>
      </w:r>
      <w:r>
        <w:rPr>
          <w:spacing w:val="-4"/>
        </w:rPr>
        <w:t>y/o </w:t>
      </w:r>
      <w:r>
        <w:rPr/>
        <w:t>“muy poco” apoyo (que puede ser reducido o  poco intenso o ambos) (Bardach, 2008:  44).</w:t>
      </w:r>
    </w:p>
    <w:p>
      <w:pPr>
        <w:pStyle w:val="BodyText"/>
        <w:spacing w:line="364" w:lineRule="auto" w:before="10"/>
        <w:ind w:left="115" w:right="104" w:firstLine="686"/>
        <w:jc w:val="both"/>
      </w:pPr>
      <w:r>
        <w:rPr>
          <w:b/>
        </w:rPr>
        <w:t>Solidez: </w:t>
      </w:r>
      <w:r>
        <w:rPr/>
        <w:t>el proceso de implementación tiene vida propia. Se lleva a cabo a través de sistemas administrativos grandes e inflexibles y  los  intereses  burocráticos los distorsionan. </w:t>
      </w:r>
      <w:r>
        <w:rPr>
          <w:spacing w:val="-4"/>
        </w:rPr>
        <w:t>Las </w:t>
      </w:r>
      <w:r>
        <w:rPr/>
        <w:t>políticas </w:t>
      </w:r>
      <w:r>
        <w:rPr>
          <w:spacing w:val="-3"/>
        </w:rPr>
        <w:t>que </w:t>
      </w:r>
      <w:r>
        <w:rPr/>
        <w:t>surgen en </w:t>
      </w:r>
      <w:r>
        <w:rPr>
          <w:spacing w:val="-4"/>
        </w:rPr>
        <w:t>la </w:t>
      </w:r>
      <w:r>
        <w:rPr/>
        <w:t>práctica pueden, por consiguiente, diferir sustancialmente de las políticas diseñadas y adoptadas. Una opción de política, por </w:t>
      </w:r>
      <w:r>
        <w:rPr>
          <w:spacing w:val="-6"/>
        </w:rPr>
        <w:t>lo </w:t>
      </w:r>
      <w:r>
        <w:rPr/>
        <w:t>tanto, debe ser </w:t>
      </w:r>
      <w:r>
        <w:rPr>
          <w:spacing w:val="-5"/>
        </w:rPr>
        <w:t>lo </w:t>
      </w:r>
      <w:r>
        <w:rPr/>
        <w:t>suficientemente </w:t>
      </w:r>
      <w:r>
        <w:rPr>
          <w:spacing w:val="-2"/>
        </w:rPr>
        <w:t>sólida  </w:t>
      </w:r>
      <w:r>
        <w:rPr/>
        <w:t>para  que,  aunque el proceso de implementación no sea fácil, los resultados </w:t>
      </w:r>
      <w:r>
        <w:rPr>
          <w:spacing w:val="3"/>
        </w:rPr>
        <w:t>de </w:t>
      </w:r>
      <w:r>
        <w:rPr>
          <w:spacing w:val="-4"/>
        </w:rPr>
        <w:t>la  </w:t>
      </w:r>
      <w:r>
        <w:rPr/>
        <w:t>política  sean satisfactorios (Bardach, 2008:</w:t>
      </w:r>
      <w:r>
        <w:rPr>
          <w:spacing w:val="35"/>
        </w:rPr>
        <w:t> </w:t>
      </w:r>
      <w:r>
        <w:rPr/>
        <w:t>44).</w:t>
      </w:r>
    </w:p>
    <w:p>
      <w:pPr>
        <w:pStyle w:val="BodyText"/>
        <w:spacing w:line="364" w:lineRule="auto" w:before="5"/>
        <w:ind w:left="115" w:right="107" w:firstLine="686"/>
        <w:jc w:val="both"/>
      </w:pPr>
      <w:r>
        <w:rPr/>
        <w:t>Entre los resultados adversos de </w:t>
      </w:r>
      <w:r>
        <w:rPr>
          <w:spacing w:val="-3"/>
        </w:rPr>
        <w:t>la </w:t>
      </w:r>
      <w:r>
        <w:rPr/>
        <w:t>implementación que vale </w:t>
      </w:r>
      <w:r>
        <w:rPr>
          <w:spacing w:val="-3"/>
        </w:rPr>
        <w:t>la </w:t>
      </w:r>
      <w:r>
        <w:rPr/>
        <w:t>pena considerar están: largas demoras, “captura” de los beneficios del programa de </w:t>
      </w:r>
      <w:r>
        <w:rPr>
          <w:spacing w:val="-4"/>
        </w:rPr>
        <w:t>la</w:t>
      </w:r>
      <w:r>
        <w:rPr>
          <w:spacing w:val="55"/>
        </w:rPr>
        <w:t> </w:t>
      </w:r>
      <w:r>
        <w:rPr/>
        <w:t>política por un grupo de ciudadanos que no los “merecen” o que no habían sido considerados para estos beneficios, costos presupuestales o administrativos excesivos, escándalo por fraude, desperdicios y abusos que minan el  apoyo  político y comprometen a los partidarios </w:t>
      </w:r>
      <w:r>
        <w:rPr>
          <w:spacing w:val="-3"/>
        </w:rPr>
        <w:t>de </w:t>
      </w:r>
      <w:r>
        <w:rPr/>
        <w:t>la política, complejidades  administrativas que dejan a los ciudadanos (y a los administradores del programa) inseguros acerca de los beneficios disponibles o de las regulaciones que deben acompañarlos (Bardach, 2008:</w:t>
      </w:r>
      <w:r>
        <w:rPr>
          <w:spacing w:val="37"/>
        </w:rPr>
        <w:t> </w:t>
      </w:r>
      <w:r>
        <w:rPr/>
        <w:t>44-45).</w:t>
      </w:r>
    </w:p>
    <w:p>
      <w:pPr>
        <w:pStyle w:val="BodyText"/>
        <w:spacing w:line="369" w:lineRule="auto"/>
        <w:ind w:left="116" w:right="107" w:firstLine="686"/>
        <w:jc w:val="both"/>
      </w:pPr>
      <w:r>
        <w:rPr>
          <w:b/>
        </w:rPr>
        <w:t>Perfectibilidad: </w:t>
      </w:r>
      <w:r>
        <w:rPr/>
        <w:t>el elemento más común para obtener mejoras es la participación  en  el  proceso  de  implementación   de   individuos   y  grupos   cuya</w:t>
      </w:r>
    </w:p>
    <w:p>
      <w:pPr>
        <w:spacing w:after="0" w:line="369"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7"/>
        <w:jc w:val="both"/>
      </w:pPr>
      <w:r>
        <w:rPr/>
        <w:t>experiencia o puntos </w:t>
      </w:r>
      <w:r>
        <w:rPr>
          <w:spacing w:val="2"/>
        </w:rPr>
        <w:t>de </w:t>
      </w:r>
      <w:r>
        <w:rPr/>
        <w:t>vista no hayan sido incluidos en la fase de diseño. Sin embargo, esta actitud </w:t>
      </w:r>
      <w:r>
        <w:rPr>
          <w:spacing w:val="3"/>
        </w:rPr>
        <w:t>de </w:t>
      </w:r>
      <w:r>
        <w:rPr/>
        <w:t>apertura </w:t>
      </w:r>
      <w:r>
        <w:rPr>
          <w:spacing w:val="2"/>
        </w:rPr>
        <w:t>en </w:t>
      </w:r>
      <w:r>
        <w:rPr/>
        <w:t>busca de perfeccionar el  diseño  puede abrirle la puerta a intereses políticos hostiles, disminuyendo así la solidez de </w:t>
      </w:r>
      <w:r>
        <w:rPr>
          <w:spacing w:val="-5"/>
        </w:rPr>
        <w:t>la </w:t>
      </w:r>
      <w:r>
        <w:rPr/>
        <w:t>política. </w:t>
      </w:r>
      <w:r>
        <w:rPr>
          <w:spacing w:val="3"/>
        </w:rPr>
        <w:t>En </w:t>
      </w:r>
      <w:r>
        <w:rPr/>
        <w:t>consecuencia, es bueno hacer una evaluación muy cuidadosa de </w:t>
      </w:r>
      <w:r>
        <w:rPr>
          <w:spacing w:val="-5"/>
        </w:rPr>
        <w:t>la </w:t>
      </w:r>
      <w:r>
        <w:rPr/>
        <w:t>situación real actual: personajes, demandas e incentivos institucionales, vulnerabilidad política, etcétera (Bardach, 2008:</w:t>
      </w:r>
      <w:r>
        <w:rPr>
          <w:spacing w:val="52"/>
        </w:rPr>
        <w:t> </w:t>
      </w:r>
      <w:r>
        <w:rPr/>
        <w:t>45).</w:t>
      </w:r>
    </w:p>
    <w:p>
      <w:pPr>
        <w:pStyle w:val="BodyText"/>
        <w:spacing w:line="364" w:lineRule="auto" w:before="5"/>
        <w:ind w:left="115" w:right="109" w:firstLine="686"/>
        <w:jc w:val="both"/>
      </w:pPr>
      <w:r>
        <w:rPr/>
        <w:t>Además, aclara Bardach, </w:t>
      </w:r>
      <w:r>
        <w:rPr>
          <w:spacing w:val="-3"/>
        </w:rPr>
        <w:t>es </w:t>
      </w:r>
      <w:r>
        <w:rPr/>
        <w:t>fundamental que se establezcan criterios de optimización en modelos de programación lineal. El primero implica un enfoque complementario que se centra en los criterios entendidos en un sentido formal. En particular, es muy útil enfocarse inicialmente en un criterio base, </w:t>
      </w:r>
      <w:r>
        <w:rPr>
          <w:spacing w:val="3"/>
        </w:rPr>
        <w:t>un </w:t>
      </w:r>
      <w:r>
        <w:rPr/>
        <w:t>objetivo principal que hay que maximizar </w:t>
      </w:r>
      <w:r>
        <w:rPr>
          <w:spacing w:val="-3"/>
        </w:rPr>
        <w:t>(o </w:t>
      </w:r>
      <w:r>
        <w:rPr/>
        <w:t>minimizar). En general, este objetivo principal será el reverso </w:t>
      </w:r>
      <w:r>
        <w:rPr>
          <w:spacing w:val="2"/>
        </w:rPr>
        <w:t>de </w:t>
      </w:r>
      <w:r>
        <w:rPr/>
        <w:t>su definición del problema (Bardach, 2008:</w:t>
      </w:r>
      <w:r>
        <w:rPr>
          <w:spacing w:val="60"/>
        </w:rPr>
        <w:t> </w:t>
      </w:r>
      <w:r>
        <w:rPr/>
        <w:t>46).</w:t>
      </w:r>
    </w:p>
    <w:p>
      <w:pPr>
        <w:pStyle w:val="BodyText"/>
        <w:spacing w:line="364" w:lineRule="auto"/>
        <w:ind w:left="115" w:right="105" w:firstLine="686"/>
        <w:jc w:val="both"/>
      </w:pPr>
      <w:r>
        <w:rPr/>
        <w:t>Por su parte, la programación lineal </w:t>
      </w:r>
      <w:r>
        <w:rPr>
          <w:spacing w:val="3"/>
        </w:rPr>
        <w:t>se </w:t>
      </w:r>
      <w:r>
        <w:rPr/>
        <w:t>trata de una técnica que sirve para optimizar la elección cuando </w:t>
      </w:r>
      <w:r>
        <w:rPr>
          <w:spacing w:val="3"/>
        </w:rPr>
        <w:t>se </w:t>
      </w:r>
      <w:r>
        <w:rPr/>
        <w:t>tiene un objetivo principal o una función objetivo y pocos resultados </w:t>
      </w:r>
      <w:r>
        <w:rPr>
          <w:spacing w:val="-3"/>
        </w:rPr>
        <w:t>que </w:t>
      </w:r>
      <w:r>
        <w:rPr/>
        <w:t>maximizar. La formulación convencional es parecida a </w:t>
      </w:r>
      <w:r>
        <w:rPr>
          <w:spacing w:val="-5"/>
        </w:rPr>
        <w:t>la </w:t>
      </w:r>
      <w:r>
        <w:rPr/>
        <w:t>siguiente: maximice este objetivo (o función objetivo) sujeto a tales y cuales limitaciones de los recursos. Un enfoque </w:t>
      </w:r>
      <w:r>
        <w:rPr>
          <w:spacing w:val="-3"/>
        </w:rPr>
        <w:t>muy </w:t>
      </w:r>
      <w:r>
        <w:rPr/>
        <w:t>similar </w:t>
      </w:r>
      <w:r>
        <w:rPr>
          <w:spacing w:val="4"/>
        </w:rPr>
        <w:t>al </w:t>
      </w:r>
      <w:r>
        <w:rPr/>
        <w:t>de  </w:t>
      </w:r>
      <w:r>
        <w:rPr>
          <w:spacing w:val="-5"/>
        </w:rPr>
        <w:t>la  </w:t>
      </w:r>
      <w:r>
        <w:rPr/>
        <w:t>programación lineal  es suponer que los criterios caben en tres categorías: un objetivo </w:t>
      </w:r>
      <w:r>
        <w:rPr>
          <w:spacing w:val="-3"/>
        </w:rPr>
        <w:t>(o </w:t>
      </w:r>
      <w:r>
        <w:rPr/>
        <w:t>función  objetivo) que hay que maximizar; ciertas restricciones; y ciertos criterios para los que, por lo general, más, es mejor (Bardach, 2008:</w:t>
      </w:r>
      <w:r>
        <w:rPr>
          <w:spacing w:val="59"/>
        </w:rPr>
        <w:t> </w:t>
      </w:r>
      <w:r>
        <w:rPr/>
        <w:t>46).</w:t>
      </w:r>
    </w:p>
    <w:p>
      <w:pPr>
        <w:pStyle w:val="BodyText"/>
        <w:spacing w:line="364" w:lineRule="auto" w:before="5"/>
        <w:ind w:left="115" w:right="107" w:firstLine="686"/>
        <w:jc w:val="both"/>
      </w:pPr>
      <w:r>
        <w:rPr/>
        <w:t>Sin embargo, advierte Bardach, existen al menos tres grandes dificultades tanto prácticas como psicológicas. Primero, “la política” tiene que ver con el futuro, no con el pasado o el presente; pero nunca podremos estar realmente seguros acerca de cómo será el futuro, ni siquiera si lo hacemos con la mejor de las intenciones y el diseño de políticas más estructurado. Segundo, la “proyección de resultados” es otra manera de decir “sea realista”, sin embargo, el realismo es a menudo incómodo, por eso mucha gente prefiere el optimismo. La “política” puede afectar, para bien o para mal, a la vida, la fortuna, el sacro honor de las   personas.</w:t>
      </w:r>
    </w:p>
    <w:p>
      <w:pPr>
        <w:pStyle w:val="BodyText"/>
        <w:spacing w:line="364" w:lineRule="auto" w:before="5"/>
        <w:ind w:left="115" w:right="110" w:firstLine="686"/>
        <w:jc w:val="both"/>
      </w:pPr>
      <w:r>
        <w:rPr/>
        <w:t>Por tanto, “hacer una política” impone una carga moral </w:t>
      </w:r>
      <w:r>
        <w:rPr>
          <w:spacing w:val="-3"/>
        </w:rPr>
        <w:t>más </w:t>
      </w:r>
      <w:r>
        <w:rPr/>
        <w:t>pesada que </w:t>
      </w:r>
      <w:r>
        <w:rPr>
          <w:spacing w:val="-5"/>
        </w:rPr>
        <w:t>lo </w:t>
      </w:r>
      <w:r>
        <w:rPr/>
        <w:t>que mucha gente estaría dispuesta a aceptar. Por </w:t>
      </w:r>
      <w:r>
        <w:rPr>
          <w:spacing w:val="-3"/>
        </w:rPr>
        <w:t>ello </w:t>
      </w:r>
      <w:r>
        <w:rPr/>
        <w:t>es muy  comprensible  pensar</w:t>
      </w:r>
      <w:r>
        <w:rPr>
          <w:spacing w:val="38"/>
        </w:rPr>
        <w:t> </w:t>
      </w:r>
      <w:r>
        <w:rPr/>
        <w:t>que</w:t>
      </w:r>
      <w:r>
        <w:rPr>
          <w:spacing w:val="38"/>
        </w:rPr>
        <w:t> </w:t>
      </w:r>
      <w:r>
        <w:rPr/>
        <w:t>la</w:t>
      </w:r>
      <w:r>
        <w:rPr>
          <w:spacing w:val="38"/>
        </w:rPr>
        <w:t> </w:t>
      </w:r>
      <w:r>
        <w:rPr/>
        <w:t>alternativa</w:t>
      </w:r>
      <w:r>
        <w:rPr>
          <w:spacing w:val="45"/>
        </w:rPr>
        <w:t> </w:t>
      </w:r>
      <w:r>
        <w:rPr/>
        <w:t>que</w:t>
      </w:r>
      <w:r>
        <w:rPr>
          <w:spacing w:val="38"/>
        </w:rPr>
        <w:t> </w:t>
      </w:r>
      <w:r>
        <w:rPr/>
        <w:t>preferimos</w:t>
      </w:r>
      <w:r>
        <w:rPr>
          <w:spacing w:val="42"/>
        </w:rPr>
        <w:t> </w:t>
      </w:r>
      <w:r>
        <w:rPr/>
        <w:t>o</w:t>
      </w:r>
      <w:r>
        <w:rPr>
          <w:spacing w:val="38"/>
        </w:rPr>
        <w:t> </w:t>
      </w:r>
      <w:r>
        <w:rPr/>
        <w:t>recomendamos</w:t>
      </w:r>
      <w:r>
        <w:rPr>
          <w:spacing w:val="45"/>
        </w:rPr>
        <w:t> </w:t>
      </w:r>
      <w:r>
        <w:rPr/>
        <w:t>tendrá</w:t>
      </w:r>
      <w:r>
        <w:rPr>
          <w:spacing w:val="38"/>
        </w:rPr>
        <w:t> </w:t>
      </w:r>
      <w:r>
        <w:rPr/>
        <w:t>de</w:t>
      </w:r>
      <w:r>
        <w:rPr>
          <w:spacing w:val="38"/>
        </w:rPr>
        <w:t> </w:t>
      </w:r>
      <w:r>
        <w:rPr/>
        <w:t>verdad</w:t>
      </w:r>
      <w:r>
        <w:rPr>
          <w:spacing w:val="38"/>
        </w:rPr>
        <w:t> </w:t>
      </w:r>
      <w:r>
        <w:rPr>
          <w:spacing w:val="-3"/>
        </w:rPr>
        <w:t>los</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8"/>
        <w:jc w:val="both"/>
      </w:pPr>
      <w:r>
        <w:rPr/>
        <w:t>resultados que esperamos e implicará menores costos que los que realmente suponemos. Más aún, lo más candente de </w:t>
      </w:r>
      <w:r>
        <w:rPr>
          <w:spacing w:val="-5"/>
        </w:rPr>
        <w:t>la </w:t>
      </w:r>
      <w:r>
        <w:rPr/>
        <w:t>discusión sobre política [es que] </w:t>
      </w:r>
      <w:r>
        <w:rPr>
          <w:spacing w:val="-3"/>
        </w:rPr>
        <w:t>nos </w:t>
      </w:r>
      <w:r>
        <w:rPr/>
        <w:t>vemos impelidos, por pura defensa propia , a tratar a nuestra proyección de 51 % de confianza como si fuera 100%, con el consiguiente resultado de que a veces no sólo engañamos a otro, sino  también a nosotros mismos (Bardach, 2008: </w:t>
      </w:r>
      <w:r>
        <w:rPr>
          <w:spacing w:val="22"/>
        </w:rPr>
        <w:t> </w:t>
      </w:r>
      <w:r>
        <w:rPr/>
        <w:t>49-50).</w:t>
      </w:r>
    </w:p>
    <w:p>
      <w:pPr>
        <w:pStyle w:val="BodyText"/>
        <w:rPr>
          <w:sz w:val="22"/>
        </w:rPr>
      </w:pPr>
    </w:p>
    <w:p>
      <w:pPr>
        <w:pStyle w:val="Heading3"/>
        <w:numPr>
          <w:ilvl w:val="2"/>
          <w:numId w:val="6"/>
        </w:numPr>
        <w:tabs>
          <w:tab w:pos="699" w:val="left" w:leader="none"/>
        </w:tabs>
        <w:spacing w:line="240" w:lineRule="auto" w:before="155" w:after="0"/>
        <w:ind w:left="698" w:right="0" w:hanging="582"/>
        <w:jc w:val="both"/>
      </w:pPr>
      <w:r>
        <w:rPr/>
        <w:t>El papel de los actores sociales en la </w:t>
      </w:r>
      <w:r>
        <w:rPr>
          <w:i/>
        </w:rPr>
        <w:t>aceptación </w:t>
      </w:r>
      <w:r>
        <w:rPr/>
        <w:t>de las </w:t>
      </w:r>
      <w:r>
        <w:rPr>
          <w:spacing w:val="15"/>
        </w:rPr>
        <w:t> </w:t>
      </w:r>
      <w:r>
        <w:rPr/>
        <w:t>políticas</w:t>
      </w:r>
    </w:p>
    <w:p>
      <w:pPr>
        <w:pStyle w:val="BodyText"/>
        <w:spacing w:line="364" w:lineRule="auto" w:before="138"/>
        <w:ind w:left="116" w:right="107"/>
        <w:jc w:val="both"/>
      </w:pPr>
      <w:r>
        <w:rPr/>
        <w:t>Las políticas públicas no son simplemente objetos de elección para un planificador social que intenta maximizar el bienestar de la población. Más bien, las políticas públicas emergen de un proceso de toma de decisiones que involucra una multiplicidad de actores políticos que interactúan en una variedad de  escenarios.</w:t>
      </w:r>
    </w:p>
    <w:p>
      <w:pPr>
        <w:pStyle w:val="BodyText"/>
        <w:spacing w:line="364" w:lineRule="auto" w:before="5"/>
        <w:ind w:left="116" w:right="105" w:firstLine="686"/>
        <w:jc w:val="both"/>
      </w:pPr>
      <w:r>
        <w:rPr/>
        <w:t>Este enfoque se basa en la creencia de que el potencial de las recetas de política para lograr resultados positivos depende, en gran medida, de la </w:t>
      </w:r>
      <w:r>
        <w:rPr>
          <w:i/>
        </w:rPr>
        <w:t>calidad </w:t>
      </w:r>
      <w:r>
        <w:rPr/>
        <w:t>del proceso de formulación </w:t>
      </w:r>
      <w:r>
        <w:rPr>
          <w:spacing w:val="3"/>
        </w:rPr>
        <w:t>de </w:t>
      </w:r>
      <w:r>
        <w:rPr/>
        <w:t>políticas a través del cual se debaten, </w:t>
      </w:r>
      <w:r>
        <w:rPr>
          <w:spacing w:val="2"/>
        </w:rPr>
        <w:t>se </w:t>
      </w:r>
      <w:r>
        <w:rPr/>
        <w:t>aprueban y se implementan. Aun las mejores ideas pueden no lograr sus frutos </w:t>
      </w:r>
      <w:r>
        <w:rPr>
          <w:spacing w:val="2"/>
        </w:rPr>
        <w:t>si </w:t>
      </w:r>
      <w:r>
        <w:rPr/>
        <w:t>el proceso no   es el adecuado (Scartascini,  Spiller, Stein y Tommasi, 2011: </w:t>
      </w:r>
      <w:r>
        <w:rPr>
          <w:spacing w:val="5"/>
        </w:rPr>
        <w:t> </w:t>
      </w:r>
      <w:r>
        <w:rPr/>
        <w:t>2).</w:t>
      </w:r>
    </w:p>
    <w:p>
      <w:pPr>
        <w:pStyle w:val="BodyText"/>
        <w:spacing w:line="364" w:lineRule="auto" w:before="5"/>
        <w:ind w:left="115" w:right="108" w:firstLine="686"/>
        <w:jc w:val="both"/>
        <w:rPr>
          <w:i/>
        </w:rPr>
      </w:pPr>
      <w:r>
        <w:rPr/>
        <w:t>Las políticas que logran adoptarse también dependen  del  juego  político. Este juego imprime algunas características comunes a las políticas públicas, </w:t>
      </w:r>
      <w:r>
        <w:rPr>
          <w:spacing w:val="-2"/>
        </w:rPr>
        <w:t>las </w:t>
      </w:r>
      <w:r>
        <w:rPr/>
        <w:t>cuales pueden ser tan importantes como el propio contenido de las políticas. </w:t>
      </w:r>
      <w:r>
        <w:rPr>
          <w:spacing w:val="-3"/>
        </w:rPr>
        <w:t>Los </w:t>
      </w:r>
      <w:r>
        <w:rPr/>
        <w:t>juegos de poder o juego político puede contribuir a la estabilidad de las políticas públicas o conducir a grandes vaivenes; puede facilitar </w:t>
      </w:r>
      <w:r>
        <w:rPr>
          <w:spacing w:val="2"/>
        </w:rPr>
        <w:t>su </w:t>
      </w:r>
      <w:r>
        <w:rPr/>
        <w:t>adaptabilidad o llevarlas a </w:t>
      </w:r>
      <w:r>
        <w:rPr>
          <w:spacing w:val="-3"/>
        </w:rPr>
        <w:t>la </w:t>
      </w:r>
      <w:r>
        <w:rPr/>
        <w:t>rigidez excesiva; puede producir políticas que promuevan tanto el bienestar público como </w:t>
      </w:r>
      <w:r>
        <w:rPr>
          <w:spacing w:val="-3"/>
        </w:rPr>
        <w:t>los </w:t>
      </w:r>
      <w:r>
        <w:rPr/>
        <w:t>intereses privados; puede influir en la calidad de </w:t>
      </w:r>
      <w:r>
        <w:rPr>
          <w:spacing w:val="-5"/>
        </w:rPr>
        <w:t>la  </w:t>
      </w:r>
      <w:r>
        <w:rPr/>
        <w:t>implementación y el </w:t>
      </w:r>
      <w:r>
        <w:rPr>
          <w:i/>
        </w:rPr>
        <w:t>enforcement </w:t>
      </w:r>
      <w:r>
        <w:rPr/>
        <w:t>o eficacia  (Scartascini,  Spiller,  Stein  y  Tommasi, 2011:</w:t>
      </w:r>
      <w:r>
        <w:rPr>
          <w:spacing w:val="26"/>
        </w:rPr>
        <w:t> </w:t>
      </w:r>
      <w:r>
        <w:rPr>
          <w:spacing w:val="-3"/>
        </w:rPr>
        <w:t>2)</w:t>
      </w:r>
      <w:r>
        <w:rPr>
          <w:i/>
          <w:spacing w:val="-3"/>
        </w:rPr>
        <w:t>.</w:t>
      </w:r>
    </w:p>
    <w:p>
      <w:pPr>
        <w:pStyle w:val="BodyText"/>
        <w:spacing w:line="364" w:lineRule="auto"/>
        <w:ind w:left="115" w:right="107" w:firstLine="686"/>
        <w:jc w:val="both"/>
      </w:pPr>
      <w:r>
        <w:rPr/>
        <w:t>Los actores involucrados en el proceso de implementación de una política pública están obligados a cumplir lo que fue decidido por el poder público, a través de un proceso dinámico que involucra a planeadores e implementadores, a </w:t>
      </w:r>
      <w:r>
        <w:rPr>
          <w:spacing w:val="-3"/>
        </w:rPr>
        <w:t>los </w:t>
      </w:r>
      <w:r>
        <w:rPr/>
        <w:t>actores participantes y a los interesados en dicha política. Se  debe  tener  en  cuenta que todo proceso  de alternativas  </w:t>
      </w:r>
      <w:r>
        <w:rPr>
          <w:spacing w:val="-3"/>
        </w:rPr>
        <w:t>de </w:t>
      </w:r>
      <w:r>
        <w:rPr/>
        <w:t>acción acarrea conflictos  y   </w:t>
      </w:r>
      <w:r>
        <w:rPr>
          <w:spacing w:val="9"/>
        </w:rPr>
        <w:t> </w:t>
      </w:r>
      <w:r>
        <w:rPr/>
        <w:t>disputas,</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9" w:lineRule="auto" w:before="74"/>
        <w:ind w:left="115" w:right="110"/>
        <w:jc w:val="both"/>
      </w:pPr>
      <w:r>
        <w:rPr>
          <w:spacing w:val="-4"/>
        </w:rPr>
        <w:t>ya </w:t>
      </w:r>
      <w:r>
        <w:rPr/>
        <w:t>que existe una red compleja de fuerzas entre actores con distintas preferencias   y opiniones (Rocha:</w:t>
      </w:r>
      <w:r>
        <w:rPr>
          <w:spacing w:val="24"/>
        </w:rPr>
        <w:t> </w:t>
      </w:r>
      <w:r>
        <w:rPr/>
        <w:t>2008).</w:t>
      </w:r>
    </w:p>
    <w:p>
      <w:pPr>
        <w:pStyle w:val="BodyText"/>
        <w:spacing w:line="364" w:lineRule="auto"/>
        <w:ind w:left="115" w:right="108" w:firstLine="686"/>
        <w:jc w:val="both"/>
      </w:pPr>
      <w:r>
        <w:rPr/>
        <w:t>En estos términos, se puede afirmar que en la definición de la  política pública, participan distintos actores, con poder e intereses diferenciados que cumplen un papel definido, dependiendo el lugar que ocupen en la jerarquía organizacional.</w:t>
      </w:r>
    </w:p>
    <w:p>
      <w:pPr>
        <w:pStyle w:val="BodyText"/>
        <w:spacing w:line="364" w:lineRule="auto" w:before="5"/>
        <w:ind w:left="115" w:right="107" w:firstLine="686"/>
        <w:jc w:val="both"/>
      </w:pPr>
      <w:r>
        <w:rPr/>
        <w:t>Rua (1998), por su parte, señala que los actores involucrados en el proceso de implementación de </w:t>
      </w:r>
      <w:r>
        <w:rPr>
          <w:spacing w:val="-3"/>
        </w:rPr>
        <w:t>una </w:t>
      </w:r>
      <w:r>
        <w:rPr/>
        <w:t>política pública están obligados a cumplir lo que fue decidido por </w:t>
      </w:r>
      <w:r>
        <w:rPr>
          <w:spacing w:val="4"/>
        </w:rPr>
        <w:t>el </w:t>
      </w:r>
      <w:r>
        <w:rPr/>
        <w:t>poder público. Sin embargo, esto no ocurre de forma  simple  y lineal, es </w:t>
      </w:r>
      <w:r>
        <w:rPr>
          <w:spacing w:val="3"/>
        </w:rPr>
        <w:t>un </w:t>
      </w:r>
      <w:r>
        <w:rPr/>
        <w:t>proceso dinámico que involucra no sólo a planeadores e implementadores, sino también a los actores participantes y a </w:t>
      </w:r>
      <w:r>
        <w:rPr>
          <w:spacing w:val="-3"/>
        </w:rPr>
        <w:t>los </w:t>
      </w:r>
      <w:r>
        <w:rPr/>
        <w:t>interesados en dicha política. Hay que señalar que todo proceso de alternativas de acción acarrea conflictos y disputas, </w:t>
      </w:r>
      <w:r>
        <w:rPr>
          <w:spacing w:val="-4"/>
        </w:rPr>
        <w:t>ya </w:t>
      </w:r>
      <w:r>
        <w:rPr/>
        <w:t>que existe una red compleja de fuerzas entre actores con distintas preferencias y</w:t>
      </w:r>
      <w:r>
        <w:rPr>
          <w:spacing w:val="33"/>
        </w:rPr>
        <w:t> </w:t>
      </w:r>
      <w:r>
        <w:rPr/>
        <w:t>opiniones.</w:t>
      </w:r>
    </w:p>
    <w:p>
      <w:pPr>
        <w:pStyle w:val="BodyText"/>
        <w:spacing w:line="364" w:lineRule="auto" w:before="5"/>
        <w:ind w:left="115" w:right="105" w:firstLine="686"/>
        <w:jc w:val="both"/>
      </w:pPr>
      <w:r>
        <w:rPr/>
        <w:t>En este proceso se desatan conflictos producidos por las  diferentes ideologías de los actores involucrados. Este hecho, muchas veces, tiene como consecuencia modificaciones en las características iniciales  de la política  pública en cuestión, y desencadena desenlaces distintos a los previstos en  el  diseño inicial. La implementación de una política pública requiere, por  lo  tanto, “flexibilidad, idas y venidas, un continuo proceso de interacción y negociación a </w:t>
      </w:r>
      <w:r>
        <w:rPr>
          <w:spacing w:val="-5"/>
        </w:rPr>
        <w:t>lo </w:t>
      </w:r>
      <w:r>
        <w:rPr/>
        <w:t>largo del tiempo, entre aquellos que quieren  llevar a la práctica alguna política  y  los responsables de su ejecución” (Rua, 1998:</w:t>
      </w:r>
      <w:r>
        <w:rPr>
          <w:spacing w:val="51"/>
        </w:rPr>
        <w:t> </w:t>
      </w:r>
      <w:r>
        <w:rPr/>
        <w:t>257).</w:t>
      </w:r>
    </w:p>
    <w:p>
      <w:pPr>
        <w:pStyle w:val="BodyText"/>
        <w:rPr>
          <w:sz w:val="22"/>
        </w:rPr>
      </w:pPr>
    </w:p>
    <w:p>
      <w:pPr>
        <w:pStyle w:val="Heading3"/>
        <w:numPr>
          <w:ilvl w:val="2"/>
          <w:numId w:val="6"/>
        </w:numPr>
        <w:tabs>
          <w:tab w:pos="775" w:val="left" w:leader="none"/>
        </w:tabs>
        <w:spacing w:line="364" w:lineRule="auto" w:before="150" w:after="0"/>
        <w:ind w:left="116" w:right="111" w:firstLine="0"/>
        <w:jc w:val="both"/>
      </w:pPr>
      <w:r>
        <w:rPr/>
        <w:t>Los actores, los juegos de poder y los límites de la racionalidad gubernamental</w:t>
      </w:r>
    </w:p>
    <w:p>
      <w:pPr>
        <w:pStyle w:val="BodyText"/>
        <w:spacing w:line="367" w:lineRule="auto"/>
        <w:ind w:left="115" w:right="104"/>
        <w:jc w:val="both"/>
      </w:pPr>
      <w:r>
        <w:rPr/>
        <w:t>Además del peso de los actores, señala Lindblom, importan los “juegos de poder”   o “juegos políticos” al interior de las burocracias, entre </w:t>
      </w:r>
      <w:r>
        <w:rPr>
          <w:spacing w:val="-3"/>
        </w:rPr>
        <w:t>las </w:t>
      </w:r>
      <w:r>
        <w:rPr/>
        <w:t>burocracias y los grupos de interés, entre los grupos de interés y entre burocracias y los ciudadanos organizados. Al respecto, establece Lindblom, los juegos de poder limitan </w:t>
      </w:r>
      <w:r>
        <w:rPr>
          <w:spacing w:val="-2"/>
        </w:rPr>
        <w:t>las </w:t>
      </w:r>
      <w:r>
        <w:rPr/>
        <w:t>posibilidades de hacer un análisis racional del problema y </w:t>
      </w:r>
      <w:r>
        <w:rPr>
          <w:spacing w:val="-3"/>
        </w:rPr>
        <w:t>más </w:t>
      </w:r>
      <w:r>
        <w:rPr/>
        <w:t>aún de hacer una política pública que resuelva, al menos parcialmente, la problemática </w:t>
      </w:r>
      <w:r>
        <w:rPr>
          <w:spacing w:val="24"/>
        </w:rPr>
        <w:t> </w:t>
      </w:r>
      <w:r>
        <w:rPr/>
        <w:t>detectada.</w:t>
      </w:r>
    </w:p>
    <w:p>
      <w:pPr>
        <w:spacing w:after="0" w:line="367" w:lineRule="auto"/>
        <w:jc w:val="both"/>
        <w:sectPr>
          <w:footerReference w:type="default" r:id="rId12"/>
          <w:pgSz w:w="11910" w:h="16840"/>
          <w:pgMar w:footer="1457" w:header="0" w:top="1580" w:bottom="1640" w:left="1540" w:right="1540"/>
        </w:sectPr>
      </w:pPr>
    </w:p>
    <w:p>
      <w:pPr>
        <w:pStyle w:val="BodyText"/>
        <w:rPr>
          <w:sz w:val="20"/>
        </w:rPr>
      </w:pPr>
    </w:p>
    <w:p>
      <w:pPr>
        <w:pStyle w:val="BodyText"/>
        <w:spacing w:before="2"/>
        <w:rPr>
          <w:sz w:val="16"/>
        </w:rPr>
      </w:pPr>
    </w:p>
    <w:p>
      <w:pPr>
        <w:pStyle w:val="BodyText"/>
        <w:spacing w:line="364" w:lineRule="auto" w:before="74"/>
        <w:ind w:left="116" w:right="105" w:firstLine="686"/>
        <w:jc w:val="both"/>
      </w:pPr>
      <w:r>
        <w:rPr/>
        <w:t>De acuerdo con Lindblom, la claridad de los objetivos con antelación a </w:t>
      </w:r>
      <w:r>
        <w:rPr>
          <w:spacing w:val="-5"/>
        </w:rPr>
        <w:t>la </w:t>
      </w:r>
      <w:r>
        <w:rPr/>
        <w:t>elección de una determinada política pública en principio parece  </w:t>
      </w:r>
      <w:r>
        <w:rPr>
          <w:spacing w:val="3"/>
        </w:rPr>
        <w:t>ser  </w:t>
      </w:r>
      <w:r>
        <w:rPr/>
        <w:t>una  operación más o menos racional en la que posteriormente se daría un entrelazamiento entre la valoración marginal y el análisis empírico. Sin embargo, </w:t>
      </w:r>
      <w:r>
        <w:rPr>
          <w:spacing w:val="-4"/>
        </w:rPr>
        <w:t>la </w:t>
      </w:r>
      <w:r>
        <w:rPr/>
        <w:t>diferencia principal estriba en que, </w:t>
      </w:r>
      <w:r>
        <w:rPr>
          <w:spacing w:val="2"/>
        </w:rPr>
        <w:t>de </w:t>
      </w:r>
      <w:r>
        <w:rPr/>
        <w:t>cara a problemas complejos, </w:t>
      </w:r>
      <w:r>
        <w:rPr>
          <w:spacing w:val="-4"/>
        </w:rPr>
        <w:t>la </w:t>
      </w:r>
      <w:r>
        <w:rPr/>
        <w:t>primera operación (clarificar propósitos) es imposible e irrelevante y </w:t>
      </w:r>
      <w:r>
        <w:rPr>
          <w:spacing w:val="-5"/>
        </w:rPr>
        <w:t>la </w:t>
      </w:r>
      <w:r>
        <w:rPr/>
        <w:t>segunda es posible    y pertinente, es decir la valoración mínima del analista sobre el  problema.</w:t>
      </w:r>
    </w:p>
    <w:p>
      <w:pPr>
        <w:pStyle w:val="BodyText"/>
        <w:spacing w:line="364" w:lineRule="auto" w:before="5"/>
        <w:ind w:left="116" w:right="104" w:firstLine="686"/>
        <w:jc w:val="both"/>
      </w:pPr>
      <w:r>
        <w:rPr/>
        <w:t>La segunda es posible porque el administrador no necesita  más  </w:t>
      </w:r>
      <w:r>
        <w:rPr>
          <w:spacing w:val="-3"/>
        </w:rPr>
        <w:t>que  </w:t>
      </w:r>
      <w:r>
        <w:rPr/>
        <w:t>analizar los valores en </w:t>
      </w:r>
      <w:r>
        <w:rPr>
          <w:spacing w:val="-3"/>
        </w:rPr>
        <w:t>los </w:t>
      </w:r>
      <w:r>
        <w:rPr/>
        <w:t>cuales difieren las varias opciones políticas y  no  necesita preocuparse </w:t>
      </w:r>
      <w:r>
        <w:rPr>
          <w:spacing w:val="3"/>
        </w:rPr>
        <w:t>de </w:t>
      </w:r>
      <w:r>
        <w:rPr/>
        <w:t>ellos excepto </w:t>
      </w:r>
      <w:r>
        <w:rPr>
          <w:spacing w:val="-3"/>
        </w:rPr>
        <w:t>en </w:t>
      </w:r>
      <w:r>
        <w:rPr/>
        <w:t>tanto difieren marginalmente. Su necesidad de informarse acerca de los valores u objetivos se reduce de manera drástica en comparación con la necesidad que plantea el método </w:t>
      </w:r>
      <w:r>
        <w:rPr>
          <w:spacing w:val="3"/>
        </w:rPr>
        <w:t>de </w:t>
      </w:r>
      <w:r>
        <w:rPr/>
        <w:t>ir a </w:t>
      </w:r>
      <w:r>
        <w:rPr>
          <w:spacing w:val="-3"/>
        </w:rPr>
        <w:t>la </w:t>
      </w:r>
      <w:r>
        <w:rPr/>
        <w:t>raíz (el primero). Y su capacidad de captar, comprender y relacionar los valores no se fuerza hasta el punto de romperse (Aguilar  2003:  210-211).</w:t>
      </w:r>
    </w:p>
    <w:p>
      <w:pPr>
        <w:pStyle w:val="BodyText"/>
        <w:spacing w:line="364" w:lineRule="auto" w:before="5"/>
        <w:ind w:left="116" w:right="110" w:firstLine="686"/>
        <w:jc w:val="both"/>
      </w:pPr>
      <w:r>
        <w:rPr/>
        <w:t>Esto es así, entre otras cosas, porque importan los juegos de poder. Con </w:t>
      </w:r>
      <w:r>
        <w:rPr>
          <w:spacing w:val="-5"/>
        </w:rPr>
        <w:t>la </w:t>
      </w:r>
      <w:r>
        <w:rPr/>
        <w:t>denominación del “juego del poder”, aclara Lindblom, nos referiremos frecuentemente a las interacciones políticas por medio de las cuales </w:t>
      </w:r>
      <w:r>
        <w:rPr>
          <w:spacing w:val="4"/>
        </w:rPr>
        <w:t>se </w:t>
      </w:r>
      <w:r>
        <w:rPr/>
        <w:t>controla a los demás. Ello sugiere unas interconexiones </w:t>
      </w:r>
      <w:r>
        <w:rPr>
          <w:spacing w:val="-3"/>
        </w:rPr>
        <w:t>más </w:t>
      </w:r>
      <w:r>
        <w:rPr/>
        <w:t>complejas y estrechas que las sugeridas por el simple término “interacciones” o por el término general “política”.  En este caso importa saber quién posee la autoridad formal y cuáles son  </w:t>
      </w:r>
      <w:r>
        <w:rPr>
          <w:spacing w:val="-3"/>
        </w:rPr>
        <w:t>las  </w:t>
      </w:r>
      <w:r>
        <w:rPr/>
        <w:t>hábiles maniobras legales e ilegales posibles entre los diversos tipos de decisores de políticas públicas y entre los partidos y los grupos </w:t>
      </w:r>
      <w:r>
        <w:rPr>
          <w:spacing w:val="-3"/>
        </w:rPr>
        <w:t>de </w:t>
      </w:r>
      <w:r>
        <w:rPr>
          <w:spacing w:val="9"/>
        </w:rPr>
        <w:t> </w:t>
      </w:r>
      <w:r>
        <w:rPr/>
        <w:t>interés.</w:t>
      </w:r>
    </w:p>
    <w:p>
      <w:pPr>
        <w:pStyle w:val="BodyText"/>
        <w:spacing w:line="364" w:lineRule="auto" w:before="197"/>
        <w:ind w:left="116" w:right="106" w:firstLine="686"/>
        <w:jc w:val="both"/>
      </w:pPr>
      <w:r>
        <w:rPr/>
        <w:t>Se sabe también que algunos participantes ejercen poderes no  especificados por escrito en las reglas dictadas por  el gobierno;  que  el dinero llama </w:t>
      </w:r>
      <w:r>
        <w:rPr>
          <w:spacing w:val="4"/>
        </w:rPr>
        <w:t>al </w:t>
      </w:r>
      <w:r>
        <w:rPr/>
        <w:t>dinero (poderes fácticos); que los políticos a veces logran cosas  haciéndose favores mutuos y a veces “eliminándose uno a otro”; y que todo </w:t>
      </w:r>
      <w:r>
        <w:rPr>
          <w:spacing w:val="2"/>
        </w:rPr>
        <w:t>el </w:t>
      </w:r>
      <w:r>
        <w:rPr/>
        <w:t>complejo y semi oculto mundo de la política frecuentemente imposibilita </w:t>
      </w:r>
      <w:r>
        <w:rPr>
          <w:spacing w:val="-5"/>
        </w:rPr>
        <w:t>la </w:t>
      </w:r>
      <w:r>
        <w:rPr/>
        <w:t>asignación de responsabilidades por el éxito o el fracaso en las políticas públicas (Lindblom, 1991:</w:t>
      </w:r>
      <w:r>
        <w:rPr>
          <w:spacing w:val="21"/>
        </w:rPr>
        <w:t> </w:t>
      </w:r>
      <w:r>
        <w:rPr/>
        <w:t>57).</w:t>
      </w:r>
    </w:p>
    <w:p>
      <w:pPr>
        <w:pStyle w:val="BodyText"/>
        <w:spacing w:line="364" w:lineRule="auto" w:before="5"/>
        <w:ind w:left="116" w:right="108" w:firstLine="686"/>
        <w:jc w:val="both"/>
      </w:pPr>
      <w:r>
        <w:rPr/>
        <w:t>En todos los sistemas políticos nacionales, dice Lindblom, los decisores activos   que   actúan  de  modo  inmediato   y  próximo  a  las   políticas     públicas,</w:t>
      </w:r>
    </w:p>
    <w:p>
      <w:pPr>
        <w:spacing w:after="0" w:line="364" w:lineRule="auto"/>
        <w:jc w:val="both"/>
        <w:sectPr>
          <w:footerReference w:type="default" r:id="rId13"/>
          <w:pgSz w:w="11910" w:h="16840"/>
          <w:pgMar w:footer="1457" w:header="0" w:top="1580" w:bottom="1640" w:left="1540" w:right="1540"/>
          <w:pgNumType w:start="31"/>
        </w:sectPr>
      </w:pPr>
    </w:p>
    <w:p>
      <w:pPr>
        <w:pStyle w:val="BodyText"/>
        <w:rPr>
          <w:sz w:val="20"/>
        </w:rPr>
      </w:pPr>
    </w:p>
    <w:p>
      <w:pPr>
        <w:pStyle w:val="BodyText"/>
        <w:spacing w:before="2"/>
        <w:rPr>
          <w:sz w:val="16"/>
        </w:rPr>
      </w:pPr>
    </w:p>
    <w:p>
      <w:pPr>
        <w:pStyle w:val="BodyText"/>
        <w:spacing w:line="364" w:lineRule="auto" w:before="74"/>
        <w:ind w:left="115" w:right="110"/>
        <w:jc w:val="both"/>
      </w:pPr>
      <w:r>
        <w:rPr/>
        <w:t>constituyen una pequeña proporción de </w:t>
      </w:r>
      <w:r>
        <w:rPr>
          <w:spacing w:val="-3"/>
        </w:rPr>
        <w:t>la </w:t>
      </w:r>
      <w:r>
        <w:rPr/>
        <w:t>población adulta. Dado </w:t>
      </w:r>
      <w:r>
        <w:rPr>
          <w:spacing w:val="3"/>
        </w:rPr>
        <w:t>su </w:t>
      </w:r>
      <w:r>
        <w:rPr/>
        <w:t>control sobre  </w:t>
      </w:r>
      <w:r>
        <w:rPr>
          <w:spacing w:val="-5"/>
        </w:rPr>
        <w:t>la </w:t>
      </w:r>
      <w:r>
        <w:rPr/>
        <w:t>elaboración de las políticas, estos constituyen una  élite, compuesta por el jefe  del ejecutivo, miembros del Gabinete, miembros del Parlamento, miembros de </w:t>
      </w:r>
      <w:r>
        <w:rPr>
          <w:spacing w:val="-4"/>
        </w:rPr>
        <w:t>la</w:t>
      </w:r>
      <w:r>
        <w:rPr>
          <w:spacing w:val="55"/>
        </w:rPr>
        <w:t> </w:t>
      </w:r>
      <w:r>
        <w:rPr/>
        <w:t>Administración que elaboran las políticas públicas, altos niveles de la judicatura </w:t>
      </w:r>
      <w:r>
        <w:rPr>
          <w:spacing w:val="-3"/>
        </w:rPr>
        <w:t>y, </w:t>
      </w:r>
      <w:r>
        <w:rPr/>
        <w:t>en algunos sistemas, altos cargos militares. La </w:t>
      </w:r>
      <w:r>
        <w:rPr>
          <w:spacing w:val="-3"/>
        </w:rPr>
        <w:t>élite </w:t>
      </w:r>
      <w:r>
        <w:rPr/>
        <w:t>de decisores del proceso de políticas púbicas también incluye a los jefes políticos y a los altos cargos de los partidos que comparten con los funcionarios de la Administración  </w:t>
      </w:r>
      <w:r>
        <w:rPr>
          <w:spacing w:val="-5"/>
        </w:rPr>
        <w:t>la  </w:t>
      </w:r>
      <w:r>
        <w:rPr/>
        <w:t>responsabilidad de la decisión. A este conjunto de personas se </w:t>
      </w:r>
      <w:r>
        <w:rPr>
          <w:spacing w:val="-4"/>
        </w:rPr>
        <w:t>le</w:t>
      </w:r>
      <w:r>
        <w:rPr>
          <w:spacing w:val="55"/>
        </w:rPr>
        <w:t> </w:t>
      </w:r>
      <w:r>
        <w:rPr/>
        <w:t>puede  denominar la </w:t>
      </w:r>
      <w:r>
        <w:rPr>
          <w:spacing w:val="-3"/>
        </w:rPr>
        <w:t>“élite </w:t>
      </w:r>
      <w:r>
        <w:rPr>
          <w:spacing w:val="3"/>
        </w:rPr>
        <w:t>de </w:t>
      </w:r>
      <w:r>
        <w:rPr/>
        <w:t>decisores </w:t>
      </w:r>
      <w:r>
        <w:rPr>
          <w:spacing w:val="2"/>
        </w:rPr>
        <w:t>de </w:t>
      </w:r>
      <w:r>
        <w:rPr/>
        <w:t>políticas públicas” (Lindblom, 1991: </w:t>
      </w:r>
      <w:r>
        <w:rPr>
          <w:spacing w:val="15"/>
        </w:rPr>
        <w:t> </w:t>
      </w:r>
      <w:r>
        <w:rPr/>
        <w:t>58).</w:t>
      </w:r>
    </w:p>
    <w:p>
      <w:pPr>
        <w:pStyle w:val="BodyText"/>
        <w:spacing w:line="364" w:lineRule="auto" w:before="5"/>
        <w:ind w:left="115" w:right="107" w:firstLine="686"/>
        <w:jc w:val="right"/>
      </w:pPr>
      <w:r>
        <w:rPr/>
        <w:t>Empero, el mayor grupo de participantes es sin duda el de</w:t>
      </w:r>
      <w:r>
        <w:rPr>
          <w:spacing w:val="2"/>
        </w:rPr>
        <w:t> </w:t>
      </w:r>
      <w:r>
        <w:rPr/>
        <w:t>los simples</w:t>
      </w:r>
      <w:r>
        <w:rPr>
          <w:spacing w:val="-1"/>
          <w:w w:val="101"/>
        </w:rPr>
        <w:t> </w:t>
      </w:r>
      <w:r>
        <w:rPr/>
        <w:t>ciudadanos,</w:t>
      </w:r>
      <w:r>
        <w:rPr>
          <w:spacing w:val="46"/>
        </w:rPr>
        <w:t> </w:t>
      </w:r>
      <w:r>
        <w:rPr/>
        <w:t>que</w:t>
      </w:r>
      <w:r>
        <w:rPr>
          <w:spacing w:val="46"/>
        </w:rPr>
        <w:t> </w:t>
      </w:r>
      <w:r>
        <w:rPr/>
        <w:t>aisladamente</w:t>
      </w:r>
      <w:r>
        <w:rPr>
          <w:spacing w:val="46"/>
        </w:rPr>
        <w:t> </w:t>
      </w:r>
      <w:r>
        <w:rPr/>
        <w:t>tienen</w:t>
      </w:r>
      <w:r>
        <w:rPr>
          <w:spacing w:val="46"/>
        </w:rPr>
        <w:t> </w:t>
      </w:r>
      <w:r>
        <w:rPr/>
        <w:t>poca</w:t>
      </w:r>
      <w:r>
        <w:rPr>
          <w:spacing w:val="53"/>
        </w:rPr>
        <w:t> </w:t>
      </w:r>
      <w:r>
        <w:rPr/>
        <w:t>relevancia.</w:t>
      </w:r>
      <w:r>
        <w:rPr>
          <w:spacing w:val="46"/>
        </w:rPr>
        <w:t> </w:t>
      </w:r>
      <w:r>
        <w:rPr/>
        <w:t>Aparte</w:t>
      </w:r>
      <w:r>
        <w:rPr>
          <w:spacing w:val="46"/>
        </w:rPr>
        <w:t> </w:t>
      </w:r>
      <w:r>
        <w:rPr/>
        <w:t>de</w:t>
      </w:r>
      <w:r>
        <w:rPr>
          <w:spacing w:val="46"/>
        </w:rPr>
        <w:t> </w:t>
      </w:r>
      <w:r>
        <w:rPr/>
        <w:t>la</w:t>
      </w:r>
      <w:r>
        <w:rPr>
          <w:spacing w:val="46"/>
        </w:rPr>
        <w:t> </w:t>
      </w:r>
      <w:r>
        <w:rPr/>
        <w:t>emisión</w:t>
      </w:r>
      <w:r>
        <w:rPr>
          <w:spacing w:val="46"/>
        </w:rPr>
        <w:t> </w:t>
      </w:r>
      <w:r>
        <w:rPr/>
        <w:t>del</w:t>
      </w:r>
      <w:r>
        <w:rPr>
          <w:w w:val="101"/>
        </w:rPr>
        <w:t> </w:t>
      </w:r>
      <w:r>
        <w:rPr/>
        <w:t>voto, en los sistemas democráticos y en muchos de los autoritarios,</w:t>
      </w:r>
      <w:r>
        <w:rPr>
          <w:spacing w:val="46"/>
        </w:rPr>
        <w:t> </w:t>
      </w:r>
      <w:r>
        <w:rPr/>
        <w:t>los</w:t>
      </w:r>
      <w:r>
        <w:rPr>
          <w:spacing w:val="37"/>
        </w:rPr>
        <w:t> </w:t>
      </w:r>
      <w:r>
        <w:rPr/>
        <w:t>simples</w:t>
      </w:r>
      <w:r>
        <w:rPr>
          <w:spacing w:val="-1"/>
          <w:w w:val="101"/>
        </w:rPr>
        <w:t> </w:t>
      </w:r>
      <w:r>
        <w:rPr/>
        <w:t>ciudadanos imponen limitaciones a los decisores de </w:t>
      </w:r>
      <w:r>
        <w:rPr>
          <w:spacing w:val="-3"/>
        </w:rPr>
        <w:t>las </w:t>
      </w:r>
      <w:r>
        <w:rPr/>
        <w:t>políticas públicas.</w:t>
      </w:r>
      <w:r>
        <w:rPr>
          <w:spacing w:val="30"/>
        </w:rPr>
        <w:t> </w:t>
      </w:r>
      <w:r>
        <w:rPr/>
        <w:t>Si</w:t>
      </w:r>
      <w:r>
        <w:rPr>
          <w:spacing w:val="38"/>
        </w:rPr>
        <w:t> </w:t>
      </w:r>
      <w:r>
        <w:rPr/>
        <w:t>se</w:t>
      </w:r>
      <w:r>
        <w:rPr>
          <w:spacing w:val="-1"/>
          <w:w w:val="101"/>
        </w:rPr>
        <w:t> </w:t>
      </w:r>
      <w:r>
        <w:rPr/>
        <w:t>trata muy mal a los ciudadanos, la eficiencia del trabajo de  estos</w:t>
      </w:r>
      <w:r>
        <w:rPr>
          <w:spacing w:val="1"/>
        </w:rPr>
        <w:t> </w:t>
      </w:r>
      <w:r>
        <w:rPr>
          <w:spacing w:val="2"/>
        </w:rPr>
        <w:t>se</w:t>
      </w:r>
      <w:r>
        <w:rPr>
          <w:spacing w:val="50"/>
        </w:rPr>
        <w:t> </w:t>
      </w:r>
      <w:r>
        <w:rPr/>
        <w:t>deteriora,</w:t>
      </w:r>
      <w:r>
        <w:rPr>
          <w:spacing w:val="-1"/>
          <w:w w:val="101"/>
        </w:rPr>
        <w:t> </w:t>
      </w:r>
      <w:r>
        <w:rPr/>
        <w:t>dado que los ciudadanos necesitan alimentación,  formación,  incentivos, </w:t>
      </w:r>
      <w:r>
        <w:rPr>
          <w:spacing w:val="16"/>
        </w:rPr>
        <w:t> </w:t>
      </w:r>
      <w:r>
        <w:rPr/>
        <w:t>entre</w:t>
      </w:r>
      <w:r>
        <w:rPr>
          <w:spacing w:val="-1"/>
          <w:w w:val="101"/>
        </w:rPr>
        <w:t> </w:t>
      </w:r>
      <w:r>
        <w:rPr/>
        <w:t>otros insumos sociales y las políticas públicas deben atender a</w:t>
      </w:r>
      <w:r>
        <w:rPr>
          <w:spacing w:val="14"/>
        </w:rPr>
        <w:t> </w:t>
      </w:r>
      <w:r>
        <w:rPr/>
        <w:t>estas</w:t>
      </w:r>
      <w:r>
        <w:rPr>
          <w:spacing w:val="6"/>
        </w:rPr>
        <w:t> </w:t>
      </w:r>
      <w:r>
        <w:rPr/>
        <w:t>necesidades.</w:t>
      </w:r>
      <w:r>
        <w:rPr>
          <w:spacing w:val="-1"/>
          <w:w w:val="101"/>
        </w:rPr>
        <w:t> </w:t>
      </w:r>
      <w:r>
        <w:rPr/>
        <w:t>Por otra parte, entre los decisores de las políticas públicas y</w:t>
      </w:r>
      <w:r>
        <w:rPr>
          <w:spacing w:val="33"/>
        </w:rPr>
        <w:t> </w:t>
      </w:r>
      <w:r>
        <w:rPr/>
        <w:t>los</w:t>
      </w:r>
      <w:r>
        <w:rPr>
          <w:spacing w:val="48"/>
        </w:rPr>
        <w:t> </w:t>
      </w:r>
      <w:r>
        <w:rPr/>
        <w:t>simples</w:t>
      </w:r>
      <w:r>
        <w:rPr>
          <w:spacing w:val="-1"/>
          <w:w w:val="101"/>
        </w:rPr>
        <w:t> </w:t>
      </w:r>
      <w:r>
        <w:rPr/>
        <w:t>ciudadanos, hay muchos otros participantes especializados</w:t>
      </w:r>
      <w:r>
        <w:rPr>
          <w:spacing w:val="14"/>
        </w:rPr>
        <w:t> </w:t>
      </w:r>
      <w:r>
        <w:rPr/>
        <w:t>que</w:t>
      </w:r>
      <w:r>
        <w:rPr>
          <w:spacing w:val="52"/>
        </w:rPr>
        <w:t> </w:t>
      </w:r>
      <w:r>
        <w:rPr/>
        <w:t>desarrollan</w:t>
      </w:r>
      <w:r>
        <w:rPr>
          <w:spacing w:val="-1"/>
          <w:w w:val="101"/>
        </w:rPr>
        <w:t> </w:t>
      </w:r>
      <w:r>
        <w:rPr/>
        <w:t>papeles que difieren de un sistema a otro: entre estos se incluyen  los </w:t>
      </w:r>
      <w:r>
        <w:rPr>
          <w:spacing w:val="5"/>
        </w:rPr>
        <w:t> </w:t>
      </w:r>
      <w:r>
        <w:rPr/>
        <w:t>líderes</w:t>
      </w:r>
      <w:r>
        <w:rPr>
          <w:spacing w:val="33"/>
        </w:rPr>
        <w:t> </w:t>
      </w:r>
      <w:r>
        <w:rPr/>
        <w:t>de</w:t>
      </w:r>
      <w:r>
        <w:rPr>
          <w:spacing w:val="-1"/>
          <w:w w:val="101"/>
        </w:rPr>
        <w:t> </w:t>
      </w:r>
      <w:r>
        <w:rPr/>
        <w:t>los grupos de interés, las agrupaciones de</w:t>
      </w:r>
      <w:r>
        <w:rPr>
          <w:spacing w:val="55"/>
        </w:rPr>
        <w:t> </w:t>
      </w:r>
      <w:r>
        <w:rPr/>
        <w:t>trabajadores, los periodistas y</w:t>
      </w:r>
      <w:r>
        <w:rPr>
          <w:spacing w:val="40"/>
        </w:rPr>
        <w:t> </w:t>
      </w:r>
      <w:r>
        <w:rPr/>
        <w:t>otros</w:t>
      </w:r>
      <w:r>
        <w:rPr>
          <w:spacing w:val="-1"/>
          <w:w w:val="101"/>
        </w:rPr>
        <w:t> </w:t>
      </w:r>
      <w:r>
        <w:rPr/>
        <w:t>líderes de la opinión pública, los hombres </w:t>
      </w:r>
      <w:r>
        <w:rPr>
          <w:spacing w:val="3"/>
        </w:rPr>
        <w:t>de </w:t>
      </w:r>
      <w:r>
        <w:rPr/>
        <w:t>negocios y </w:t>
      </w:r>
      <w:r>
        <w:rPr>
          <w:spacing w:val="-3"/>
        </w:rPr>
        <w:t>los </w:t>
      </w:r>
      <w:r>
        <w:rPr/>
        <w:t>funcionarios</w:t>
      </w:r>
      <w:r>
        <w:rPr>
          <w:spacing w:val="59"/>
        </w:rPr>
        <w:t> </w:t>
      </w:r>
      <w:r>
        <w:rPr/>
        <w:t>locales</w:t>
      </w:r>
      <w:r>
        <w:rPr>
          <w:spacing w:val="21"/>
        </w:rPr>
        <w:t> </w:t>
      </w:r>
      <w:r>
        <w:rPr/>
        <w:t>o</w:t>
      </w:r>
      <w:r>
        <w:rPr>
          <w:w w:val="101"/>
        </w:rPr>
        <w:t> </w:t>
      </w:r>
      <w:r>
        <w:rPr/>
        <w:t>de  otras   unidades  de   gobierno   subordinadas,  funcionarios  </w:t>
      </w:r>
      <w:r>
        <w:rPr>
          <w:spacing w:val="3"/>
        </w:rPr>
        <w:t>de  </w:t>
      </w:r>
      <w:r>
        <w:rPr/>
        <w:t>los  </w:t>
      </w:r>
      <w:r>
        <w:rPr>
          <w:spacing w:val="37"/>
        </w:rPr>
        <w:t> </w:t>
      </w:r>
      <w:r>
        <w:rPr/>
        <w:t>gobiernos</w:t>
      </w:r>
    </w:p>
    <w:p>
      <w:pPr>
        <w:pStyle w:val="BodyText"/>
        <w:ind w:left="115"/>
        <w:jc w:val="both"/>
      </w:pPr>
      <w:r>
        <w:rPr/>
        <w:t>extranjeros y líderes de los grupos de interés involucrados (Lindblom, 1991:  58).</w:t>
      </w:r>
    </w:p>
    <w:p>
      <w:pPr>
        <w:pStyle w:val="BodyText"/>
        <w:rPr>
          <w:sz w:val="22"/>
        </w:rPr>
      </w:pPr>
    </w:p>
    <w:p>
      <w:pPr>
        <w:pStyle w:val="BodyText"/>
        <w:spacing w:before="1"/>
        <w:rPr>
          <w:sz w:val="25"/>
        </w:rPr>
      </w:pPr>
    </w:p>
    <w:p>
      <w:pPr>
        <w:pStyle w:val="Heading3"/>
        <w:numPr>
          <w:ilvl w:val="2"/>
          <w:numId w:val="6"/>
        </w:numPr>
        <w:tabs>
          <w:tab w:pos="699" w:val="left" w:leader="none"/>
        </w:tabs>
        <w:spacing w:line="240" w:lineRule="auto" w:before="0" w:after="0"/>
        <w:ind w:left="698" w:right="0" w:hanging="582"/>
        <w:jc w:val="both"/>
      </w:pPr>
      <w:bookmarkStart w:name="_TOC_250027" w:id="5"/>
      <w:r>
        <w:rPr/>
        <w:t>Las normas y los juegos de</w:t>
      </w:r>
      <w:r>
        <w:rPr>
          <w:spacing w:val="43"/>
        </w:rPr>
        <w:t> </w:t>
      </w:r>
      <w:bookmarkEnd w:id="5"/>
      <w:r>
        <w:rPr/>
        <w:t>poder</w:t>
      </w:r>
    </w:p>
    <w:p>
      <w:pPr>
        <w:pStyle w:val="BodyText"/>
        <w:spacing w:line="364" w:lineRule="auto" w:before="134"/>
        <w:ind w:left="115" w:right="113"/>
        <w:jc w:val="both"/>
      </w:pPr>
      <w:r>
        <w:rPr/>
        <w:t>Ahora bien, se pregunta Lindblom, ¿qué tanto pesan las normas para contener la posible actuación ilegal o extralegal de algún o algunos miembros de la “elite de decisores? En otras palabras, reflexiona Lindblom sobre el alcance de las reglas para evitar que los “juegos de poder”, rebasen los límites establecidos en las leyes correspondientes.</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6" w:right="107" w:firstLine="686"/>
        <w:jc w:val="both"/>
      </w:pPr>
      <w:r>
        <w:rPr/>
        <w:t>En principio, con </w:t>
      </w:r>
      <w:r>
        <w:rPr>
          <w:spacing w:val="-5"/>
        </w:rPr>
        <w:t>la </w:t>
      </w:r>
      <w:r>
        <w:rPr/>
        <w:t>posible excepción de las personas sin moral, todo el mundo se encuentra </w:t>
      </w:r>
      <w:r>
        <w:rPr>
          <w:spacing w:val="-3"/>
        </w:rPr>
        <w:t>bajo </w:t>
      </w:r>
      <w:r>
        <w:rPr/>
        <w:t>el serio peso de </w:t>
      </w:r>
      <w:r>
        <w:rPr>
          <w:spacing w:val="-3"/>
        </w:rPr>
        <w:t>normas </w:t>
      </w:r>
      <w:r>
        <w:rPr/>
        <w:t>que limitan </w:t>
      </w:r>
      <w:r>
        <w:rPr>
          <w:spacing w:val="4"/>
        </w:rPr>
        <w:t>su </w:t>
      </w:r>
      <w:r>
        <w:rPr/>
        <w:t>comportamiento. Las normas legales, algunas firmes y otras flexibles por </w:t>
      </w:r>
      <w:r>
        <w:rPr>
          <w:spacing w:val="-4"/>
        </w:rPr>
        <w:t>la </w:t>
      </w:r>
      <w:r>
        <w:rPr/>
        <w:t>dificultad de aplicación, nos imponen algunas elecciones  e influyen  en otras  que escogemos  libremente, es decir, las normas resultan más o </w:t>
      </w:r>
      <w:r>
        <w:rPr>
          <w:spacing w:val="-3"/>
        </w:rPr>
        <w:t>menos </w:t>
      </w:r>
      <w:r>
        <w:rPr/>
        <w:t>influyentes según sea </w:t>
      </w:r>
      <w:r>
        <w:rPr>
          <w:spacing w:val="-5"/>
        </w:rPr>
        <w:t>la </w:t>
      </w:r>
      <w:r>
        <w:rPr/>
        <w:t>esfera vital a    </w:t>
      </w:r>
      <w:r>
        <w:rPr>
          <w:spacing w:val="-5"/>
        </w:rPr>
        <w:t>la </w:t>
      </w:r>
      <w:r>
        <w:rPr/>
        <w:t>que</w:t>
      </w:r>
      <w:r>
        <w:rPr>
          <w:spacing w:val="29"/>
        </w:rPr>
        <w:t> </w:t>
      </w:r>
      <w:r>
        <w:rPr/>
        <w:t>afecten.</w:t>
      </w:r>
    </w:p>
    <w:p>
      <w:pPr>
        <w:pStyle w:val="BodyText"/>
        <w:spacing w:line="364" w:lineRule="auto" w:before="5"/>
        <w:ind w:left="116" w:right="109" w:firstLine="686"/>
        <w:jc w:val="both"/>
      </w:pPr>
      <w:r>
        <w:rPr/>
        <w:t>La interacción política en el “juego de poder”, se encuentra intensamente regulada por normas. Un sistema político es en esencia un sistema de normas que especifican los diferentes papeles que han de desempeñarse –tales como el titular del ejecutivo, el legislador o el simple ciudadano. Así, las normas especifican quiénes son elegibles y cómo han de ser seleccionadas las personas para desempeñar cada papel.</w:t>
      </w:r>
    </w:p>
    <w:p>
      <w:pPr>
        <w:pStyle w:val="BodyText"/>
        <w:tabs>
          <w:tab w:pos="1315" w:val="left" w:leader="none"/>
          <w:tab w:pos="1699" w:val="left" w:leader="none"/>
          <w:tab w:pos="2317" w:val="left" w:leader="none"/>
          <w:tab w:pos="3315" w:val="left" w:leader="none"/>
          <w:tab w:pos="4240" w:val="left" w:leader="none"/>
          <w:tab w:pos="5456" w:val="left" w:leader="none"/>
          <w:tab w:pos="5984" w:val="left" w:leader="none"/>
          <w:tab w:pos="6988" w:val="left" w:leader="none"/>
        </w:tabs>
        <w:spacing w:line="364" w:lineRule="auto"/>
        <w:ind w:left="116" w:right="107" w:firstLine="686"/>
        <w:jc w:val="right"/>
      </w:pPr>
      <w:r>
        <w:rPr/>
        <w:t>También</w:t>
      </w:r>
      <w:r>
        <w:rPr>
          <w:spacing w:val="29"/>
        </w:rPr>
        <w:t> </w:t>
      </w:r>
      <w:r>
        <w:rPr/>
        <w:t>especifican</w:t>
      </w:r>
      <w:r>
        <w:rPr>
          <w:spacing w:val="29"/>
        </w:rPr>
        <w:t> </w:t>
      </w:r>
      <w:r>
        <w:rPr/>
        <w:t>lo</w:t>
      </w:r>
      <w:r>
        <w:rPr>
          <w:spacing w:val="26"/>
        </w:rPr>
        <w:t> </w:t>
      </w:r>
      <w:r>
        <w:rPr/>
        <w:t>que</w:t>
      </w:r>
      <w:r>
        <w:rPr>
          <w:spacing w:val="29"/>
        </w:rPr>
        <w:t> </w:t>
      </w:r>
      <w:r>
        <w:rPr/>
        <w:t>a</w:t>
      </w:r>
      <w:r>
        <w:rPr>
          <w:spacing w:val="20"/>
        </w:rPr>
        <w:t> </w:t>
      </w:r>
      <w:r>
        <w:rPr/>
        <w:t>cada</w:t>
      </w:r>
      <w:r>
        <w:rPr>
          <w:spacing w:val="29"/>
        </w:rPr>
        <w:t> </w:t>
      </w:r>
      <w:r>
        <w:rPr/>
        <w:t>actor</w:t>
      </w:r>
      <w:r>
        <w:rPr>
          <w:spacing w:val="25"/>
        </w:rPr>
        <w:t> </w:t>
      </w:r>
      <w:r>
        <w:rPr/>
        <w:t>le</w:t>
      </w:r>
      <w:r>
        <w:rPr>
          <w:spacing w:val="29"/>
        </w:rPr>
        <w:t> </w:t>
      </w:r>
      <w:r>
        <w:rPr/>
        <w:t>es</w:t>
      </w:r>
      <w:r>
        <w:rPr>
          <w:spacing w:val="29"/>
        </w:rPr>
        <w:t> </w:t>
      </w:r>
      <w:r>
        <w:rPr/>
        <w:t>permitido</w:t>
      </w:r>
      <w:r>
        <w:rPr>
          <w:spacing w:val="29"/>
        </w:rPr>
        <w:t> </w:t>
      </w:r>
      <w:r>
        <w:rPr/>
        <w:t>o</w:t>
      </w:r>
      <w:r>
        <w:rPr>
          <w:spacing w:val="34"/>
        </w:rPr>
        <w:t> </w:t>
      </w:r>
      <w:r>
        <w:rPr/>
        <w:t>prohibido</w:t>
      </w:r>
      <w:r>
        <w:rPr>
          <w:spacing w:val="29"/>
        </w:rPr>
        <w:t> </w:t>
      </w:r>
      <w:r>
        <w:rPr/>
        <w:t>hacer</w:t>
      </w:r>
      <w:r>
        <w:rPr>
          <w:spacing w:val="-1"/>
          <w:w w:val="101"/>
        </w:rPr>
        <w:t> </w:t>
      </w:r>
      <w:r>
        <w:rPr/>
        <w:t>en</w:t>
      </w:r>
      <w:r>
        <w:rPr>
          <w:spacing w:val="29"/>
        </w:rPr>
        <w:t> </w:t>
      </w:r>
      <w:r>
        <w:rPr/>
        <w:t>el</w:t>
      </w:r>
      <w:r>
        <w:rPr>
          <w:spacing w:val="29"/>
        </w:rPr>
        <w:t> </w:t>
      </w:r>
      <w:r>
        <w:rPr/>
        <w:t>desempeño</w:t>
      </w:r>
      <w:r>
        <w:rPr>
          <w:spacing w:val="35"/>
        </w:rPr>
        <w:t> </w:t>
      </w:r>
      <w:r>
        <w:rPr/>
        <w:t>de</w:t>
      </w:r>
      <w:r>
        <w:rPr>
          <w:spacing w:val="29"/>
        </w:rPr>
        <w:t> </w:t>
      </w:r>
      <w:r>
        <w:rPr>
          <w:spacing w:val="2"/>
        </w:rPr>
        <w:t>su</w:t>
      </w:r>
      <w:r>
        <w:rPr>
          <w:spacing w:val="29"/>
        </w:rPr>
        <w:t> </w:t>
      </w:r>
      <w:r>
        <w:rPr/>
        <w:t>papel.</w:t>
      </w:r>
      <w:r>
        <w:rPr>
          <w:spacing w:val="35"/>
        </w:rPr>
        <w:t> </w:t>
      </w:r>
      <w:r>
        <w:rPr/>
        <w:t>De</w:t>
      </w:r>
      <w:r>
        <w:rPr>
          <w:spacing w:val="29"/>
        </w:rPr>
        <w:t> </w:t>
      </w:r>
      <w:r>
        <w:rPr/>
        <w:t>esta</w:t>
      </w:r>
      <w:r>
        <w:rPr>
          <w:spacing w:val="29"/>
        </w:rPr>
        <w:t> </w:t>
      </w:r>
      <w:r>
        <w:rPr/>
        <w:t>manera,</w:t>
      </w:r>
      <w:r>
        <w:rPr>
          <w:spacing w:val="29"/>
        </w:rPr>
        <w:t> </w:t>
      </w:r>
      <w:r>
        <w:rPr/>
        <w:t>por</w:t>
      </w:r>
      <w:r>
        <w:rPr>
          <w:spacing w:val="29"/>
        </w:rPr>
        <w:t> </w:t>
      </w:r>
      <w:r>
        <w:rPr>
          <w:spacing w:val="3"/>
        </w:rPr>
        <w:t>su</w:t>
      </w:r>
      <w:r>
        <w:rPr>
          <w:spacing w:val="29"/>
        </w:rPr>
        <w:t> </w:t>
      </w:r>
      <w:r>
        <w:rPr/>
        <w:t>gran</w:t>
      </w:r>
      <w:r>
        <w:rPr>
          <w:spacing w:val="29"/>
        </w:rPr>
        <w:t> </w:t>
      </w:r>
      <w:r>
        <w:rPr/>
        <w:t>subordinación</w:t>
      </w:r>
      <w:r>
        <w:rPr>
          <w:spacing w:val="29"/>
        </w:rPr>
        <w:t> </w:t>
      </w:r>
      <w:r>
        <w:rPr/>
        <w:t>a</w:t>
      </w:r>
      <w:r>
        <w:rPr>
          <w:spacing w:val="29"/>
        </w:rPr>
        <w:t> </w:t>
      </w:r>
      <w:r>
        <w:rPr/>
        <w:t>las</w:t>
      </w:r>
      <w:r>
        <w:rPr>
          <w:spacing w:val="-1"/>
          <w:w w:val="101"/>
        </w:rPr>
        <w:t> </w:t>
      </w:r>
      <w:r>
        <w:rPr/>
        <w:t>normas, el juego de poder se asemeja a una partida de juego, de forma</w:t>
      </w:r>
      <w:r>
        <w:rPr>
          <w:spacing w:val="36"/>
        </w:rPr>
        <w:t> </w:t>
      </w:r>
      <w:r>
        <w:rPr/>
        <w:t>que</w:t>
      </w:r>
      <w:r>
        <w:rPr>
          <w:spacing w:val="28"/>
        </w:rPr>
        <w:t> </w:t>
      </w:r>
      <w:r>
        <w:rPr/>
        <w:t>las</w:t>
      </w:r>
      <w:r>
        <w:rPr>
          <w:spacing w:val="-1"/>
          <w:w w:val="101"/>
        </w:rPr>
        <w:t> </w:t>
      </w:r>
      <w:r>
        <w:rPr/>
        <w:t>luchas de poder nunca degeneran en una </w:t>
      </w:r>
      <w:r>
        <w:rPr>
          <w:spacing w:val="-4"/>
        </w:rPr>
        <w:t>lucha </w:t>
      </w:r>
      <w:r>
        <w:rPr/>
        <w:t>a puñetazos (Lindblom,</w:t>
      </w:r>
      <w:r>
        <w:rPr>
          <w:spacing w:val="34"/>
        </w:rPr>
        <w:t> </w:t>
      </w:r>
      <w:r>
        <w:rPr/>
        <w:t>1991:</w:t>
      </w:r>
      <w:r>
        <w:rPr>
          <w:spacing w:val="7"/>
        </w:rPr>
        <w:t> </w:t>
      </w:r>
      <w:r>
        <w:rPr/>
        <w:t>59).</w:t>
      </w:r>
      <w:r>
        <w:rPr>
          <w:w w:val="101"/>
        </w:rPr>
        <w:t> </w:t>
      </w:r>
      <w:r>
        <w:rPr/>
        <w:t>Pero por otra parte, las normas declaradas </w:t>
      </w:r>
      <w:r>
        <w:rPr>
          <w:spacing w:val="-3"/>
        </w:rPr>
        <w:t>en </w:t>
      </w:r>
      <w:r>
        <w:rPr/>
        <w:t>la constitución escrita</w:t>
      </w:r>
      <w:r>
        <w:rPr>
          <w:spacing w:val="17"/>
        </w:rPr>
        <w:t> </w:t>
      </w:r>
      <w:r>
        <w:rPr/>
        <w:t>de</w:t>
      </w:r>
      <w:r>
        <w:rPr>
          <w:spacing w:val="11"/>
        </w:rPr>
        <w:t> </w:t>
      </w:r>
      <w:r>
        <w:rPr/>
        <w:t>una</w:t>
      </w:r>
      <w:r>
        <w:rPr>
          <w:spacing w:val="-1"/>
          <w:w w:val="101"/>
        </w:rPr>
        <w:t> </w:t>
      </w:r>
      <w:r>
        <w:rPr/>
        <w:t>nación,</w:t>
      </w:r>
      <w:r>
        <w:rPr>
          <w:spacing w:val="15"/>
        </w:rPr>
        <w:t> </w:t>
      </w:r>
      <w:r>
        <w:rPr/>
        <w:t>si</w:t>
      </w:r>
      <w:r>
        <w:rPr>
          <w:spacing w:val="20"/>
        </w:rPr>
        <w:t> </w:t>
      </w:r>
      <w:r>
        <w:rPr/>
        <w:t>es</w:t>
      </w:r>
      <w:r>
        <w:rPr>
          <w:spacing w:val="28"/>
        </w:rPr>
        <w:t> </w:t>
      </w:r>
      <w:r>
        <w:rPr/>
        <w:t>que</w:t>
      </w:r>
      <w:r>
        <w:rPr>
          <w:spacing w:val="20"/>
        </w:rPr>
        <w:t> </w:t>
      </w:r>
      <w:r>
        <w:rPr/>
        <w:t>existen,</w:t>
      </w:r>
      <w:r>
        <w:rPr>
          <w:spacing w:val="20"/>
        </w:rPr>
        <w:t> </w:t>
      </w:r>
      <w:r>
        <w:rPr/>
        <w:t>pueden</w:t>
      </w:r>
      <w:r>
        <w:rPr>
          <w:spacing w:val="20"/>
        </w:rPr>
        <w:t> </w:t>
      </w:r>
      <w:r>
        <w:rPr/>
        <w:t>no</w:t>
      </w:r>
      <w:r>
        <w:rPr>
          <w:spacing w:val="20"/>
        </w:rPr>
        <w:t> </w:t>
      </w:r>
      <w:r>
        <w:rPr/>
        <w:t>ser</w:t>
      </w:r>
      <w:r>
        <w:rPr>
          <w:spacing w:val="20"/>
        </w:rPr>
        <w:t> </w:t>
      </w:r>
      <w:r>
        <w:rPr/>
        <w:t>aquellas</w:t>
      </w:r>
      <w:r>
        <w:rPr>
          <w:spacing w:val="26"/>
        </w:rPr>
        <w:t> </w:t>
      </w:r>
      <w:r>
        <w:rPr/>
        <w:t>con</w:t>
      </w:r>
      <w:r>
        <w:rPr>
          <w:spacing w:val="20"/>
        </w:rPr>
        <w:t> </w:t>
      </w:r>
      <w:r>
        <w:rPr/>
        <w:t>las</w:t>
      </w:r>
      <w:r>
        <w:rPr>
          <w:spacing w:val="20"/>
        </w:rPr>
        <w:t> </w:t>
      </w:r>
      <w:r>
        <w:rPr/>
        <w:t>que</w:t>
      </w:r>
      <w:r>
        <w:rPr>
          <w:spacing w:val="20"/>
        </w:rPr>
        <w:t> </w:t>
      </w:r>
      <w:r>
        <w:rPr/>
        <w:t>realmente</w:t>
      </w:r>
      <w:r>
        <w:rPr>
          <w:spacing w:val="20"/>
        </w:rPr>
        <w:t> </w:t>
      </w:r>
      <w:r>
        <w:rPr/>
        <w:t>opera</w:t>
      </w:r>
      <w:r>
        <w:rPr>
          <w:spacing w:val="20"/>
        </w:rPr>
        <w:t> </w:t>
      </w:r>
      <w:r>
        <w:rPr>
          <w:spacing w:val="2"/>
        </w:rPr>
        <w:t>el</w:t>
      </w:r>
      <w:r>
        <w:rPr>
          <w:w w:val="101"/>
        </w:rPr>
        <w:t> </w:t>
      </w:r>
      <w:r>
        <w:rPr/>
        <w:t>gobierno.</w:t>
        <w:tab/>
        <w:t>Y</w:t>
        <w:tab/>
        <w:t>aun</w:t>
        <w:tab/>
        <w:t>cuando</w:t>
        <w:tab/>
        <w:t>fuesen</w:t>
        <w:tab/>
        <w:t>efectivas,</w:t>
        <w:tab/>
        <w:t>las</w:t>
        <w:tab/>
        <w:t>normas</w:t>
        <w:tab/>
      </w:r>
      <w:r>
        <w:rPr>
          <w:spacing w:val="-1"/>
        </w:rPr>
        <w:t>constitucionales, </w:t>
      </w:r>
      <w:r>
        <w:rPr/>
        <w:t>representan</w:t>
      </w:r>
      <w:r>
        <w:rPr>
          <w:spacing w:val="25"/>
        </w:rPr>
        <w:t> </w:t>
      </w:r>
      <w:r>
        <w:rPr/>
        <w:t>apenas</w:t>
      </w:r>
      <w:r>
        <w:rPr>
          <w:spacing w:val="29"/>
        </w:rPr>
        <w:t> </w:t>
      </w:r>
      <w:r>
        <w:rPr/>
        <w:t>tan</w:t>
      </w:r>
      <w:r>
        <w:rPr>
          <w:spacing w:val="20"/>
        </w:rPr>
        <w:t> </w:t>
      </w:r>
      <w:r>
        <w:rPr/>
        <w:t>sólo</w:t>
      </w:r>
      <w:r>
        <w:rPr>
          <w:spacing w:val="25"/>
        </w:rPr>
        <w:t> </w:t>
      </w:r>
      <w:r>
        <w:rPr/>
        <w:t>un</w:t>
      </w:r>
      <w:r>
        <w:rPr>
          <w:spacing w:val="30"/>
        </w:rPr>
        <w:t> </w:t>
      </w:r>
      <w:r>
        <w:rPr/>
        <w:t>pequeño</w:t>
      </w:r>
      <w:r>
        <w:rPr>
          <w:spacing w:val="25"/>
        </w:rPr>
        <w:t> </w:t>
      </w:r>
      <w:r>
        <w:rPr/>
        <w:t>número</w:t>
      </w:r>
      <w:r>
        <w:rPr>
          <w:spacing w:val="25"/>
        </w:rPr>
        <w:t> </w:t>
      </w:r>
      <w:r>
        <w:rPr/>
        <w:t>de</w:t>
      </w:r>
      <w:r>
        <w:rPr>
          <w:spacing w:val="30"/>
        </w:rPr>
        <w:t> </w:t>
      </w:r>
      <w:r>
        <w:rPr/>
        <w:t>los</w:t>
      </w:r>
      <w:r>
        <w:rPr>
          <w:spacing w:val="31"/>
        </w:rPr>
        <w:t> </w:t>
      </w:r>
      <w:r>
        <w:rPr/>
        <w:t>cientos</w:t>
      </w:r>
      <w:r>
        <w:rPr>
          <w:spacing w:val="25"/>
        </w:rPr>
        <w:t> </w:t>
      </w:r>
      <w:r>
        <w:rPr/>
        <w:t>de</w:t>
      </w:r>
      <w:r>
        <w:rPr>
          <w:spacing w:val="25"/>
        </w:rPr>
        <w:t> </w:t>
      </w:r>
      <w:r>
        <w:rPr>
          <w:spacing w:val="-3"/>
        </w:rPr>
        <w:t>miles</w:t>
      </w:r>
      <w:r>
        <w:rPr>
          <w:spacing w:val="31"/>
        </w:rPr>
        <w:t> </w:t>
      </w:r>
      <w:r>
        <w:rPr/>
        <w:t>con</w:t>
      </w:r>
      <w:r>
        <w:rPr>
          <w:spacing w:val="31"/>
        </w:rPr>
        <w:t> </w:t>
      </w:r>
      <w:r>
        <w:rPr>
          <w:spacing w:val="-2"/>
        </w:rPr>
        <w:t>las</w:t>
      </w:r>
      <w:r>
        <w:rPr>
          <w:spacing w:val="-1"/>
          <w:w w:val="101"/>
        </w:rPr>
        <w:t> </w:t>
      </w:r>
      <w:r>
        <w:rPr/>
        <w:t>que el gobierno opera. Incluso </w:t>
      </w:r>
      <w:r>
        <w:rPr>
          <w:spacing w:val="3"/>
        </w:rPr>
        <w:t>se </w:t>
      </w:r>
      <w:r>
        <w:rPr/>
        <w:t>puede afirmar que muchas de</w:t>
      </w:r>
      <w:r>
        <w:rPr>
          <w:spacing w:val="56"/>
        </w:rPr>
        <w:t> </w:t>
      </w:r>
      <w:r>
        <w:rPr/>
        <w:t>las</w:t>
      </w:r>
      <w:r>
        <w:rPr>
          <w:spacing w:val="14"/>
        </w:rPr>
        <w:t> </w:t>
      </w:r>
      <w:r>
        <w:rPr/>
        <w:t>normas</w:t>
      </w:r>
      <w:r>
        <w:rPr>
          <w:spacing w:val="-1"/>
          <w:w w:val="101"/>
        </w:rPr>
        <w:t> </w:t>
      </w:r>
      <w:r>
        <w:rPr/>
        <w:t>políticas no tienen en absoluto un estatus legal. Algunas son morales</w:t>
      </w:r>
      <w:r>
        <w:rPr>
          <w:spacing w:val="57"/>
        </w:rPr>
        <w:t> </w:t>
      </w:r>
      <w:r>
        <w:rPr/>
        <w:t>(decir</w:t>
      </w:r>
      <w:r>
        <w:rPr>
          <w:spacing w:val="54"/>
        </w:rPr>
        <w:t> </w:t>
      </w:r>
      <w:r>
        <w:rPr>
          <w:spacing w:val="-5"/>
        </w:rPr>
        <w:t>la</w:t>
      </w:r>
      <w:r>
        <w:rPr>
          <w:w w:val="101"/>
        </w:rPr>
        <w:t> </w:t>
      </w:r>
      <w:r>
        <w:rPr/>
        <w:t>verdad), otras son convenientes (el legislador no debería ofender a los   </w:t>
      </w:r>
      <w:r>
        <w:rPr>
          <w:spacing w:val="23"/>
        </w:rPr>
        <w:t> </w:t>
      </w:r>
      <w:r>
        <w:rPr/>
        <w:t>superiores</w:t>
      </w:r>
    </w:p>
    <w:p>
      <w:pPr>
        <w:pStyle w:val="BodyText"/>
        <w:spacing w:before="5"/>
        <w:ind w:left="116" w:right="191"/>
      </w:pPr>
      <w:r>
        <w:rPr/>
        <w:t>en el Legislativo).</w:t>
      </w:r>
    </w:p>
    <w:p>
      <w:pPr>
        <w:pStyle w:val="BodyText"/>
        <w:spacing w:line="364" w:lineRule="auto" w:before="138"/>
        <w:ind w:left="116" w:right="108" w:firstLine="686"/>
        <w:jc w:val="both"/>
      </w:pPr>
      <w:r>
        <w:rPr/>
        <w:t>Algunos creen que las normas en </w:t>
      </w:r>
      <w:r>
        <w:rPr>
          <w:spacing w:val="-5"/>
        </w:rPr>
        <w:t>la  </w:t>
      </w:r>
      <w:r>
        <w:rPr/>
        <w:t>política no tienen importancia, porque    </w:t>
      </w:r>
      <w:r>
        <w:rPr>
          <w:spacing w:val="-5"/>
        </w:rPr>
        <w:t>la </w:t>
      </w:r>
      <w:r>
        <w:rPr/>
        <w:t>riqueza descansa en las normas: explícitamente, las normas sobre la propiedad privada. </w:t>
      </w:r>
      <w:r>
        <w:rPr>
          <w:spacing w:val="-2"/>
        </w:rPr>
        <w:t>Sin </w:t>
      </w:r>
      <w:r>
        <w:rPr/>
        <w:t>embargo, es preciso observar </w:t>
      </w:r>
      <w:r>
        <w:rPr>
          <w:spacing w:val="-3"/>
        </w:rPr>
        <w:t>que </w:t>
      </w:r>
      <w:r>
        <w:rPr/>
        <w:t>las normas también permiten a las personas utilizar </w:t>
      </w:r>
      <w:r>
        <w:rPr>
          <w:spacing w:val="-3"/>
        </w:rPr>
        <w:t>la </w:t>
      </w:r>
      <w:r>
        <w:rPr/>
        <w:t>riqueza de manera muy diferente, </w:t>
      </w:r>
      <w:r>
        <w:rPr>
          <w:spacing w:val="-3"/>
        </w:rPr>
        <w:t>lo </w:t>
      </w:r>
      <w:r>
        <w:rPr/>
        <w:t>que incrementa su  influencia política. Permiten utilizar fondos para obligar a los candidatos a </w:t>
      </w:r>
      <w:r>
        <w:rPr>
          <w:spacing w:val="-5"/>
        </w:rPr>
        <w:t>la </w:t>
      </w:r>
      <w:r>
        <w:rPr/>
        <w:t>devolución  de  favores  en  contraprestación  por  las  contribuciones  en</w:t>
      </w:r>
      <w:r>
        <w:rPr>
          <w:spacing w:val="-23"/>
        </w:rPr>
        <w:t> </w:t>
      </w:r>
      <w:r>
        <w:rPr/>
        <w:t>campañas</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9" w:lineRule="auto" w:before="74"/>
        <w:ind w:left="115" w:right="111"/>
        <w:jc w:val="both"/>
      </w:pPr>
      <w:r>
        <w:rPr/>
        <w:t>electorales. O bien, permiten que la riqueza se </w:t>
      </w:r>
      <w:r>
        <w:rPr>
          <w:spacing w:val="-3"/>
        </w:rPr>
        <w:t>apropie </w:t>
      </w:r>
      <w:r>
        <w:rPr/>
        <w:t>de las instalaciones de </w:t>
      </w:r>
      <w:r>
        <w:rPr>
          <w:spacing w:val="-4"/>
        </w:rPr>
        <w:t>la</w:t>
      </w:r>
      <w:r>
        <w:rPr>
          <w:spacing w:val="55"/>
        </w:rPr>
        <w:t> </w:t>
      </w:r>
      <w:r>
        <w:rPr/>
        <w:t>prensa y de las cadenas </w:t>
      </w:r>
      <w:r>
        <w:rPr>
          <w:spacing w:val="-3"/>
        </w:rPr>
        <w:t>de </w:t>
      </w:r>
      <w:r>
        <w:rPr/>
        <w:t>radiodifusión (Lindblom, 1991:  60).</w:t>
      </w:r>
    </w:p>
    <w:p>
      <w:pPr>
        <w:pStyle w:val="BodyText"/>
        <w:spacing w:line="364" w:lineRule="auto"/>
        <w:ind w:left="115" w:right="109" w:firstLine="686"/>
        <w:jc w:val="both"/>
      </w:pPr>
      <w:r>
        <w:rPr/>
        <w:t>Bajo esta lógica, </w:t>
      </w:r>
      <w:r>
        <w:rPr>
          <w:spacing w:val="-3"/>
        </w:rPr>
        <w:t>los </w:t>
      </w:r>
      <w:r>
        <w:rPr/>
        <w:t>participantes en el juego del poder  obedecen  </w:t>
      </w:r>
      <w:r>
        <w:rPr>
          <w:spacing w:val="-3"/>
        </w:rPr>
        <w:t>las </w:t>
      </w:r>
      <w:r>
        <w:rPr/>
        <w:t>normas por diversas razones. La explicación más común en las ciencias políticas   es que los participantes obedecen las normas porque </w:t>
      </w:r>
      <w:r>
        <w:rPr>
          <w:spacing w:val="-3"/>
        </w:rPr>
        <w:t>las </w:t>
      </w:r>
      <w:r>
        <w:rPr/>
        <w:t>perciben como legítimas. Alternativamente, decimos a menudo que la gente se ve “forzada” a obedecerlas. Esta “fuerza” puede significar una amenaza con violencia. O puede referirse a un castigo tan severo que no deje otra</w:t>
      </w:r>
      <w:r>
        <w:rPr>
          <w:spacing w:val="42"/>
        </w:rPr>
        <w:t> </w:t>
      </w:r>
      <w:r>
        <w:rPr/>
        <w:t>elección.</w:t>
      </w:r>
    </w:p>
    <w:p>
      <w:pPr>
        <w:pStyle w:val="BodyText"/>
        <w:spacing w:line="364" w:lineRule="auto" w:before="5"/>
        <w:ind w:left="115" w:right="108" w:firstLine="686"/>
        <w:jc w:val="both"/>
      </w:pPr>
      <w:r>
        <w:rPr/>
        <w:t>Como alternativa, a veces </w:t>
      </w:r>
      <w:r>
        <w:rPr>
          <w:spacing w:val="-5"/>
        </w:rPr>
        <w:t>la </w:t>
      </w:r>
      <w:r>
        <w:rPr/>
        <w:t>gente obedece las normas porque ven </w:t>
      </w:r>
      <w:r>
        <w:rPr>
          <w:spacing w:val="-2"/>
        </w:rPr>
        <w:t>las </w:t>
      </w:r>
      <w:r>
        <w:rPr/>
        <w:t>ventajas </w:t>
      </w:r>
      <w:r>
        <w:rPr>
          <w:spacing w:val="-3"/>
        </w:rPr>
        <w:t>de  </w:t>
      </w:r>
      <w:r>
        <w:rPr/>
        <w:t>hacerlo así. A menudo nadie puede saber por qué la gente obedece  las normas, incluso </w:t>
      </w:r>
      <w:r>
        <w:rPr>
          <w:spacing w:val="-3"/>
        </w:rPr>
        <w:t>la </w:t>
      </w:r>
      <w:r>
        <w:rPr/>
        <w:t>obediencia a las normas puede ser voluntaria. Quizás, sin embargo, los cargos públicos las cumplen por temor a perder </w:t>
      </w:r>
      <w:r>
        <w:rPr>
          <w:spacing w:val="3"/>
        </w:rPr>
        <w:t>su </w:t>
      </w:r>
      <w:r>
        <w:rPr/>
        <w:t>reputación </w:t>
      </w:r>
      <w:r>
        <w:rPr>
          <w:spacing w:val="3"/>
        </w:rPr>
        <w:t>al </w:t>
      </w:r>
      <w:r>
        <w:rPr/>
        <w:t>desafiarlas, por temor a que otros que </w:t>
      </w:r>
      <w:r>
        <w:rPr>
          <w:spacing w:val="-5"/>
        </w:rPr>
        <w:t>las </w:t>
      </w:r>
      <w:r>
        <w:rPr/>
        <w:t>obedecen ordenen a los militares o a </w:t>
      </w:r>
      <w:r>
        <w:rPr>
          <w:spacing w:val="-5"/>
        </w:rPr>
        <w:t>la </w:t>
      </w:r>
      <w:r>
        <w:rPr/>
        <w:t>policía que los echen. Los altos cargos de la Administración no se detienen a preguntarse si deben dejar el cargo y cómo tienen que hacerlo: simplemente asumen </w:t>
      </w:r>
      <w:r>
        <w:rPr>
          <w:spacing w:val="-3"/>
        </w:rPr>
        <w:t>lo </w:t>
      </w:r>
      <w:r>
        <w:rPr/>
        <w:t>que deben hacer (Lindblom, 1991:</w:t>
      </w:r>
      <w:r>
        <w:rPr>
          <w:spacing w:val="63"/>
        </w:rPr>
        <w:t> </w:t>
      </w:r>
      <w:r>
        <w:rPr/>
        <w:t>60-61).</w:t>
      </w:r>
    </w:p>
    <w:p>
      <w:pPr>
        <w:pStyle w:val="BodyText"/>
        <w:spacing w:line="364" w:lineRule="auto" w:before="5"/>
        <w:ind w:left="115" w:right="108" w:firstLine="686"/>
        <w:jc w:val="both"/>
      </w:pPr>
      <w:r>
        <w:rPr/>
        <w:t>Pero resulta paradójico </w:t>
      </w:r>
      <w:r>
        <w:rPr>
          <w:spacing w:val="-3"/>
        </w:rPr>
        <w:t>que </w:t>
      </w:r>
      <w:r>
        <w:rPr/>
        <w:t>la dependencia del juego de poder sobre </w:t>
      </w:r>
      <w:r>
        <w:rPr>
          <w:spacing w:val="-2"/>
        </w:rPr>
        <w:t>las </w:t>
      </w:r>
      <w:r>
        <w:rPr/>
        <w:t>normas genere fragilidad del sistema político, pues muestra </w:t>
      </w:r>
      <w:r>
        <w:rPr>
          <w:spacing w:val="-3"/>
        </w:rPr>
        <w:t>la </w:t>
      </w:r>
      <w:r>
        <w:rPr/>
        <w:t>facilidad con que frecuentemente, las normas pueden dejarse a </w:t>
      </w:r>
      <w:r>
        <w:rPr>
          <w:spacing w:val="3"/>
        </w:rPr>
        <w:t>un </w:t>
      </w:r>
      <w:r>
        <w:rPr/>
        <w:t>lado en vez </w:t>
      </w:r>
      <w:r>
        <w:rPr>
          <w:spacing w:val="-3"/>
        </w:rPr>
        <w:t>de </w:t>
      </w:r>
      <w:r>
        <w:rPr/>
        <w:t>ser obedecidas.  En algunos sistemas políticos, señala Lindblom, el conjunto de altos cargos de la Administración y de </w:t>
      </w:r>
      <w:r>
        <w:rPr>
          <w:spacing w:val="-3"/>
        </w:rPr>
        <w:t>los </w:t>
      </w:r>
      <w:r>
        <w:rPr/>
        <w:t>jefes militares pueden a veces de un modo imprevisto, en acuerdos tácitos o explícitos, rechazar el conjunto de normas que regulan el juego del poder. De este modo, un  </w:t>
      </w:r>
      <w:r>
        <w:rPr>
          <w:spacing w:val="-3"/>
        </w:rPr>
        <w:t>golpe  </w:t>
      </w:r>
      <w:r>
        <w:rPr/>
        <w:t>de  estado derriba bruscamente un régimen y  se establece un nuevo conjunto </w:t>
      </w:r>
      <w:r>
        <w:rPr>
          <w:spacing w:val="2"/>
        </w:rPr>
        <w:t>de </w:t>
      </w:r>
      <w:r>
        <w:rPr/>
        <w:t>normas (Lindblom, 1991: </w:t>
      </w:r>
      <w:r>
        <w:rPr>
          <w:spacing w:val="3"/>
        </w:rPr>
        <w:t> </w:t>
      </w:r>
      <w:r>
        <w:rPr/>
        <w:t>61).</w:t>
      </w:r>
    </w:p>
    <w:p>
      <w:pPr>
        <w:pStyle w:val="BodyText"/>
        <w:rPr>
          <w:sz w:val="22"/>
        </w:rPr>
      </w:pPr>
    </w:p>
    <w:p>
      <w:pPr>
        <w:pStyle w:val="Heading3"/>
        <w:numPr>
          <w:ilvl w:val="2"/>
          <w:numId w:val="6"/>
        </w:numPr>
        <w:tabs>
          <w:tab w:pos="699" w:val="left" w:leader="none"/>
        </w:tabs>
        <w:spacing w:line="240" w:lineRule="auto" w:before="150" w:after="0"/>
        <w:ind w:left="698" w:right="0" w:hanging="582"/>
        <w:jc w:val="both"/>
      </w:pPr>
      <w:bookmarkStart w:name="_TOC_250026" w:id="6"/>
      <w:r>
        <w:rPr/>
        <w:t>Premios y castigos en los juegos de</w:t>
      </w:r>
      <w:r>
        <w:rPr>
          <w:spacing w:val="51"/>
        </w:rPr>
        <w:t> </w:t>
      </w:r>
      <w:bookmarkEnd w:id="6"/>
      <w:r>
        <w:rPr/>
        <w:t>poder</w:t>
      </w:r>
    </w:p>
    <w:p>
      <w:pPr>
        <w:pStyle w:val="BodyText"/>
        <w:spacing w:line="364" w:lineRule="auto" w:before="143"/>
        <w:ind w:left="115" w:right="108"/>
        <w:jc w:val="both"/>
      </w:pPr>
      <w:r>
        <w:rPr/>
        <w:t>Uno de los modos de ejercer control sobre el adversario es encarcelarlo o intimidarlo. También se pueden emplear métodos más suaves: por ejemplo, mentir sobre las propias intenciones y conseguir, de este modo, aliados o silenciar las críticas,   o   devolver  favor  por   favor.   Otras   veces   se   puede   ganar  en  una</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9" w:lineRule="auto" w:before="74"/>
        <w:ind w:left="115" w:right="191"/>
      </w:pPr>
      <w:r>
        <w:rPr/>
        <w:t>determinada política actuando simplemente de modo rápido antes que otro pueda hacerlo.</w:t>
      </w:r>
    </w:p>
    <w:p>
      <w:pPr>
        <w:pStyle w:val="BodyText"/>
        <w:spacing w:line="364" w:lineRule="auto"/>
        <w:ind w:left="115" w:right="108" w:firstLine="686"/>
        <w:jc w:val="both"/>
      </w:pPr>
      <w:r>
        <w:rPr/>
        <w:t>Se clarifican los métodos </w:t>
      </w:r>
      <w:r>
        <w:rPr>
          <w:spacing w:val="3"/>
        </w:rPr>
        <w:t>de </w:t>
      </w:r>
      <w:r>
        <w:rPr/>
        <w:t>control al resaltar que muchos  funcionan a  base de premios y castigos –más exactamente en base a ofertas de premios y a amenazas de castigo. También </w:t>
      </w:r>
      <w:r>
        <w:rPr>
          <w:spacing w:val="2"/>
        </w:rPr>
        <w:t>se </w:t>
      </w:r>
      <w:r>
        <w:rPr/>
        <w:t>ejerce control sobre los demás modificando simplemente las percepciones que los demás tengan sobre probables premios o castigos, sin utilizarlos realmente. O puede también hacerse mediante engaño anunciando premios o castigos inexistentes, quizás aquellos que insinúa poder otorgar aunque en verdad no sea posible (Lindblom, 1991:</w:t>
      </w:r>
      <w:r>
        <w:rPr>
          <w:spacing w:val="62"/>
        </w:rPr>
        <w:t> </w:t>
      </w:r>
      <w:r>
        <w:rPr/>
        <w:t>62).</w:t>
      </w:r>
    </w:p>
    <w:p>
      <w:pPr>
        <w:pStyle w:val="BodyText"/>
        <w:spacing w:line="364" w:lineRule="auto" w:before="5"/>
        <w:ind w:left="115" w:right="106" w:firstLine="686"/>
        <w:jc w:val="both"/>
      </w:pPr>
      <w:r>
        <w:rPr/>
        <w:t>Según Lindblom, el mejor método para controlar </w:t>
      </w:r>
      <w:r>
        <w:rPr>
          <w:spacing w:val="2"/>
        </w:rPr>
        <w:t>el </w:t>
      </w:r>
      <w:r>
        <w:rPr/>
        <w:t>juego del poder en </w:t>
      </w:r>
      <w:r>
        <w:rPr>
          <w:spacing w:val="-2"/>
        </w:rPr>
        <w:t>las </w:t>
      </w:r>
      <w:r>
        <w:rPr/>
        <w:t>políticas públicas es la persuasión fraudulenta y </w:t>
      </w:r>
      <w:r>
        <w:rPr>
          <w:spacing w:val="-3"/>
        </w:rPr>
        <w:t>la </w:t>
      </w:r>
      <w:r>
        <w:rPr/>
        <w:t>basada en análisis honestos de las perspectivas de pérdidas y ganancias. </w:t>
      </w:r>
      <w:r>
        <w:rPr>
          <w:spacing w:val="2"/>
        </w:rPr>
        <w:t>Al </w:t>
      </w:r>
      <w:r>
        <w:rPr/>
        <w:t>permitirse que se puedan manejar los premios y los castigos con los demás, </w:t>
      </w:r>
      <w:r>
        <w:rPr>
          <w:spacing w:val="-4"/>
        </w:rPr>
        <w:t>más </w:t>
      </w:r>
      <w:r>
        <w:rPr/>
        <w:t>que inducir a la re-evaluación de las pérdidas y ganancias, las sociedades establecen una gran distinción entre premios  y castigos. Ello es así, no obstante que las normas en funcionamiento en  </w:t>
      </w:r>
      <w:r>
        <w:rPr>
          <w:spacing w:val="-5"/>
        </w:rPr>
        <w:t>la </w:t>
      </w:r>
      <w:r>
        <w:rPr/>
        <w:t>mayoría de los países sólo permiten a ciertos altos cargos públicos amenazar o infligir penas severas tales como </w:t>
      </w:r>
      <w:r>
        <w:rPr>
          <w:spacing w:val="-3"/>
        </w:rPr>
        <w:t>la </w:t>
      </w:r>
      <w:r>
        <w:rPr/>
        <w:t>cárcel o la muerte, y en muchas sociedades se les permiten solamente </w:t>
      </w:r>
      <w:r>
        <w:rPr>
          <w:spacing w:val="3"/>
        </w:rPr>
        <w:t>en </w:t>
      </w:r>
      <w:r>
        <w:rPr/>
        <w:t>condiciones cuidosamente </w:t>
      </w:r>
      <w:r>
        <w:rPr>
          <w:spacing w:val="2"/>
        </w:rPr>
        <w:t> </w:t>
      </w:r>
      <w:r>
        <w:rPr/>
        <w:t>circunscritas.</w:t>
      </w:r>
    </w:p>
    <w:p>
      <w:pPr>
        <w:pStyle w:val="BodyText"/>
        <w:spacing w:line="364" w:lineRule="auto" w:before="5"/>
        <w:ind w:left="115" w:right="103" w:firstLine="686"/>
        <w:jc w:val="both"/>
      </w:pPr>
      <w:r>
        <w:rPr>
          <w:spacing w:val="-3"/>
        </w:rPr>
        <w:t>Sin </w:t>
      </w:r>
      <w:r>
        <w:rPr/>
        <w:t>embargo, en las democracias constitucionales, dice Lindoblom, </w:t>
      </w:r>
      <w:r>
        <w:rPr>
          <w:spacing w:val="-2"/>
        </w:rPr>
        <w:t>los </w:t>
      </w:r>
      <w:r>
        <w:rPr/>
        <w:t>premios y castigos son prerrogativa de muchos miembros de </w:t>
      </w:r>
      <w:r>
        <w:rPr>
          <w:spacing w:val="-5"/>
        </w:rPr>
        <w:t>la </w:t>
      </w:r>
      <w:r>
        <w:rPr/>
        <w:t>“élite decisora”. Al respecto señala: los decisores de políticas públicas, se encuentran limitados legal    y moralmente por los perjuicios que puedan infringirse unos a otros en </w:t>
      </w:r>
      <w:r>
        <w:rPr>
          <w:spacing w:val="-3"/>
        </w:rPr>
        <w:t>las </w:t>
      </w:r>
      <w:r>
        <w:rPr/>
        <w:t>interacciones</w:t>
      </w:r>
      <w:r>
        <w:rPr>
          <w:spacing w:val="22"/>
        </w:rPr>
        <w:t> </w:t>
      </w:r>
      <w:r>
        <w:rPr/>
        <w:t>políticas.</w:t>
      </w:r>
    </w:p>
    <w:p>
      <w:pPr>
        <w:pStyle w:val="BodyText"/>
        <w:spacing w:line="364" w:lineRule="auto" w:before="5"/>
        <w:ind w:left="115" w:right="105" w:firstLine="686"/>
        <w:jc w:val="both"/>
      </w:pPr>
      <w:r>
        <w:rPr/>
        <w:t>Así, el obstruir </w:t>
      </w:r>
      <w:r>
        <w:rPr>
          <w:spacing w:val="4"/>
        </w:rPr>
        <w:t>el </w:t>
      </w:r>
      <w:r>
        <w:rPr/>
        <w:t>programa de los demás decisores es quizás la amenaza más importante de </w:t>
      </w:r>
      <w:r>
        <w:rPr>
          <w:spacing w:val="-4"/>
        </w:rPr>
        <w:t>un </w:t>
      </w:r>
      <w:r>
        <w:rPr/>
        <w:t>decisor de políticas públicas. Dependiendo del sistema político y de las circunstancias contextuales, </w:t>
      </w:r>
      <w:r>
        <w:rPr>
          <w:spacing w:val="-4"/>
        </w:rPr>
        <w:t>los </w:t>
      </w:r>
      <w:r>
        <w:rPr/>
        <w:t>decisores de política pública buscarán también controlar a otros por medio de amenazas de perjuicios tales  como </w:t>
      </w:r>
      <w:r>
        <w:rPr>
          <w:spacing w:val="-5"/>
        </w:rPr>
        <w:t>la </w:t>
      </w:r>
      <w:r>
        <w:rPr/>
        <w:t>pérdida de trabajo, reputaciones arruinadas, enajenación de amigos y partidarios, pérdidas económicas y a veces el asesinato  (Lindblom, 1991: </w:t>
      </w:r>
      <w:r>
        <w:rPr>
          <w:spacing w:val="14"/>
        </w:rPr>
        <w:t> </w:t>
      </w:r>
      <w:r>
        <w:rPr/>
        <w:t>63).</w:t>
      </w:r>
    </w:p>
    <w:p>
      <w:pPr>
        <w:pStyle w:val="BodyText"/>
        <w:spacing w:line="369" w:lineRule="auto"/>
        <w:ind w:left="115" w:right="102" w:firstLine="686"/>
        <w:jc w:val="both"/>
      </w:pPr>
      <w:r>
        <w:rPr/>
        <w:t>Pero el intercambio comúnmente no se refiere a las amenazas –de hecho el empleo de la amenaza se lleva a cabo en un solo sentido- más que en los dos </w:t>
      </w:r>
      <w:r>
        <w:rPr>
          <w:spacing w:val="62"/>
        </w:rPr>
        <w:t> </w:t>
      </w:r>
      <w:r>
        <w:rPr/>
        <w:t>que</w:t>
      </w:r>
    </w:p>
    <w:p>
      <w:pPr>
        <w:spacing w:after="0" w:line="369"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7"/>
        <w:jc w:val="both"/>
      </w:pPr>
      <w:r>
        <w:rPr/>
        <w:t>implica todo intercambio, sino más bien al intercambio de beneficios. Las sociedades permiten generalmente que las personas se controlen unas a otras de este modo, dado que </w:t>
      </w:r>
      <w:r>
        <w:rPr>
          <w:spacing w:val="-3"/>
        </w:rPr>
        <w:t>las dos </w:t>
      </w:r>
      <w:r>
        <w:rPr/>
        <w:t>partes </w:t>
      </w:r>
      <w:r>
        <w:rPr>
          <w:spacing w:val="2"/>
        </w:rPr>
        <w:t>se </w:t>
      </w:r>
      <w:r>
        <w:rPr/>
        <w:t>benefician en caso de haya coincidencias  en </w:t>
      </w:r>
      <w:r>
        <w:rPr>
          <w:spacing w:val="-4"/>
        </w:rPr>
        <w:t>la </w:t>
      </w:r>
      <w:r>
        <w:rPr/>
        <w:t>política pública</w:t>
      </w:r>
      <w:r>
        <w:rPr>
          <w:spacing w:val="40"/>
        </w:rPr>
        <w:t> </w:t>
      </w:r>
      <w:r>
        <w:rPr/>
        <w:t>planteada.</w:t>
      </w:r>
    </w:p>
    <w:p>
      <w:pPr>
        <w:pStyle w:val="BodyText"/>
        <w:spacing w:line="364" w:lineRule="auto" w:before="5"/>
        <w:ind w:left="115" w:right="107" w:firstLine="686"/>
        <w:jc w:val="both"/>
      </w:pPr>
      <w:r>
        <w:rPr/>
        <w:t>El intercambio, </w:t>
      </w:r>
      <w:r>
        <w:rPr>
          <w:spacing w:val="2"/>
        </w:rPr>
        <w:t>en </w:t>
      </w:r>
      <w:r>
        <w:rPr/>
        <w:t>este sentido, es un control omnipresente </w:t>
      </w:r>
      <w:r>
        <w:rPr>
          <w:spacing w:val="2"/>
        </w:rPr>
        <w:t>en </w:t>
      </w:r>
      <w:r>
        <w:rPr/>
        <w:t>el juego </w:t>
      </w:r>
      <w:r>
        <w:rPr>
          <w:spacing w:val="2"/>
        </w:rPr>
        <w:t>del </w:t>
      </w:r>
      <w:r>
        <w:rPr/>
        <w:t>poder. Un </w:t>
      </w:r>
      <w:r>
        <w:rPr>
          <w:spacing w:val="-3"/>
        </w:rPr>
        <w:t>ejemplo </w:t>
      </w:r>
      <w:r>
        <w:rPr/>
        <w:t>son los favores explícitos en donde </w:t>
      </w:r>
      <w:r>
        <w:rPr>
          <w:spacing w:val="3"/>
        </w:rPr>
        <w:t>se </w:t>
      </w:r>
      <w:r>
        <w:rPr/>
        <w:t>asume </w:t>
      </w:r>
      <w:r>
        <w:rPr>
          <w:spacing w:val="-4"/>
        </w:rPr>
        <w:t>la </w:t>
      </w:r>
      <w:r>
        <w:rPr/>
        <w:t>siguiente posibilidad: “usted </w:t>
      </w:r>
      <w:r>
        <w:rPr>
          <w:spacing w:val="-4"/>
        </w:rPr>
        <w:t>me </w:t>
      </w:r>
      <w:r>
        <w:rPr/>
        <w:t>apoya esta vez y </w:t>
      </w:r>
      <w:r>
        <w:rPr>
          <w:spacing w:val="-5"/>
        </w:rPr>
        <w:t>yo </w:t>
      </w:r>
      <w:r>
        <w:rPr/>
        <w:t>le apoyaré cuando me necesite”. Y ocurre que los decisores </w:t>
      </w:r>
      <w:r>
        <w:rPr>
          <w:spacing w:val="-3"/>
        </w:rPr>
        <w:t>de </w:t>
      </w:r>
      <w:r>
        <w:rPr/>
        <w:t>políticas públicas constantemente intercambian beneficios </w:t>
      </w:r>
      <w:r>
        <w:rPr>
          <w:spacing w:val="-3"/>
        </w:rPr>
        <w:t>de </w:t>
      </w:r>
      <w:r>
        <w:rPr/>
        <w:t>esta clase. Otra </w:t>
      </w:r>
      <w:r>
        <w:rPr>
          <w:spacing w:val="-3"/>
        </w:rPr>
        <w:t>forma </w:t>
      </w:r>
      <w:r>
        <w:rPr/>
        <w:t>menos estricta de intercambio es </w:t>
      </w:r>
      <w:r>
        <w:rPr>
          <w:spacing w:val="-3"/>
        </w:rPr>
        <w:t>la </w:t>
      </w:r>
      <w:r>
        <w:rPr/>
        <w:t>reciprocidad, que crea y provoca obligaciones recíprocas indefinidas,  lo  cual  puede incluir </w:t>
      </w:r>
      <w:r>
        <w:rPr>
          <w:spacing w:val="-4"/>
        </w:rPr>
        <w:t>la </w:t>
      </w:r>
      <w:r>
        <w:rPr/>
        <w:t>inacción o el veto</w:t>
      </w:r>
      <w:r>
        <w:rPr>
          <w:spacing w:val="57"/>
        </w:rPr>
        <w:t> </w:t>
      </w:r>
      <w:r>
        <w:rPr/>
        <w:t>conjunto.</w:t>
      </w:r>
    </w:p>
    <w:p>
      <w:pPr>
        <w:pStyle w:val="BodyText"/>
        <w:spacing w:line="364" w:lineRule="auto" w:before="5"/>
        <w:ind w:left="115" w:right="106" w:firstLine="686"/>
        <w:jc w:val="both"/>
      </w:pPr>
      <w:r>
        <w:rPr/>
        <w:t>Asimismo, la forma más común de controlar por medio de los intercambios  es comprando la acción </w:t>
      </w:r>
      <w:r>
        <w:rPr>
          <w:spacing w:val="-3"/>
        </w:rPr>
        <w:t>que </w:t>
      </w:r>
      <w:r>
        <w:rPr/>
        <w:t>se desea. Según Lindblom, se pueden comprar  favores políticos legales e ilegales, tales como favores fiscales, excepciones en las regulaciones o legislaciones favorables (Lindblom, 1991: 64). En estos términos, muchas  veces   las  normas   hacen  que  la  compra     de   favores   políticos </w:t>
      </w:r>
      <w:r>
        <w:rPr>
          <w:spacing w:val="60"/>
        </w:rPr>
        <w:t> </w:t>
      </w:r>
      <w:r>
        <w:rPr/>
        <w:t>sea</w:t>
      </w:r>
    </w:p>
    <w:p>
      <w:pPr>
        <w:pStyle w:val="BodyText"/>
        <w:spacing w:line="270" w:lineRule="exact"/>
        <w:ind w:left="115"/>
        <w:jc w:val="both"/>
        <w:rPr>
          <w:sz w:val="15"/>
        </w:rPr>
      </w:pPr>
      <w:r>
        <w:rPr/>
        <w:t>clandestina.</w:t>
      </w:r>
      <w:r>
        <w:rPr>
          <w:position w:val="11"/>
          <w:sz w:val="15"/>
        </w:rPr>
        <w:t>3</w:t>
      </w:r>
    </w:p>
    <w:p>
      <w:pPr>
        <w:pStyle w:val="BodyText"/>
        <w:spacing w:line="364" w:lineRule="auto" w:before="143"/>
        <w:ind w:left="115" w:right="108" w:firstLine="686"/>
        <w:jc w:val="both"/>
      </w:pPr>
      <w:r>
        <w:rPr/>
        <w:t>Sin embargo, aunque la persuasión y los intercambios están en la categoría de los métodos de control utilizados con más frecuencia en el juego de poder, el método de la autoridad no es menos importante y según algunas estimaciones ocupa en lugar fundamental o básico en el juego de  poder.</w:t>
      </w:r>
    </w:p>
    <w:p>
      <w:pPr>
        <w:pStyle w:val="BodyText"/>
        <w:spacing w:line="364" w:lineRule="auto" w:before="10"/>
        <w:ind w:left="115" w:right="109" w:firstLine="686"/>
        <w:jc w:val="both"/>
      </w:pPr>
      <w:r>
        <w:rPr/>
        <w:t>Se distinguen dos caminos que </w:t>
      </w:r>
      <w:r>
        <w:rPr>
          <w:spacing w:val="-5"/>
        </w:rPr>
        <w:t>la </w:t>
      </w:r>
      <w:r>
        <w:rPr/>
        <w:t>gente emplea </w:t>
      </w:r>
      <w:r>
        <w:rPr>
          <w:spacing w:val="3"/>
        </w:rPr>
        <w:t>al </w:t>
      </w:r>
      <w:r>
        <w:rPr/>
        <w:t>hacer uso  </w:t>
      </w:r>
      <w:r>
        <w:rPr>
          <w:spacing w:val="3"/>
        </w:rPr>
        <w:t>de  </w:t>
      </w:r>
      <w:r>
        <w:rPr>
          <w:spacing w:val="-3"/>
        </w:rPr>
        <w:t>los  </w:t>
      </w:r>
      <w:r>
        <w:rPr/>
        <w:t>diversos métodos de control. En uno </w:t>
      </w:r>
      <w:r>
        <w:rPr>
          <w:spacing w:val="4"/>
        </w:rPr>
        <w:t>se </w:t>
      </w:r>
      <w:r>
        <w:rPr/>
        <w:t>emplean diversos métodos (entre otros </w:t>
      </w:r>
      <w:r>
        <w:rPr>
          <w:spacing w:val="-5"/>
        </w:rPr>
        <w:t>la </w:t>
      </w:r>
      <w:r>
        <w:rPr/>
        <w:t>persuasión, las amenazas, la oferta de beneficios) sobre </w:t>
      </w:r>
      <w:r>
        <w:rPr>
          <w:spacing w:val="-3"/>
        </w:rPr>
        <w:t>las </w:t>
      </w:r>
      <w:r>
        <w:rPr/>
        <w:t>personas que  se espera controlar en todas y cada una de </w:t>
      </w:r>
      <w:r>
        <w:rPr>
          <w:spacing w:val="-4"/>
        </w:rPr>
        <w:t>las </w:t>
      </w:r>
      <w:r>
        <w:rPr/>
        <w:t>ocasiones </w:t>
      </w:r>
      <w:r>
        <w:rPr>
          <w:spacing w:val="-3"/>
        </w:rPr>
        <w:t>en </w:t>
      </w:r>
      <w:r>
        <w:rPr/>
        <w:t>que </w:t>
      </w:r>
      <w:r>
        <w:rPr>
          <w:spacing w:val="3"/>
        </w:rPr>
        <w:t>se </w:t>
      </w:r>
      <w:r>
        <w:rPr/>
        <w:t>desea tenerlas bajo control. En otros, se emplean estos mismos métodos sólo de modo  </w:t>
      </w:r>
      <w:r>
        <w:rPr>
          <w:spacing w:val="43"/>
        </w:rPr>
        <w:t> </w:t>
      </w:r>
      <w:r>
        <w:rPr/>
        <w:t>ocasional</w:t>
      </w:r>
    </w:p>
    <w:p>
      <w:pPr>
        <w:pStyle w:val="BodyText"/>
        <w:rPr>
          <w:sz w:val="20"/>
        </w:rPr>
      </w:pPr>
    </w:p>
    <w:p>
      <w:pPr>
        <w:pStyle w:val="BodyText"/>
        <w:rPr>
          <w:sz w:val="20"/>
        </w:rPr>
      </w:pPr>
    </w:p>
    <w:p>
      <w:pPr>
        <w:pStyle w:val="BodyText"/>
        <w:spacing w:before="5"/>
        <w:rPr>
          <w:sz w:val="15"/>
        </w:rPr>
      </w:pPr>
      <w:r>
        <w:rPr/>
        <w:pict>
          <v:line style="position:absolute;mso-position-horizontal-relative:page;mso-position-vertical-relative:paragraph;z-index:1096;mso-wrap-distance-left:0;mso-wrap-distance-right:0" from="82.799004pt,11.209155pt" to="222.958004pt,11.209155pt" stroked="true" strokeweight=".72pt" strokecolor="#000000">
            <w10:wrap type="topAndBottom"/>
          </v:line>
        </w:pict>
      </w:r>
    </w:p>
    <w:p>
      <w:pPr>
        <w:pStyle w:val="BodyText"/>
        <w:spacing w:before="3"/>
        <w:rPr>
          <w:sz w:val="16"/>
        </w:rPr>
      </w:pPr>
    </w:p>
    <w:p>
      <w:pPr>
        <w:spacing w:line="249" w:lineRule="auto" w:before="80"/>
        <w:ind w:left="115" w:right="101" w:firstLine="0"/>
        <w:jc w:val="both"/>
        <w:rPr>
          <w:sz w:val="19"/>
        </w:rPr>
      </w:pPr>
      <w:r>
        <w:rPr>
          <w:w w:val="105"/>
          <w:position w:val="11"/>
          <w:sz w:val="15"/>
        </w:rPr>
        <w:t>3 </w:t>
      </w:r>
      <w:r>
        <w:rPr>
          <w:w w:val="105"/>
          <w:sz w:val="19"/>
        </w:rPr>
        <w:t>Dice Lindblom que al ser un flujo oculto, no es posible medir la influencia del dinero en las políticas públicas. El deseo frecuente de la gente de contravenir la ley influyendo en altos funcionarios de la Administración, y corriendo el riesgo de utilizar mecanismos costosos y arriesgados para “blanquear” sus contribuciones a través de intermediarios, pone en evidencia el que la gente sabe que su dinero puede proporcionarle grandes ventajas.</w:t>
      </w:r>
    </w:p>
    <w:p>
      <w:pPr>
        <w:spacing w:after="0" w:line="249" w:lineRule="auto"/>
        <w:jc w:val="both"/>
        <w:rPr>
          <w:sz w:val="19"/>
        </w:rPr>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9" w:lineRule="auto" w:before="74"/>
        <w:ind w:left="115" w:right="191"/>
      </w:pPr>
      <w:r>
        <w:rPr/>
        <w:t>para inducir a las personas a la aceptación de </w:t>
      </w:r>
      <w:r>
        <w:rPr>
          <w:spacing w:val="-3"/>
        </w:rPr>
        <w:t>la norma </w:t>
      </w:r>
      <w:r>
        <w:rPr/>
        <w:t>permanente de obediencia  a ellos (Lindblom, 1991:</w:t>
      </w:r>
      <w:r>
        <w:rPr>
          <w:spacing w:val="27"/>
        </w:rPr>
        <w:t> </w:t>
      </w:r>
      <w:r>
        <w:rPr/>
        <w:t>65).</w:t>
      </w:r>
    </w:p>
    <w:p>
      <w:pPr>
        <w:pStyle w:val="BodyText"/>
        <w:spacing w:line="364" w:lineRule="auto"/>
        <w:ind w:left="115" w:right="106" w:firstLine="686"/>
        <w:jc w:val="both"/>
      </w:pPr>
      <w:r>
        <w:rPr/>
        <w:t>Cabe señalar, en el marco de </w:t>
      </w:r>
      <w:r>
        <w:rPr>
          <w:spacing w:val="-4"/>
        </w:rPr>
        <w:t>los  </w:t>
      </w:r>
      <w:r>
        <w:rPr/>
        <w:t>juegos </w:t>
      </w:r>
      <w:r>
        <w:rPr>
          <w:spacing w:val="-3"/>
        </w:rPr>
        <w:t>de </w:t>
      </w:r>
      <w:r>
        <w:rPr/>
        <w:t>poder que el </w:t>
      </w:r>
      <w:r>
        <w:rPr>
          <w:spacing w:val="-3"/>
        </w:rPr>
        <w:t>tipo </w:t>
      </w:r>
      <w:r>
        <w:rPr/>
        <w:t>de autoridad   es fundamental en </w:t>
      </w:r>
      <w:r>
        <w:rPr>
          <w:spacing w:val="3"/>
        </w:rPr>
        <w:t>el </w:t>
      </w:r>
      <w:r>
        <w:rPr/>
        <w:t>proceso de elaboración de las políticas. Incluso esto </w:t>
      </w:r>
      <w:r>
        <w:rPr>
          <w:spacing w:val="-3"/>
        </w:rPr>
        <w:t>es </w:t>
      </w:r>
      <w:r>
        <w:rPr/>
        <w:t>fundamental para </w:t>
      </w:r>
      <w:r>
        <w:rPr>
          <w:spacing w:val="4"/>
        </w:rPr>
        <w:t>el </w:t>
      </w:r>
      <w:r>
        <w:rPr/>
        <w:t>propio gobierno. </w:t>
      </w:r>
      <w:r>
        <w:rPr>
          <w:spacing w:val="2"/>
        </w:rPr>
        <w:t>Así, </w:t>
      </w:r>
      <w:r>
        <w:rPr/>
        <w:t>los decisores de políticas </w:t>
      </w:r>
      <w:r>
        <w:rPr>
          <w:spacing w:val="2"/>
        </w:rPr>
        <w:t>se  </w:t>
      </w:r>
      <w:r>
        <w:rPr/>
        <w:t>pueden definir como aquellos participantes </w:t>
      </w:r>
      <w:r>
        <w:rPr>
          <w:spacing w:val="-3"/>
        </w:rPr>
        <w:t>en </w:t>
      </w:r>
      <w:r>
        <w:rPr/>
        <w:t>el juego de poder con autoridad.  La  distinción entre aquellos que poseen autoridad y los que obedecen –los </w:t>
      </w:r>
      <w:r>
        <w:rPr>
          <w:spacing w:val="-3"/>
        </w:rPr>
        <w:t>que </w:t>
      </w:r>
      <w:r>
        <w:rPr/>
        <w:t>cumplen las normas de obediencia- determina una característica fundamental de    </w:t>
      </w:r>
      <w:r>
        <w:rPr>
          <w:spacing w:val="-5"/>
        </w:rPr>
        <w:t>la </w:t>
      </w:r>
      <w:r>
        <w:rPr/>
        <w:t>arquitectura de </w:t>
      </w:r>
      <w:r>
        <w:rPr>
          <w:spacing w:val="-3"/>
        </w:rPr>
        <w:t>las  </w:t>
      </w:r>
      <w:r>
        <w:rPr/>
        <w:t>políticas  públicas.  Esto </w:t>
      </w:r>
      <w:r>
        <w:rPr>
          <w:spacing w:val="-3"/>
        </w:rPr>
        <w:t>es  </w:t>
      </w:r>
      <w:r>
        <w:rPr/>
        <w:t>clave si se </w:t>
      </w:r>
      <w:r>
        <w:rPr>
          <w:spacing w:val="-3"/>
        </w:rPr>
        <w:t>toma  </w:t>
      </w:r>
      <w:r>
        <w:rPr/>
        <w:t>en cuenta que las normas regulan el juego de poder, </w:t>
      </w:r>
      <w:r>
        <w:rPr>
          <w:spacing w:val="-3"/>
        </w:rPr>
        <w:t>de </w:t>
      </w:r>
      <w:r>
        <w:rPr/>
        <w:t>forma que la norma clave  es  </w:t>
      </w:r>
      <w:r>
        <w:rPr>
          <w:spacing w:val="-5"/>
        </w:rPr>
        <w:t>la  </w:t>
      </w:r>
      <w:r>
        <w:rPr/>
        <w:t>obediencia que establece la</w:t>
      </w:r>
      <w:r>
        <w:rPr>
          <w:spacing w:val="34"/>
        </w:rPr>
        <w:t> </w:t>
      </w:r>
      <w:r>
        <w:rPr/>
        <w:t>autoridad.</w:t>
      </w:r>
    </w:p>
    <w:p>
      <w:pPr>
        <w:pStyle w:val="BodyText"/>
        <w:spacing w:line="360" w:lineRule="auto" w:before="5"/>
        <w:ind w:left="115" w:right="104" w:firstLine="686"/>
        <w:jc w:val="both"/>
        <w:rPr>
          <w:sz w:val="15"/>
        </w:rPr>
      </w:pPr>
      <w:r>
        <w:rPr/>
        <w:t>Pero además del cargo ¿qué se entiende por autoridad? La autoridad </w:t>
      </w:r>
      <w:r>
        <w:rPr>
          <w:spacing w:val="3"/>
        </w:rPr>
        <w:t>se </w:t>
      </w:r>
      <w:r>
        <w:rPr/>
        <w:t>ubica a través de </w:t>
      </w:r>
      <w:r>
        <w:rPr>
          <w:spacing w:val="-3"/>
        </w:rPr>
        <w:t>la </w:t>
      </w:r>
      <w:r>
        <w:rPr/>
        <w:t>apreciación de algunas de sus mayores  ventajas  como  método de control del juego del poder. Si unas personas pueden, mediante amenaza circunstancial, soborno, persuasión u otro incentivo, conseguir que otras personas </w:t>
      </w:r>
      <w:r>
        <w:rPr>
          <w:spacing w:val="-4"/>
        </w:rPr>
        <w:t>les </w:t>
      </w:r>
      <w:r>
        <w:rPr/>
        <w:t>obedezcan, con una norma obligada pueden evitar un sinfín de costosos esfuerzos a realizar </w:t>
      </w:r>
      <w:r>
        <w:rPr>
          <w:spacing w:val="2"/>
        </w:rPr>
        <w:t>en </w:t>
      </w:r>
      <w:r>
        <w:rPr/>
        <w:t>cualquiera de los casos particulares en </w:t>
      </w:r>
      <w:r>
        <w:rPr>
          <w:spacing w:val="-3"/>
        </w:rPr>
        <w:t>que </w:t>
      </w:r>
      <w:r>
        <w:rPr/>
        <w:t>se desearan una misma respuesta (Lindblom, 1991:</w:t>
      </w:r>
      <w:r>
        <w:rPr>
          <w:spacing w:val="62"/>
        </w:rPr>
        <w:t> </w:t>
      </w:r>
      <w:r>
        <w:rPr/>
        <w:t>68).</w:t>
      </w:r>
      <w:r>
        <w:rPr>
          <w:position w:val="11"/>
          <w:sz w:val="15"/>
        </w:rPr>
        <w:t>4</w:t>
      </w:r>
    </w:p>
    <w:p>
      <w:pPr>
        <w:pStyle w:val="BodyText"/>
        <w:spacing w:line="364" w:lineRule="auto"/>
        <w:ind w:left="115" w:right="108" w:firstLine="686"/>
        <w:jc w:val="both"/>
      </w:pPr>
      <w:r>
        <w:rPr/>
        <w:t>Con relación a la autoridad y la persuasión, para algunos el alcance de </w:t>
      </w:r>
      <w:r>
        <w:rPr>
          <w:spacing w:val="-4"/>
        </w:rPr>
        <w:t>la </w:t>
      </w:r>
      <w:r>
        <w:rPr/>
        <w:t>persuasión depende de la autoridad. Ocurre generalmente que el potencial de </w:t>
      </w:r>
      <w:r>
        <w:rPr>
          <w:spacing w:val="-3"/>
        </w:rPr>
        <w:t>la </w:t>
      </w:r>
      <w:r>
        <w:rPr/>
        <w:t>persuasión es una fuente </w:t>
      </w:r>
      <w:r>
        <w:rPr>
          <w:spacing w:val="-3"/>
        </w:rPr>
        <w:t>de </w:t>
      </w:r>
      <w:r>
        <w:rPr/>
        <w:t>control sobre las políticas públicas </w:t>
      </w:r>
      <w:r>
        <w:rPr>
          <w:spacing w:val="2"/>
        </w:rPr>
        <w:t>al </w:t>
      </w:r>
      <w:r>
        <w:rPr/>
        <w:t>prohibir </w:t>
      </w:r>
      <w:r>
        <w:rPr>
          <w:spacing w:val="-3"/>
        </w:rPr>
        <w:t>la </w:t>
      </w:r>
      <w:r>
        <w:rPr/>
        <w:t>utilización de los medios  de comunicación a cualquiera que no esté en el poder.  </w:t>
      </w:r>
      <w:r>
        <w:rPr>
          <w:spacing w:val="-3"/>
        </w:rPr>
        <w:t>Sin </w:t>
      </w:r>
      <w:r>
        <w:rPr/>
        <w:t>embargo, esto no es </w:t>
      </w:r>
      <w:r>
        <w:rPr>
          <w:spacing w:val="-3"/>
        </w:rPr>
        <w:t>tan </w:t>
      </w:r>
      <w:r>
        <w:rPr/>
        <w:t>sencillo en </w:t>
      </w:r>
      <w:r>
        <w:rPr>
          <w:spacing w:val="-4"/>
        </w:rPr>
        <w:t>los </w:t>
      </w:r>
      <w:r>
        <w:rPr/>
        <w:t>regímenes democráticos. Ante ello, se puede afirmar que buena parte de los beneficios que pueden ofrecer los decisores de políticas públicas mediante intercambios dependen de su propia autoridad o de los alcances de su potestad</w:t>
      </w:r>
      <w:r>
        <w:rPr>
          <w:spacing w:val="36"/>
        </w:rPr>
        <w:t> </w:t>
      </w:r>
      <w:r>
        <w:rPr/>
        <w:t>efectiva.</w:t>
      </w:r>
    </w:p>
    <w:p>
      <w:pPr>
        <w:pStyle w:val="BodyText"/>
        <w:spacing w:line="364" w:lineRule="auto" w:before="10"/>
        <w:ind w:left="115" w:right="112" w:firstLine="686"/>
        <w:jc w:val="both"/>
      </w:pPr>
      <w:r>
        <w:rPr/>
        <w:t>En el caso del intercambio de dinero también suele depender a menudo de   </w:t>
      </w:r>
      <w:r>
        <w:rPr>
          <w:spacing w:val="-5"/>
        </w:rPr>
        <w:t>la  </w:t>
      </w:r>
      <w:r>
        <w:rPr/>
        <w:t>autoridad.  Así, el empleo  de  dinero  por </w:t>
      </w:r>
      <w:r>
        <w:rPr>
          <w:spacing w:val="-3"/>
        </w:rPr>
        <w:t>los  </w:t>
      </w:r>
      <w:r>
        <w:rPr/>
        <w:t>cargos públicos  para  influir en</w:t>
      </w:r>
      <w:r>
        <w:rPr>
          <w:spacing w:val="32"/>
        </w:rPr>
        <w:t> </w:t>
      </w:r>
      <w:r>
        <w:rPr/>
        <w:t>las</w:t>
      </w:r>
    </w:p>
    <w:p>
      <w:pPr>
        <w:pStyle w:val="BodyText"/>
        <w:spacing w:before="3"/>
        <w:rPr>
          <w:sz w:val="28"/>
        </w:rPr>
      </w:pPr>
      <w:r>
        <w:rPr/>
        <w:pict>
          <v:line style="position:absolute;mso-position-horizontal-relative:page;mso-position-vertical-relative:paragraph;z-index:1120;mso-wrap-distance-left:0;mso-wrap-distance-right:0" from="82.799004pt,18.608212pt" to="222.958004pt,18.608212pt" stroked="true" strokeweight=".72pt" strokecolor="#000000">
            <w10:wrap type="topAndBottom"/>
          </v:line>
        </w:pict>
      </w:r>
    </w:p>
    <w:p>
      <w:pPr>
        <w:spacing w:line="247" w:lineRule="auto" w:before="46"/>
        <w:ind w:left="115" w:right="104" w:firstLine="0"/>
        <w:jc w:val="both"/>
        <w:rPr>
          <w:sz w:val="19"/>
        </w:rPr>
      </w:pPr>
      <w:r>
        <w:rPr>
          <w:w w:val="105"/>
          <w:position w:val="10"/>
          <w:sz w:val="12"/>
        </w:rPr>
        <w:t>4 </w:t>
      </w:r>
      <w:r>
        <w:rPr>
          <w:w w:val="105"/>
          <w:sz w:val="19"/>
        </w:rPr>
        <w:t>Esta sería la mecánica de funcionamiento, según Lindblom: “Una vez </w:t>
      </w:r>
      <w:r>
        <w:rPr>
          <w:spacing w:val="-3"/>
          <w:w w:val="105"/>
          <w:sz w:val="19"/>
        </w:rPr>
        <w:t>que </w:t>
      </w:r>
      <w:r>
        <w:rPr>
          <w:w w:val="105"/>
          <w:sz w:val="19"/>
        </w:rPr>
        <w:t>usted logre que yo acepte</w:t>
      </w:r>
      <w:r>
        <w:rPr>
          <w:spacing w:val="-14"/>
          <w:w w:val="105"/>
          <w:sz w:val="19"/>
        </w:rPr>
        <w:t> </w:t>
      </w:r>
      <w:r>
        <w:rPr>
          <w:w w:val="105"/>
          <w:sz w:val="19"/>
        </w:rPr>
        <w:t>la</w:t>
      </w:r>
      <w:r>
        <w:rPr>
          <w:spacing w:val="-14"/>
          <w:w w:val="105"/>
          <w:sz w:val="19"/>
        </w:rPr>
        <w:t> </w:t>
      </w:r>
      <w:r>
        <w:rPr>
          <w:w w:val="105"/>
          <w:sz w:val="19"/>
        </w:rPr>
        <w:t>norma</w:t>
      </w:r>
      <w:r>
        <w:rPr>
          <w:spacing w:val="-17"/>
          <w:w w:val="105"/>
          <w:sz w:val="19"/>
        </w:rPr>
        <w:t> </w:t>
      </w:r>
      <w:r>
        <w:rPr>
          <w:w w:val="105"/>
          <w:sz w:val="19"/>
        </w:rPr>
        <w:t>obligada,</w:t>
      </w:r>
      <w:r>
        <w:rPr>
          <w:spacing w:val="-20"/>
          <w:w w:val="105"/>
          <w:sz w:val="19"/>
        </w:rPr>
        <w:t> </w:t>
      </w:r>
      <w:r>
        <w:rPr>
          <w:w w:val="105"/>
          <w:sz w:val="19"/>
        </w:rPr>
        <w:t>podrá</w:t>
      </w:r>
      <w:r>
        <w:rPr>
          <w:spacing w:val="-14"/>
          <w:w w:val="105"/>
          <w:sz w:val="19"/>
        </w:rPr>
        <w:t> </w:t>
      </w:r>
      <w:r>
        <w:rPr>
          <w:w w:val="105"/>
          <w:sz w:val="19"/>
        </w:rPr>
        <w:t>controlarme</w:t>
      </w:r>
      <w:r>
        <w:rPr>
          <w:spacing w:val="-14"/>
          <w:w w:val="105"/>
          <w:sz w:val="19"/>
        </w:rPr>
        <w:t> </w:t>
      </w:r>
      <w:r>
        <w:rPr>
          <w:w w:val="105"/>
          <w:sz w:val="19"/>
        </w:rPr>
        <w:t>en</w:t>
      </w:r>
      <w:r>
        <w:rPr>
          <w:spacing w:val="-17"/>
          <w:w w:val="105"/>
          <w:sz w:val="19"/>
        </w:rPr>
        <w:t> </w:t>
      </w:r>
      <w:r>
        <w:rPr>
          <w:w w:val="105"/>
          <w:sz w:val="19"/>
        </w:rPr>
        <w:t>miles</w:t>
      </w:r>
      <w:r>
        <w:rPr>
          <w:spacing w:val="-17"/>
          <w:w w:val="105"/>
          <w:sz w:val="19"/>
        </w:rPr>
        <w:t> </w:t>
      </w:r>
      <w:r>
        <w:rPr>
          <w:w w:val="105"/>
          <w:sz w:val="19"/>
        </w:rPr>
        <w:t>de</w:t>
      </w:r>
      <w:r>
        <w:rPr>
          <w:spacing w:val="-14"/>
          <w:w w:val="105"/>
          <w:sz w:val="19"/>
        </w:rPr>
        <w:t> </w:t>
      </w:r>
      <w:r>
        <w:rPr>
          <w:w w:val="105"/>
          <w:sz w:val="19"/>
        </w:rPr>
        <w:t>ocasiones</w:t>
      </w:r>
      <w:r>
        <w:rPr>
          <w:spacing w:val="-14"/>
          <w:w w:val="105"/>
          <w:sz w:val="19"/>
        </w:rPr>
        <w:t> </w:t>
      </w:r>
      <w:r>
        <w:rPr>
          <w:w w:val="105"/>
          <w:sz w:val="19"/>
        </w:rPr>
        <w:t>sin</w:t>
      </w:r>
      <w:r>
        <w:rPr>
          <w:spacing w:val="-14"/>
          <w:w w:val="105"/>
          <w:sz w:val="19"/>
        </w:rPr>
        <w:t> </w:t>
      </w:r>
      <w:r>
        <w:rPr>
          <w:w w:val="105"/>
          <w:sz w:val="19"/>
        </w:rPr>
        <w:t>que</w:t>
      </w:r>
      <w:r>
        <w:rPr>
          <w:spacing w:val="-10"/>
          <w:w w:val="105"/>
          <w:sz w:val="19"/>
        </w:rPr>
        <w:t> </w:t>
      </w:r>
      <w:r>
        <w:rPr>
          <w:w w:val="105"/>
          <w:sz w:val="19"/>
        </w:rPr>
        <w:t>tenga</w:t>
      </w:r>
      <w:r>
        <w:rPr>
          <w:spacing w:val="-14"/>
          <w:w w:val="105"/>
          <w:sz w:val="19"/>
        </w:rPr>
        <w:t> </w:t>
      </w:r>
      <w:r>
        <w:rPr>
          <w:w w:val="105"/>
          <w:sz w:val="19"/>
        </w:rPr>
        <w:t>usted</w:t>
      </w:r>
      <w:r>
        <w:rPr>
          <w:spacing w:val="-14"/>
          <w:w w:val="105"/>
          <w:sz w:val="19"/>
        </w:rPr>
        <w:t> </w:t>
      </w:r>
      <w:r>
        <w:rPr>
          <w:w w:val="105"/>
          <w:sz w:val="19"/>
        </w:rPr>
        <w:t>que</w:t>
      </w:r>
      <w:r>
        <w:rPr>
          <w:spacing w:val="-17"/>
          <w:w w:val="105"/>
          <w:sz w:val="19"/>
        </w:rPr>
        <w:t> </w:t>
      </w:r>
      <w:r>
        <w:rPr>
          <w:w w:val="105"/>
          <w:sz w:val="19"/>
        </w:rPr>
        <w:t>mover un</w:t>
      </w:r>
      <w:r>
        <w:rPr>
          <w:spacing w:val="-10"/>
          <w:w w:val="105"/>
          <w:sz w:val="19"/>
        </w:rPr>
        <w:t> </w:t>
      </w:r>
      <w:r>
        <w:rPr>
          <w:w w:val="105"/>
          <w:sz w:val="19"/>
        </w:rPr>
        <w:t>solo</w:t>
      </w:r>
      <w:r>
        <w:rPr>
          <w:spacing w:val="-12"/>
          <w:w w:val="105"/>
          <w:sz w:val="19"/>
        </w:rPr>
        <w:t> </w:t>
      </w:r>
      <w:r>
        <w:rPr>
          <w:w w:val="105"/>
          <w:sz w:val="19"/>
        </w:rPr>
        <w:t>dedo.</w:t>
      </w:r>
      <w:r>
        <w:rPr>
          <w:spacing w:val="-12"/>
          <w:w w:val="105"/>
          <w:sz w:val="19"/>
        </w:rPr>
        <w:t> </w:t>
      </w:r>
      <w:r>
        <w:rPr>
          <w:w w:val="105"/>
          <w:sz w:val="19"/>
        </w:rPr>
        <w:t>Por</w:t>
      </w:r>
      <w:r>
        <w:rPr>
          <w:spacing w:val="-12"/>
          <w:w w:val="105"/>
          <w:sz w:val="19"/>
        </w:rPr>
        <w:t> </w:t>
      </w:r>
      <w:r>
        <w:rPr>
          <w:w w:val="105"/>
          <w:sz w:val="19"/>
        </w:rPr>
        <w:t>esta</w:t>
      </w:r>
      <w:r>
        <w:rPr>
          <w:spacing w:val="-10"/>
          <w:w w:val="105"/>
          <w:sz w:val="19"/>
        </w:rPr>
        <w:t> </w:t>
      </w:r>
      <w:r>
        <w:rPr>
          <w:w w:val="105"/>
          <w:sz w:val="19"/>
        </w:rPr>
        <w:t>razón</w:t>
      </w:r>
      <w:r>
        <w:rPr>
          <w:spacing w:val="-12"/>
          <w:w w:val="105"/>
          <w:sz w:val="19"/>
        </w:rPr>
        <w:t> </w:t>
      </w:r>
      <w:r>
        <w:rPr>
          <w:w w:val="105"/>
          <w:sz w:val="19"/>
        </w:rPr>
        <w:t>la</w:t>
      </w:r>
      <w:r>
        <w:rPr>
          <w:spacing w:val="-15"/>
          <w:w w:val="105"/>
          <w:sz w:val="19"/>
        </w:rPr>
        <w:t> </w:t>
      </w:r>
      <w:r>
        <w:rPr>
          <w:w w:val="105"/>
          <w:sz w:val="19"/>
        </w:rPr>
        <w:t>autoridad</w:t>
      </w:r>
      <w:r>
        <w:rPr>
          <w:spacing w:val="-12"/>
          <w:w w:val="105"/>
          <w:sz w:val="19"/>
        </w:rPr>
        <w:t> </w:t>
      </w:r>
      <w:r>
        <w:rPr>
          <w:w w:val="105"/>
          <w:sz w:val="19"/>
        </w:rPr>
        <w:t>se</w:t>
      </w:r>
      <w:r>
        <w:rPr>
          <w:spacing w:val="-17"/>
          <w:w w:val="105"/>
          <w:sz w:val="19"/>
        </w:rPr>
        <w:t> </w:t>
      </w:r>
      <w:r>
        <w:rPr>
          <w:w w:val="105"/>
          <w:sz w:val="19"/>
        </w:rPr>
        <w:t>convierte</w:t>
      </w:r>
      <w:r>
        <w:rPr>
          <w:spacing w:val="-15"/>
          <w:w w:val="105"/>
          <w:sz w:val="19"/>
        </w:rPr>
        <w:t> </w:t>
      </w:r>
      <w:r>
        <w:rPr>
          <w:w w:val="105"/>
          <w:sz w:val="19"/>
        </w:rPr>
        <w:t>en</w:t>
      </w:r>
      <w:r>
        <w:rPr>
          <w:spacing w:val="-12"/>
          <w:w w:val="105"/>
          <w:sz w:val="19"/>
        </w:rPr>
        <w:t> </w:t>
      </w:r>
      <w:r>
        <w:rPr>
          <w:w w:val="105"/>
          <w:sz w:val="19"/>
        </w:rPr>
        <w:t>un</w:t>
      </w:r>
      <w:r>
        <w:rPr>
          <w:spacing w:val="-12"/>
          <w:w w:val="105"/>
          <w:sz w:val="19"/>
        </w:rPr>
        <w:t> </w:t>
      </w:r>
      <w:r>
        <w:rPr>
          <w:w w:val="105"/>
          <w:sz w:val="19"/>
        </w:rPr>
        <w:t>método</w:t>
      </w:r>
      <w:r>
        <w:rPr>
          <w:spacing w:val="-12"/>
          <w:w w:val="105"/>
          <w:sz w:val="19"/>
        </w:rPr>
        <w:t> </w:t>
      </w:r>
      <w:r>
        <w:rPr>
          <w:w w:val="105"/>
          <w:sz w:val="19"/>
        </w:rPr>
        <w:t>de</w:t>
      </w:r>
      <w:r>
        <w:rPr>
          <w:spacing w:val="-12"/>
          <w:w w:val="105"/>
          <w:sz w:val="19"/>
        </w:rPr>
        <w:t> </w:t>
      </w:r>
      <w:r>
        <w:rPr>
          <w:w w:val="105"/>
          <w:sz w:val="19"/>
        </w:rPr>
        <w:t>control</w:t>
      </w:r>
      <w:r>
        <w:rPr>
          <w:spacing w:val="-12"/>
          <w:w w:val="105"/>
          <w:sz w:val="19"/>
        </w:rPr>
        <w:t> </w:t>
      </w:r>
      <w:r>
        <w:rPr>
          <w:w w:val="105"/>
          <w:sz w:val="19"/>
        </w:rPr>
        <w:t>social</w:t>
      </w:r>
      <w:r>
        <w:rPr>
          <w:spacing w:val="-12"/>
          <w:w w:val="105"/>
          <w:sz w:val="19"/>
        </w:rPr>
        <w:t> </w:t>
      </w:r>
      <w:r>
        <w:rPr>
          <w:w w:val="105"/>
          <w:sz w:val="19"/>
        </w:rPr>
        <w:t>eficaz</w:t>
      </w:r>
      <w:r>
        <w:rPr>
          <w:spacing w:val="-12"/>
          <w:w w:val="105"/>
          <w:sz w:val="19"/>
        </w:rPr>
        <w:t> </w:t>
      </w:r>
      <w:r>
        <w:rPr>
          <w:w w:val="105"/>
          <w:sz w:val="19"/>
        </w:rPr>
        <w:t>para</w:t>
      </w:r>
      <w:r>
        <w:rPr>
          <w:spacing w:val="-10"/>
          <w:w w:val="105"/>
          <w:sz w:val="19"/>
        </w:rPr>
        <w:t> </w:t>
      </w:r>
      <w:r>
        <w:rPr>
          <w:w w:val="105"/>
          <w:sz w:val="19"/>
        </w:rPr>
        <w:t>la acción</w:t>
      </w:r>
      <w:r>
        <w:rPr>
          <w:spacing w:val="-15"/>
          <w:w w:val="105"/>
          <w:sz w:val="19"/>
        </w:rPr>
        <w:t> </w:t>
      </w:r>
      <w:r>
        <w:rPr>
          <w:w w:val="105"/>
          <w:sz w:val="19"/>
        </w:rPr>
        <w:t>a</w:t>
      </w:r>
      <w:r>
        <w:rPr>
          <w:spacing w:val="-15"/>
          <w:w w:val="105"/>
          <w:sz w:val="19"/>
        </w:rPr>
        <w:t> </w:t>
      </w:r>
      <w:r>
        <w:rPr>
          <w:w w:val="105"/>
          <w:sz w:val="19"/>
        </w:rPr>
        <w:t>gran</w:t>
      </w:r>
      <w:r>
        <w:rPr>
          <w:spacing w:val="-15"/>
          <w:w w:val="105"/>
          <w:sz w:val="19"/>
        </w:rPr>
        <w:t> </w:t>
      </w:r>
      <w:r>
        <w:rPr>
          <w:w w:val="105"/>
          <w:sz w:val="19"/>
        </w:rPr>
        <w:t>escala,</w:t>
      </w:r>
      <w:r>
        <w:rPr>
          <w:spacing w:val="-18"/>
          <w:w w:val="105"/>
          <w:sz w:val="19"/>
        </w:rPr>
        <w:t> </w:t>
      </w:r>
      <w:r>
        <w:rPr>
          <w:w w:val="105"/>
          <w:sz w:val="19"/>
        </w:rPr>
        <w:t>que</w:t>
      </w:r>
      <w:r>
        <w:rPr>
          <w:spacing w:val="-15"/>
          <w:w w:val="105"/>
          <w:sz w:val="19"/>
        </w:rPr>
        <w:t> </w:t>
      </w:r>
      <w:r>
        <w:rPr>
          <w:w w:val="105"/>
          <w:sz w:val="19"/>
        </w:rPr>
        <w:t>de</w:t>
      </w:r>
      <w:r>
        <w:rPr>
          <w:spacing w:val="-18"/>
          <w:w w:val="105"/>
          <w:sz w:val="19"/>
        </w:rPr>
        <w:t> </w:t>
      </w:r>
      <w:r>
        <w:rPr>
          <w:w w:val="105"/>
          <w:sz w:val="19"/>
        </w:rPr>
        <w:t>otra</w:t>
      </w:r>
      <w:r>
        <w:rPr>
          <w:spacing w:val="-18"/>
          <w:w w:val="105"/>
          <w:sz w:val="19"/>
        </w:rPr>
        <w:t> </w:t>
      </w:r>
      <w:r>
        <w:rPr>
          <w:w w:val="105"/>
          <w:sz w:val="19"/>
        </w:rPr>
        <w:t>manera</w:t>
      </w:r>
      <w:r>
        <w:rPr>
          <w:spacing w:val="-15"/>
          <w:w w:val="105"/>
          <w:sz w:val="19"/>
        </w:rPr>
        <w:t> </w:t>
      </w:r>
      <w:r>
        <w:rPr>
          <w:w w:val="105"/>
          <w:sz w:val="19"/>
        </w:rPr>
        <w:t>sería</w:t>
      </w:r>
      <w:r>
        <w:rPr>
          <w:spacing w:val="-15"/>
          <w:w w:val="105"/>
          <w:sz w:val="19"/>
        </w:rPr>
        <w:t> </w:t>
      </w:r>
      <w:r>
        <w:rPr>
          <w:w w:val="105"/>
          <w:sz w:val="19"/>
        </w:rPr>
        <w:t>imposible</w:t>
      </w:r>
    </w:p>
    <w:p>
      <w:pPr>
        <w:spacing w:after="0" w:line="247" w:lineRule="auto"/>
        <w:jc w:val="both"/>
        <w:rPr>
          <w:sz w:val="19"/>
        </w:rPr>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14"/>
        <w:jc w:val="both"/>
      </w:pPr>
      <w:r>
        <w:rPr/>
        <w:t>personas está basado en la autoridad concedida al cargo público  para  utilizar fondos públicos, autoridad que los simples ciudadanos </w:t>
      </w:r>
      <w:r>
        <w:rPr>
          <w:spacing w:val="3"/>
        </w:rPr>
        <w:t>no </w:t>
      </w:r>
      <w:r>
        <w:rPr/>
        <w:t>poseen. Otro flujo de dinero en la política proviene de </w:t>
      </w:r>
      <w:r>
        <w:rPr>
          <w:spacing w:val="-5"/>
        </w:rPr>
        <w:t>la </w:t>
      </w:r>
      <w:r>
        <w:rPr/>
        <w:t>empresa privada a través de la autoridad que tienen sus ejecutivos para utilizar fondos de la</w:t>
      </w:r>
      <w:r>
        <w:rPr>
          <w:spacing w:val="58"/>
        </w:rPr>
        <w:t> </w:t>
      </w:r>
      <w:r>
        <w:rPr/>
        <w:t>empresa.</w:t>
      </w:r>
    </w:p>
    <w:p>
      <w:pPr>
        <w:pStyle w:val="BodyText"/>
        <w:spacing w:line="357" w:lineRule="auto" w:before="5"/>
        <w:ind w:left="115" w:right="111" w:firstLine="686"/>
        <w:jc w:val="both"/>
        <w:rPr>
          <w:sz w:val="15"/>
        </w:rPr>
      </w:pPr>
      <w:r>
        <w:rPr/>
        <w:t>En este sentido, la autoridad no puede simplemente imponer el control de arriba hacia abajo en las políticas públicas sino que cae también dentro de los modelos de control recíproco. Incluso en los sistemas muy autoritarios, con líderes visiblemente dominantes, se desarrollan políticas públicas a través de un control y un ajuste mutuo.</w:t>
      </w:r>
      <w:r>
        <w:rPr>
          <w:position w:val="11"/>
          <w:sz w:val="15"/>
        </w:rPr>
        <w:t>5</w:t>
      </w:r>
    </w:p>
    <w:p>
      <w:pPr>
        <w:pStyle w:val="BodyText"/>
        <w:spacing w:line="364" w:lineRule="auto"/>
        <w:ind w:left="116" w:right="108" w:firstLine="686"/>
        <w:jc w:val="both"/>
      </w:pPr>
      <w:r>
        <w:rPr/>
        <w:t>Bajo este marco todos andan con pies </w:t>
      </w:r>
      <w:r>
        <w:rPr>
          <w:spacing w:val="-3"/>
        </w:rPr>
        <w:t>de </w:t>
      </w:r>
      <w:r>
        <w:rPr/>
        <w:t>plomo y tratan de evitar políticas que provoquen una fuerte objeción de los otros, todos buscan los intereses  comunes de tal manera que pueden llevar a cabo sus políticas deseadas sin resistencias por parte de los demás, </w:t>
      </w:r>
      <w:r>
        <w:rPr>
          <w:spacing w:val="-3"/>
        </w:rPr>
        <w:t>todos </w:t>
      </w:r>
      <w:r>
        <w:rPr/>
        <w:t>acumulan fondos para la compensación de posibles favores. Todos estos ajustes mutuos pueden desarrollarse sin cruzar palabra, y mucho mejor mediante negociación (Lindblom, 1991: </w:t>
      </w:r>
      <w:r>
        <w:rPr>
          <w:spacing w:val="6"/>
        </w:rPr>
        <w:t> </w:t>
      </w:r>
      <w:r>
        <w:rPr/>
        <w:t>71).</w:t>
      </w:r>
    </w:p>
    <w:p>
      <w:pPr>
        <w:pStyle w:val="BodyText"/>
        <w:spacing w:line="364" w:lineRule="auto"/>
        <w:ind w:left="116" w:right="106" w:firstLine="686"/>
        <w:jc w:val="both"/>
      </w:pPr>
      <w:r>
        <w:rPr/>
        <w:t>Al final, sin embargo, quien define los alcances de </w:t>
      </w:r>
      <w:r>
        <w:rPr>
          <w:spacing w:val="-3"/>
        </w:rPr>
        <w:t>una </w:t>
      </w:r>
      <w:r>
        <w:rPr/>
        <w:t>política </w:t>
      </w:r>
      <w:r>
        <w:rPr>
          <w:spacing w:val="-3"/>
        </w:rPr>
        <w:t>es </w:t>
      </w:r>
      <w:r>
        <w:rPr>
          <w:spacing w:val="-5"/>
        </w:rPr>
        <w:t>la </w:t>
      </w:r>
      <w:r>
        <w:rPr/>
        <w:t>burocracia, más que los poderes ejecutivo o legislativo. Así </w:t>
      </w:r>
      <w:r>
        <w:rPr>
          <w:spacing w:val="-3"/>
        </w:rPr>
        <w:t>lo </w:t>
      </w:r>
      <w:r>
        <w:rPr/>
        <w:t>menciona Lindblom: </w:t>
      </w:r>
      <w:r>
        <w:rPr>
          <w:spacing w:val="-3"/>
        </w:rPr>
        <w:t>“Si </w:t>
      </w:r>
      <w:r>
        <w:rPr/>
        <w:t>pudiéramos enumerar todas las acciones </w:t>
      </w:r>
      <w:r>
        <w:rPr>
          <w:spacing w:val="3"/>
        </w:rPr>
        <w:t>de </w:t>
      </w:r>
      <w:r>
        <w:rPr/>
        <w:t>elaboración de políticas en un sistema político – los intentos </w:t>
      </w:r>
      <w:r>
        <w:rPr>
          <w:spacing w:val="3"/>
        </w:rPr>
        <w:t>de </w:t>
      </w:r>
      <w:r>
        <w:rPr/>
        <w:t>persuasión, los acuerdos alcanzados, </w:t>
      </w:r>
      <w:r>
        <w:rPr>
          <w:spacing w:val="-2"/>
        </w:rPr>
        <w:t>las </w:t>
      </w:r>
      <w:r>
        <w:rPr/>
        <w:t>amenazas y promesas efectuadas, las órdenes autoritarias dadas o recibidas y otras similares, descubriríamos que, así definida, </w:t>
      </w:r>
      <w:r>
        <w:rPr>
          <w:spacing w:val="-3"/>
        </w:rPr>
        <w:t>la </w:t>
      </w:r>
      <w:r>
        <w:rPr/>
        <w:t>elaboración de políticas quedaría abrumadoramente en manos de la burocracia, dejando muy pocas políticas a determinar en otro sitio. Aunque el poder ejecutivo, el legislativo y el judicial establecen algunas </w:t>
      </w:r>
      <w:r>
        <w:rPr>
          <w:spacing w:val="3"/>
        </w:rPr>
        <w:t>de </w:t>
      </w:r>
      <w:r>
        <w:rPr/>
        <w:t>las más importantes políticas,  </w:t>
      </w:r>
      <w:r>
        <w:rPr>
          <w:spacing w:val="-5"/>
        </w:rPr>
        <w:t>la  </w:t>
      </w:r>
      <w:r>
        <w:rPr/>
        <w:t>burocracia establece la mayoría de ellas, incluyendo las de mayor importancia. Las políticas emergen específicamente de las interacciones mutuas </w:t>
      </w:r>
      <w:r>
        <w:rPr>
          <w:spacing w:val="-3"/>
        </w:rPr>
        <w:t>de </w:t>
      </w:r>
      <w:r>
        <w:rPr/>
        <w:t>la política </w:t>
      </w:r>
      <w:r>
        <w:rPr>
          <w:spacing w:val="20"/>
        </w:rPr>
        <w:t> </w:t>
      </w:r>
      <w:r>
        <w:rPr/>
        <w:t>burocrática”.</w:t>
      </w:r>
    </w:p>
    <w:p>
      <w:pPr>
        <w:pStyle w:val="BodyText"/>
        <w:spacing w:before="2"/>
        <w:rPr>
          <w:sz w:val="21"/>
        </w:rPr>
      </w:pPr>
      <w:r>
        <w:rPr/>
        <w:pict>
          <v:line style="position:absolute;mso-position-horizontal-relative:page;mso-position-vertical-relative:paragraph;z-index:1144;mso-wrap-distance-left:0;mso-wrap-distance-right:0" from="82.799004pt,14.527202pt" to="222.958004pt,14.527202pt" stroked="true" strokeweight=".72pt" strokecolor="#000000">
            <w10:wrap type="topAndBottom"/>
          </v:line>
        </w:pict>
      </w:r>
    </w:p>
    <w:p>
      <w:pPr>
        <w:spacing w:line="247" w:lineRule="auto" w:before="41"/>
        <w:ind w:left="115" w:right="102" w:firstLine="0"/>
        <w:jc w:val="both"/>
        <w:rPr>
          <w:sz w:val="19"/>
        </w:rPr>
      </w:pPr>
      <w:r>
        <w:rPr>
          <w:w w:val="105"/>
          <w:position w:val="10"/>
          <w:sz w:val="12"/>
        </w:rPr>
        <w:t>5 </w:t>
      </w:r>
      <w:r>
        <w:rPr>
          <w:w w:val="105"/>
          <w:sz w:val="19"/>
        </w:rPr>
        <w:t>El ajuste mutuo en muchos casos empieza con desacuerdos políticos, según Lindblom: Es claro que una gran parte de la negociación política </w:t>
      </w:r>
      <w:r>
        <w:rPr>
          <w:spacing w:val="-3"/>
          <w:w w:val="105"/>
          <w:sz w:val="19"/>
        </w:rPr>
        <w:t>se </w:t>
      </w:r>
      <w:r>
        <w:rPr>
          <w:w w:val="105"/>
          <w:sz w:val="19"/>
        </w:rPr>
        <w:t>produce dentro del gobierno. En el análisis partidista, cuando dos participantes debaten entre sí, podemos asegurar que están negociando. Normalmente, el término “negociación” implica un intercambio de beneficios, pagos o favores eventuales. Bajo esta definición, “negociación” significa cualquier forma de intercambio </w:t>
      </w:r>
      <w:r>
        <w:rPr>
          <w:spacing w:val="-4"/>
          <w:w w:val="105"/>
          <w:sz w:val="19"/>
        </w:rPr>
        <w:t>ya </w:t>
      </w:r>
      <w:r>
        <w:rPr>
          <w:w w:val="105"/>
          <w:sz w:val="19"/>
        </w:rPr>
        <w:t>identificada.</w:t>
      </w:r>
      <w:r>
        <w:rPr>
          <w:spacing w:val="-11"/>
          <w:w w:val="105"/>
          <w:sz w:val="19"/>
        </w:rPr>
        <w:t> </w:t>
      </w:r>
      <w:r>
        <w:rPr>
          <w:w w:val="105"/>
          <w:sz w:val="19"/>
        </w:rPr>
        <w:t>Algunos</w:t>
      </w:r>
      <w:r>
        <w:rPr>
          <w:spacing w:val="-11"/>
          <w:w w:val="105"/>
          <w:sz w:val="19"/>
        </w:rPr>
        <w:t> </w:t>
      </w:r>
      <w:r>
        <w:rPr>
          <w:w w:val="105"/>
          <w:sz w:val="19"/>
        </w:rPr>
        <w:t>también</w:t>
      </w:r>
      <w:r>
        <w:rPr>
          <w:spacing w:val="-7"/>
          <w:w w:val="105"/>
          <w:sz w:val="19"/>
        </w:rPr>
        <w:t> </w:t>
      </w:r>
      <w:r>
        <w:rPr>
          <w:w w:val="105"/>
          <w:sz w:val="19"/>
        </w:rPr>
        <w:t>incluyen</w:t>
      </w:r>
      <w:r>
        <w:rPr>
          <w:spacing w:val="-11"/>
          <w:w w:val="105"/>
          <w:sz w:val="19"/>
        </w:rPr>
        <w:t> </w:t>
      </w:r>
      <w:r>
        <w:rPr>
          <w:w w:val="105"/>
          <w:sz w:val="19"/>
        </w:rPr>
        <w:t>en</w:t>
      </w:r>
      <w:r>
        <w:rPr>
          <w:spacing w:val="-11"/>
          <w:w w:val="105"/>
          <w:sz w:val="19"/>
        </w:rPr>
        <w:t> </w:t>
      </w:r>
      <w:r>
        <w:rPr>
          <w:w w:val="105"/>
          <w:sz w:val="19"/>
        </w:rPr>
        <w:t>el</w:t>
      </w:r>
      <w:r>
        <w:rPr>
          <w:spacing w:val="-11"/>
          <w:w w:val="105"/>
          <w:sz w:val="19"/>
        </w:rPr>
        <w:t> </w:t>
      </w:r>
      <w:r>
        <w:rPr>
          <w:w w:val="105"/>
          <w:sz w:val="19"/>
        </w:rPr>
        <w:t>concepto</w:t>
      </w:r>
      <w:r>
        <w:rPr>
          <w:spacing w:val="-11"/>
          <w:w w:val="105"/>
          <w:sz w:val="19"/>
        </w:rPr>
        <w:t> </w:t>
      </w:r>
      <w:r>
        <w:rPr>
          <w:w w:val="105"/>
          <w:sz w:val="19"/>
        </w:rPr>
        <w:t>de</w:t>
      </w:r>
      <w:r>
        <w:rPr>
          <w:spacing w:val="-11"/>
          <w:w w:val="105"/>
          <w:sz w:val="19"/>
        </w:rPr>
        <w:t> </w:t>
      </w:r>
      <w:r>
        <w:rPr>
          <w:w w:val="105"/>
          <w:sz w:val="19"/>
        </w:rPr>
        <w:t>negociación</w:t>
      </w:r>
      <w:r>
        <w:rPr>
          <w:spacing w:val="-11"/>
          <w:w w:val="105"/>
          <w:sz w:val="19"/>
        </w:rPr>
        <w:t> </w:t>
      </w:r>
      <w:r>
        <w:rPr>
          <w:w w:val="105"/>
          <w:sz w:val="19"/>
        </w:rPr>
        <w:t>el</w:t>
      </w:r>
      <w:r>
        <w:rPr>
          <w:spacing w:val="-9"/>
          <w:w w:val="105"/>
          <w:sz w:val="19"/>
        </w:rPr>
        <w:t> </w:t>
      </w:r>
      <w:r>
        <w:rPr>
          <w:w w:val="105"/>
          <w:sz w:val="19"/>
        </w:rPr>
        <w:t>intercambio</w:t>
      </w:r>
      <w:r>
        <w:rPr>
          <w:spacing w:val="-11"/>
          <w:w w:val="105"/>
          <w:sz w:val="19"/>
        </w:rPr>
        <w:t> </w:t>
      </w:r>
      <w:r>
        <w:rPr>
          <w:spacing w:val="3"/>
          <w:w w:val="105"/>
          <w:sz w:val="19"/>
        </w:rPr>
        <w:t>de</w:t>
      </w:r>
      <w:r>
        <w:rPr>
          <w:spacing w:val="-14"/>
          <w:w w:val="105"/>
          <w:sz w:val="19"/>
        </w:rPr>
        <w:t> </w:t>
      </w:r>
      <w:r>
        <w:rPr>
          <w:w w:val="105"/>
          <w:sz w:val="19"/>
        </w:rPr>
        <w:t>amenazas (Lindblom,</w:t>
      </w:r>
      <w:r>
        <w:rPr>
          <w:spacing w:val="-28"/>
          <w:w w:val="105"/>
          <w:sz w:val="19"/>
        </w:rPr>
        <w:t> </w:t>
      </w:r>
      <w:r>
        <w:rPr>
          <w:w w:val="105"/>
          <w:sz w:val="19"/>
        </w:rPr>
        <w:t>1991:</w:t>
      </w:r>
      <w:r>
        <w:rPr>
          <w:spacing w:val="-24"/>
          <w:w w:val="105"/>
          <w:sz w:val="19"/>
        </w:rPr>
        <w:t> </w:t>
      </w:r>
      <w:r>
        <w:rPr>
          <w:w w:val="105"/>
          <w:sz w:val="19"/>
        </w:rPr>
        <w:t>70).</w:t>
      </w:r>
    </w:p>
    <w:p>
      <w:pPr>
        <w:spacing w:after="0" w:line="247" w:lineRule="auto"/>
        <w:jc w:val="both"/>
        <w:rPr>
          <w:sz w:val="19"/>
        </w:rPr>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6" w:right="106" w:firstLine="686"/>
        <w:jc w:val="both"/>
      </w:pPr>
      <w:r>
        <w:rPr/>
        <w:t>En este proceso cuentan las alianzas entre funcionarios públicos o incluso que las burocracias se subordinen a los grupos de interés: “En el juego político de   </w:t>
      </w:r>
      <w:r>
        <w:rPr>
          <w:spacing w:val="-5"/>
        </w:rPr>
        <w:t>la </w:t>
      </w:r>
      <w:r>
        <w:rPr/>
        <w:t>burocracia, el funcionario opera con los métodos de control previamente diseñados: entre </w:t>
      </w:r>
      <w:r>
        <w:rPr>
          <w:spacing w:val="-3"/>
        </w:rPr>
        <w:t>ellos </w:t>
      </w:r>
      <w:r>
        <w:rPr/>
        <w:t>principalmente, </w:t>
      </w:r>
      <w:r>
        <w:rPr>
          <w:spacing w:val="-5"/>
        </w:rPr>
        <w:t>la </w:t>
      </w:r>
      <w:r>
        <w:rPr/>
        <w:t>autoridad, el intercambio, </w:t>
      </w:r>
      <w:r>
        <w:rPr>
          <w:spacing w:val="-5"/>
        </w:rPr>
        <w:t>la </w:t>
      </w:r>
      <w:r>
        <w:rPr/>
        <w:t>persuasión y   el análisis. Todos estos controles se utilizan tanto aisladamente como en cooperación con otros participantes que se encuentran de acuerdo al menos con algunas cuestiones. </w:t>
      </w:r>
      <w:r>
        <w:rPr>
          <w:spacing w:val="3"/>
        </w:rPr>
        <w:t>En </w:t>
      </w:r>
      <w:r>
        <w:rPr/>
        <w:t>algunas de </w:t>
      </w:r>
      <w:r>
        <w:rPr>
          <w:spacing w:val="-3"/>
        </w:rPr>
        <w:t>ellas </w:t>
      </w:r>
      <w:r>
        <w:rPr/>
        <w:t>algunos funcionarios constituyen una </w:t>
      </w:r>
      <w:r>
        <w:rPr>
          <w:i/>
        </w:rPr>
        <w:t>piña </w:t>
      </w:r>
      <w:r>
        <w:rPr>
          <w:i/>
        </w:rPr>
        <w:t>cerrada </w:t>
      </w:r>
      <w:r>
        <w:rPr/>
        <w:t>con otros funcionarios. En otras, pueden tener el apoyo de funcionarios importantes de alto nivel, </w:t>
      </w:r>
      <w:r>
        <w:rPr>
          <w:spacing w:val="2"/>
        </w:rPr>
        <w:t>de </w:t>
      </w:r>
      <w:r>
        <w:rPr/>
        <w:t>jefes de departamento, o del Presidente. Una práctica importante muy extendida en </w:t>
      </w:r>
      <w:r>
        <w:rPr>
          <w:spacing w:val="-5"/>
        </w:rPr>
        <w:t>la </w:t>
      </w:r>
      <w:r>
        <w:rPr/>
        <w:t>política burocrática, a menudo es la de alinearse con un grupo de interés” (Lindblom, 1991:</w:t>
      </w:r>
      <w:r>
        <w:rPr>
          <w:spacing w:val="48"/>
        </w:rPr>
        <w:t> </w:t>
      </w:r>
      <w:r>
        <w:rPr/>
        <w:t>88).</w:t>
      </w:r>
    </w:p>
    <w:p>
      <w:pPr>
        <w:pStyle w:val="BodyText"/>
        <w:spacing w:line="364" w:lineRule="auto" w:before="5"/>
        <w:ind w:left="116" w:right="105" w:firstLine="686"/>
        <w:jc w:val="both"/>
      </w:pPr>
      <w:r>
        <w:rPr/>
        <w:t>Suele ser tan influyentes, junto </w:t>
      </w:r>
      <w:r>
        <w:rPr>
          <w:spacing w:val="2"/>
        </w:rPr>
        <w:t>con </w:t>
      </w:r>
      <w:r>
        <w:rPr>
          <w:spacing w:val="-3"/>
        </w:rPr>
        <w:t>las </w:t>
      </w:r>
      <w:r>
        <w:rPr/>
        <w:t>tres élites ya mencionadas, famosos, decisores de políticas públicas y empresarios, podemos designar a los líderes de  los grupos </w:t>
      </w:r>
      <w:r>
        <w:rPr>
          <w:spacing w:val="-3"/>
        </w:rPr>
        <w:t>de </w:t>
      </w:r>
      <w:r>
        <w:rPr/>
        <w:t>interés como otra élite (Lindblom, 1991: 116). La actividad de los grupos de interés iniciada por los funcionarios gubernamentales tiene influencia porque los funcionarios pueden emplear su autoridad indirectamente de muchas maneras: persuasión, influencia a través de la reglamentación, </w:t>
      </w:r>
      <w:r>
        <w:rPr>
          <w:spacing w:val="-5"/>
        </w:rPr>
        <w:t>la </w:t>
      </w:r>
      <w:r>
        <w:rPr/>
        <w:t>entrega de voto, apoyo a campañas electorales, líderes de </w:t>
      </w:r>
      <w:r>
        <w:rPr>
          <w:spacing w:val="-3"/>
        </w:rPr>
        <w:t>los </w:t>
      </w:r>
      <w:r>
        <w:rPr/>
        <w:t>grupos </w:t>
      </w:r>
      <w:r>
        <w:rPr>
          <w:spacing w:val="-3"/>
        </w:rPr>
        <w:t>de </w:t>
      </w:r>
      <w:r>
        <w:rPr/>
        <w:t>interés como </w:t>
      </w:r>
      <w:r>
        <w:rPr>
          <w:spacing w:val="-3"/>
        </w:rPr>
        <w:t>élite. </w:t>
      </w:r>
      <w:r>
        <w:rPr/>
        <w:t>No obstante, también existen aspectos problemáticos de los grupos de interés, como son: las desigualdades políticas, </w:t>
      </w:r>
      <w:r>
        <w:rPr>
          <w:spacing w:val="-4"/>
        </w:rPr>
        <w:t>la </w:t>
      </w:r>
      <w:r>
        <w:rPr/>
        <w:t>subordinación del interés común al </w:t>
      </w:r>
      <w:r>
        <w:rPr>
          <w:spacing w:val="-3"/>
        </w:rPr>
        <w:t>interés </w:t>
      </w:r>
      <w:r>
        <w:rPr/>
        <w:t>particular y el veto en el juego del poder</w:t>
      </w:r>
      <w:r>
        <w:rPr>
          <w:spacing w:val="53"/>
        </w:rPr>
        <w:t> </w:t>
      </w:r>
      <w:r>
        <w:rPr/>
        <w:t>democrático.</w:t>
      </w:r>
    </w:p>
    <w:p>
      <w:pPr>
        <w:pStyle w:val="BodyText"/>
        <w:rPr>
          <w:sz w:val="22"/>
        </w:rPr>
      </w:pPr>
    </w:p>
    <w:p>
      <w:pPr>
        <w:pStyle w:val="Heading3"/>
        <w:numPr>
          <w:ilvl w:val="2"/>
          <w:numId w:val="6"/>
        </w:numPr>
        <w:tabs>
          <w:tab w:pos="834" w:val="left" w:leader="none"/>
        </w:tabs>
        <w:spacing w:line="240" w:lineRule="auto" w:before="155" w:after="0"/>
        <w:ind w:left="833" w:right="0" w:hanging="717"/>
        <w:jc w:val="both"/>
      </w:pPr>
      <w:bookmarkStart w:name="_TOC_250025" w:id="7"/>
      <w:r>
        <w:rPr/>
        <w:t>El sistema político y los  juegos de</w:t>
      </w:r>
      <w:r>
        <w:rPr>
          <w:spacing w:val="48"/>
        </w:rPr>
        <w:t> </w:t>
      </w:r>
      <w:bookmarkEnd w:id="7"/>
      <w:r>
        <w:rPr/>
        <w:t>poder</w:t>
      </w:r>
    </w:p>
    <w:p>
      <w:pPr>
        <w:pStyle w:val="BodyText"/>
        <w:spacing w:line="364" w:lineRule="auto" w:before="138"/>
        <w:ind w:left="116" w:right="106"/>
        <w:jc w:val="both"/>
      </w:pPr>
      <w:r>
        <w:rPr/>
        <w:t>El proceso de adopción e implementación </w:t>
      </w:r>
      <w:r>
        <w:rPr>
          <w:spacing w:val="3"/>
        </w:rPr>
        <w:t>de </w:t>
      </w:r>
      <w:r>
        <w:rPr>
          <w:spacing w:val="-3"/>
        </w:rPr>
        <w:t>las </w:t>
      </w:r>
      <w:r>
        <w:rPr/>
        <w:t>políticas públicas ocurre en sistemas políticos donde </w:t>
      </w:r>
      <w:r>
        <w:rPr>
          <w:spacing w:val="-4"/>
        </w:rPr>
        <w:t>la </w:t>
      </w:r>
      <w:r>
        <w:rPr/>
        <w:t>variedad de actores abarca desde el presidente hasta  los votantes </w:t>
      </w:r>
      <w:r>
        <w:rPr>
          <w:spacing w:val="3"/>
        </w:rPr>
        <w:t>en </w:t>
      </w:r>
      <w:r>
        <w:rPr/>
        <w:t>pequeñas comunidades rurales, e incluye a los miembros del Congreso, jueces, líderes de la opinión pública y grupos empresariales. La  compleja interacción entre estos actores está influída por las instituciones y las prácticas políticas de cada país, </w:t>
      </w:r>
      <w:r>
        <w:rPr>
          <w:spacing w:val="-4"/>
        </w:rPr>
        <w:t>ya </w:t>
      </w:r>
      <w:r>
        <w:rPr>
          <w:spacing w:val="-3"/>
        </w:rPr>
        <w:t>que </w:t>
      </w:r>
      <w:r>
        <w:rPr/>
        <w:t>estas afectan a los roles e incentivos de cada</w:t>
      </w:r>
      <w:r>
        <w:rPr>
          <w:spacing w:val="46"/>
        </w:rPr>
        <w:t> </w:t>
      </w:r>
      <w:r>
        <w:rPr/>
        <w:t>uno,</w:t>
      </w:r>
      <w:r>
        <w:rPr>
          <w:spacing w:val="46"/>
        </w:rPr>
        <w:t> </w:t>
      </w:r>
      <w:r>
        <w:rPr/>
        <w:t>las</w:t>
      </w:r>
      <w:r>
        <w:rPr>
          <w:spacing w:val="46"/>
        </w:rPr>
        <w:t> </w:t>
      </w:r>
      <w:r>
        <w:rPr/>
        <w:t>características</w:t>
      </w:r>
      <w:r>
        <w:rPr>
          <w:spacing w:val="52"/>
        </w:rPr>
        <w:t> </w:t>
      </w:r>
      <w:r>
        <w:rPr/>
        <w:t>de</w:t>
      </w:r>
      <w:r>
        <w:rPr>
          <w:spacing w:val="46"/>
        </w:rPr>
        <w:t> </w:t>
      </w:r>
      <w:r>
        <w:rPr/>
        <w:t>las</w:t>
      </w:r>
      <w:r>
        <w:rPr>
          <w:spacing w:val="53"/>
        </w:rPr>
        <w:t> </w:t>
      </w:r>
      <w:r>
        <w:rPr/>
        <w:t>arenas</w:t>
      </w:r>
      <w:r>
        <w:rPr>
          <w:spacing w:val="46"/>
        </w:rPr>
        <w:t> </w:t>
      </w:r>
      <w:r>
        <w:rPr/>
        <w:t>en</w:t>
      </w:r>
      <w:r>
        <w:rPr>
          <w:spacing w:val="46"/>
        </w:rPr>
        <w:t> </w:t>
      </w:r>
      <w:r>
        <w:rPr/>
        <w:t>las</w:t>
      </w:r>
      <w:r>
        <w:rPr>
          <w:spacing w:val="46"/>
        </w:rPr>
        <w:t> </w:t>
      </w:r>
      <w:r>
        <w:rPr/>
        <w:t>cuales</w:t>
      </w:r>
      <w:r>
        <w:rPr>
          <w:spacing w:val="46"/>
        </w:rPr>
        <w:t> </w:t>
      </w:r>
      <w:r>
        <w:rPr/>
        <w:t>ellos</w:t>
      </w:r>
      <w:r>
        <w:rPr>
          <w:spacing w:val="53"/>
        </w:rPr>
        <w:t> </w:t>
      </w:r>
      <w:r>
        <w:rPr/>
        <w:t>interactúan</w:t>
      </w:r>
      <w:r>
        <w:rPr>
          <w:spacing w:val="52"/>
        </w:rPr>
        <w:t> </w:t>
      </w:r>
      <w:r>
        <w:rPr/>
        <w:t>y</w:t>
      </w:r>
      <w:r>
        <w:rPr>
          <w:spacing w:val="46"/>
        </w:rPr>
        <w:t> </w:t>
      </w:r>
      <w:r>
        <w:rPr>
          <w:spacing w:val="-6"/>
        </w:rPr>
        <w:t>la</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9" w:lineRule="auto" w:before="74"/>
        <w:ind w:left="115" w:right="114"/>
        <w:jc w:val="both"/>
      </w:pPr>
      <w:r>
        <w:rPr/>
        <w:t>naturaleza de las transacciones en </w:t>
      </w:r>
      <w:r>
        <w:rPr>
          <w:spacing w:val="-3"/>
        </w:rPr>
        <w:t>las  </w:t>
      </w:r>
      <w:r>
        <w:rPr/>
        <w:t>que se involucran (Scartascini,  Spiller,  Stein y Tommasi, 2011:</w:t>
      </w:r>
      <w:r>
        <w:rPr>
          <w:spacing w:val="25"/>
        </w:rPr>
        <w:t> </w:t>
      </w:r>
      <w:r>
        <w:rPr/>
        <w:t>3).</w:t>
      </w:r>
    </w:p>
    <w:p>
      <w:pPr>
        <w:pStyle w:val="BodyText"/>
        <w:spacing w:line="364" w:lineRule="auto"/>
        <w:ind w:left="115" w:right="110" w:firstLine="686"/>
        <w:jc w:val="both"/>
      </w:pPr>
      <w:r>
        <w:rPr/>
        <w:t>Diversas características importantes de las políticas públicas dependen fundamentalmente de la habilidad de los actores políticos para lograr resultados cooperativos, es decir, de su capacidad para lograr acuerdos políticos y hacerlos cumplir en el tiempo (Scartascini,  Spiller, Stein y Tommasi, 2011:  6).</w:t>
      </w:r>
    </w:p>
    <w:p>
      <w:pPr>
        <w:pStyle w:val="BodyText"/>
        <w:spacing w:line="364" w:lineRule="auto" w:before="5"/>
        <w:ind w:left="115" w:right="105"/>
        <w:jc w:val="both"/>
      </w:pPr>
      <w:r>
        <w:rPr/>
        <w:t>En ambientes que facilitan los acuerdos políticos, el juego político suele ser </w:t>
      </w:r>
      <w:r>
        <w:rPr>
          <w:spacing w:val="-3"/>
        </w:rPr>
        <w:t>más </w:t>
      </w:r>
      <w:r>
        <w:rPr/>
        <w:t>cooperativo y conduce a políticas públicas más efectivas, más sostenibles y más flexibles frente a cambios en las condiciones económicas o sociales. Por el contrario, </w:t>
      </w:r>
      <w:r>
        <w:rPr>
          <w:spacing w:val="2"/>
        </w:rPr>
        <w:t>en </w:t>
      </w:r>
      <w:r>
        <w:rPr/>
        <w:t>escenarios donde el comportamiento cooperativo </w:t>
      </w:r>
      <w:r>
        <w:rPr>
          <w:spacing w:val="-3"/>
        </w:rPr>
        <w:t>es </w:t>
      </w:r>
      <w:r>
        <w:rPr/>
        <w:t>más difícil de alcanzar y sostener, las políticas serán o demasiado inestables (sujetas a cambios políticos) o demasiado rígidas, estarán poco coordinadas y habrá poca  inversión   en la creación de capacidades a largo plazo (Scartascini,  Spiller,  Stein  y  Tommasi, 2011:</w:t>
      </w:r>
      <w:r>
        <w:rPr>
          <w:spacing w:val="26"/>
        </w:rPr>
        <w:t> </w:t>
      </w:r>
      <w:r>
        <w:rPr>
          <w:spacing w:val="-3"/>
        </w:rPr>
        <w:t>7).</w:t>
      </w:r>
    </w:p>
    <w:p>
      <w:pPr>
        <w:pStyle w:val="BodyText"/>
        <w:rPr>
          <w:sz w:val="22"/>
        </w:rPr>
      </w:pPr>
    </w:p>
    <w:p>
      <w:pPr>
        <w:pStyle w:val="Heading3"/>
        <w:numPr>
          <w:ilvl w:val="2"/>
          <w:numId w:val="6"/>
        </w:numPr>
        <w:tabs>
          <w:tab w:pos="834" w:val="left" w:leader="none"/>
        </w:tabs>
        <w:spacing w:line="240" w:lineRule="auto" w:before="150" w:after="0"/>
        <w:ind w:left="833" w:right="0" w:hanging="717"/>
        <w:jc w:val="both"/>
      </w:pPr>
      <w:bookmarkStart w:name="_TOC_250024" w:id="8"/>
      <w:r>
        <w:rPr/>
        <w:t>Los actores y la cooperación en los juegos de</w:t>
      </w:r>
      <w:r>
        <w:rPr>
          <w:spacing w:val="60"/>
        </w:rPr>
        <w:t> </w:t>
      </w:r>
      <w:bookmarkEnd w:id="8"/>
      <w:r>
        <w:rPr/>
        <w:t>poder</w:t>
      </w:r>
    </w:p>
    <w:p>
      <w:pPr>
        <w:pStyle w:val="BodyText"/>
        <w:spacing w:line="364" w:lineRule="auto" w:before="138"/>
        <w:ind w:left="115" w:right="110"/>
        <w:jc w:val="both"/>
      </w:pPr>
      <w:r>
        <w:rPr/>
        <w:t>Una pregunta importante dentro de este marco es </w:t>
      </w:r>
      <w:r>
        <w:rPr>
          <w:spacing w:val="3"/>
        </w:rPr>
        <w:t>si </w:t>
      </w:r>
      <w:r>
        <w:rPr/>
        <w:t>el funcionamiento  </w:t>
      </w:r>
      <w:r>
        <w:rPr>
          <w:spacing w:val="2"/>
        </w:rPr>
        <w:t>de  </w:t>
      </w:r>
      <w:r>
        <w:rPr>
          <w:spacing w:val="-3"/>
        </w:rPr>
        <w:t>los </w:t>
      </w:r>
      <w:r>
        <w:rPr/>
        <w:t>juegos de poder tiende a facilitar o a obstaculizar </w:t>
      </w:r>
      <w:r>
        <w:rPr>
          <w:spacing w:val="-4"/>
        </w:rPr>
        <w:t>la </w:t>
      </w:r>
      <w:r>
        <w:rPr/>
        <w:t>cooperación entre los actores políticos relevantes. </w:t>
      </w:r>
      <w:r>
        <w:rPr>
          <w:spacing w:val="-3"/>
        </w:rPr>
        <w:t>En lo </w:t>
      </w:r>
      <w:r>
        <w:rPr/>
        <w:t>que respecta al </w:t>
      </w:r>
      <w:r>
        <w:rPr>
          <w:spacing w:val="-3"/>
        </w:rPr>
        <w:t>tipo </w:t>
      </w:r>
      <w:r>
        <w:rPr/>
        <w:t>de  características  del  juego  de poder que pueden fomentar </w:t>
      </w:r>
      <w:r>
        <w:rPr>
          <w:spacing w:val="-5"/>
        </w:rPr>
        <w:t>la </w:t>
      </w:r>
      <w:r>
        <w:rPr/>
        <w:t>cooperación, incluyen el número  de  actores  políticos clave, sus horizontes temporales, la frecuencia de </w:t>
      </w:r>
      <w:r>
        <w:rPr>
          <w:spacing w:val="3"/>
        </w:rPr>
        <w:t>su </w:t>
      </w:r>
      <w:r>
        <w:rPr/>
        <w:t>interacción, </w:t>
      </w:r>
      <w:r>
        <w:rPr>
          <w:spacing w:val="-5"/>
        </w:rPr>
        <w:t>la </w:t>
      </w:r>
      <w:r>
        <w:rPr/>
        <w:t>naturaleza de los escenarios en </w:t>
      </w:r>
      <w:r>
        <w:rPr>
          <w:spacing w:val="-3"/>
        </w:rPr>
        <w:t>los </w:t>
      </w:r>
      <w:r>
        <w:rPr/>
        <w:t>cuales interactúan y </w:t>
      </w:r>
      <w:r>
        <w:rPr>
          <w:spacing w:val="-5"/>
        </w:rPr>
        <w:t>la </w:t>
      </w:r>
      <w:r>
        <w:rPr/>
        <w:t>disponibilidad de mecanismos de </w:t>
      </w:r>
      <w:r>
        <w:rPr>
          <w:i/>
        </w:rPr>
        <w:t>enforcement </w:t>
      </w:r>
      <w:r>
        <w:rPr/>
        <w:t>que </w:t>
      </w:r>
      <w:r>
        <w:rPr>
          <w:spacing w:val="-3"/>
        </w:rPr>
        <w:t>los </w:t>
      </w:r>
      <w:r>
        <w:rPr/>
        <w:t>obliguen a cumplir con sus </w:t>
      </w:r>
      <w:r>
        <w:rPr>
          <w:spacing w:val="29"/>
        </w:rPr>
        <w:t> </w:t>
      </w:r>
      <w:r>
        <w:rPr/>
        <w:t>compromisos.</w:t>
      </w:r>
    </w:p>
    <w:p>
      <w:pPr>
        <w:pStyle w:val="BodyText"/>
        <w:spacing w:line="364" w:lineRule="auto" w:before="5"/>
        <w:ind w:left="115" w:right="104" w:firstLine="686"/>
        <w:jc w:val="both"/>
      </w:pPr>
      <w:r>
        <w:rPr/>
        <w:t>El funcionamiento de los </w:t>
      </w:r>
      <w:r>
        <w:rPr>
          <w:spacing w:val="-3"/>
        </w:rPr>
        <w:t>juegos </w:t>
      </w:r>
      <w:r>
        <w:rPr>
          <w:spacing w:val="2"/>
        </w:rPr>
        <w:t>de </w:t>
      </w:r>
      <w:r>
        <w:rPr/>
        <w:t>poder, a la vez, está determinado (hasta cierto punto) por </w:t>
      </w:r>
      <w:r>
        <w:rPr>
          <w:spacing w:val="-3"/>
        </w:rPr>
        <w:t>las </w:t>
      </w:r>
      <w:r>
        <w:rPr/>
        <w:t>instituciones políticas propias de cada país, como  la  naturaleza presidencial/parlamentaria del gobierno, </w:t>
      </w:r>
      <w:r>
        <w:rPr>
          <w:spacing w:val="-3"/>
        </w:rPr>
        <w:t>las  </w:t>
      </w:r>
      <w:r>
        <w:rPr/>
        <w:t>reglas  electorales existentes, </w:t>
      </w:r>
      <w:r>
        <w:rPr>
          <w:spacing w:val="-4"/>
        </w:rPr>
        <w:t>la </w:t>
      </w:r>
      <w:r>
        <w:rPr/>
        <w:t>estructura federal del país y la existencia de un poder judicial independiente (Scartascini,  Spiller, Stein y Tommasi, 2011:  7).</w:t>
      </w:r>
    </w:p>
    <w:p>
      <w:pPr>
        <w:pStyle w:val="BodyText"/>
        <w:spacing w:line="364" w:lineRule="auto" w:before="5"/>
        <w:ind w:left="115" w:right="109" w:firstLine="686"/>
        <w:jc w:val="both"/>
      </w:pPr>
      <w:r>
        <w:rPr/>
        <w:t>La rigidez surge cuando </w:t>
      </w:r>
      <w:r>
        <w:rPr>
          <w:spacing w:val="-3"/>
        </w:rPr>
        <w:t>los </w:t>
      </w:r>
      <w:r>
        <w:rPr/>
        <w:t>actores políticos no confían en sus oponentes y prefieren atar </w:t>
      </w:r>
      <w:r>
        <w:rPr>
          <w:spacing w:val="-3"/>
        </w:rPr>
        <w:t>las </w:t>
      </w:r>
      <w:r>
        <w:rPr/>
        <w:t>manos de estos –y aun las propias– en lugar de permitir </w:t>
      </w:r>
      <w:r>
        <w:rPr>
          <w:spacing w:val="-4"/>
        </w:rPr>
        <w:t>la</w:t>
      </w:r>
      <w:r>
        <w:rPr>
          <w:spacing w:val="55"/>
        </w:rPr>
        <w:t> </w:t>
      </w:r>
      <w:r>
        <w:rPr/>
        <w:t>discrecionalidad política. Si existen múltiples actores en la formulación de  políticas,</w:t>
      </w:r>
    </w:p>
    <w:p>
      <w:pPr>
        <w:spacing w:after="0" w:line="364" w:lineRule="auto"/>
        <w:jc w:val="both"/>
        <w:sectPr>
          <w:footerReference w:type="default" r:id="rId14"/>
          <w:pgSz w:w="11910" w:h="16840"/>
          <w:pgMar w:footer="1457" w:header="0"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10"/>
        <w:jc w:val="both"/>
      </w:pPr>
      <w:r>
        <w:rPr>
          <w:spacing w:val="-5"/>
        </w:rPr>
        <w:t>la </w:t>
      </w:r>
      <w:r>
        <w:rPr/>
        <w:t>falta de cooperación es análoga a </w:t>
      </w:r>
      <w:r>
        <w:rPr>
          <w:spacing w:val="-3"/>
        </w:rPr>
        <w:t>la </w:t>
      </w:r>
      <w:r>
        <w:rPr/>
        <w:t>falta de coordinación. Esto </w:t>
      </w:r>
      <w:r>
        <w:rPr>
          <w:spacing w:val="-5"/>
        </w:rPr>
        <w:t>es </w:t>
      </w:r>
      <w:r>
        <w:rPr/>
        <w:t>un resultado estándar de juegos repetidos en los que, en ambientes no cooperativos, </w:t>
      </w:r>
      <w:r>
        <w:rPr>
          <w:spacing w:val="-2"/>
        </w:rPr>
        <w:t>los</w:t>
      </w:r>
      <w:r>
        <w:rPr>
          <w:spacing w:val="59"/>
        </w:rPr>
        <w:t> </w:t>
      </w:r>
      <w:r>
        <w:rPr/>
        <w:t>agentes están menos dispuestos a pagar costos </w:t>
      </w:r>
      <w:r>
        <w:rPr>
          <w:spacing w:val="-3"/>
        </w:rPr>
        <w:t>en </w:t>
      </w:r>
      <w:r>
        <w:rPr/>
        <w:t>el corto plazo por beneficios futuros, </w:t>
      </w:r>
      <w:r>
        <w:rPr>
          <w:spacing w:val="-3"/>
        </w:rPr>
        <w:t>es </w:t>
      </w:r>
      <w:r>
        <w:rPr/>
        <w:t>decir, están menos dispuestos a</w:t>
      </w:r>
      <w:r>
        <w:rPr>
          <w:spacing w:val="54"/>
        </w:rPr>
        <w:t> </w:t>
      </w:r>
      <w:r>
        <w:rPr/>
        <w:t>invertir.</w:t>
      </w:r>
    </w:p>
    <w:p>
      <w:pPr>
        <w:pStyle w:val="BodyText"/>
        <w:spacing w:line="364" w:lineRule="auto" w:before="5"/>
        <w:ind w:left="115" w:right="106" w:firstLine="686"/>
        <w:jc w:val="both"/>
      </w:pPr>
      <w:r>
        <w:rPr/>
        <w:t>No existe una lista única o un conjunto universal de políticas “correctas” independientemente del lugar y las circunstancias </w:t>
      </w:r>
      <w:r>
        <w:rPr>
          <w:spacing w:val="-3"/>
        </w:rPr>
        <w:t>en </w:t>
      </w:r>
      <w:r>
        <w:rPr/>
        <w:t>las que se introducen. </w:t>
      </w:r>
      <w:r>
        <w:rPr>
          <w:spacing w:val="-3"/>
        </w:rPr>
        <w:t>Las </w:t>
      </w:r>
      <w:r>
        <w:rPr/>
        <w:t>políticas </w:t>
      </w:r>
      <w:r>
        <w:rPr>
          <w:spacing w:val="2"/>
        </w:rPr>
        <w:t>son </w:t>
      </w:r>
      <w:r>
        <w:rPr/>
        <w:t>respuestas contingentes a estados subyacentes de </w:t>
      </w:r>
      <w:r>
        <w:rPr>
          <w:spacing w:val="-5"/>
        </w:rPr>
        <w:t>la </w:t>
      </w:r>
      <w:r>
        <w:rPr/>
        <w:t>naturaleza. Lo que podría funcionar en </w:t>
      </w:r>
      <w:r>
        <w:rPr>
          <w:spacing w:val="-3"/>
        </w:rPr>
        <w:t>un  </w:t>
      </w:r>
      <w:r>
        <w:rPr/>
        <w:t>instante en un país determinado, podría no funcionar  en un lugar diferente en otro momento. En algunos casos, las características particulares de una política determinada o los detalles de su implementación podrían ser tan importantes como la orientación general de esa política para </w:t>
      </w:r>
      <w:r>
        <w:rPr>
          <w:spacing w:val="-5"/>
        </w:rPr>
        <w:t>la </w:t>
      </w:r>
      <w:r>
        <w:rPr/>
        <w:t>obtención de los resultados</w:t>
      </w:r>
      <w:r>
        <w:rPr>
          <w:spacing w:val="37"/>
        </w:rPr>
        <w:t> </w:t>
      </w:r>
      <w:r>
        <w:rPr/>
        <w:t>deseados.</w:t>
      </w:r>
    </w:p>
    <w:p>
      <w:pPr>
        <w:pStyle w:val="BodyText"/>
        <w:spacing w:line="367" w:lineRule="auto"/>
        <w:ind w:left="115" w:right="108" w:firstLine="686"/>
        <w:jc w:val="both"/>
      </w:pPr>
      <w:r>
        <w:rPr/>
        <w:t>Una característica importante de las políticas que sido ampliamente reconocida en estudios económicos recientes es la credibilidad de la política. Los efectos de las políticas sobre los resultados económicos y sociales de interés dependen de las acciones y reacciones de los agentes económicos y sociales, quienes tienen en cuenta sus expectativas sobre el futuro de las políticas en cuestión, antes de decidir sus respuestas.</w:t>
      </w:r>
    </w:p>
    <w:p>
      <w:pPr>
        <w:pStyle w:val="BodyText"/>
        <w:spacing w:line="364" w:lineRule="auto" w:before="2"/>
        <w:ind w:left="115" w:right="108" w:firstLine="686"/>
        <w:jc w:val="both"/>
      </w:pPr>
      <w:r>
        <w:rPr/>
        <w:t>En este sentido, es fundamental </w:t>
      </w:r>
      <w:r>
        <w:rPr>
          <w:spacing w:val="-5"/>
        </w:rPr>
        <w:t>la </w:t>
      </w:r>
      <w:r>
        <w:rPr/>
        <w:t>previsibilidad de los incentivos creados por una política o la falta de esta, esto </w:t>
      </w:r>
      <w:r>
        <w:rPr>
          <w:spacing w:val="-3"/>
        </w:rPr>
        <w:t>es </w:t>
      </w:r>
      <w:r>
        <w:rPr/>
        <w:t>generalmente más importante que </w:t>
      </w:r>
      <w:r>
        <w:rPr>
          <w:spacing w:val="-3"/>
        </w:rPr>
        <w:t>la </w:t>
      </w:r>
      <w:r>
        <w:rPr>
          <w:i/>
        </w:rPr>
        <w:t>estructura </w:t>
      </w:r>
      <w:r>
        <w:rPr/>
        <w:t>misma de los incentivos. En otras palabras, </w:t>
      </w:r>
      <w:r>
        <w:rPr>
          <w:spacing w:val="-3"/>
        </w:rPr>
        <w:t>un </w:t>
      </w:r>
      <w:r>
        <w:rPr/>
        <w:t>conjunto de incentivos distorsionado pero estable puede perjudicar menos el desempeño de una política que un conjunto de incentivos incierto e inestable generado por un proceso de reforma sin credibilidad. Por ello, es preciso prestar especial atención no sólo </w:t>
      </w:r>
      <w:r>
        <w:rPr>
          <w:spacing w:val="3"/>
        </w:rPr>
        <w:t>al </w:t>
      </w:r>
      <w:r>
        <w:rPr/>
        <w:t>contenido de las políticas públicas, sino también a las características </w:t>
      </w:r>
      <w:r>
        <w:rPr>
          <w:spacing w:val="3"/>
        </w:rPr>
        <w:t>de </w:t>
      </w:r>
      <w:r>
        <w:rPr/>
        <w:t>esas políticas, como </w:t>
      </w:r>
      <w:r>
        <w:rPr>
          <w:spacing w:val="3"/>
        </w:rPr>
        <w:t>su </w:t>
      </w:r>
      <w:r>
        <w:rPr/>
        <w:t>previsibilidad, su adaptabilidad a </w:t>
      </w:r>
      <w:r>
        <w:rPr>
          <w:spacing w:val="-3"/>
        </w:rPr>
        <w:t>las </w:t>
      </w:r>
      <w:r>
        <w:rPr/>
        <w:t>circunstancias económicas   y políticas cambiantes y otras cualidades</w:t>
      </w:r>
      <w:r>
        <w:rPr>
          <w:spacing w:val="50"/>
        </w:rPr>
        <w:t> </w:t>
      </w:r>
      <w:r>
        <w:rPr/>
        <w:t>relacionadas.</w:t>
      </w:r>
    </w:p>
    <w:p>
      <w:pPr>
        <w:pStyle w:val="BodyText"/>
        <w:spacing w:line="364" w:lineRule="auto" w:before="5"/>
        <w:ind w:left="115" w:right="105" w:firstLine="686"/>
        <w:jc w:val="both"/>
      </w:pPr>
      <w:r>
        <w:rPr/>
        <w:t>A diferencia del contenido de las políticas, tales características tienen la ventaja de permitir comparaciones a través de distintas dimensiones de política pública. Considérese el ejemplo de un país hipotético con dos partidos de tamaño similar  altamente  polarizados  y  con  reglas  electorales  que  tienden  a  dotar   al</w:t>
      </w:r>
    </w:p>
    <w:p>
      <w:pPr>
        <w:spacing w:after="0" w:line="364" w:lineRule="auto"/>
        <w:jc w:val="both"/>
        <w:sectPr>
          <w:footerReference w:type="default" r:id="rId15"/>
          <w:pgSz w:w="11910" w:h="16840"/>
          <w:pgMar w:footer="1457" w:header="0" w:top="1580" w:bottom="1640" w:left="1540" w:right="1540"/>
          <w:pgNumType w:start="41"/>
        </w:sectPr>
      </w:pPr>
    </w:p>
    <w:p>
      <w:pPr>
        <w:pStyle w:val="BodyText"/>
        <w:rPr>
          <w:sz w:val="20"/>
        </w:rPr>
      </w:pPr>
    </w:p>
    <w:p>
      <w:pPr>
        <w:pStyle w:val="BodyText"/>
        <w:spacing w:before="2"/>
        <w:rPr>
          <w:sz w:val="16"/>
        </w:rPr>
      </w:pPr>
    </w:p>
    <w:p>
      <w:pPr>
        <w:pStyle w:val="BodyText"/>
        <w:spacing w:line="364" w:lineRule="auto" w:before="74"/>
        <w:ind w:left="115" w:right="105"/>
        <w:jc w:val="both"/>
      </w:pPr>
      <w:r>
        <w:rPr/>
        <w:t>gobierno con una </w:t>
      </w:r>
      <w:r>
        <w:rPr>
          <w:spacing w:val="-3"/>
        </w:rPr>
        <w:t>mayoría </w:t>
      </w:r>
      <w:r>
        <w:rPr/>
        <w:t>legislativa. En tal escenario, si </w:t>
      </w:r>
      <w:r>
        <w:rPr>
          <w:spacing w:val="3"/>
        </w:rPr>
        <w:t>el </w:t>
      </w:r>
      <w:r>
        <w:rPr/>
        <w:t>juego de poder no facilita la cooperación, a medida que los partidos se alternan en </w:t>
      </w:r>
      <w:r>
        <w:rPr>
          <w:spacing w:val="2"/>
        </w:rPr>
        <w:t>el </w:t>
      </w:r>
      <w:r>
        <w:rPr/>
        <w:t>poder, los contenidos de algunas políticas pueden ir cambiando todo el </w:t>
      </w:r>
      <w:r>
        <w:rPr>
          <w:spacing w:val="-3"/>
        </w:rPr>
        <w:t>tiempo </w:t>
      </w:r>
      <w:r>
        <w:rPr/>
        <w:t>(por ejemplo,  de apertura comercial a protección, nuevamente a apertura, y así sucesivamente). En contraste, características como </w:t>
      </w:r>
      <w:r>
        <w:rPr>
          <w:spacing w:val="-3"/>
        </w:rPr>
        <w:t>la </w:t>
      </w:r>
      <w:r>
        <w:rPr/>
        <w:t>estabilidad de las políticas </w:t>
      </w:r>
      <w:r>
        <w:rPr>
          <w:spacing w:val="-3"/>
        </w:rPr>
        <w:t>(o, </w:t>
      </w:r>
      <w:r>
        <w:rPr/>
        <w:t>en este caso,    </w:t>
      </w:r>
      <w:r>
        <w:rPr>
          <w:spacing w:val="-5"/>
        </w:rPr>
        <w:t>la </w:t>
      </w:r>
      <w:r>
        <w:rPr/>
        <w:t>falta </w:t>
      </w:r>
      <w:r>
        <w:rPr>
          <w:spacing w:val="2"/>
        </w:rPr>
        <w:t>de </w:t>
      </w:r>
      <w:r>
        <w:rPr/>
        <w:t>ella) serán una constante en </w:t>
      </w:r>
      <w:r>
        <w:rPr>
          <w:spacing w:val="-5"/>
        </w:rPr>
        <w:t>la </w:t>
      </w:r>
      <w:r>
        <w:rPr/>
        <w:t>medida en que la configuración institucional no</w:t>
      </w:r>
      <w:r>
        <w:rPr>
          <w:spacing w:val="16"/>
        </w:rPr>
        <w:t> </w:t>
      </w:r>
      <w:r>
        <w:rPr/>
        <w:t>cambie.</w:t>
      </w:r>
    </w:p>
    <w:p>
      <w:pPr>
        <w:pStyle w:val="BodyText"/>
        <w:rPr>
          <w:sz w:val="22"/>
        </w:rPr>
      </w:pPr>
    </w:p>
    <w:p>
      <w:pPr>
        <w:pStyle w:val="Heading3"/>
        <w:numPr>
          <w:ilvl w:val="2"/>
          <w:numId w:val="6"/>
        </w:numPr>
        <w:tabs>
          <w:tab w:pos="902" w:val="left" w:leader="none"/>
        </w:tabs>
        <w:spacing w:line="364" w:lineRule="auto" w:before="155" w:after="0"/>
        <w:ind w:left="116" w:right="106" w:firstLine="0"/>
        <w:jc w:val="both"/>
      </w:pPr>
      <w:r>
        <w:rPr/>
        <w:t>Características “externas” de las políticas públicas en los juegos políticos</w:t>
      </w:r>
    </w:p>
    <w:p>
      <w:pPr>
        <w:pStyle w:val="BodyText"/>
        <w:spacing w:line="364" w:lineRule="auto" w:before="5"/>
        <w:ind w:left="115" w:right="109"/>
        <w:jc w:val="both"/>
      </w:pPr>
      <w:r>
        <w:rPr/>
        <w:t>Algunos países parecen capaces </w:t>
      </w:r>
      <w:r>
        <w:rPr>
          <w:spacing w:val="-3"/>
        </w:rPr>
        <w:t>de </w:t>
      </w:r>
      <w:r>
        <w:rPr/>
        <w:t>sostener políticas en el tiempo. En otros, </w:t>
      </w:r>
      <w:r>
        <w:rPr>
          <w:spacing w:val="-2"/>
        </w:rPr>
        <w:t>las </w:t>
      </w:r>
      <w:r>
        <w:rPr/>
        <w:t>políticas se revierten con frecuencia, cada vez que cambian los vientos  políticos  (ya sea un cambio en la administración o incluso un cambio de algún miembro  clave del gabinete o un alto burócrata). </w:t>
      </w:r>
      <w:r>
        <w:rPr>
          <w:spacing w:val="3"/>
        </w:rPr>
        <w:t>El </w:t>
      </w:r>
      <w:r>
        <w:rPr/>
        <w:t>hecho de contar con políticas estables   no implica que las políticas no puedan cambiar en lo más mínimo, sino que </w:t>
      </w:r>
      <w:r>
        <w:rPr>
          <w:spacing w:val="-3"/>
        </w:rPr>
        <w:t>los </w:t>
      </w:r>
      <w:r>
        <w:rPr/>
        <w:t>cambios tienden a responder a condiciones económicas cambiantes  o al fracaso  de políticas previas, en vez de deberse a cambios de administración  o  en  el partido o coalición de gobierno. En países con políticas públicas estables, </w:t>
      </w:r>
      <w:r>
        <w:rPr>
          <w:spacing w:val="-2"/>
        </w:rPr>
        <w:t>los </w:t>
      </w:r>
      <w:r>
        <w:rPr/>
        <w:t>cambios tienden a ser graduales, consolidan los logros de administraciones anteriores y tienden a realizarse a través del consenso. Por el contrario, los entornos con políticas volátiles se caracterizan por grandes vaivenes y por </w:t>
      </w:r>
      <w:r>
        <w:rPr>
          <w:spacing w:val="-5"/>
        </w:rPr>
        <w:t>la </w:t>
      </w:r>
      <w:r>
        <w:rPr/>
        <w:t>falta  de consulta con los diferentes grupos de la</w:t>
      </w:r>
      <w:r>
        <w:rPr>
          <w:spacing w:val="58"/>
        </w:rPr>
        <w:t> </w:t>
      </w:r>
      <w:r>
        <w:rPr/>
        <w:t>sociedad.</w:t>
      </w:r>
    </w:p>
    <w:p>
      <w:pPr>
        <w:pStyle w:val="BodyText"/>
        <w:spacing w:line="364" w:lineRule="auto"/>
        <w:ind w:left="115" w:right="107" w:firstLine="686"/>
        <w:jc w:val="both"/>
      </w:pPr>
      <w:r>
        <w:rPr/>
        <w:t>Asociamos </w:t>
      </w:r>
      <w:r>
        <w:rPr>
          <w:spacing w:val="-5"/>
        </w:rPr>
        <w:t>la </w:t>
      </w:r>
      <w:r>
        <w:rPr/>
        <w:t>estabilidad de las políticas con </w:t>
      </w:r>
      <w:r>
        <w:rPr>
          <w:spacing w:val="-3"/>
        </w:rPr>
        <w:t>la </w:t>
      </w:r>
      <w:r>
        <w:rPr/>
        <w:t>capacidad de </w:t>
      </w:r>
      <w:r>
        <w:rPr>
          <w:spacing w:val="-3"/>
        </w:rPr>
        <w:t>los </w:t>
      </w:r>
      <w:r>
        <w:rPr/>
        <w:t>actores políticos de acordar y hacer cumplir acuerdos intertemporales que permitan que algunas políticas fundamentales (“políticas de Estado”) sean preservadas más </w:t>
      </w:r>
      <w:r>
        <w:rPr>
          <w:spacing w:val="-4"/>
        </w:rPr>
        <w:t>allá</w:t>
      </w:r>
      <w:r>
        <w:rPr>
          <w:spacing w:val="55"/>
        </w:rPr>
        <w:t> </w:t>
      </w:r>
      <w:r>
        <w:rPr/>
        <w:t>de </w:t>
      </w:r>
      <w:r>
        <w:rPr>
          <w:spacing w:val="-3"/>
        </w:rPr>
        <w:t>la </w:t>
      </w:r>
      <w:r>
        <w:rPr/>
        <w:t>duración en el cargo de ciertos políticos o coaliciones </w:t>
      </w:r>
      <w:r>
        <w:rPr>
          <w:spacing w:val="-3"/>
        </w:rPr>
        <w:t>en </w:t>
      </w:r>
      <w:r>
        <w:rPr/>
        <w:t>particular. Así, el concepto de estabilidad de las políticas está estrechamente vinculado al concepto de credibilidad de las políticas discutido más arriba.</w:t>
      </w:r>
    </w:p>
    <w:p>
      <w:pPr>
        <w:pStyle w:val="BodyText"/>
        <w:spacing w:line="364" w:lineRule="auto" w:before="5"/>
        <w:ind w:left="115" w:right="110" w:firstLine="686"/>
        <w:jc w:val="both"/>
      </w:pPr>
      <w:r>
        <w:rPr>
          <w:b/>
        </w:rPr>
        <w:t>Adaptabilidad de las políticas. </w:t>
      </w:r>
      <w:r>
        <w:rPr/>
        <w:t>Es aconsejable que los países tengan la capacidad de adaptar sus políticas a las condiciones económicas cambiantes, y de cambiar las políticas cuando es claro que están fracasando. Sin embargo,   algunas</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7"/>
        <w:jc w:val="both"/>
      </w:pPr>
      <w:r>
        <w:rPr/>
        <w:t>veces los gobiernos abusan de esta discrecionalidad y adoptan  políticas unilaterales oportunistas, que están más cerca de sus  propias preferencias o  </w:t>
      </w:r>
      <w:r>
        <w:rPr>
          <w:spacing w:val="-2"/>
        </w:rPr>
        <w:t>las </w:t>
      </w:r>
      <w:r>
        <w:rPr/>
        <w:t>de sus electores. Esto puede llevar a la volatilidad de las políticas públicas, </w:t>
      </w:r>
      <w:r>
        <w:rPr>
          <w:spacing w:val="-4"/>
        </w:rPr>
        <w:t>ya </w:t>
      </w:r>
      <w:r>
        <w:rPr/>
        <w:t>que estas pueden oscilar de un lado a otro a medida que diferentes grupos con diferentes preferencias </w:t>
      </w:r>
      <w:r>
        <w:rPr>
          <w:spacing w:val="2"/>
        </w:rPr>
        <w:t>se </w:t>
      </w:r>
      <w:r>
        <w:rPr/>
        <w:t>alternan en el poder. En </w:t>
      </w:r>
      <w:r>
        <w:rPr>
          <w:spacing w:val="-4"/>
        </w:rPr>
        <w:t>los  </w:t>
      </w:r>
      <w:r>
        <w:rPr/>
        <w:t>entornos políticos que no  son cooperativos, los actores políticos algunas veces intentan limitar tal oportunismo recurriendo a reglas fijas y mecanismos que sean  difíciles  de  cambiar. Esto tiene  el beneficio de limitar la volatilidad de  las políticas, pero a  costa de reducir su adaptabilidad. En otros casos, los sistemas políticos tienden a generar bloqueos legislativos, haciendo difícil lograr cambios, un punto enfatizado  en </w:t>
      </w:r>
      <w:r>
        <w:rPr>
          <w:spacing w:val="-4"/>
        </w:rPr>
        <w:t>la </w:t>
      </w:r>
      <w:r>
        <w:rPr/>
        <w:t>literatura sobre </w:t>
      </w:r>
      <w:r>
        <w:rPr>
          <w:spacing w:val="-3"/>
        </w:rPr>
        <w:t>los </w:t>
      </w:r>
      <w:r>
        <w:rPr/>
        <w:t>jugadores con poder de veto (Tsebelis, 1995, 2002) y  sobre el gobierno</w:t>
      </w:r>
      <w:r>
        <w:rPr>
          <w:spacing w:val="19"/>
        </w:rPr>
        <w:t> </w:t>
      </w:r>
      <w:r>
        <w:rPr/>
        <w:t>dividido.</w:t>
      </w:r>
    </w:p>
    <w:p>
      <w:pPr>
        <w:pStyle w:val="BodyText"/>
        <w:spacing w:line="364" w:lineRule="auto"/>
        <w:ind w:left="115" w:right="107" w:firstLine="686"/>
        <w:jc w:val="both"/>
      </w:pPr>
      <w:r>
        <w:rPr>
          <w:b/>
        </w:rPr>
        <w:t>Coordinación y coherencia. </w:t>
      </w:r>
      <w:r>
        <w:rPr/>
        <w:t>Las políticas públicas son el resultado de ac- ciones tomadas por múltiples actores en el proceso de formulación de políticas. Idealmente, los diferentes agentes que actúan en el  mismo  ámbito  político deberían coordinar sus acciones para producir políticas coherentes. Sin embargo, este no siempre es el caso. En algunos países, la formulación de políticas sobre determinados asuntos involucra un gran número de  agencias  que  no  se comunican adecuadamente entre sí, lo que conduce a lo que Cox y McCubbins (2001) han llamado “balcanización” de las políticas públicas. La falta  de coordinación a menudo refleja la naturaleza no cooperativa de las interacciones políticas. Esto puede ocurrir entre diferentes agencias del gobierno central; entre agencias del gobierno central y otras a nivel regional o municipal; o incluso entre agentes que operan en diferentes etapas del proceso de formulación de políticas (como cuando las complicaciones que la burocracia podría  enfrentar  durante  la fase de implementación de una política dada no se tienen en cuenta durante la etapa de diseño y aprobación de dicha política).</w:t>
      </w:r>
    </w:p>
    <w:p>
      <w:pPr>
        <w:spacing w:line="364" w:lineRule="auto" w:before="5"/>
        <w:ind w:left="115" w:right="106" w:firstLine="686"/>
        <w:jc w:val="both"/>
        <w:rPr>
          <w:sz w:val="23"/>
        </w:rPr>
      </w:pPr>
      <w:r>
        <w:rPr>
          <w:b/>
          <w:sz w:val="23"/>
        </w:rPr>
        <w:t>Calidad </w:t>
      </w:r>
      <w:r>
        <w:rPr>
          <w:b/>
          <w:spacing w:val="-3"/>
          <w:sz w:val="23"/>
        </w:rPr>
        <w:t>de </w:t>
      </w:r>
      <w:r>
        <w:rPr>
          <w:b/>
          <w:sz w:val="23"/>
        </w:rPr>
        <w:t>la implementación y del enforcement  (o  aplicación  efectiva). </w:t>
      </w:r>
      <w:r>
        <w:rPr>
          <w:sz w:val="23"/>
        </w:rPr>
        <w:t>Una política podría estar muy bien diseñada, atravesar el proceso de aprobación sin modificaciones, y aun así ser completamente ineficaz  </w:t>
      </w:r>
      <w:r>
        <w:rPr>
          <w:spacing w:val="2"/>
          <w:sz w:val="23"/>
        </w:rPr>
        <w:t>si </w:t>
      </w:r>
      <w:r>
        <w:rPr>
          <w:sz w:val="23"/>
        </w:rPr>
        <w:t>no  está bien implementada y ejecutada. En muchos países  de América  Latina, </w:t>
      </w:r>
      <w:r>
        <w:rPr>
          <w:spacing w:val="-3"/>
          <w:sz w:val="23"/>
        </w:rPr>
        <w:t>la   </w:t>
      </w:r>
      <w:r>
        <w:rPr>
          <w:spacing w:val="22"/>
          <w:sz w:val="23"/>
        </w:rPr>
        <w:t> </w:t>
      </w:r>
      <w:r>
        <w:rPr>
          <w:sz w:val="23"/>
        </w:rPr>
        <w:t>calidad</w:t>
      </w:r>
    </w:p>
    <w:p>
      <w:pPr>
        <w:spacing w:after="0" w:line="364" w:lineRule="auto"/>
        <w:jc w:val="both"/>
        <w:rPr>
          <w:sz w:val="23"/>
        </w:rPr>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6"/>
        <w:jc w:val="both"/>
      </w:pPr>
      <w:r>
        <w:rPr/>
        <w:t>de la implementación y del </w:t>
      </w:r>
      <w:r>
        <w:rPr>
          <w:i/>
        </w:rPr>
        <w:t>enforcement </w:t>
      </w:r>
      <w:r>
        <w:rPr>
          <w:spacing w:val="-3"/>
        </w:rPr>
        <w:t>es </w:t>
      </w:r>
      <w:r>
        <w:rPr/>
        <w:t>bastante pobre.  Esto  se  asocia  en parte a </w:t>
      </w:r>
      <w:r>
        <w:rPr>
          <w:spacing w:val="-3"/>
        </w:rPr>
        <w:t>la </w:t>
      </w:r>
      <w:r>
        <w:rPr/>
        <w:t>falta de burocracias capaces e independientes, así como a </w:t>
      </w:r>
      <w:r>
        <w:rPr>
          <w:spacing w:val="-5"/>
        </w:rPr>
        <w:t>la </w:t>
      </w:r>
      <w:r>
        <w:rPr/>
        <w:t>falta de sistemas judiciales fuertes. En un grado importante, la calidad de  </w:t>
      </w:r>
      <w:r>
        <w:rPr>
          <w:spacing w:val="-5"/>
        </w:rPr>
        <w:t>la  </w:t>
      </w:r>
      <w:r>
        <w:rPr/>
        <w:t>implementación y del </w:t>
      </w:r>
      <w:r>
        <w:rPr>
          <w:i/>
        </w:rPr>
        <w:t>enforcement </w:t>
      </w:r>
      <w:r>
        <w:rPr/>
        <w:t>dependeran de </w:t>
      </w:r>
      <w:r>
        <w:rPr>
          <w:spacing w:val="-5"/>
        </w:rPr>
        <w:t>la </w:t>
      </w:r>
      <w:r>
        <w:rPr/>
        <w:t>medida en que los políticos tengan incentivos y recursos para invertir en </w:t>
      </w:r>
      <w:r>
        <w:rPr>
          <w:spacing w:val="2"/>
        </w:rPr>
        <w:t>sus </w:t>
      </w:r>
      <w:r>
        <w:rPr/>
        <w:t>propias</w:t>
      </w:r>
      <w:r>
        <w:rPr>
          <w:spacing w:val="61"/>
        </w:rPr>
        <w:t> </w:t>
      </w:r>
      <w:r>
        <w:rPr/>
        <w:t>capacidades.</w:t>
      </w:r>
    </w:p>
    <w:p>
      <w:pPr>
        <w:pStyle w:val="BodyText"/>
        <w:spacing w:line="364" w:lineRule="auto" w:before="5"/>
        <w:ind w:left="115" w:right="108" w:firstLine="686"/>
        <w:jc w:val="both"/>
      </w:pPr>
      <w:r>
        <w:rPr>
          <w:b/>
        </w:rPr>
        <w:t>Orientación al interés público. </w:t>
      </w:r>
      <w:r>
        <w:rPr/>
        <w:t>Esta dimensión, sugerida por Cox y McCubbins (2001), hace referencia a la medida en la cual </w:t>
      </w:r>
      <w:r>
        <w:rPr>
          <w:spacing w:val="-3"/>
        </w:rPr>
        <w:t>las </w:t>
      </w:r>
      <w:r>
        <w:rPr/>
        <w:t>políticas formuladas por un sistema dado promueven el bienestar general y </w:t>
      </w:r>
      <w:r>
        <w:rPr>
          <w:spacing w:val="3"/>
        </w:rPr>
        <w:t>se </w:t>
      </w:r>
      <w:r>
        <w:rPr/>
        <w:t>asemejan a bienes públicos (es decir, son de interés público) o tienden a canalizar beneficios privados para determinados individuos, facciones o regiones en la forma de proyectos con beneficios concentrados, subsidios o lagunas</w:t>
      </w:r>
      <w:r>
        <w:rPr>
          <w:spacing w:val="53"/>
        </w:rPr>
        <w:t> </w:t>
      </w:r>
      <w:r>
        <w:rPr/>
        <w:t>fiscales.</w:t>
      </w:r>
    </w:p>
    <w:p>
      <w:pPr>
        <w:pStyle w:val="BodyText"/>
        <w:spacing w:line="364" w:lineRule="auto" w:before="5"/>
        <w:ind w:left="115" w:right="107" w:firstLine="686"/>
        <w:jc w:val="both"/>
      </w:pPr>
      <w:r>
        <w:rPr/>
        <w:t>Aunque las mismas características tiendan a estar presentes </w:t>
      </w:r>
      <w:r>
        <w:rPr>
          <w:spacing w:val="-3"/>
        </w:rPr>
        <w:t>en la </w:t>
      </w:r>
      <w:r>
        <w:rPr/>
        <w:t>mayoría de los dominios de la política, no siempre se espera que todas las políticas tengan exactamente las mismas características. Diferencias en </w:t>
      </w:r>
      <w:r>
        <w:rPr>
          <w:spacing w:val="-5"/>
        </w:rPr>
        <w:t>la </w:t>
      </w:r>
      <w:r>
        <w:rPr/>
        <w:t>naturaleza de distintos aspectos de política, en los actores que participan en los juegos de poder de </w:t>
      </w:r>
      <w:r>
        <w:rPr>
          <w:spacing w:val="-4"/>
        </w:rPr>
        <w:t>los </w:t>
      </w:r>
      <w:r>
        <w:rPr/>
        <w:t>respectivos sectores y en los escenarios donde el juego de la formulación de políticas </w:t>
      </w:r>
      <w:r>
        <w:rPr>
          <w:spacing w:val="5"/>
        </w:rPr>
        <w:t>se </w:t>
      </w:r>
      <w:r>
        <w:rPr/>
        <w:t>lleva a cabo, pueden conducir a que las características de las políticas públicas difieran de sector a</w:t>
      </w:r>
      <w:r>
        <w:rPr>
          <w:spacing w:val="39"/>
        </w:rPr>
        <w:t> </w:t>
      </w:r>
      <w:r>
        <w:rPr/>
        <w:t>sector.</w:t>
      </w:r>
    </w:p>
    <w:p>
      <w:pPr>
        <w:pStyle w:val="BodyText"/>
        <w:rPr>
          <w:sz w:val="22"/>
        </w:rPr>
      </w:pPr>
    </w:p>
    <w:p>
      <w:pPr>
        <w:pStyle w:val="Heading3"/>
        <w:numPr>
          <w:ilvl w:val="2"/>
          <w:numId w:val="6"/>
        </w:numPr>
        <w:tabs>
          <w:tab w:pos="881" w:val="left" w:leader="none"/>
        </w:tabs>
        <w:spacing w:line="364" w:lineRule="auto" w:before="150" w:after="0"/>
        <w:ind w:left="115" w:right="109" w:firstLine="0"/>
        <w:jc w:val="both"/>
      </w:pPr>
      <w:r>
        <w:rPr/>
        <w:t>Actores y escenarios de los juegos de poder en la formulación de políticas</w:t>
      </w:r>
    </w:p>
    <w:p>
      <w:pPr>
        <w:pStyle w:val="BodyText"/>
        <w:spacing w:line="364" w:lineRule="auto" w:before="10"/>
        <w:ind w:left="115" w:right="103"/>
        <w:jc w:val="both"/>
      </w:pPr>
      <w:r>
        <w:rPr/>
        <w:t>En los sistemas democráticos el proceso de formulación de políticas </w:t>
      </w:r>
      <w:r>
        <w:rPr>
          <w:spacing w:val="3"/>
        </w:rPr>
        <w:t>se </w:t>
      </w:r>
      <w:r>
        <w:rPr/>
        <w:t>desarrolla en escenarios en los </w:t>
      </w:r>
      <w:r>
        <w:rPr>
          <w:spacing w:val="-3"/>
        </w:rPr>
        <w:t>que </w:t>
      </w:r>
      <w:r>
        <w:rPr/>
        <w:t>participan una variedad de </w:t>
      </w:r>
      <w:r>
        <w:rPr>
          <w:i/>
        </w:rPr>
        <w:t>actores </w:t>
      </w:r>
      <w:r>
        <w:rPr/>
        <w:t>políticos (o </w:t>
      </w:r>
      <w:r>
        <w:rPr>
          <w:i/>
        </w:rPr>
        <w:t>jugadores</w:t>
      </w:r>
      <w:r>
        <w:rPr/>
        <w:t>, en el lenguaje de la teoría de juegos). En este juego, los jugadores son los actores estatales y los políticos profesionales (presidentes, líderes de partido, legisladores, jueces, gobernadores, burócratas), como también los grupos empresariales, los sindicatos, los medios </w:t>
      </w:r>
      <w:r>
        <w:rPr>
          <w:spacing w:val="3"/>
        </w:rPr>
        <w:t>de </w:t>
      </w:r>
      <w:r>
        <w:rPr/>
        <w:t>comunicación y otros miembros de la  sociedad  civil. Estos actores interactúan en diferentes </w:t>
      </w:r>
      <w:r>
        <w:rPr>
          <w:i/>
        </w:rPr>
        <w:t>escenarios</w:t>
      </w:r>
      <w:r>
        <w:rPr/>
        <w:t>, los  cuales  pueden  ser  formales (como </w:t>
      </w:r>
      <w:r>
        <w:rPr>
          <w:spacing w:val="-4"/>
        </w:rPr>
        <w:t>la </w:t>
      </w:r>
      <w:r>
        <w:rPr/>
        <w:t>legislatura o el gabinete) o informales </w:t>
      </w:r>
      <w:r>
        <w:rPr>
          <w:spacing w:val="-3"/>
        </w:rPr>
        <w:t>(la </w:t>
      </w:r>
      <w:r>
        <w:rPr/>
        <w:t>calle),  y pueden ser  más o </w:t>
      </w:r>
      <w:r>
        <w:rPr>
          <w:spacing w:val="-3"/>
        </w:rPr>
        <w:t>menos</w:t>
      </w:r>
      <w:r>
        <w:rPr>
          <w:spacing w:val="47"/>
        </w:rPr>
        <w:t> </w:t>
      </w:r>
      <w:r>
        <w:rPr/>
        <w:t>transparentes.</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6" w:firstLine="686"/>
        <w:jc w:val="both"/>
      </w:pPr>
      <w:r>
        <w:rPr/>
        <w:t>El juego de poder puede entenderse como un proceso de negociaciones e intercambios </w:t>
      </w:r>
      <w:r>
        <w:rPr>
          <w:spacing w:val="-3"/>
        </w:rPr>
        <w:t>(o </w:t>
      </w:r>
      <w:r>
        <w:rPr/>
        <w:t>transacciones) entre actores políticos. Algunos de estos intercambios </w:t>
      </w:r>
      <w:r>
        <w:rPr>
          <w:spacing w:val="2"/>
        </w:rPr>
        <w:t>son </w:t>
      </w:r>
      <w:r>
        <w:rPr/>
        <w:t>consumados de manera instantánea (</w:t>
      </w:r>
      <w:r>
        <w:rPr>
          <w:i/>
        </w:rPr>
        <w:t>transacciones </w:t>
      </w:r>
      <w:r>
        <w:rPr>
          <w:i/>
          <w:spacing w:val="-3"/>
        </w:rPr>
        <w:t>de </w:t>
      </w:r>
      <w:r>
        <w:rPr>
          <w:i/>
        </w:rPr>
        <w:t>tipo  </w:t>
      </w:r>
      <w:r>
        <w:rPr>
          <w:i/>
        </w:rPr>
        <w:t>“</w:t>
      </w:r>
      <w:r>
        <w:rPr/>
        <w:t>spot</w:t>
      </w:r>
      <w:r>
        <w:rPr>
          <w:i/>
        </w:rPr>
        <w:t>”</w:t>
      </w:r>
      <w:r>
        <w:rPr/>
        <w:t>). En muchos otros casos, las acciones que ocurren en el presente (como un voto en el Congreso o la transferencia de recursos para un proyecto) se intercambian por promesas de acciones o recursos futuros (</w:t>
      </w:r>
      <w:r>
        <w:rPr>
          <w:i/>
        </w:rPr>
        <w:t>transacciones </w:t>
      </w:r>
      <w:r>
        <w:rPr>
          <w:i/>
        </w:rPr>
        <w:t>intertemporales</w:t>
      </w:r>
      <w:r>
        <w:rPr/>
        <w:t>). El tipo de transacción en </w:t>
      </w:r>
      <w:r>
        <w:rPr>
          <w:spacing w:val="-4"/>
        </w:rPr>
        <w:t>la </w:t>
      </w:r>
      <w:r>
        <w:rPr/>
        <w:t>que los actores políticos pueden comprometerse dependerá de las posibilidades provistas por el entorno institucional.</w:t>
      </w:r>
    </w:p>
    <w:p>
      <w:pPr>
        <w:pStyle w:val="BodyText"/>
        <w:spacing w:line="364" w:lineRule="auto" w:before="5"/>
        <w:ind w:left="115" w:right="108" w:firstLine="686"/>
        <w:jc w:val="both"/>
      </w:pPr>
      <w:r>
        <w:rPr/>
        <w:t>Los temas de credibilidad y capacidad </w:t>
      </w:r>
      <w:r>
        <w:rPr>
          <w:spacing w:val="-4"/>
        </w:rPr>
        <w:t>de</w:t>
      </w:r>
      <w:r>
        <w:rPr>
          <w:spacing w:val="55"/>
        </w:rPr>
        <w:t> </w:t>
      </w:r>
      <w:r>
        <w:rPr>
          <w:i/>
        </w:rPr>
        <w:t>enforcement  </w:t>
      </w:r>
      <w:r>
        <w:rPr/>
        <w:t>de  acuerdos políticos y de política pública son cruciales para que los actores políticos puedan comprometerse y participar en transacciones intertemporales o,  </w:t>
      </w:r>
      <w:r>
        <w:rPr>
          <w:spacing w:val="-3"/>
        </w:rPr>
        <w:t>más  </w:t>
      </w:r>
      <w:r>
        <w:rPr/>
        <w:t>generalmente, para que puedan cooperar. Los horizontes de tiempo son determinantes muy importantes del comportamiento político. Los actores con horizontes prolongados tienen mucha más probabilidad de concertar los acuerdos intertemporales necesarios para sustentar políticas efectivas. </w:t>
      </w:r>
      <w:r>
        <w:rPr>
          <w:spacing w:val="2"/>
        </w:rPr>
        <w:t>Por </w:t>
      </w:r>
      <w:r>
        <w:rPr/>
        <w:t>el contrario, los actores con horizontes cortos tenderán a </w:t>
      </w:r>
      <w:r>
        <w:rPr>
          <w:spacing w:val="-3"/>
        </w:rPr>
        <w:t>maximizar </w:t>
      </w:r>
      <w:r>
        <w:rPr/>
        <w:t>los beneficios </w:t>
      </w:r>
      <w:r>
        <w:rPr>
          <w:spacing w:val="3"/>
        </w:rPr>
        <w:t>de </w:t>
      </w:r>
      <w:r>
        <w:rPr/>
        <w:t>corto plazo,  en detrimento de la formación institucional de largo plazo y de la credibilidad y </w:t>
      </w:r>
      <w:r>
        <w:rPr>
          <w:spacing w:val="-5"/>
        </w:rPr>
        <w:t>la </w:t>
      </w:r>
      <w:r>
        <w:rPr/>
        <w:t>calidad de las</w:t>
      </w:r>
      <w:r>
        <w:rPr>
          <w:spacing w:val="20"/>
        </w:rPr>
        <w:t> </w:t>
      </w:r>
      <w:r>
        <w:rPr/>
        <w:t>políticas.</w:t>
      </w:r>
    </w:p>
    <w:p>
      <w:pPr>
        <w:pStyle w:val="BodyText"/>
        <w:spacing w:line="364" w:lineRule="auto"/>
        <w:ind w:left="115" w:right="105" w:firstLine="686"/>
        <w:jc w:val="both"/>
      </w:pPr>
      <w:r>
        <w:rPr/>
        <w:t>El comportamiento de </w:t>
      </w:r>
      <w:r>
        <w:rPr>
          <w:spacing w:val="-3"/>
        </w:rPr>
        <w:t>los </w:t>
      </w:r>
      <w:r>
        <w:rPr/>
        <w:t>actores políticos en estos intercambios, y la naturaleza misma de los intercambios –como dar apoyo </w:t>
      </w:r>
      <w:r>
        <w:rPr>
          <w:spacing w:val="3"/>
        </w:rPr>
        <w:t>al </w:t>
      </w:r>
      <w:r>
        <w:rPr/>
        <w:t>gobierno en un importante asunto de políticas a cambio de un trabajo en </w:t>
      </w:r>
      <w:r>
        <w:rPr>
          <w:spacing w:val="-5"/>
        </w:rPr>
        <w:t>la </w:t>
      </w:r>
      <w:r>
        <w:rPr/>
        <w:t>burocracia pública, o apoyo a una reforma en </w:t>
      </w:r>
      <w:r>
        <w:rPr>
          <w:spacing w:val="-3"/>
        </w:rPr>
        <w:t>un </w:t>
      </w:r>
      <w:r>
        <w:rPr/>
        <w:t>área de política a cambio de concesiones  </w:t>
      </w:r>
      <w:r>
        <w:rPr>
          <w:spacing w:val="-3"/>
        </w:rPr>
        <w:t>en  </w:t>
      </w:r>
      <w:r>
        <w:rPr/>
        <w:t>otra  área– depende de </w:t>
      </w:r>
      <w:r>
        <w:rPr>
          <w:spacing w:val="-4"/>
        </w:rPr>
        <w:t>las </w:t>
      </w:r>
      <w:r>
        <w:rPr/>
        <w:t>preferencias de los actores, de sus incentivos y de </w:t>
      </w:r>
      <w:r>
        <w:rPr>
          <w:spacing w:val="-3"/>
        </w:rPr>
        <w:t>las </w:t>
      </w:r>
      <w:r>
        <w:rPr/>
        <w:t>restricciones que enfrenten. También depende de </w:t>
      </w:r>
      <w:r>
        <w:rPr>
          <w:spacing w:val="-3"/>
        </w:rPr>
        <w:t>las </w:t>
      </w:r>
      <w:r>
        <w:rPr/>
        <w:t>expectativas que diversos actores tengan respecto del comportamiento de otros jugadores. Estos patrones interactivos de comportamiento constituyen lo que </w:t>
      </w:r>
      <w:r>
        <w:rPr>
          <w:spacing w:val="-3"/>
        </w:rPr>
        <w:t>en </w:t>
      </w:r>
      <w:r>
        <w:rPr/>
        <w:t>el lenguaje de </w:t>
      </w:r>
      <w:r>
        <w:rPr>
          <w:spacing w:val="-3"/>
        </w:rPr>
        <w:t>la </w:t>
      </w:r>
      <w:r>
        <w:rPr/>
        <w:t>teoría de juegos </w:t>
      </w:r>
      <w:r>
        <w:rPr>
          <w:spacing w:val="3"/>
        </w:rPr>
        <w:t>se </w:t>
      </w:r>
      <w:r>
        <w:rPr>
          <w:spacing w:val="-3"/>
        </w:rPr>
        <w:t>denomina </w:t>
      </w:r>
      <w:r>
        <w:rPr>
          <w:i/>
        </w:rPr>
        <w:t>equilibrio</w:t>
      </w:r>
      <w:r>
        <w:rPr/>
        <w:t>. Por ende, </w:t>
      </w:r>
      <w:r>
        <w:rPr>
          <w:spacing w:val="-3"/>
        </w:rPr>
        <w:t>las </w:t>
      </w:r>
      <w:r>
        <w:rPr/>
        <w:t>características de las  políticas  públicas dependen del comportamiento de equilibrio de estos actores en </w:t>
      </w:r>
      <w:r>
        <w:rPr>
          <w:spacing w:val="3"/>
        </w:rPr>
        <w:t>el </w:t>
      </w:r>
      <w:r>
        <w:rPr/>
        <w:t>juego político.</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1" w:firstLine="686"/>
        <w:jc w:val="both"/>
      </w:pPr>
      <w:r>
        <w:rPr/>
        <w:t>El comportamiento de los actores políticos </w:t>
      </w:r>
      <w:r>
        <w:rPr>
          <w:spacing w:val="-3"/>
        </w:rPr>
        <w:t>en </w:t>
      </w:r>
      <w:r>
        <w:rPr/>
        <w:t>el proceso de formulación de políticas –influido por </w:t>
      </w:r>
      <w:r>
        <w:rPr>
          <w:spacing w:val="4"/>
        </w:rPr>
        <w:t>el </w:t>
      </w:r>
      <w:r>
        <w:rPr/>
        <w:t>rol en el que </w:t>
      </w:r>
      <w:r>
        <w:rPr>
          <w:spacing w:val="3"/>
        </w:rPr>
        <w:t>se </w:t>
      </w:r>
      <w:r>
        <w:rPr/>
        <w:t>desempeñan, sus incentivos y </w:t>
      </w:r>
      <w:r>
        <w:rPr>
          <w:spacing w:val="-3"/>
        </w:rPr>
        <w:t>las </w:t>
      </w:r>
      <w:r>
        <w:rPr/>
        <w:t>restricciones que enfrentan– dependerá, a la vez, del funcionamiento de </w:t>
      </w:r>
      <w:r>
        <w:rPr>
          <w:spacing w:val="-3"/>
        </w:rPr>
        <w:t>las </w:t>
      </w:r>
      <w:r>
        <w:rPr>
          <w:i/>
        </w:rPr>
        <w:t>instituciones políticas </w:t>
      </w:r>
      <w:r>
        <w:rPr/>
        <w:t>(como el Congreso, el sistema de partidos o el  Poder  Judicial) y de las </w:t>
      </w:r>
      <w:r>
        <w:rPr>
          <w:i/>
        </w:rPr>
        <w:t>reglas institucionales </w:t>
      </w:r>
      <w:r>
        <w:rPr/>
        <w:t>básicas (como las reglas electorales y las reglas constitucionales) que determinan los roles de cada </w:t>
      </w:r>
      <w:r>
        <w:rPr>
          <w:spacing w:val="-3"/>
        </w:rPr>
        <w:t>uno  </w:t>
      </w:r>
      <w:r>
        <w:rPr/>
        <w:t>de los  jugadores,  así como las reglas de interacción entre</w:t>
      </w:r>
      <w:r>
        <w:rPr>
          <w:spacing w:val="44"/>
        </w:rPr>
        <w:t> </w:t>
      </w:r>
      <w:r>
        <w:rPr/>
        <w:t>ellos.</w:t>
      </w:r>
    </w:p>
    <w:p>
      <w:pPr>
        <w:pStyle w:val="BodyText"/>
        <w:spacing w:line="364" w:lineRule="auto" w:before="5"/>
        <w:ind w:left="115" w:right="107" w:firstLine="686"/>
        <w:jc w:val="both"/>
      </w:pPr>
      <w:r>
        <w:rPr/>
        <w:t>Para el funcionamiento de los juegos </w:t>
      </w:r>
      <w:r>
        <w:rPr>
          <w:spacing w:val="-3"/>
        </w:rPr>
        <w:t>de </w:t>
      </w:r>
      <w:r>
        <w:rPr/>
        <w:t>poder es preciso tener </w:t>
      </w:r>
      <w:r>
        <w:rPr>
          <w:spacing w:val="-4"/>
        </w:rPr>
        <w:t>la </w:t>
      </w:r>
      <w:r>
        <w:rPr/>
        <w:t>siguiente información: 1) ¿quiénes son los actores clave que participan en el juego  de poder?; 2) ¿qué poderes tienen y </w:t>
      </w:r>
      <w:r>
        <w:rPr>
          <w:spacing w:val="-3"/>
        </w:rPr>
        <w:t>qué </w:t>
      </w:r>
      <w:r>
        <w:rPr/>
        <w:t>papeles desempeñan?; 3) </w:t>
      </w:r>
      <w:r>
        <w:rPr>
          <w:spacing w:val="-2"/>
        </w:rPr>
        <w:t>cuáles </w:t>
      </w:r>
      <w:r>
        <w:rPr/>
        <w:t>son sus preferencias, incentivos y capacidades?; 4) ¿cuáles son sus  horizontes temporales?; 5) ¿cuáles son los principales escenarios </w:t>
      </w:r>
      <w:r>
        <w:rPr>
          <w:spacing w:val="3"/>
        </w:rPr>
        <w:t>en </w:t>
      </w:r>
      <w:r>
        <w:rPr/>
        <w:t>los que interactúan y cuáles son las características de esos escenarios? </w:t>
      </w:r>
      <w:r>
        <w:rPr>
          <w:spacing w:val="-4"/>
        </w:rPr>
        <w:t>y; </w:t>
      </w:r>
      <w:r>
        <w:rPr/>
        <w:t>6) ¿cuál es la naturaleza de los intercambios o transacciones que llevan a</w:t>
      </w:r>
      <w:r>
        <w:rPr>
          <w:spacing w:val="54"/>
        </w:rPr>
        <w:t> </w:t>
      </w:r>
      <w:r>
        <w:rPr/>
        <w:t>cabo?</w:t>
      </w:r>
    </w:p>
    <w:p>
      <w:pPr>
        <w:pStyle w:val="BodyText"/>
        <w:rPr>
          <w:sz w:val="22"/>
        </w:rPr>
      </w:pPr>
    </w:p>
    <w:p>
      <w:pPr>
        <w:pStyle w:val="Heading3"/>
        <w:numPr>
          <w:ilvl w:val="2"/>
          <w:numId w:val="6"/>
        </w:numPr>
        <w:tabs>
          <w:tab w:pos="832" w:val="left" w:leader="none"/>
        </w:tabs>
        <w:spacing w:line="240" w:lineRule="auto" w:before="150" w:after="0"/>
        <w:ind w:left="831" w:right="0" w:hanging="715"/>
        <w:jc w:val="both"/>
      </w:pPr>
      <w:bookmarkStart w:name="_TOC_250023" w:id="9"/>
      <w:r>
        <w:rPr/>
        <w:t>Alcances de la cooperación en los juegos </w:t>
      </w:r>
      <w:r>
        <w:rPr>
          <w:spacing w:val="2"/>
        </w:rPr>
        <w:t> </w:t>
      </w:r>
      <w:bookmarkEnd w:id="9"/>
      <w:r>
        <w:rPr/>
        <w:t>poder</w:t>
      </w:r>
    </w:p>
    <w:p>
      <w:pPr>
        <w:pStyle w:val="BodyText"/>
        <w:spacing w:line="364" w:lineRule="auto" w:before="138"/>
        <w:ind w:left="115" w:right="104"/>
        <w:jc w:val="both"/>
      </w:pPr>
      <w:r>
        <w:rPr/>
        <w:t>Para que </w:t>
      </w:r>
      <w:r>
        <w:rPr>
          <w:spacing w:val="-5"/>
        </w:rPr>
        <w:t>la </w:t>
      </w:r>
      <w:r>
        <w:rPr/>
        <w:t>cooperación genere buenos resultados es necesario que </w:t>
      </w:r>
      <w:r>
        <w:rPr>
          <w:spacing w:val="3"/>
        </w:rPr>
        <w:t>se </w:t>
      </w:r>
      <w:r>
        <w:rPr/>
        <w:t>combine con dosis saludables </w:t>
      </w:r>
      <w:r>
        <w:rPr>
          <w:spacing w:val="3"/>
        </w:rPr>
        <w:t>de </w:t>
      </w:r>
      <w:r>
        <w:rPr/>
        <w:t>inclusión  y competencia política. ¿Bajo qué condiciones   es más probable </w:t>
      </w:r>
      <w:r>
        <w:rPr>
          <w:spacing w:val="-3"/>
        </w:rPr>
        <w:t>la </w:t>
      </w:r>
      <w:r>
        <w:rPr/>
        <w:t>cooperación? Partiendo de las intuiciones de  la  teoría  de juegos repetidos se puede argumentar que los resultados cooperativos son más probables </w:t>
      </w:r>
      <w:r>
        <w:rPr>
          <w:spacing w:val="3"/>
        </w:rPr>
        <w:t>si </w:t>
      </w:r>
      <w:r>
        <w:rPr/>
        <w:t>los beneficios inmediatos  de desviarse  de  la conducta cooperativa son pequeños; </w:t>
      </w:r>
      <w:r>
        <w:rPr>
          <w:spacing w:val="3"/>
        </w:rPr>
        <w:t>si </w:t>
      </w:r>
      <w:r>
        <w:rPr/>
        <w:t>existe buena capacidad de agregación de modo que el número  de actores con impacto directo sobre </w:t>
      </w:r>
      <w:r>
        <w:rPr>
          <w:spacing w:val="-4"/>
        </w:rPr>
        <w:t>la </w:t>
      </w:r>
      <w:r>
        <w:rPr/>
        <w:t>formulación de políticas sea pequeño; </w:t>
      </w:r>
      <w:r>
        <w:rPr>
          <w:spacing w:val="3"/>
        </w:rPr>
        <w:t>si </w:t>
      </w:r>
      <w:r>
        <w:rPr/>
        <w:t>estos actores clave tienen horizontes temporales prolongados e interactúan  en forma repetida; </w:t>
      </w:r>
      <w:r>
        <w:rPr>
          <w:spacing w:val="3"/>
        </w:rPr>
        <w:t>si </w:t>
      </w:r>
      <w:r>
        <w:rPr/>
        <w:t>hay escenarios bien institucionalizados para el intercambio político y si existen tecnologías de </w:t>
      </w:r>
      <w:r>
        <w:rPr>
          <w:i/>
        </w:rPr>
        <w:t>enforcement </w:t>
      </w:r>
      <w:r>
        <w:rPr/>
        <w:t>creíbles, como un poder judicial independiente o una fuerte burocracia a </w:t>
      </w:r>
      <w:r>
        <w:rPr>
          <w:spacing w:val="-4"/>
        </w:rPr>
        <w:t>la </w:t>
      </w:r>
      <w:r>
        <w:rPr/>
        <w:t>cual puedan delegarse determinadas políticas públicas. A continuación </w:t>
      </w:r>
      <w:r>
        <w:rPr>
          <w:spacing w:val="3"/>
        </w:rPr>
        <w:t>se </w:t>
      </w:r>
      <w:r>
        <w:rPr/>
        <w:t>presentan las condiciones que fomentan o dificultan la</w:t>
      </w:r>
      <w:r>
        <w:rPr>
          <w:spacing w:val="23"/>
        </w:rPr>
        <w:t> </w:t>
      </w:r>
      <w:r>
        <w:rPr/>
        <w:t>cooperación:</w:t>
      </w:r>
    </w:p>
    <w:p>
      <w:pPr>
        <w:spacing w:line="369" w:lineRule="auto" w:before="0"/>
        <w:ind w:left="115" w:right="109" w:firstLine="686"/>
        <w:jc w:val="both"/>
        <w:rPr>
          <w:sz w:val="23"/>
        </w:rPr>
      </w:pPr>
      <w:r>
        <w:rPr>
          <w:b/>
          <w:sz w:val="23"/>
        </w:rPr>
        <w:t>Estructura de pagos/beneficios dentro del periodo. </w:t>
      </w:r>
      <w:r>
        <w:rPr>
          <w:sz w:val="23"/>
        </w:rPr>
        <w:t>Si existen grandes beneficios   inmediatos   asociados  con   desviarse  de   acuerdos  cooperativos,</w:t>
      </w:r>
      <w:r>
        <w:rPr>
          <w:spacing w:val="59"/>
          <w:sz w:val="23"/>
        </w:rPr>
        <w:t> </w:t>
      </w:r>
      <w:r>
        <w:rPr>
          <w:spacing w:val="-4"/>
          <w:sz w:val="23"/>
        </w:rPr>
        <w:t>la</w:t>
      </w:r>
    </w:p>
    <w:p>
      <w:pPr>
        <w:spacing w:after="0" w:line="369" w:lineRule="auto"/>
        <w:jc w:val="both"/>
        <w:rPr>
          <w:sz w:val="23"/>
        </w:rPr>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7"/>
        <w:jc w:val="both"/>
      </w:pPr>
      <w:r>
        <w:rPr/>
        <w:t>cooperación será difícil de sostener. En los juegos asociados </w:t>
      </w:r>
      <w:r>
        <w:rPr>
          <w:spacing w:val="3"/>
        </w:rPr>
        <w:t>con </w:t>
      </w:r>
      <w:r>
        <w:rPr/>
        <w:t>oligopolios, por ejemplo, si una firma puede obtener grandes beneficios </w:t>
      </w:r>
      <w:r>
        <w:rPr>
          <w:spacing w:val="-3"/>
        </w:rPr>
        <w:t>en </w:t>
      </w:r>
      <w:r>
        <w:rPr>
          <w:spacing w:val="3"/>
        </w:rPr>
        <w:t>el </w:t>
      </w:r>
      <w:r>
        <w:rPr/>
        <w:t>corto plazo mediante </w:t>
      </w:r>
      <w:r>
        <w:rPr>
          <w:spacing w:val="-5"/>
        </w:rPr>
        <w:t>la </w:t>
      </w:r>
      <w:r>
        <w:rPr/>
        <w:t>reducción de sus precios (por ejemplo, porque existe un gran número de firmas rivales de las cuales puede atraer clientes), es </w:t>
      </w:r>
      <w:r>
        <w:rPr>
          <w:spacing w:val="-3"/>
        </w:rPr>
        <w:t>más </w:t>
      </w:r>
      <w:r>
        <w:rPr/>
        <w:t>difícil mantener el oligopolio colusivo.</w:t>
      </w:r>
    </w:p>
    <w:p>
      <w:pPr>
        <w:pStyle w:val="BodyText"/>
        <w:spacing w:line="364" w:lineRule="auto" w:before="5"/>
        <w:ind w:left="115" w:right="107" w:firstLine="686"/>
        <w:jc w:val="both"/>
      </w:pPr>
      <w:r>
        <w:rPr>
          <w:b/>
        </w:rPr>
        <w:t>Número de jugadores políticos. </w:t>
      </w:r>
      <w:r>
        <w:rPr/>
        <w:t>Cuanto más grande sea el número de jugadores, más  difícil será cooperar. Esto se relaciona con el punto anterior, ya  que en situaciones donde hay un problema de recursos comunes, la estructura del número de jugadores que contribuyen a ese fondo aumenta los incentivos para desviarse del equilibrio</w:t>
      </w:r>
      <w:r>
        <w:rPr>
          <w:spacing w:val="40"/>
        </w:rPr>
        <w:t> </w:t>
      </w:r>
      <w:r>
        <w:rPr/>
        <w:t>cooperativo.</w:t>
      </w:r>
    </w:p>
    <w:p>
      <w:pPr>
        <w:pStyle w:val="BodyText"/>
        <w:spacing w:line="364" w:lineRule="auto" w:before="5"/>
        <w:ind w:left="115" w:right="104" w:firstLine="686"/>
        <w:jc w:val="both"/>
      </w:pPr>
      <w:r>
        <w:rPr>
          <w:b/>
        </w:rPr>
        <w:t>Horizontes de tiempo y vínculos temporales entre actores políticos clave. </w:t>
      </w:r>
      <w:r>
        <w:rPr/>
        <w:t>El patrón intertemporal de interacción entre individuos específicos en posi- ciones políticas formales (como legisladores, gobernadores y burócratas) es importante para el logro de resultados cooperativos. No es lo mismo tener una legislatura en la cual los mismos individuos interactúan repetidamente a lo largo de periodos extendidos, que tener una legislatura en que los legisladores individuales son reemplazados con frecuencia. Por varias razones, la cooperación es menos probable en el último caso.</w:t>
      </w:r>
    </w:p>
    <w:p>
      <w:pPr>
        <w:pStyle w:val="BodyText"/>
        <w:spacing w:line="364" w:lineRule="auto" w:before="5"/>
        <w:ind w:left="115" w:right="107" w:firstLine="686"/>
        <w:jc w:val="both"/>
      </w:pPr>
      <w:r>
        <w:rPr/>
        <w:t>Primero, horizontes de tiempo más prolongados tienden a conducir a tasas de descuento </w:t>
      </w:r>
      <w:r>
        <w:rPr>
          <w:spacing w:val="-3"/>
        </w:rPr>
        <w:t>más </w:t>
      </w:r>
      <w:r>
        <w:rPr/>
        <w:t>bajas, </w:t>
      </w:r>
      <w:r>
        <w:rPr>
          <w:spacing w:val="-3"/>
        </w:rPr>
        <w:t>de </w:t>
      </w:r>
      <w:r>
        <w:rPr/>
        <w:t>modo que </w:t>
      </w:r>
      <w:r>
        <w:rPr>
          <w:spacing w:val="-3"/>
        </w:rPr>
        <w:t>los </w:t>
      </w:r>
      <w:r>
        <w:rPr/>
        <w:t>beneficios de desviarse de </w:t>
      </w:r>
      <w:r>
        <w:rPr>
          <w:spacing w:val="-5"/>
        </w:rPr>
        <w:t>la  </w:t>
      </w:r>
      <w:r>
        <w:rPr/>
        <w:t>cooperación hoy serán menores en relación con las ganancias futuras de mantenerla. Segundo, </w:t>
      </w:r>
      <w:r>
        <w:rPr>
          <w:spacing w:val="-5"/>
        </w:rPr>
        <w:t>la </w:t>
      </w:r>
      <w:r>
        <w:rPr/>
        <w:t>interacción repetida hace que sea más fácil para otros actores políticos castigar a los que se desvían de la cooperación. Tercero, </w:t>
      </w:r>
      <w:r>
        <w:rPr>
          <w:spacing w:val="-5"/>
        </w:rPr>
        <w:t>la </w:t>
      </w:r>
      <w:r>
        <w:rPr/>
        <w:t>interacción repetida puede también facilitar la confianza entre  </w:t>
      </w:r>
      <w:r>
        <w:rPr>
          <w:spacing w:val="-3"/>
        </w:rPr>
        <w:t>los  </w:t>
      </w:r>
      <w:r>
        <w:rPr/>
        <w:t>diferentes  actores políticos con roles clave en el proceso de formulación  de  políticas.  Además de aumentar </w:t>
      </w:r>
      <w:r>
        <w:rPr>
          <w:spacing w:val="-3"/>
        </w:rPr>
        <w:t>las </w:t>
      </w:r>
      <w:r>
        <w:rPr/>
        <w:t>posibilidades de cooperación, los horizontes temporales más prolongados aumentan </w:t>
      </w:r>
      <w:r>
        <w:rPr>
          <w:spacing w:val="-3"/>
        </w:rPr>
        <w:t>los </w:t>
      </w:r>
      <w:r>
        <w:rPr/>
        <w:t>incentivos de </w:t>
      </w:r>
      <w:r>
        <w:rPr>
          <w:spacing w:val="-3"/>
        </w:rPr>
        <w:t>los </w:t>
      </w:r>
      <w:r>
        <w:rPr/>
        <w:t>actores políticos para invertir en sus capacidades de formulación de</w:t>
      </w:r>
      <w:r>
        <w:rPr>
          <w:spacing w:val="47"/>
        </w:rPr>
        <w:t> </w:t>
      </w:r>
      <w:r>
        <w:rPr/>
        <w:t>políticas.</w:t>
      </w:r>
    </w:p>
    <w:p>
      <w:pPr>
        <w:pStyle w:val="BodyText"/>
        <w:rPr>
          <w:sz w:val="22"/>
        </w:rPr>
      </w:pPr>
    </w:p>
    <w:p>
      <w:pPr>
        <w:pStyle w:val="Heading3"/>
        <w:numPr>
          <w:ilvl w:val="2"/>
          <w:numId w:val="6"/>
        </w:numPr>
        <w:tabs>
          <w:tab w:pos="834" w:val="left" w:leader="none"/>
        </w:tabs>
        <w:spacing w:line="240" w:lineRule="auto" w:before="150" w:after="0"/>
        <w:ind w:left="833" w:right="0" w:hanging="718"/>
        <w:jc w:val="both"/>
      </w:pPr>
      <w:r>
        <w:rPr/>
        <w:t>Institucionalización de los escenarios para la formulación de </w:t>
      </w:r>
      <w:r>
        <w:rPr>
          <w:spacing w:val="5"/>
        </w:rPr>
        <w:t> </w:t>
      </w:r>
      <w:r>
        <w:rPr/>
        <w:t>políticas</w:t>
      </w:r>
    </w:p>
    <w:p>
      <w:pPr>
        <w:spacing w:after="0" w:line="240" w:lineRule="auto"/>
        <w:jc w:val="both"/>
        <w:sectPr>
          <w:pgSz w:w="11910" w:h="16840"/>
          <w:pgMar w:header="0" w:footer="1457" w:top="1580" w:bottom="1640" w:left="1540" w:right="1540"/>
        </w:sectPr>
      </w:pPr>
    </w:p>
    <w:p>
      <w:pPr>
        <w:pStyle w:val="BodyText"/>
        <w:rPr>
          <w:b/>
          <w:sz w:val="20"/>
        </w:rPr>
      </w:pPr>
    </w:p>
    <w:p>
      <w:pPr>
        <w:pStyle w:val="BodyText"/>
        <w:spacing w:before="2"/>
        <w:rPr>
          <w:b/>
          <w:sz w:val="16"/>
        </w:rPr>
      </w:pPr>
    </w:p>
    <w:p>
      <w:pPr>
        <w:pStyle w:val="BodyText"/>
        <w:spacing w:line="364" w:lineRule="auto" w:before="74"/>
        <w:ind w:left="115" w:right="106"/>
        <w:jc w:val="both"/>
      </w:pPr>
      <w:r>
        <w:rPr/>
        <w:t>Los escenarios institucionalizados que promueven la cooperación pueden facilitar los complejos intercambios requeridos para implementar políticas públicas  efectivas. Los estudios sobre el Congreso </w:t>
      </w:r>
      <w:r>
        <w:rPr>
          <w:spacing w:val="-3"/>
        </w:rPr>
        <w:t>de  </w:t>
      </w:r>
      <w:r>
        <w:rPr/>
        <w:t>Estados  Unidos  difieren acerca del rol que diferentes arreglos institucionales (como </w:t>
      </w:r>
      <w:r>
        <w:rPr>
          <w:spacing w:val="3"/>
        </w:rPr>
        <w:t>el </w:t>
      </w:r>
      <w:r>
        <w:rPr/>
        <w:t>sistema de comités) tienen en facilitar la negociación legislativa, pero implícitamente están de acuerdo en que </w:t>
      </w:r>
      <w:r>
        <w:rPr>
          <w:spacing w:val="-3"/>
        </w:rPr>
        <w:t>de </w:t>
      </w:r>
      <w:r>
        <w:rPr/>
        <w:t>alguna manera las cosas están organizadas de </w:t>
      </w:r>
      <w:r>
        <w:rPr>
          <w:spacing w:val="-4"/>
        </w:rPr>
        <w:t>un </w:t>
      </w:r>
      <w:r>
        <w:rPr/>
        <w:t>modo tal que se facilita </w:t>
      </w:r>
      <w:r>
        <w:rPr>
          <w:spacing w:val="-5"/>
        </w:rPr>
        <w:t>la </w:t>
      </w:r>
      <w:r>
        <w:rPr/>
        <w:t>cooperación intertemporal en los intercambios políticos. Existen algunos entornos en los cuales la legislatura es mucho más débil que </w:t>
      </w:r>
      <w:r>
        <w:rPr>
          <w:spacing w:val="2"/>
        </w:rPr>
        <w:t>en </w:t>
      </w:r>
      <w:r>
        <w:rPr>
          <w:spacing w:val="3"/>
        </w:rPr>
        <w:t>el </w:t>
      </w:r>
      <w:r>
        <w:rPr>
          <w:spacing w:val="2"/>
        </w:rPr>
        <w:t>caso </w:t>
      </w:r>
      <w:r>
        <w:rPr/>
        <w:t>de referencia de Estados Unidos. En ese caso, cuando los intercambios políticos se  </w:t>
      </w:r>
      <w:r>
        <w:rPr>
          <w:spacing w:val="-3"/>
        </w:rPr>
        <w:t>realizan,  </w:t>
      </w:r>
      <w:r>
        <w:rPr/>
        <w:t>tienden a llevarse a cabo en escenarios que son </w:t>
      </w:r>
      <w:r>
        <w:rPr>
          <w:spacing w:val="-3"/>
        </w:rPr>
        <w:t>más </w:t>
      </w:r>
      <w:r>
        <w:rPr/>
        <w:t>informales, más inciertos y más difíciles de monitorear, observar y</w:t>
      </w:r>
      <w:r>
        <w:rPr>
          <w:spacing w:val="42"/>
        </w:rPr>
        <w:t> </w:t>
      </w:r>
      <w:r>
        <w:rPr/>
        <w:t>cumplir.</w:t>
      </w:r>
    </w:p>
    <w:p>
      <w:pPr>
        <w:pStyle w:val="BodyText"/>
        <w:spacing w:line="364" w:lineRule="auto" w:before="5"/>
        <w:ind w:left="115" w:right="107" w:firstLine="686"/>
        <w:jc w:val="both"/>
      </w:pPr>
      <w:r>
        <w:rPr>
          <w:b/>
        </w:rPr>
        <w:t>Delegación. </w:t>
      </w:r>
      <w:r>
        <w:rPr/>
        <w:t>El juego repetido permite </w:t>
      </w:r>
      <w:r>
        <w:rPr>
          <w:spacing w:val="3"/>
        </w:rPr>
        <w:t>el </w:t>
      </w:r>
      <w:r>
        <w:rPr/>
        <w:t>self-enforcement de los acuerdos, aunque ciertas formas </w:t>
      </w:r>
      <w:r>
        <w:rPr>
          <w:spacing w:val="3"/>
        </w:rPr>
        <w:t>de </w:t>
      </w:r>
      <w:r>
        <w:rPr/>
        <w:t>cooperación pueden llevarse a cabo por medios institucionales alternativos. Una alternativa es delegar </w:t>
      </w:r>
      <w:r>
        <w:rPr>
          <w:spacing w:val="-3"/>
        </w:rPr>
        <w:t>las </w:t>
      </w:r>
      <w:r>
        <w:rPr/>
        <w:t>políticas a las agencias técnicas independientes. Si bien la delegación tiene sus problemas, existen instancias en </w:t>
      </w:r>
      <w:r>
        <w:rPr>
          <w:spacing w:val="-3"/>
        </w:rPr>
        <w:t>las </w:t>
      </w:r>
      <w:r>
        <w:rPr/>
        <w:t>cuales el costo de esos problemas es más pequeño que el costo de </w:t>
      </w:r>
      <w:r>
        <w:rPr>
          <w:spacing w:val="-3"/>
        </w:rPr>
        <w:t>la </w:t>
      </w:r>
      <w:r>
        <w:rPr/>
        <w:t>formulación partidista de</w:t>
      </w:r>
      <w:r>
        <w:rPr>
          <w:spacing w:val="53"/>
        </w:rPr>
        <w:t> </w:t>
      </w:r>
      <w:r>
        <w:rPr/>
        <w:t>políticas.</w:t>
      </w:r>
    </w:p>
    <w:p>
      <w:pPr>
        <w:pStyle w:val="BodyText"/>
        <w:spacing w:line="364" w:lineRule="auto" w:before="10"/>
        <w:ind w:left="115" w:right="104" w:firstLine="686"/>
        <w:jc w:val="both"/>
      </w:pPr>
      <w:r>
        <w:rPr/>
        <w:t>La viabilidad y los beneficios de tal delegación burocrática pueden variar sistemáticamente dependiendo de algunas características del entorno institucional de cada país, como el grado de profesionalismo del servicio civil. </w:t>
      </w:r>
      <w:r>
        <w:rPr>
          <w:spacing w:val="2"/>
        </w:rPr>
        <w:t>La </w:t>
      </w:r>
      <w:r>
        <w:rPr/>
        <w:t>burocracia es un actor clave para fomentar acuerdos, especialmente a través de su rol de poner en práctica dichos acuerdos a </w:t>
      </w:r>
      <w:r>
        <w:rPr>
          <w:spacing w:val="-3"/>
        </w:rPr>
        <w:t>lo largo </w:t>
      </w:r>
      <w:r>
        <w:rPr/>
        <w:t>del tiempo. Una burocracia neutral y profesional limita el espacio para </w:t>
      </w:r>
      <w:r>
        <w:rPr>
          <w:spacing w:val="-3"/>
        </w:rPr>
        <w:t>la </w:t>
      </w:r>
      <w:r>
        <w:rPr/>
        <w:t>adopción de políticas oportunistas y mejora </w:t>
      </w:r>
      <w:r>
        <w:rPr>
          <w:spacing w:val="-5"/>
        </w:rPr>
        <w:t>la </w:t>
      </w:r>
      <w:r>
        <w:rPr/>
        <w:t>confianza </w:t>
      </w:r>
      <w:r>
        <w:rPr>
          <w:spacing w:val="3"/>
        </w:rPr>
        <w:t>de </w:t>
      </w:r>
      <w:r>
        <w:rPr/>
        <w:t>los actores en que </w:t>
      </w:r>
      <w:r>
        <w:rPr>
          <w:spacing w:val="3"/>
        </w:rPr>
        <w:t>se </w:t>
      </w:r>
      <w:r>
        <w:rPr/>
        <w:t>cumplirán los compromisos adquiridos en el marco de los acuerdos</w:t>
      </w:r>
      <w:r>
        <w:rPr>
          <w:spacing w:val="30"/>
        </w:rPr>
        <w:t> </w:t>
      </w:r>
      <w:r>
        <w:rPr/>
        <w:t>políticos.</w:t>
      </w:r>
    </w:p>
    <w:p>
      <w:pPr>
        <w:pStyle w:val="BodyText"/>
        <w:spacing w:line="367" w:lineRule="auto"/>
        <w:ind w:left="115" w:right="107" w:firstLine="686"/>
        <w:jc w:val="both"/>
      </w:pPr>
      <w:r>
        <w:rPr>
          <w:b/>
        </w:rPr>
        <w:t>Disponibilidad de tecnologías de enforcement. </w:t>
      </w:r>
      <w:r>
        <w:rPr/>
        <w:t>La cooperación es más fácil de lograr si existe un buen </w:t>
      </w:r>
      <w:r>
        <w:rPr>
          <w:i/>
        </w:rPr>
        <w:t>enforcement </w:t>
      </w:r>
      <w:r>
        <w:rPr/>
        <w:t>ejercido por una tercera parte. La presencia y las características de un juez imparcial y ejecutor de los acuerdos políticos, por ejemplo un poder judicial independiente, varían de país a país. Como resultado, el grado de </w:t>
      </w:r>
      <w:r>
        <w:rPr>
          <w:i/>
        </w:rPr>
        <w:t>enforcement </w:t>
      </w:r>
      <w:r>
        <w:rPr/>
        <w:t>de la cooperación política (y los incentivos para cooperar) también varían.</w:t>
      </w:r>
    </w:p>
    <w:p>
      <w:pPr>
        <w:spacing w:after="0" w:line="367" w:lineRule="auto"/>
        <w:jc w:val="both"/>
        <w:sectPr>
          <w:pgSz w:w="11910" w:h="16840"/>
          <w:pgMar w:header="0" w:footer="1457" w:top="1580" w:bottom="1640" w:left="1540" w:right="1540"/>
        </w:sectPr>
      </w:pPr>
    </w:p>
    <w:p>
      <w:pPr>
        <w:pStyle w:val="BodyText"/>
        <w:rPr>
          <w:sz w:val="20"/>
        </w:rPr>
      </w:pPr>
    </w:p>
    <w:p>
      <w:pPr>
        <w:pStyle w:val="BodyText"/>
        <w:rPr>
          <w:sz w:val="20"/>
        </w:rPr>
      </w:pPr>
    </w:p>
    <w:p>
      <w:pPr>
        <w:pStyle w:val="BodyText"/>
        <w:rPr>
          <w:sz w:val="20"/>
        </w:rPr>
      </w:pPr>
    </w:p>
    <w:p>
      <w:pPr>
        <w:pStyle w:val="BodyText"/>
        <w:rPr>
          <w:sz w:val="18"/>
        </w:rPr>
      </w:pPr>
    </w:p>
    <w:p>
      <w:pPr>
        <w:pStyle w:val="Heading3"/>
        <w:numPr>
          <w:ilvl w:val="2"/>
          <w:numId w:val="6"/>
        </w:numPr>
        <w:tabs>
          <w:tab w:pos="833" w:val="left" w:leader="none"/>
        </w:tabs>
        <w:spacing w:line="240" w:lineRule="auto" w:before="1" w:after="0"/>
        <w:ind w:left="833" w:right="0" w:hanging="717"/>
        <w:jc w:val="both"/>
      </w:pPr>
      <w:bookmarkStart w:name="_TOC_250022" w:id="10"/>
      <w:r>
        <w:rPr/>
        <w:t>Políticas públicas y educación básica </w:t>
      </w:r>
      <w:r>
        <w:rPr>
          <w:spacing w:val="3"/>
        </w:rPr>
        <w:t>en</w:t>
      </w:r>
      <w:r>
        <w:rPr>
          <w:spacing w:val="46"/>
        </w:rPr>
        <w:t> </w:t>
      </w:r>
      <w:bookmarkEnd w:id="10"/>
      <w:r>
        <w:rPr/>
        <w:t>México</w:t>
      </w:r>
    </w:p>
    <w:p>
      <w:pPr>
        <w:pStyle w:val="BodyText"/>
        <w:spacing w:line="364" w:lineRule="auto" w:before="134"/>
        <w:ind w:left="115" w:right="105"/>
        <w:jc w:val="both"/>
      </w:pPr>
      <w:r>
        <w:rPr/>
        <w:t>De acuerdo </w:t>
      </w:r>
      <w:r>
        <w:rPr>
          <w:spacing w:val="2"/>
        </w:rPr>
        <w:t>con </w:t>
      </w:r>
      <w:r>
        <w:rPr/>
        <w:t>Miranda (2004) el sistema educativo en su conjunto, está siendo cuestionado desde </w:t>
      </w:r>
      <w:r>
        <w:rPr>
          <w:spacing w:val="-4"/>
        </w:rPr>
        <w:t>la </w:t>
      </w:r>
      <w:r>
        <w:rPr/>
        <w:t>competencia institucional, particularmente en la educación básica y normal, </w:t>
      </w:r>
      <w:r>
        <w:rPr>
          <w:spacing w:val="-5"/>
        </w:rPr>
        <w:t>lo </w:t>
      </w:r>
      <w:r>
        <w:rPr/>
        <w:t>cual ha propiciado una tendencia  de  transformación  en  la lógica convencional de la política y </w:t>
      </w:r>
      <w:r>
        <w:rPr>
          <w:spacing w:val="-5"/>
        </w:rPr>
        <w:t>la </w:t>
      </w:r>
      <w:r>
        <w:rPr/>
        <w:t>organización del sistema educativo. Dicha tendencia cuestiona que el sistema </w:t>
      </w:r>
      <w:r>
        <w:rPr>
          <w:spacing w:val="-3"/>
        </w:rPr>
        <w:t>ya </w:t>
      </w:r>
      <w:r>
        <w:rPr/>
        <w:t>no solamente </w:t>
      </w:r>
      <w:r>
        <w:rPr>
          <w:spacing w:val="3"/>
        </w:rPr>
        <w:t>se </w:t>
      </w:r>
      <w:r>
        <w:rPr/>
        <w:t>ocupe de  la  cobertura,  sino también de mejorar el nivel de los logros del aprendizaje y que no solamente  se preocupe por </w:t>
      </w:r>
      <w:r>
        <w:rPr>
          <w:spacing w:val="-5"/>
        </w:rPr>
        <w:t>la </w:t>
      </w:r>
      <w:r>
        <w:rPr/>
        <w:t>estabilidad laboral y política del personal docente y administrativo, sino que además establezca </w:t>
      </w:r>
      <w:r>
        <w:rPr>
          <w:spacing w:val="-3"/>
        </w:rPr>
        <w:t>un </w:t>
      </w:r>
      <w:r>
        <w:rPr/>
        <w:t>sistema meritocrático en </w:t>
      </w:r>
      <w:r>
        <w:rPr>
          <w:spacing w:val="3"/>
        </w:rPr>
        <w:t>el </w:t>
      </w:r>
      <w:r>
        <w:rPr/>
        <w:t>ingreso   y permanencia de profesores y directivos. Esta agenda de cambio ha dado lugar a nuevos enfoques para estudiar, analizar las políticas públicas </w:t>
      </w:r>
      <w:r>
        <w:rPr>
          <w:spacing w:val="2"/>
        </w:rPr>
        <w:t>de </w:t>
      </w:r>
      <w:r>
        <w:rPr>
          <w:spacing w:val="-3"/>
        </w:rPr>
        <w:t>la  </w:t>
      </w:r>
      <w:r>
        <w:rPr/>
        <w:t>educación básica y</w:t>
      </w:r>
      <w:r>
        <w:rPr>
          <w:spacing w:val="9"/>
        </w:rPr>
        <w:t> </w:t>
      </w:r>
      <w:r>
        <w:rPr/>
        <w:t>normal.</w:t>
      </w:r>
    </w:p>
    <w:p>
      <w:pPr>
        <w:pStyle w:val="BodyText"/>
        <w:spacing w:line="364" w:lineRule="auto" w:before="10"/>
        <w:ind w:left="115" w:right="108" w:firstLine="686"/>
        <w:jc w:val="both"/>
      </w:pPr>
      <w:r>
        <w:rPr/>
        <w:t>En los inicios del estudio de las políticas públicas </w:t>
      </w:r>
      <w:r>
        <w:rPr>
          <w:spacing w:val="3"/>
        </w:rPr>
        <w:t>en </w:t>
      </w:r>
      <w:r>
        <w:rPr/>
        <w:t>el marco de </w:t>
      </w:r>
      <w:r>
        <w:rPr>
          <w:spacing w:val="-3"/>
        </w:rPr>
        <w:t>la  </w:t>
      </w:r>
      <w:r>
        <w:rPr/>
        <w:t>educación básica y normal, destacaron los trabajos históricos. Igualmente, fueron importantes los trabajos de “clasificación” de momentos o periodos históricos, fundamentalmente del siglo </w:t>
      </w:r>
      <w:r>
        <w:rPr>
          <w:spacing w:val="-4"/>
        </w:rPr>
        <w:t>XX. </w:t>
      </w:r>
      <w:r>
        <w:rPr>
          <w:spacing w:val="3"/>
        </w:rPr>
        <w:t>En </w:t>
      </w:r>
      <w:r>
        <w:rPr/>
        <w:t>su  mayoría,  estas  investigaciones desarrollaron descripciones exhaustivas de momentos, hechos cruciales y programas educativos fundamentales elaborados por el gobierno en turno, considerando diversos criterios </w:t>
      </w:r>
      <w:r>
        <w:rPr>
          <w:spacing w:val="3"/>
        </w:rPr>
        <w:t>de </w:t>
      </w:r>
      <w:r>
        <w:rPr/>
        <w:t>reconstrucción y análisis, tales como factores ideológicos, relación entre los grupos </w:t>
      </w:r>
      <w:r>
        <w:rPr>
          <w:spacing w:val="2"/>
        </w:rPr>
        <w:t>de </w:t>
      </w:r>
      <w:r>
        <w:rPr/>
        <w:t>poder y </w:t>
      </w:r>
      <w:r>
        <w:rPr>
          <w:spacing w:val="-3"/>
        </w:rPr>
        <w:t>las </w:t>
      </w:r>
      <w:r>
        <w:rPr/>
        <w:t>fuerzas políticas con mayor presencia o estilos personales de</w:t>
      </w:r>
      <w:r>
        <w:rPr>
          <w:spacing w:val="43"/>
        </w:rPr>
        <w:t> </w:t>
      </w:r>
      <w:r>
        <w:rPr/>
        <w:t>gobernar.</w:t>
      </w:r>
    </w:p>
    <w:p>
      <w:pPr>
        <w:pStyle w:val="BodyText"/>
        <w:spacing w:line="364" w:lineRule="auto"/>
        <w:ind w:left="115" w:right="106" w:firstLine="686"/>
        <w:jc w:val="both"/>
      </w:pPr>
      <w:r>
        <w:rPr/>
        <w:t>También estas investigaciones pusieron atención a los diversos grupos étnicos o sociales en el país, recepción nacional de los debates pedagógicos y políticos del momento o compromisos fundacionales y sociales del Estado para favorecer la integración nacional. En suma, la política educativa se ve bajo esta óptica como una serie de acontecimientos orientados política e ideológicamente para la construcción de la identidad nacional y la configuración de los referentes simbólicos de la </w:t>
      </w:r>
      <w:r>
        <w:rPr>
          <w:i/>
        </w:rPr>
        <w:t>mexicanidad </w:t>
      </w:r>
      <w:r>
        <w:rPr/>
        <w:t>contemporánea. Destacan los trabajos de Francisco Larroyo, Ernesto Meneses, Fernando Solana, Cardiel Reyes y Josefina Zoraida Vázquez (Miranda, 2004: 81-82).</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6" w:right="106" w:firstLine="686"/>
        <w:jc w:val="both"/>
      </w:pPr>
      <w:r>
        <w:rPr/>
        <w:t>Un segundo tipo de análisis de las políticas públicas educativas, empezó en </w:t>
      </w:r>
      <w:r>
        <w:rPr>
          <w:spacing w:val="-5"/>
        </w:rPr>
        <w:t>la </w:t>
      </w:r>
      <w:r>
        <w:rPr/>
        <w:t>década de los setenta y </w:t>
      </w:r>
      <w:r>
        <w:rPr>
          <w:spacing w:val="3"/>
        </w:rPr>
        <w:t>se </w:t>
      </w:r>
      <w:r>
        <w:rPr/>
        <w:t>caracterizó por </w:t>
      </w:r>
      <w:r>
        <w:rPr>
          <w:spacing w:val="3"/>
        </w:rPr>
        <w:t>su </w:t>
      </w:r>
      <w:r>
        <w:rPr/>
        <w:t>enfoque economicista.  Los  trabajos de investigación hicieron énfasis </w:t>
      </w:r>
      <w:r>
        <w:rPr>
          <w:spacing w:val="-3"/>
        </w:rPr>
        <w:t>en </w:t>
      </w:r>
      <w:r>
        <w:rPr>
          <w:spacing w:val="-4"/>
        </w:rPr>
        <w:t>la </w:t>
      </w:r>
      <w:r>
        <w:rPr/>
        <w:t>contribución de la educación al desarrollo económico, de acuerdo con las capacidades y </w:t>
      </w:r>
      <w:r>
        <w:rPr>
          <w:spacing w:val="-3"/>
        </w:rPr>
        <w:t>las </w:t>
      </w:r>
      <w:r>
        <w:rPr/>
        <w:t>oportunidades que </w:t>
      </w:r>
      <w:r>
        <w:rPr>
          <w:spacing w:val="-3"/>
        </w:rPr>
        <w:t>la </w:t>
      </w:r>
      <w:r>
        <w:rPr/>
        <w:t>educación ofrecía a las personas para ingresar al mercado de trabajo y el incremento monetario que </w:t>
      </w:r>
      <w:r>
        <w:rPr>
          <w:spacing w:val="3"/>
        </w:rPr>
        <w:t>se </w:t>
      </w:r>
      <w:r>
        <w:rPr/>
        <w:t>esperaría </w:t>
      </w:r>
      <w:r>
        <w:rPr>
          <w:spacing w:val="2"/>
        </w:rPr>
        <w:t>de </w:t>
      </w:r>
      <w:r>
        <w:rPr/>
        <w:t>éstas. En este periodo, tuvo una gran influencia la teoría del capital humano, que subrayaban que </w:t>
      </w:r>
      <w:r>
        <w:rPr>
          <w:spacing w:val="-3"/>
        </w:rPr>
        <w:t>la </w:t>
      </w:r>
      <w:r>
        <w:rPr/>
        <w:t>educación era un  bien de inversión y quienes invertían en ésta –fueran personas o gobierno–,  podrían verlo reflejado en una utilidad</w:t>
      </w:r>
      <w:r>
        <w:rPr>
          <w:spacing w:val="48"/>
        </w:rPr>
        <w:t> </w:t>
      </w:r>
      <w:r>
        <w:rPr/>
        <w:t>posterior.</w:t>
      </w:r>
    </w:p>
    <w:p>
      <w:pPr>
        <w:pStyle w:val="BodyText"/>
        <w:spacing w:line="364" w:lineRule="auto" w:before="5"/>
        <w:ind w:left="116" w:right="107" w:firstLine="686"/>
        <w:jc w:val="both"/>
      </w:pPr>
      <w:r>
        <w:rPr/>
        <w:t>A la par crecieron </w:t>
      </w:r>
      <w:r>
        <w:rPr>
          <w:spacing w:val="-3"/>
        </w:rPr>
        <w:t>los </w:t>
      </w:r>
      <w:r>
        <w:rPr/>
        <w:t>enfoques de </w:t>
      </w:r>
      <w:r>
        <w:rPr>
          <w:spacing w:val="-3"/>
        </w:rPr>
        <w:t>la </w:t>
      </w:r>
      <w:r>
        <w:rPr/>
        <w:t>funcionalidad técnica </w:t>
      </w:r>
      <w:r>
        <w:rPr>
          <w:spacing w:val="-3"/>
        </w:rPr>
        <w:t>de </w:t>
      </w:r>
      <w:r>
        <w:rPr/>
        <w:t>la educación     y perspectivas </w:t>
      </w:r>
      <w:r>
        <w:rPr>
          <w:spacing w:val="-3"/>
        </w:rPr>
        <w:t>que </w:t>
      </w:r>
      <w:r>
        <w:rPr/>
        <w:t>evaluaban </w:t>
      </w:r>
      <w:r>
        <w:rPr>
          <w:spacing w:val="-4"/>
        </w:rPr>
        <w:t>la </w:t>
      </w:r>
      <w:r>
        <w:rPr/>
        <w:t>política educativa para impulsar algunos servicios educativos, orientados a satisfacer las necesidades de </w:t>
      </w:r>
      <w:r>
        <w:rPr>
          <w:spacing w:val="-4"/>
        </w:rPr>
        <w:t>los </w:t>
      </w:r>
      <w:r>
        <w:rPr/>
        <w:t>mercados de trabajo y áreas ocupacionales en la economía. En contraposición con estas opiniones y supuestos se desarrollaron trabajos de investigación que postulaban los equívocos del capital humano y su inadecuación para países como México, generándose un espacio propicio para discutir la función de los mercados segmentados y de </w:t>
      </w:r>
      <w:r>
        <w:rPr>
          <w:spacing w:val="-5"/>
        </w:rPr>
        <w:t>la </w:t>
      </w:r>
      <w:r>
        <w:rPr/>
        <w:t>credencialización escolar como mecanismos efectivos para entender </w:t>
      </w:r>
      <w:r>
        <w:rPr>
          <w:spacing w:val="-3"/>
        </w:rPr>
        <w:t>la </w:t>
      </w:r>
      <w:r>
        <w:rPr/>
        <w:t>relación de </w:t>
      </w:r>
      <w:r>
        <w:rPr>
          <w:spacing w:val="-5"/>
        </w:rPr>
        <w:t>la </w:t>
      </w:r>
      <w:r>
        <w:rPr/>
        <w:t>educación con el </w:t>
      </w:r>
      <w:r>
        <w:rPr>
          <w:spacing w:val="-3"/>
        </w:rPr>
        <w:t>empleo </w:t>
      </w:r>
      <w:r>
        <w:rPr/>
        <w:t>y los ingresos. En esta discusión destacan los trabajos de Carlos Muñoz Izquierdo, Manuel Ulloa y Pablo  Latapí.</w:t>
      </w:r>
    </w:p>
    <w:p>
      <w:pPr>
        <w:pStyle w:val="BodyText"/>
        <w:spacing w:line="364" w:lineRule="auto"/>
        <w:ind w:left="116" w:right="106" w:firstLine="686"/>
        <w:jc w:val="both"/>
      </w:pPr>
      <w:r>
        <w:rPr/>
        <w:t>Desde </w:t>
      </w:r>
      <w:r>
        <w:rPr>
          <w:spacing w:val="-3"/>
        </w:rPr>
        <w:t>la </w:t>
      </w:r>
      <w:r>
        <w:rPr/>
        <w:t>década de los años setenta y hasta la actualidad, surgieron los trabajos del “enfoque político de coyuntura”. Estas investigaciones de la política pública en educación tuvieron como referente las opiniones  y  ensayos  sistemáticos de observadores vinculados con los medios de opinión pública y algunos círculos académicos importantes, quienes por mucho  tiempo orientaron  sus críticas a </w:t>
      </w:r>
      <w:r>
        <w:rPr>
          <w:spacing w:val="-3"/>
        </w:rPr>
        <w:t>la </w:t>
      </w:r>
      <w:r>
        <w:rPr/>
        <w:t>política educativa y ofrecieron </w:t>
      </w:r>
      <w:r>
        <w:rPr>
          <w:spacing w:val="-3"/>
        </w:rPr>
        <w:t>los </w:t>
      </w:r>
      <w:r>
        <w:rPr/>
        <w:t>marcos de análisis para reflexionar en los alcances y limitaciones de las acciones educativas emprendidas por los gobiernos en turno. Destacan en este tipo de investigaciones Pablo Latapí, Olac Fuentes Molinar y Gilberto Guevara</w:t>
      </w:r>
      <w:r>
        <w:rPr>
          <w:spacing w:val="41"/>
        </w:rPr>
        <w:t> </w:t>
      </w:r>
      <w:r>
        <w:rPr/>
        <w:t>Niebla.</w:t>
      </w:r>
    </w:p>
    <w:p>
      <w:pPr>
        <w:pStyle w:val="BodyText"/>
        <w:spacing w:line="364" w:lineRule="auto" w:before="5"/>
        <w:ind w:left="116" w:right="106" w:firstLine="686"/>
        <w:jc w:val="both"/>
      </w:pPr>
      <w:r>
        <w:rPr/>
        <w:t>Estos trabajos, por lo general, ofrecieron perspectivas de análisis y orientaciones teóricas e ideológicas para el estudio de las políticas educativas. Desde el campo de la pedagogía y diversas aristas de reflexión sobre la equidad,</w:t>
      </w:r>
    </w:p>
    <w:p>
      <w:pPr>
        <w:spacing w:after="0" w:line="364" w:lineRule="auto"/>
        <w:jc w:val="both"/>
        <w:sectPr>
          <w:footerReference w:type="default" r:id="rId16"/>
          <w:pgSz w:w="11910" w:h="16840"/>
          <w:pgMar w:footer="1457" w:header="0" w:top="1580" w:bottom="1640" w:left="1540" w:right="1540"/>
        </w:sectPr>
      </w:pPr>
    </w:p>
    <w:p>
      <w:pPr>
        <w:pStyle w:val="BodyText"/>
        <w:rPr>
          <w:sz w:val="20"/>
        </w:rPr>
      </w:pPr>
    </w:p>
    <w:p>
      <w:pPr>
        <w:pStyle w:val="BodyText"/>
        <w:spacing w:before="2"/>
        <w:rPr>
          <w:sz w:val="16"/>
        </w:rPr>
      </w:pPr>
    </w:p>
    <w:p>
      <w:pPr>
        <w:pStyle w:val="BodyText"/>
        <w:spacing w:line="355" w:lineRule="auto" w:before="74"/>
        <w:ind w:left="115" w:right="105"/>
        <w:jc w:val="both"/>
        <w:rPr>
          <w:sz w:val="15"/>
        </w:rPr>
      </w:pPr>
      <w:r>
        <w:rPr>
          <w:spacing w:val="-5"/>
        </w:rPr>
        <w:t>la </w:t>
      </w:r>
      <w:r>
        <w:rPr/>
        <w:t>formación en  valores, </w:t>
      </w:r>
      <w:r>
        <w:rPr>
          <w:spacing w:val="3"/>
        </w:rPr>
        <w:t>el </w:t>
      </w:r>
      <w:r>
        <w:rPr/>
        <w:t>crecimiento económico y </w:t>
      </w:r>
      <w:r>
        <w:rPr>
          <w:spacing w:val="4"/>
        </w:rPr>
        <w:t>el </w:t>
      </w:r>
      <w:r>
        <w:rPr/>
        <w:t>financiamiento  educativo,  se </w:t>
      </w:r>
      <w:r>
        <w:rPr>
          <w:spacing w:val="-3"/>
        </w:rPr>
        <w:t>inició </w:t>
      </w:r>
      <w:r>
        <w:rPr/>
        <w:t>una trayectoria con carácter propiamente político de </w:t>
      </w:r>
      <w:r>
        <w:rPr>
          <w:spacing w:val="-4"/>
        </w:rPr>
        <w:t>la </w:t>
      </w:r>
      <w:r>
        <w:rPr/>
        <w:t>educación, para pensarla tanto como las acciones gubernamentales y los sentidos, significados y repercusiones de sus</w:t>
      </w:r>
      <w:r>
        <w:rPr>
          <w:spacing w:val="36"/>
        </w:rPr>
        <w:t> </w:t>
      </w:r>
      <w:r>
        <w:rPr/>
        <w:t>resultados.</w:t>
      </w:r>
      <w:r>
        <w:rPr>
          <w:position w:val="11"/>
          <w:sz w:val="15"/>
        </w:rPr>
        <w:t>6</w:t>
      </w:r>
    </w:p>
    <w:p>
      <w:pPr>
        <w:pStyle w:val="BodyText"/>
        <w:spacing w:line="364" w:lineRule="auto"/>
        <w:ind w:left="116" w:right="106" w:firstLine="686"/>
        <w:jc w:val="both"/>
      </w:pPr>
      <w:r>
        <w:rPr/>
        <w:t>Otra perspectiva de análisis de las políticas públicas de </w:t>
      </w:r>
      <w:r>
        <w:rPr>
          <w:spacing w:val="-5"/>
        </w:rPr>
        <w:t>la </w:t>
      </w:r>
      <w:r>
        <w:rPr/>
        <w:t>educación, también surgió en los años ochenta y se caracterizó por tener como  foco  de análisis los juegos políticos en el sector. Desde </w:t>
      </w:r>
      <w:r>
        <w:rPr>
          <w:spacing w:val="-3"/>
        </w:rPr>
        <w:t>la </w:t>
      </w:r>
      <w:r>
        <w:rPr/>
        <w:t>ciencia política y desde </w:t>
      </w:r>
      <w:r>
        <w:rPr>
          <w:spacing w:val="-3"/>
        </w:rPr>
        <w:t>la </w:t>
      </w:r>
      <w:r>
        <w:rPr/>
        <w:t>sociología política varias investigaciones resaltaron el efecto que generaban </w:t>
      </w:r>
      <w:r>
        <w:rPr>
          <w:spacing w:val="-2"/>
        </w:rPr>
        <w:t>los </w:t>
      </w:r>
      <w:r>
        <w:rPr/>
        <w:t>procesos de negociación en los avances y en las limitaciones de los diversos programas educativos gubernamentales. Por ejemplo, se discutió el papel de </w:t>
      </w:r>
      <w:r>
        <w:rPr>
          <w:spacing w:val="-5"/>
        </w:rPr>
        <w:t>la </w:t>
      </w:r>
      <w:r>
        <w:rPr/>
        <w:t>movilización política y social del magisterio entre </w:t>
      </w:r>
      <w:r>
        <w:rPr>
          <w:spacing w:val="-3"/>
        </w:rPr>
        <w:t>las </w:t>
      </w:r>
      <w:r>
        <w:rPr/>
        <w:t>vertientes oficialistas y disidentes, y la emergencia de grupos con ideología tecnocrática en </w:t>
      </w:r>
      <w:r>
        <w:rPr>
          <w:spacing w:val="-4"/>
        </w:rPr>
        <w:t>la </w:t>
      </w:r>
      <w:r>
        <w:rPr/>
        <w:t>SEP </w:t>
      </w:r>
      <w:r>
        <w:rPr>
          <w:spacing w:val="-3"/>
        </w:rPr>
        <w:t>que </w:t>
      </w:r>
      <w:r>
        <w:rPr/>
        <w:t>confrontaban a </w:t>
      </w:r>
      <w:r>
        <w:rPr>
          <w:spacing w:val="-4"/>
        </w:rPr>
        <w:t>los </w:t>
      </w:r>
      <w:r>
        <w:rPr/>
        <w:t>políticos tradicionales, para explicar la definición e instrumentación de espacios de reorganización sectorial de la educación como </w:t>
      </w:r>
      <w:r>
        <w:rPr>
          <w:spacing w:val="-6"/>
        </w:rPr>
        <w:t>la </w:t>
      </w:r>
      <w:r>
        <w:rPr/>
        <w:t>descentralización</w:t>
      </w:r>
      <w:r>
        <w:rPr>
          <w:spacing w:val="28"/>
        </w:rPr>
        <w:t> </w:t>
      </w:r>
      <w:r>
        <w:rPr/>
        <w:t>educativa.</w:t>
      </w:r>
    </w:p>
    <w:p>
      <w:pPr>
        <w:pStyle w:val="BodyText"/>
        <w:spacing w:line="364" w:lineRule="auto"/>
        <w:ind w:left="116" w:right="107" w:firstLine="686"/>
        <w:jc w:val="both"/>
      </w:pPr>
      <w:r>
        <w:rPr/>
        <w:t>En </w:t>
      </w:r>
      <w:r>
        <w:rPr>
          <w:spacing w:val="-3"/>
        </w:rPr>
        <w:t>otros </w:t>
      </w:r>
      <w:r>
        <w:rPr/>
        <w:t>casos </w:t>
      </w:r>
      <w:r>
        <w:rPr>
          <w:spacing w:val="4"/>
        </w:rPr>
        <w:t>se </w:t>
      </w:r>
      <w:r>
        <w:rPr/>
        <w:t>observaba el papel de la negociación política en el diseño  y desarrollo de diversas  instituciones educativas que pretendían ser innovadoras   </w:t>
      </w:r>
      <w:r>
        <w:rPr>
          <w:spacing w:val="-4"/>
        </w:rPr>
        <w:t>y, </w:t>
      </w:r>
      <w:r>
        <w:rPr/>
        <w:t>en otros casos más, se habló de la función de las estructuras corporativas y autoritarias </w:t>
      </w:r>
      <w:r>
        <w:rPr>
          <w:spacing w:val="3"/>
        </w:rPr>
        <w:t>en </w:t>
      </w:r>
      <w:r>
        <w:rPr>
          <w:spacing w:val="-3"/>
        </w:rPr>
        <w:t>la </w:t>
      </w:r>
      <w:r>
        <w:rPr/>
        <w:t>definición y resultados </w:t>
      </w:r>
      <w:r>
        <w:rPr>
          <w:spacing w:val="-3"/>
        </w:rPr>
        <w:t>de la </w:t>
      </w:r>
      <w:r>
        <w:rPr/>
        <w:t>política educativa. En este caso destacan los trabajos </w:t>
      </w:r>
      <w:r>
        <w:rPr>
          <w:spacing w:val="2"/>
        </w:rPr>
        <w:t>de </w:t>
      </w:r>
      <w:r>
        <w:rPr/>
        <w:t>Alberto Arnaut, Aurora Loyo, Karen Kovacs, José Alberto Torres, José Angel Pescador y Susan</w:t>
      </w:r>
      <w:r>
        <w:rPr>
          <w:spacing w:val="47"/>
        </w:rPr>
        <w:t> </w:t>
      </w:r>
      <w:r>
        <w:rPr/>
        <w:t>Street.</w:t>
      </w:r>
    </w:p>
    <w:p>
      <w:pPr>
        <w:pStyle w:val="BodyText"/>
        <w:spacing w:line="364" w:lineRule="auto" w:before="10"/>
        <w:ind w:left="116" w:right="104" w:firstLine="686"/>
        <w:jc w:val="both"/>
      </w:pPr>
      <w:r>
        <w:rPr/>
        <w:pict>
          <v:line style="position:absolute;mso-position-horizontal-relative:page;mso-position-vertical-relative:paragraph;z-index:1168;mso-wrap-distance-left:0;mso-wrap-distance-right:0" from="82.799004pt,126.251877pt" to="222.958004pt,126.251877pt" stroked="true" strokeweight=".48pt" strokecolor="#000000">
            <w10:wrap type="topAndBottom"/>
          </v:line>
        </w:pict>
      </w:r>
      <w:r>
        <w:rPr/>
        <w:t>A partir de </w:t>
      </w:r>
      <w:r>
        <w:rPr>
          <w:spacing w:val="-5"/>
        </w:rPr>
        <w:t>la </w:t>
      </w:r>
      <w:r>
        <w:rPr/>
        <w:t>década de los noventa crecio el interés en  </w:t>
      </w:r>
      <w:r>
        <w:rPr>
          <w:spacing w:val="-5"/>
        </w:rPr>
        <w:t>la  </w:t>
      </w:r>
      <w:r>
        <w:rPr/>
        <w:t>política  educativa, sobre todo a raíz de 1992, fecha en que se firmó el Acuerdo Nacional para la Modernización Educativa, pues dio la  pauta  para replantear varias áreas  de organización, de funcionamiento y de relaciones </w:t>
      </w:r>
      <w:r>
        <w:rPr>
          <w:spacing w:val="-3"/>
        </w:rPr>
        <w:t>de </w:t>
      </w:r>
      <w:r>
        <w:rPr>
          <w:spacing w:val="-4"/>
        </w:rPr>
        <w:t>la </w:t>
      </w:r>
      <w:r>
        <w:rPr/>
        <w:t>educación pública con </w:t>
      </w:r>
      <w:r>
        <w:rPr>
          <w:spacing w:val="-4"/>
        </w:rPr>
        <w:t>la </w:t>
      </w:r>
      <w:r>
        <w:rPr/>
        <w:t>sociedad y el magisterio nacional. Entre </w:t>
      </w:r>
      <w:r>
        <w:rPr>
          <w:spacing w:val="-3"/>
        </w:rPr>
        <w:t>los </w:t>
      </w:r>
      <w:r>
        <w:rPr/>
        <w:t>temas más frecuentes destacan: el financiamiento    educativo,    las    políticas    de    equidad    y    los      </w:t>
      </w:r>
      <w:r>
        <w:rPr>
          <w:spacing w:val="63"/>
        </w:rPr>
        <w:t> </w:t>
      </w:r>
      <w:r>
        <w:rPr/>
        <w:t>programas</w:t>
      </w:r>
    </w:p>
    <w:p>
      <w:pPr>
        <w:spacing w:line="247" w:lineRule="auto" w:before="46"/>
        <w:ind w:left="115" w:right="101" w:firstLine="0"/>
        <w:jc w:val="both"/>
        <w:rPr>
          <w:sz w:val="19"/>
        </w:rPr>
      </w:pPr>
      <w:r>
        <w:rPr>
          <w:w w:val="105"/>
          <w:position w:val="10"/>
          <w:sz w:val="12"/>
        </w:rPr>
        <w:t>6</w:t>
      </w:r>
      <w:r>
        <w:rPr>
          <w:spacing w:val="3"/>
          <w:w w:val="105"/>
          <w:position w:val="10"/>
          <w:sz w:val="12"/>
        </w:rPr>
        <w:t> </w:t>
      </w:r>
      <w:r>
        <w:rPr>
          <w:w w:val="105"/>
          <w:sz w:val="19"/>
        </w:rPr>
        <w:t>El</w:t>
      </w:r>
      <w:r>
        <w:rPr>
          <w:spacing w:val="-14"/>
          <w:w w:val="105"/>
          <w:sz w:val="19"/>
        </w:rPr>
        <w:t> </w:t>
      </w:r>
      <w:r>
        <w:rPr>
          <w:w w:val="105"/>
          <w:sz w:val="19"/>
        </w:rPr>
        <w:t>crecimiento</w:t>
      </w:r>
      <w:r>
        <w:rPr>
          <w:spacing w:val="-11"/>
          <w:w w:val="105"/>
          <w:sz w:val="19"/>
        </w:rPr>
        <w:t> </w:t>
      </w:r>
      <w:r>
        <w:rPr>
          <w:w w:val="105"/>
          <w:sz w:val="19"/>
        </w:rPr>
        <w:t>y</w:t>
      </w:r>
      <w:r>
        <w:rPr>
          <w:spacing w:val="-17"/>
          <w:w w:val="105"/>
          <w:sz w:val="19"/>
        </w:rPr>
        <w:t> </w:t>
      </w:r>
      <w:r>
        <w:rPr>
          <w:w w:val="105"/>
          <w:sz w:val="19"/>
        </w:rPr>
        <w:t>la</w:t>
      </w:r>
      <w:r>
        <w:rPr>
          <w:spacing w:val="-14"/>
          <w:w w:val="105"/>
          <w:sz w:val="19"/>
        </w:rPr>
        <w:t> </w:t>
      </w:r>
      <w:r>
        <w:rPr>
          <w:w w:val="105"/>
          <w:sz w:val="19"/>
        </w:rPr>
        <w:t>diversificación</w:t>
      </w:r>
      <w:r>
        <w:rPr>
          <w:spacing w:val="-14"/>
          <w:w w:val="105"/>
          <w:sz w:val="19"/>
        </w:rPr>
        <w:t> </w:t>
      </w:r>
      <w:r>
        <w:rPr>
          <w:w w:val="105"/>
          <w:sz w:val="19"/>
        </w:rPr>
        <w:t>del</w:t>
      </w:r>
      <w:r>
        <w:rPr>
          <w:spacing w:val="-14"/>
          <w:w w:val="105"/>
          <w:sz w:val="19"/>
        </w:rPr>
        <w:t> </w:t>
      </w:r>
      <w:r>
        <w:rPr>
          <w:w w:val="105"/>
          <w:sz w:val="19"/>
        </w:rPr>
        <w:t>sistema</w:t>
      </w:r>
      <w:r>
        <w:rPr>
          <w:spacing w:val="-14"/>
          <w:w w:val="105"/>
          <w:sz w:val="19"/>
        </w:rPr>
        <w:t> </w:t>
      </w:r>
      <w:r>
        <w:rPr>
          <w:w w:val="105"/>
          <w:sz w:val="19"/>
        </w:rPr>
        <w:t>educativo,</w:t>
      </w:r>
      <w:r>
        <w:rPr>
          <w:spacing w:val="-14"/>
          <w:w w:val="105"/>
          <w:sz w:val="19"/>
        </w:rPr>
        <w:t> </w:t>
      </w:r>
      <w:r>
        <w:rPr>
          <w:w w:val="105"/>
          <w:sz w:val="19"/>
        </w:rPr>
        <w:t>así</w:t>
      </w:r>
      <w:r>
        <w:rPr>
          <w:spacing w:val="-18"/>
          <w:w w:val="105"/>
          <w:sz w:val="19"/>
        </w:rPr>
        <w:t> </w:t>
      </w:r>
      <w:r>
        <w:rPr>
          <w:w w:val="105"/>
          <w:sz w:val="19"/>
        </w:rPr>
        <w:t>como</w:t>
      </w:r>
      <w:r>
        <w:rPr>
          <w:spacing w:val="-14"/>
          <w:w w:val="105"/>
          <w:sz w:val="19"/>
        </w:rPr>
        <w:t> </w:t>
      </w:r>
      <w:r>
        <w:rPr>
          <w:spacing w:val="-3"/>
          <w:w w:val="105"/>
          <w:sz w:val="19"/>
        </w:rPr>
        <w:t>el</w:t>
      </w:r>
      <w:r>
        <w:rPr>
          <w:spacing w:val="-7"/>
          <w:w w:val="105"/>
          <w:sz w:val="19"/>
        </w:rPr>
        <w:t> </w:t>
      </w:r>
      <w:r>
        <w:rPr>
          <w:w w:val="105"/>
          <w:sz w:val="19"/>
        </w:rPr>
        <w:t>incremento</w:t>
      </w:r>
      <w:r>
        <w:rPr>
          <w:spacing w:val="-14"/>
          <w:w w:val="105"/>
          <w:sz w:val="19"/>
        </w:rPr>
        <w:t> </w:t>
      </w:r>
      <w:r>
        <w:rPr>
          <w:w w:val="105"/>
          <w:sz w:val="19"/>
        </w:rPr>
        <w:t>en</w:t>
      </w:r>
      <w:r>
        <w:rPr>
          <w:spacing w:val="-14"/>
          <w:w w:val="105"/>
          <w:sz w:val="19"/>
        </w:rPr>
        <w:t> </w:t>
      </w:r>
      <w:r>
        <w:rPr>
          <w:w w:val="105"/>
          <w:sz w:val="19"/>
        </w:rPr>
        <w:t>los</w:t>
      </w:r>
      <w:r>
        <w:rPr>
          <w:spacing w:val="-14"/>
          <w:w w:val="105"/>
          <w:sz w:val="19"/>
        </w:rPr>
        <w:t> </w:t>
      </w:r>
      <w:r>
        <w:rPr>
          <w:w w:val="105"/>
          <w:sz w:val="19"/>
        </w:rPr>
        <w:t>problemas de</w:t>
      </w:r>
      <w:r>
        <w:rPr>
          <w:spacing w:val="-2"/>
          <w:w w:val="105"/>
          <w:sz w:val="19"/>
        </w:rPr>
        <w:t> </w:t>
      </w:r>
      <w:r>
        <w:rPr>
          <w:w w:val="105"/>
          <w:sz w:val="19"/>
        </w:rPr>
        <w:t>eficiencia,</w:t>
      </w:r>
      <w:r>
        <w:rPr>
          <w:spacing w:val="-7"/>
          <w:w w:val="105"/>
          <w:sz w:val="19"/>
        </w:rPr>
        <w:t> </w:t>
      </w:r>
      <w:r>
        <w:rPr>
          <w:w w:val="105"/>
          <w:sz w:val="19"/>
        </w:rPr>
        <w:t>equidad</w:t>
      </w:r>
      <w:r>
        <w:rPr>
          <w:spacing w:val="-2"/>
          <w:w w:val="105"/>
          <w:sz w:val="19"/>
        </w:rPr>
        <w:t> </w:t>
      </w:r>
      <w:r>
        <w:rPr>
          <w:w w:val="105"/>
          <w:sz w:val="19"/>
        </w:rPr>
        <w:t>y</w:t>
      </w:r>
      <w:r>
        <w:rPr>
          <w:spacing w:val="-7"/>
          <w:w w:val="105"/>
          <w:sz w:val="19"/>
        </w:rPr>
        <w:t> </w:t>
      </w:r>
      <w:r>
        <w:rPr>
          <w:w w:val="105"/>
          <w:sz w:val="19"/>
        </w:rPr>
        <w:t>legitimación</w:t>
      </w:r>
      <w:r>
        <w:rPr>
          <w:spacing w:val="-2"/>
          <w:w w:val="105"/>
          <w:sz w:val="19"/>
        </w:rPr>
        <w:t> </w:t>
      </w:r>
      <w:r>
        <w:rPr>
          <w:w w:val="105"/>
          <w:sz w:val="19"/>
        </w:rPr>
        <w:t>por</w:t>
      </w:r>
      <w:r>
        <w:rPr>
          <w:spacing w:val="-9"/>
          <w:w w:val="105"/>
          <w:sz w:val="19"/>
        </w:rPr>
        <w:t> </w:t>
      </w:r>
      <w:r>
        <w:rPr>
          <w:w w:val="105"/>
          <w:sz w:val="19"/>
        </w:rPr>
        <w:t>los</w:t>
      </w:r>
      <w:r>
        <w:rPr>
          <w:spacing w:val="-7"/>
          <w:w w:val="105"/>
          <w:sz w:val="19"/>
        </w:rPr>
        <w:t> </w:t>
      </w:r>
      <w:r>
        <w:rPr>
          <w:w w:val="105"/>
          <w:sz w:val="19"/>
        </w:rPr>
        <w:t>que</w:t>
      </w:r>
      <w:r>
        <w:rPr>
          <w:spacing w:val="-7"/>
          <w:w w:val="105"/>
          <w:sz w:val="19"/>
        </w:rPr>
        <w:t> </w:t>
      </w:r>
      <w:r>
        <w:rPr>
          <w:w w:val="105"/>
          <w:sz w:val="19"/>
        </w:rPr>
        <w:t>atravesó</w:t>
      </w:r>
      <w:r>
        <w:rPr>
          <w:spacing w:val="-7"/>
          <w:w w:val="105"/>
          <w:sz w:val="19"/>
        </w:rPr>
        <w:t> </w:t>
      </w:r>
      <w:r>
        <w:rPr>
          <w:w w:val="105"/>
          <w:sz w:val="19"/>
        </w:rPr>
        <w:t>la</w:t>
      </w:r>
      <w:r>
        <w:rPr>
          <w:spacing w:val="-7"/>
          <w:w w:val="105"/>
          <w:sz w:val="19"/>
        </w:rPr>
        <w:t> </w:t>
      </w:r>
      <w:r>
        <w:rPr>
          <w:w w:val="105"/>
          <w:sz w:val="19"/>
        </w:rPr>
        <w:t>enseñanza</w:t>
      </w:r>
      <w:r>
        <w:rPr>
          <w:spacing w:val="-7"/>
          <w:w w:val="105"/>
          <w:sz w:val="19"/>
        </w:rPr>
        <w:t> </w:t>
      </w:r>
      <w:r>
        <w:rPr>
          <w:w w:val="105"/>
          <w:sz w:val="19"/>
        </w:rPr>
        <w:t>pública</w:t>
      </w:r>
      <w:r>
        <w:rPr>
          <w:spacing w:val="-7"/>
          <w:w w:val="105"/>
          <w:sz w:val="19"/>
        </w:rPr>
        <w:t> </w:t>
      </w:r>
      <w:r>
        <w:rPr>
          <w:w w:val="105"/>
          <w:sz w:val="19"/>
        </w:rPr>
        <w:t>durante</w:t>
      </w:r>
      <w:r>
        <w:rPr>
          <w:spacing w:val="-7"/>
          <w:w w:val="105"/>
          <w:sz w:val="19"/>
        </w:rPr>
        <w:t> </w:t>
      </w:r>
      <w:r>
        <w:rPr>
          <w:w w:val="105"/>
          <w:sz w:val="19"/>
        </w:rPr>
        <w:t>la</w:t>
      </w:r>
      <w:r>
        <w:rPr>
          <w:spacing w:val="-2"/>
          <w:w w:val="105"/>
          <w:sz w:val="19"/>
        </w:rPr>
        <w:t> </w:t>
      </w:r>
      <w:r>
        <w:rPr>
          <w:w w:val="105"/>
          <w:sz w:val="19"/>
        </w:rPr>
        <w:t>década de los ochenta y principios de los noventa, abrió </w:t>
      </w:r>
      <w:r>
        <w:rPr>
          <w:spacing w:val="-3"/>
          <w:w w:val="105"/>
          <w:sz w:val="19"/>
        </w:rPr>
        <w:t>una </w:t>
      </w:r>
      <w:r>
        <w:rPr>
          <w:w w:val="105"/>
          <w:sz w:val="19"/>
        </w:rPr>
        <w:t>veta de exploración en el campo educativo, que</w:t>
      </w:r>
      <w:r>
        <w:rPr>
          <w:spacing w:val="-13"/>
          <w:w w:val="105"/>
          <w:sz w:val="19"/>
        </w:rPr>
        <w:t> </w:t>
      </w:r>
      <w:r>
        <w:rPr>
          <w:w w:val="105"/>
          <w:sz w:val="19"/>
        </w:rPr>
        <w:t>señalaba</w:t>
      </w:r>
      <w:r>
        <w:rPr>
          <w:spacing w:val="-13"/>
          <w:w w:val="105"/>
          <w:sz w:val="19"/>
        </w:rPr>
        <w:t> </w:t>
      </w:r>
      <w:r>
        <w:rPr>
          <w:w w:val="105"/>
          <w:sz w:val="19"/>
        </w:rPr>
        <w:t>a</w:t>
      </w:r>
      <w:r>
        <w:rPr>
          <w:spacing w:val="-8"/>
          <w:w w:val="105"/>
          <w:sz w:val="19"/>
        </w:rPr>
        <w:t> </w:t>
      </w:r>
      <w:r>
        <w:rPr>
          <w:spacing w:val="-3"/>
          <w:w w:val="105"/>
          <w:sz w:val="19"/>
        </w:rPr>
        <w:t>la</w:t>
      </w:r>
      <w:r>
        <w:rPr>
          <w:spacing w:val="-13"/>
          <w:w w:val="105"/>
          <w:sz w:val="19"/>
        </w:rPr>
        <w:t> </w:t>
      </w:r>
      <w:r>
        <w:rPr>
          <w:w w:val="105"/>
          <w:sz w:val="19"/>
        </w:rPr>
        <w:t>política</w:t>
      </w:r>
      <w:r>
        <w:rPr>
          <w:spacing w:val="-16"/>
          <w:w w:val="105"/>
          <w:sz w:val="19"/>
        </w:rPr>
        <w:t> </w:t>
      </w:r>
      <w:r>
        <w:rPr>
          <w:w w:val="105"/>
          <w:sz w:val="19"/>
        </w:rPr>
        <w:t>como</w:t>
      </w:r>
      <w:r>
        <w:rPr>
          <w:spacing w:val="-16"/>
          <w:w w:val="105"/>
          <w:sz w:val="19"/>
        </w:rPr>
        <w:t> </w:t>
      </w:r>
      <w:r>
        <w:rPr>
          <w:w w:val="105"/>
          <w:sz w:val="19"/>
        </w:rPr>
        <w:t>uno</w:t>
      </w:r>
      <w:r>
        <w:rPr>
          <w:spacing w:val="-13"/>
          <w:w w:val="105"/>
          <w:sz w:val="19"/>
        </w:rPr>
        <w:t> </w:t>
      </w:r>
      <w:r>
        <w:rPr>
          <w:w w:val="105"/>
          <w:sz w:val="19"/>
        </w:rPr>
        <w:t>de</w:t>
      </w:r>
      <w:r>
        <w:rPr>
          <w:spacing w:val="-13"/>
          <w:w w:val="105"/>
          <w:sz w:val="19"/>
        </w:rPr>
        <w:t> </w:t>
      </w:r>
      <w:r>
        <w:rPr>
          <w:w w:val="105"/>
          <w:sz w:val="19"/>
        </w:rPr>
        <w:t>los</w:t>
      </w:r>
      <w:r>
        <w:rPr>
          <w:spacing w:val="-16"/>
          <w:w w:val="105"/>
          <w:sz w:val="19"/>
        </w:rPr>
        <w:t> </w:t>
      </w:r>
      <w:r>
        <w:rPr>
          <w:w w:val="105"/>
          <w:sz w:val="19"/>
        </w:rPr>
        <w:t>factores</w:t>
      </w:r>
      <w:r>
        <w:rPr>
          <w:spacing w:val="-13"/>
          <w:w w:val="105"/>
          <w:sz w:val="19"/>
        </w:rPr>
        <w:t> </w:t>
      </w:r>
      <w:r>
        <w:rPr>
          <w:w w:val="105"/>
          <w:sz w:val="19"/>
        </w:rPr>
        <w:t>primordiales</w:t>
      </w:r>
      <w:r>
        <w:rPr>
          <w:spacing w:val="-13"/>
          <w:w w:val="105"/>
          <w:sz w:val="19"/>
        </w:rPr>
        <w:t> </w:t>
      </w:r>
      <w:r>
        <w:rPr>
          <w:spacing w:val="-3"/>
          <w:w w:val="105"/>
          <w:sz w:val="19"/>
        </w:rPr>
        <w:t>que</w:t>
      </w:r>
      <w:r>
        <w:rPr>
          <w:spacing w:val="-13"/>
          <w:w w:val="105"/>
          <w:sz w:val="19"/>
        </w:rPr>
        <w:t> </w:t>
      </w:r>
      <w:r>
        <w:rPr>
          <w:w w:val="105"/>
          <w:sz w:val="19"/>
        </w:rPr>
        <w:t>explicaban</w:t>
      </w:r>
      <w:r>
        <w:rPr>
          <w:spacing w:val="-13"/>
          <w:w w:val="105"/>
          <w:sz w:val="19"/>
        </w:rPr>
        <w:t> </w:t>
      </w:r>
      <w:r>
        <w:rPr>
          <w:w w:val="105"/>
          <w:sz w:val="19"/>
        </w:rPr>
        <w:t>buena</w:t>
      </w:r>
      <w:r>
        <w:rPr>
          <w:spacing w:val="-13"/>
          <w:w w:val="105"/>
          <w:sz w:val="19"/>
        </w:rPr>
        <w:t> </w:t>
      </w:r>
      <w:r>
        <w:rPr>
          <w:w w:val="105"/>
          <w:sz w:val="19"/>
        </w:rPr>
        <w:t>parte</w:t>
      </w:r>
      <w:r>
        <w:rPr>
          <w:spacing w:val="-8"/>
          <w:w w:val="105"/>
          <w:sz w:val="19"/>
        </w:rPr>
        <w:t> </w:t>
      </w:r>
      <w:r>
        <w:rPr>
          <w:w w:val="105"/>
          <w:sz w:val="19"/>
        </w:rPr>
        <w:t>de</w:t>
      </w:r>
      <w:r>
        <w:rPr>
          <w:spacing w:val="-13"/>
          <w:w w:val="105"/>
          <w:sz w:val="19"/>
        </w:rPr>
        <w:t> </w:t>
      </w:r>
      <w:r>
        <w:rPr>
          <w:w w:val="105"/>
          <w:sz w:val="19"/>
        </w:rPr>
        <w:t>las acciones</w:t>
      </w:r>
      <w:r>
        <w:rPr>
          <w:spacing w:val="-12"/>
          <w:w w:val="105"/>
          <w:sz w:val="19"/>
        </w:rPr>
        <w:t> </w:t>
      </w:r>
      <w:r>
        <w:rPr>
          <w:w w:val="105"/>
          <w:sz w:val="19"/>
        </w:rPr>
        <w:t>gubernamentales</w:t>
      </w:r>
      <w:r>
        <w:rPr>
          <w:spacing w:val="-12"/>
          <w:w w:val="105"/>
          <w:sz w:val="19"/>
        </w:rPr>
        <w:t> </w:t>
      </w:r>
      <w:r>
        <w:rPr>
          <w:spacing w:val="-4"/>
          <w:w w:val="105"/>
          <w:sz w:val="19"/>
        </w:rPr>
        <w:t>en</w:t>
      </w:r>
      <w:r>
        <w:rPr>
          <w:spacing w:val="-12"/>
          <w:w w:val="105"/>
          <w:sz w:val="19"/>
        </w:rPr>
        <w:t> </w:t>
      </w:r>
      <w:r>
        <w:rPr>
          <w:w w:val="105"/>
          <w:sz w:val="19"/>
        </w:rPr>
        <w:t>ese</w:t>
      </w:r>
      <w:r>
        <w:rPr>
          <w:spacing w:val="-8"/>
          <w:w w:val="105"/>
          <w:sz w:val="19"/>
        </w:rPr>
        <w:t> </w:t>
      </w:r>
      <w:r>
        <w:rPr>
          <w:w w:val="105"/>
          <w:sz w:val="19"/>
        </w:rPr>
        <w:t>rubro;</w:t>
      </w:r>
      <w:r>
        <w:rPr>
          <w:spacing w:val="-12"/>
          <w:w w:val="105"/>
          <w:sz w:val="19"/>
        </w:rPr>
        <w:t> </w:t>
      </w:r>
      <w:r>
        <w:rPr>
          <w:spacing w:val="-3"/>
          <w:w w:val="105"/>
          <w:sz w:val="19"/>
        </w:rPr>
        <w:t>en</w:t>
      </w:r>
      <w:r>
        <w:rPr>
          <w:spacing w:val="-12"/>
          <w:w w:val="105"/>
          <w:sz w:val="19"/>
        </w:rPr>
        <w:t> </w:t>
      </w:r>
      <w:r>
        <w:rPr>
          <w:w w:val="105"/>
          <w:sz w:val="19"/>
        </w:rPr>
        <w:t>particular</w:t>
      </w:r>
      <w:r>
        <w:rPr>
          <w:spacing w:val="-12"/>
          <w:w w:val="105"/>
          <w:sz w:val="19"/>
        </w:rPr>
        <w:t> </w:t>
      </w:r>
      <w:r>
        <w:rPr>
          <w:spacing w:val="-3"/>
          <w:w w:val="105"/>
          <w:sz w:val="19"/>
        </w:rPr>
        <w:t>la</w:t>
      </w:r>
      <w:r>
        <w:rPr>
          <w:spacing w:val="-8"/>
          <w:w w:val="105"/>
          <w:sz w:val="19"/>
        </w:rPr>
        <w:t> </w:t>
      </w:r>
      <w:r>
        <w:rPr>
          <w:w w:val="105"/>
          <w:sz w:val="19"/>
        </w:rPr>
        <w:t>función</w:t>
      </w:r>
      <w:r>
        <w:rPr>
          <w:spacing w:val="-12"/>
          <w:w w:val="105"/>
          <w:sz w:val="19"/>
        </w:rPr>
        <w:t> </w:t>
      </w:r>
      <w:r>
        <w:rPr>
          <w:w w:val="105"/>
          <w:sz w:val="19"/>
        </w:rPr>
        <w:t>de</w:t>
      </w:r>
      <w:r>
        <w:rPr>
          <w:spacing w:val="-12"/>
          <w:w w:val="105"/>
          <w:sz w:val="19"/>
        </w:rPr>
        <w:t> </w:t>
      </w:r>
      <w:r>
        <w:rPr>
          <w:w w:val="105"/>
          <w:sz w:val="19"/>
        </w:rPr>
        <w:t>los</w:t>
      </w:r>
      <w:r>
        <w:rPr>
          <w:spacing w:val="-12"/>
          <w:w w:val="105"/>
          <w:sz w:val="19"/>
        </w:rPr>
        <w:t> </w:t>
      </w:r>
      <w:r>
        <w:rPr>
          <w:w w:val="105"/>
          <w:sz w:val="19"/>
        </w:rPr>
        <w:t>principales</w:t>
      </w:r>
      <w:r>
        <w:rPr>
          <w:spacing w:val="-15"/>
          <w:w w:val="105"/>
          <w:sz w:val="19"/>
        </w:rPr>
        <w:t> </w:t>
      </w:r>
      <w:r>
        <w:rPr>
          <w:w w:val="105"/>
          <w:sz w:val="19"/>
        </w:rPr>
        <w:t>sujetos</w:t>
      </w:r>
      <w:r>
        <w:rPr>
          <w:spacing w:val="-12"/>
          <w:w w:val="105"/>
          <w:sz w:val="19"/>
        </w:rPr>
        <w:t> </w:t>
      </w:r>
      <w:r>
        <w:rPr>
          <w:w w:val="105"/>
          <w:sz w:val="19"/>
        </w:rPr>
        <w:t>sociales y</w:t>
      </w:r>
      <w:r>
        <w:rPr>
          <w:spacing w:val="-6"/>
          <w:w w:val="105"/>
          <w:sz w:val="19"/>
        </w:rPr>
        <w:t> </w:t>
      </w:r>
      <w:r>
        <w:rPr>
          <w:w w:val="105"/>
          <w:sz w:val="19"/>
        </w:rPr>
        <w:t>políticos</w:t>
      </w:r>
      <w:r>
        <w:rPr>
          <w:spacing w:val="-6"/>
          <w:w w:val="105"/>
          <w:sz w:val="19"/>
        </w:rPr>
        <w:t> </w:t>
      </w:r>
      <w:r>
        <w:rPr>
          <w:w w:val="105"/>
          <w:sz w:val="19"/>
        </w:rPr>
        <w:t>que</w:t>
      </w:r>
      <w:r>
        <w:rPr>
          <w:spacing w:val="-1"/>
          <w:w w:val="105"/>
          <w:sz w:val="19"/>
        </w:rPr>
        <w:t> </w:t>
      </w:r>
      <w:r>
        <w:rPr>
          <w:w w:val="105"/>
          <w:sz w:val="19"/>
        </w:rPr>
        <w:t>intervenían</w:t>
      </w:r>
      <w:r>
        <w:rPr>
          <w:spacing w:val="-6"/>
          <w:w w:val="105"/>
          <w:sz w:val="19"/>
        </w:rPr>
        <w:t> </w:t>
      </w:r>
      <w:r>
        <w:rPr>
          <w:w w:val="105"/>
          <w:sz w:val="19"/>
        </w:rPr>
        <w:t>en</w:t>
      </w:r>
      <w:r>
        <w:rPr>
          <w:spacing w:val="-6"/>
          <w:w w:val="105"/>
          <w:sz w:val="19"/>
        </w:rPr>
        <w:t> </w:t>
      </w:r>
      <w:r>
        <w:rPr>
          <w:w w:val="105"/>
          <w:sz w:val="19"/>
        </w:rPr>
        <w:t>la</w:t>
      </w:r>
      <w:r>
        <w:rPr>
          <w:spacing w:val="-6"/>
          <w:w w:val="105"/>
          <w:sz w:val="19"/>
        </w:rPr>
        <w:t> </w:t>
      </w:r>
      <w:r>
        <w:rPr>
          <w:w w:val="105"/>
          <w:sz w:val="19"/>
        </w:rPr>
        <w:t>política</w:t>
      </w:r>
      <w:r>
        <w:rPr>
          <w:spacing w:val="-6"/>
          <w:w w:val="105"/>
          <w:sz w:val="19"/>
        </w:rPr>
        <w:t> </w:t>
      </w:r>
      <w:r>
        <w:rPr>
          <w:w w:val="105"/>
          <w:sz w:val="19"/>
        </w:rPr>
        <w:t>educativa</w:t>
      </w:r>
      <w:r>
        <w:rPr>
          <w:spacing w:val="-6"/>
          <w:w w:val="105"/>
          <w:sz w:val="19"/>
        </w:rPr>
        <w:t> </w:t>
      </w:r>
      <w:r>
        <w:rPr>
          <w:w w:val="105"/>
          <w:sz w:val="19"/>
        </w:rPr>
        <w:t>como</w:t>
      </w:r>
      <w:r>
        <w:rPr>
          <w:spacing w:val="-6"/>
          <w:w w:val="105"/>
          <w:sz w:val="19"/>
        </w:rPr>
        <w:t> </w:t>
      </w:r>
      <w:r>
        <w:rPr>
          <w:w w:val="105"/>
          <w:sz w:val="19"/>
        </w:rPr>
        <w:t>lo</w:t>
      </w:r>
      <w:r>
        <w:rPr>
          <w:spacing w:val="-6"/>
          <w:w w:val="105"/>
          <w:sz w:val="19"/>
        </w:rPr>
        <w:t> </w:t>
      </w:r>
      <w:r>
        <w:rPr>
          <w:w w:val="105"/>
          <w:sz w:val="19"/>
        </w:rPr>
        <w:t>han</w:t>
      </w:r>
      <w:r>
        <w:rPr>
          <w:spacing w:val="-6"/>
          <w:w w:val="105"/>
          <w:sz w:val="19"/>
        </w:rPr>
        <w:t> </w:t>
      </w:r>
      <w:r>
        <w:rPr>
          <w:w w:val="105"/>
          <w:sz w:val="19"/>
        </w:rPr>
        <w:t>sido</w:t>
      </w:r>
      <w:r>
        <w:rPr>
          <w:spacing w:val="-6"/>
          <w:w w:val="105"/>
          <w:sz w:val="19"/>
        </w:rPr>
        <w:t> </w:t>
      </w:r>
      <w:r>
        <w:rPr>
          <w:w w:val="105"/>
          <w:sz w:val="19"/>
        </w:rPr>
        <w:t>el</w:t>
      </w:r>
      <w:r>
        <w:rPr>
          <w:spacing w:val="-1"/>
          <w:w w:val="105"/>
          <w:sz w:val="19"/>
        </w:rPr>
        <w:t> </w:t>
      </w:r>
      <w:r>
        <w:rPr>
          <w:w w:val="105"/>
          <w:sz w:val="19"/>
        </w:rPr>
        <w:t>sindicato</w:t>
      </w:r>
      <w:r>
        <w:rPr>
          <w:spacing w:val="-1"/>
          <w:w w:val="105"/>
          <w:sz w:val="19"/>
        </w:rPr>
        <w:t> </w:t>
      </w:r>
      <w:r>
        <w:rPr>
          <w:w w:val="105"/>
          <w:sz w:val="19"/>
        </w:rPr>
        <w:t>y</w:t>
      </w:r>
      <w:r>
        <w:rPr>
          <w:spacing w:val="-6"/>
          <w:w w:val="105"/>
          <w:sz w:val="19"/>
        </w:rPr>
        <w:t> </w:t>
      </w:r>
      <w:r>
        <w:rPr>
          <w:w w:val="105"/>
          <w:sz w:val="19"/>
        </w:rPr>
        <w:t>la</w:t>
      </w:r>
      <w:r>
        <w:rPr>
          <w:spacing w:val="-8"/>
          <w:w w:val="105"/>
          <w:sz w:val="19"/>
        </w:rPr>
        <w:t> </w:t>
      </w:r>
      <w:r>
        <w:rPr>
          <w:w w:val="105"/>
          <w:sz w:val="19"/>
        </w:rPr>
        <w:t>burocracia</w:t>
      </w:r>
      <w:r>
        <w:rPr>
          <w:spacing w:val="-1"/>
          <w:w w:val="105"/>
          <w:sz w:val="19"/>
        </w:rPr>
        <w:t> </w:t>
      </w:r>
      <w:r>
        <w:rPr>
          <w:w w:val="105"/>
          <w:sz w:val="19"/>
        </w:rPr>
        <w:t>de </w:t>
      </w:r>
      <w:r>
        <w:rPr>
          <w:spacing w:val="-3"/>
          <w:w w:val="105"/>
          <w:sz w:val="19"/>
        </w:rPr>
        <w:t>la</w:t>
      </w:r>
      <w:r>
        <w:rPr>
          <w:spacing w:val="-22"/>
          <w:w w:val="105"/>
          <w:sz w:val="19"/>
        </w:rPr>
        <w:t> </w:t>
      </w:r>
      <w:r>
        <w:rPr>
          <w:w w:val="105"/>
          <w:sz w:val="19"/>
        </w:rPr>
        <w:t>Secretaría</w:t>
      </w:r>
      <w:r>
        <w:rPr>
          <w:spacing w:val="-22"/>
          <w:w w:val="105"/>
          <w:sz w:val="19"/>
        </w:rPr>
        <w:t> </w:t>
      </w:r>
      <w:r>
        <w:rPr>
          <w:w w:val="105"/>
          <w:sz w:val="19"/>
        </w:rPr>
        <w:t>de</w:t>
      </w:r>
      <w:r>
        <w:rPr>
          <w:spacing w:val="-22"/>
          <w:w w:val="105"/>
          <w:sz w:val="19"/>
        </w:rPr>
        <w:t> </w:t>
      </w:r>
      <w:r>
        <w:rPr>
          <w:w w:val="105"/>
          <w:sz w:val="19"/>
        </w:rPr>
        <w:t>Educación</w:t>
      </w:r>
      <w:r>
        <w:rPr>
          <w:spacing w:val="-22"/>
          <w:w w:val="105"/>
          <w:sz w:val="19"/>
        </w:rPr>
        <w:t> </w:t>
      </w:r>
      <w:r>
        <w:rPr>
          <w:w w:val="105"/>
          <w:sz w:val="19"/>
        </w:rPr>
        <w:t>Pública.</w:t>
      </w:r>
    </w:p>
    <w:p>
      <w:pPr>
        <w:spacing w:after="0" w:line="247" w:lineRule="auto"/>
        <w:jc w:val="both"/>
        <w:rPr>
          <w:sz w:val="19"/>
        </w:rPr>
        <w:sectPr>
          <w:footerReference w:type="default" r:id="rId17"/>
          <w:pgSz w:w="11910" w:h="16840"/>
          <w:pgMar w:footer="1457" w:header="0" w:top="1580" w:bottom="1640" w:left="1540" w:right="1540"/>
          <w:pgNumType w:start="51"/>
        </w:sectPr>
      </w:pPr>
    </w:p>
    <w:p>
      <w:pPr>
        <w:pStyle w:val="BodyText"/>
        <w:rPr>
          <w:sz w:val="20"/>
        </w:rPr>
      </w:pPr>
    </w:p>
    <w:p>
      <w:pPr>
        <w:pStyle w:val="BodyText"/>
        <w:spacing w:before="2"/>
        <w:rPr>
          <w:sz w:val="16"/>
        </w:rPr>
      </w:pPr>
    </w:p>
    <w:p>
      <w:pPr>
        <w:pStyle w:val="BodyText"/>
        <w:spacing w:line="364" w:lineRule="auto" w:before="74"/>
        <w:ind w:left="115" w:right="105"/>
        <w:jc w:val="both"/>
      </w:pPr>
      <w:r>
        <w:rPr/>
        <w:t>compensatorios, las políticas de evaluación y estímulos diferenciados al personal docente, </w:t>
      </w:r>
      <w:r>
        <w:rPr>
          <w:spacing w:val="-5"/>
        </w:rPr>
        <w:t>la </w:t>
      </w:r>
      <w:r>
        <w:rPr/>
        <w:t>función de los organismos internacionales en </w:t>
      </w:r>
      <w:r>
        <w:rPr>
          <w:spacing w:val="-4"/>
        </w:rPr>
        <w:t>la </w:t>
      </w:r>
      <w:r>
        <w:rPr/>
        <w:t>definición de </w:t>
      </w:r>
      <w:r>
        <w:rPr>
          <w:spacing w:val="-2"/>
        </w:rPr>
        <w:t>las</w:t>
      </w:r>
      <w:r>
        <w:rPr>
          <w:spacing w:val="59"/>
        </w:rPr>
        <w:t> </w:t>
      </w:r>
      <w:r>
        <w:rPr/>
        <w:t>políticas educativas, la formación y actualización de profesores y algunos temas relacionados con la formación del educando (como las competencias laborales y </w:t>
      </w:r>
      <w:r>
        <w:rPr>
          <w:spacing w:val="-5"/>
        </w:rPr>
        <w:t>la </w:t>
      </w:r>
      <w:r>
        <w:rPr/>
        <w:t>formación en valores), las nuevas tecnologías y </w:t>
      </w:r>
      <w:r>
        <w:rPr>
          <w:spacing w:val="-3"/>
        </w:rPr>
        <w:t>los </w:t>
      </w:r>
      <w:r>
        <w:rPr/>
        <w:t>procesos </w:t>
      </w:r>
      <w:r>
        <w:rPr>
          <w:spacing w:val="3"/>
        </w:rPr>
        <w:t>de </w:t>
      </w:r>
      <w:r>
        <w:rPr/>
        <w:t>flexibilización curricular.</w:t>
      </w:r>
    </w:p>
    <w:p>
      <w:pPr>
        <w:pStyle w:val="BodyText"/>
        <w:spacing w:line="364" w:lineRule="auto" w:before="5"/>
        <w:ind w:left="115" w:right="109" w:firstLine="686"/>
        <w:jc w:val="both"/>
      </w:pPr>
      <w:r>
        <w:rPr/>
        <w:t>Igualmente importantes son los estudios </w:t>
      </w:r>
      <w:r>
        <w:rPr>
          <w:spacing w:val="3"/>
        </w:rPr>
        <w:t>de </w:t>
      </w:r>
      <w:r>
        <w:rPr/>
        <w:t>evaluación </w:t>
      </w:r>
      <w:r>
        <w:rPr>
          <w:spacing w:val="-3"/>
        </w:rPr>
        <w:t>de </w:t>
      </w:r>
      <w:r>
        <w:rPr/>
        <w:t>política educativa patrocinados por </w:t>
      </w:r>
      <w:r>
        <w:rPr>
          <w:spacing w:val="-5"/>
        </w:rPr>
        <w:t>la </w:t>
      </w:r>
      <w:r>
        <w:rPr/>
        <w:t>propia SEP o los realizados por grupos de investigadores independientes sobre </w:t>
      </w:r>
      <w:r>
        <w:rPr>
          <w:spacing w:val="-3"/>
        </w:rPr>
        <w:t>la </w:t>
      </w:r>
      <w:r>
        <w:rPr/>
        <w:t>relación entre la federalización y </w:t>
      </w:r>
      <w:r>
        <w:rPr>
          <w:spacing w:val="-3"/>
        </w:rPr>
        <w:t>la  </w:t>
      </w:r>
      <w:r>
        <w:rPr/>
        <w:t>innovación educativa en los estados de la república. </w:t>
      </w:r>
      <w:r>
        <w:rPr>
          <w:spacing w:val="4"/>
        </w:rPr>
        <w:t>En </w:t>
      </w:r>
      <w:r>
        <w:rPr/>
        <w:t>este enfoque destacan los trabajos de Alberto Arnaut, Aurora Loyo, Teresa Bracho, María del Carmen Pardo, </w:t>
      </w:r>
      <w:r>
        <w:rPr>
          <w:spacing w:val="-3"/>
        </w:rPr>
        <w:t>Rollin </w:t>
      </w:r>
      <w:r>
        <w:rPr/>
        <w:t>Kent, Adrián Acosta y Francisco</w:t>
      </w:r>
      <w:r>
        <w:rPr>
          <w:spacing w:val="27"/>
        </w:rPr>
        <w:t> </w:t>
      </w:r>
      <w:r>
        <w:rPr/>
        <w:t>Miranda.</w:t>
      </w:r>
    </w:p>
    <w:p>
      <w:pPr>
        <w:pStyle w:val="BodyText"/>
        <w:spacing w:line="364" w:lineRule="auto"/>
        <w:ind w:left="115" w:right="108" w:firstLine="686"/>
        <w:jc w:val="both"/>
      </w:pPr>
      <w:r>
        <w:rPr/>
        <w:t>Los estudios sobre la política educativa en el marco de la globalización han generado un especial interés. Destacan estudios sobre el papel de diversos organismos internacionales en las acciones gubernamentales en educación, tomando como criterios las presiones financieras, la legitimidad mundial y </w:t>
      </w:r>
      <w:r>
        <w:rPr>
          <w:spacing w:val="-2"/>
        </w:rPr>
        <w:t>los </w:t>
      </w:r>
      <w:r>
        <w:rPr/>
        <w:t>procesos de organización que generan dichas instituciones al intervenir  en  diversos programas educativos de alcance regional o nacional. Estudios relacionados con el Banco Mundial, </w:t>
      </w:r>
      <w:r>
        <w:rPr>
          <w:spacing w:val="-5"/>
        </w:rPr>
        <w:t>la </w:t>
      </w:r>
      <w:r>
        <w:rPr/>
        <w:t>Organización para la Cooperación y el Desarrollo Económicos (OCDE) y </w:t>
      </w:r>
      <w:r>
        <w:rPr>
          <w:spacing w:val="-5"/>
        </w:rPr>
        <w:t>la </w:t>
      </w:r>
      <w:r>
        <w:rPr/>
        <w:t>UNESCO, entre otros, dan cuenta de estas preocupaciones. Igualmente las visiones críticas que </w:t>
      </w:r>
      <w:r>
        <w:rPr>
          <w:spacing w:val="2"/>
        </w:rPr>
        <w:t>se </w:t>
      </w:r>
      <w:r>
        <w:rPr/>
        <w:t>oponen a las llamadas políticas neoliberales han hecho valiosas contribuciones para repensar el papel de  </w:t>
      </w:r>
      <w:r>
        <w:rPr>
          <w:spacing w:val="-5"/>
        </w:rPr>
        <w:t>la </w:t>
      </w:r>
      <w:r>
        <w:rPr/>
        <w:t>educación en una nueva propuesta de desarrollo e integración  nacional  (Miranda, 2004:</w:t>
      </w:r>
      <w:r>
        <w:rPr>
          <w:spacing w:val="25"/>
        </w:rPr>
        <w:t> </w:t>
      </w:r>
      <w:r>
        <w:rPr/>
        <w:t>85).</w:t>
      </w:r>
    </w:p>
    <w:p>
      <w:pPr>
        <w:pStyle w:val="BodyText"/>
        <w:spacing w:before="11"/>
        <w:rPr>
          <w:sz w:val="17"/>
        </w:rPr>
      </w:pPr>
    </w:p>
    <w:p>
      <w:pPr>
        <w:pStyle w:val="BodyText"/>
        <w:spacing w:line="364" w:lineRule="auto"/>
        <w:ind w:left="115" w:right="108" w:firstLine="686"/>
        <w:jc w:val="both"/>
      </w:pPr>
      <w:r>
        <w:rPr/>
        <w:t>Las distintas trayectorias de investigación han generado valiosos aportes y han abierto el camino hacia el nuevo ámbito de indagación de las políticas educativas: el enfoque de política pública. Lo que es una tradición añeja en  Estados Unidos y otros países europeos, en México apenas inició a finales de </w:t>
      </w:r>
      <w:r>
        <w:rPr>
          <w:spacing w:val="-3"/>
        </w:rPr>
        <w:t>los </w:t>
      </w:r>
      <w:r>
        <w:rPr/>
        <w:t>noventa. Este enfoque </w:t>
      </w:r>
      <w:r>
        <w:rPr>
          <w:spacing w:val="-3"/>
        </w:rPr>
        <w:t>de </w:t>
      </w:r>
      <w:r>
        <w:rPr/>
        <w:t>análisis apenas comienza y de momento, existen pocos trabajos que formulen propuestas </w:t>
      </w:r>
      <w:r>
        <w:rPr>
          <w:spacing w:val="-3"/>
        </w:rPr>
        <w:t>de </w:t>
      </w:r>
      <w:r>
        <w:rPr/>
        <w:t>análisis, que interpreten </w:t>
      </w:r>
      <w:r>
        <w:rPr>
          <w:spacing w:val="2"/>
        </w:rPr>
        <w:t>el </w:t>
      </w:r>
      <w:r>
        <w:rPr/>
        <w:t>proceso de elaboración  de  políticas  vinculando  las  implicaciones  de  </w:t>
      </w:r>
      <w:r>
        <w:rPr>
          <w:spacing w:val="-5"/>
        </w:rPr>
        <w:t>la  </w:t>
      </w:r>
      <w:r>
        <w:rPr/>
        <w:t>reforma  estatal  </w:t>
      </w:r>
      <w:r>
        <w:rPr>
          <w:spacing w:val="8"/>
        </w:rPr>
        <w:t> </w:t>
      </w:r>
      <w:r>
        <w:rPr/>
        <w:t>en</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10"/>
        <w:jc w:val="both"/>
      </w:pPr>
      <w:r>
        <w:rPr/>
        <w:t>función de las transformaciones de los contextos políticos y sociales, que analicen en alguna medida las exigencias de desarrollo educativo en los nuevos espacios  de configuración de </w:t>
      </w:r>
      <w:r>
        <w:rPr>
          <w:spacing w:val="-5"/>
        </w:rPr>
        <w:t>lo </w:t>
      </w:r>
      <w:r>
        <w:rPr/>
        <w:t>público y </w:t>
      </w:r>
      <w:r>
        <w:rPr>
          <w:spacing w:val="-3"/>
        </w:rPr>
        <w:t>las </w:t>
      </w:r>
      <w:r>
        <w:rPr/>
        <w:t>estrategias </w:t>
      </w:r>
      <w:r>
        <w:rPr>
          <w:spacing w:val="29"/>
        </w:rPr>
        <w:t> </w:t>
      </w:r>
      <w:r>
        <w:rPr/>
        <w:t>gubernamentales.</w:t>
      </w:r>
    </w:p>
    <w:p>
      <w:pPr>
        <w:pStyle w:val="BodyText"/>
        <w:spacing w:line="364" w:lineRule="auto" w:before="5"/>
        <w:ind w:left="115" w:right="107" w:firstLine="686"/>
        <w:jc w:val="both"/>
      </w:pPr>
      <w:r>
        <w:rPr/>
        <w:t>El enfoque de estudio </w:t>
      </w:r>
      <w:r>
        <w:rPr>
          <w:spacing w:val="3"/>
        </w:rPr>
        <w:t>de </w:t>
      </w:r>
      <w:r>
        <w:rPr>
          <w:spacing w:val="-3"/>
        </w:rPr>
        <w:t>las </w:t>
      </w:r>
      <w:r>
        <w:rPr/>
        <w:t>políticas públicas </w:t>
      </w:r>
      <w:r>
        <w:rPr>
          <w:spacing w:val="-3"/>
        </w:rPr>
        <w:t>es </w:t>
      </w:r>
      <w:r>
        <w:rPr/>
        <w:t>relevante porque recupera algunas cuestiones fundamentales para el análisis de </w:t>
      </w:r>
      <w:r>
        <w:rPr>
          <w:spacing w:val="-3"/>
        </w:rPr>
        <w:t>la </w:t>
      </w:r>
      <w:r>
        <w:rPr/>
        <w:t>política educativa en México, fundamentalmente las siguientes</w:t>
      </w:r>
      <w:r>
        <w:rPr>
          <w:spacing w:val="50"/>
        </w:rPr>
        <w:t> </w:t>
      </w:r>
      <w:r>
        <w:rPr/>
        <w:t>cuestiones:</w:t>
      </w:r>
    </w:p>
    <w:p>
      <w:pPr>
        <w:pStyle w:val="ListParagraph"/>
        <w:numPr>
          <w:ilvl w:val="0"/>
          <w:numId w:val="7"/>
        </w:numPr>
        <w:tabs>
          <w:tab w:pos="1085" w:val="left" w:leader="none"/>
        </w:tabs>
        <w:spacing w:line="364" w:lineRule="auto" w:before="5" w:after="0"/>
        <w:ind w:left="116" w:right="105" w:firstLine="686"/>
        <w:jc w:val="both"/>
        <w:rPr>
          <w:sz w:val="23"/>
        </w:rPr>
      </w:pPr>
      <w:r>
        <w:rPr>
          <w:sz w:val="23"/>
        </w:rPr>
        <w:t>La interdisciplinariedad, que alude a </w:t>
      </w:r>
      <w:r>
        <w:rPr>
          <w:spacing w:val="-5"/>
          <w:sz w:val="23"/>
        </w:rPr>
        <w:t>la </w:t>
      </w:r>
      <w:r>
        <w:rPr>
          <w:sz w:val="23"/>
        </w:rPr>
        <w:t>necesidad de articular e integrar enfoques para el análisis de </w:t>
      </w:r>
      <w:r>
        <w:rPr>
          <w:spacing w:val="-5"/>
          <w:sz w:val="23"/>
        </w:rPr>
        <w:t>la </w:t>
      </w:r>
      <w:r>
        <w:rPr>
          <w:sz w:val="23"/>
        </w:rPr>
        <w:t>política educativa que provienen de </w:t>
      </w:r>
      <w:r>
        <w:rPr>
          <w:spacing w:val="-5"/>
          <w:sz w:val="23"/>
        </w:rPr>
        <w:t>la </w:t>
      </w:r>
      <w:r>
        <w:rPr>
          <w:sz w:val="23"/>
        </w:rPr>
        <w:t>teoría educativa y la sociología de </w:t>
      </w:r>
      <w:r>
        <w:rPr>
          <w:spacing w:val="-4"/>
          <w:sz w:val="23"/>
        </w:rPr>
        <w:t>la </w:t>
      </w:r>
      <w:r>
        <w:rPr>
          <w:sz w:val="23"/>
        </w:rPr>
        <w:t>educación, </w:t>
      </w:r>
      <w:r>
        <w:rPr>
          <w:spacing w:val="-5"/>
          <w:sz w:val="23"/>
        </w:rPr>
        <w:t>la </w:t>
      </w:r>
      <w:r>
        <w:rPr>
          <w:sz w:val="23"/>
        </w:rPr>
        <w:t>teoría política y </w:t>
      </w:r>
      <w:r>
        <w:rPr>
          <w:spacing w:val="-4"/>
          <w:sz w:val="23"/>
        </w:rPr>
        <w:t>la </w:t>
      </w:r>
      <w:r>
        <w:rPr>
          <w:sz w:val="23"/>
        </w:rPr>
        <w:t>gestión. 2. El problema de </w:t>
      </w:r>
      <w:r>
        <w:rPr>
          <w:spacing w:val="-5"/>
          <w:sz w:val="23"/>
        </w:rPr>
        <w:t>la </w:t>
      </w:r>
      <w:r>
        <w:rPr>
          <w:sz w:val="23"/>
        </w:rPr>
        <w:t>reforma del Estado, cuyos ejes básicos de discusión en educación remiten a problemas de orden global y estructural sobre las nuevas relaciones </w:t>
      </w:r>
      <w:r>
        <w:rPr>
          <w:spacing w:val="-3"/>
          <w:sz w:val="23"/>
        </w:rPr>
        <w:t>que </w:t>
      </w:r>
      <w:r>
        <w:rPr>
          <w:sz w:val="23"/>
        </w:rPr>
        <w:t>mantienen con </w:t>
      </w:r>
      <w:r>
        <w:rPr>
          <w:spacing w:val="-4"/>
          <w:sz w:val="23"/>
        </w:rPr>
        <w:t>la </w:t>
      </w:r>
      <w:r>
        <w:rPr>
          <w:sz w:val="23"/>
        </w:rPr>
        <w:t>cultura, sociedad y el mercado. De ahí que sea interesante la discusión sobre las políticas públicas desde las matrices de bienestar social, neoliberal, multiculturalista y democrática. </w:t>
      </w:r>
      <w:r>
        <w:rPr>
          <w:spacing w:val="2"/>
          <w:sz w:val="23"/>
        </w:rPr>
        <w:t>3. </w:t>
      </w:r>
      <w:r>
        <w:rPr>
          <w:sz w:val="23"/>
        </w:rPr>
        <w:t>Los procesos de formación de política pública, que </w:t>
      </w:r>
      <w:r>
        <w:rPr>
          <w:spacing w:val="-3"/>
          <w:sz w:val="23"/>
        </w:rPr>
        <w:t>remiten </w:t>
      </w:r>
      <w:r>
        <w:rPr>
          <w:sz w:val="23"/>
        </w:rPr>
        <w:t>a propuestas de análisis de </w:t>
      </w:r>
      <w:r>
        <w:rPr>
          <w:spacing w:val="-4"/>
          <w:sz w:val="23"/>
        </w:rPr>
        <w:t>la </w:t>
      </w:r>
      <w:r>
        <w:rPr>
          <w:sz w:val="23"/>
        </w:rPr>
        <w:t>política educativa de acuerdo con los criterios  de participación, transparencia, rendición de cuentas y eficiencia  de las acciones del gobierno, así como los juegos de poder que se generan en el todo el suceso. 4. Lo público de la política, que considera a la política educativa como política pública en el marco de las redefiniciones de los espacios públicos </w:t>
      </w:r>
      <w:r>
        <w:rPr>
          <w:spacing w:val="-3"/>
          <w:sz w:val="23"/>
        </w:rPr>
        <w:t>en </w:t>
      </w:r>
      <w:r>
        <w:rPr>
          <w:sz w:val="23"/>
        </w:rPr>
        <w:t>su relación con </w:t>
      </w:r>
      <w:r>
        <w:rPr>
          <w:spacing w:val="-3"/>
          <w:sz w:val="23"/>
        </w:rPr>
        <w:t>lo </w:t>
      </w:r>
      <w:r>
        <w:rPr>
          <w:sz w:val="23"/>
        </w:rPr>
        <w:t>privado, </w:t>
      </w:r>
      <w:r>
        <w:rPr>
          <w:spacing w:val="-3"/>
          <w:sz w:val="23"/>
        </w:rPr>
        <w:t>los </w:t>
      </w:r>
      <w:r>
        <w:rPr>
          <w:sz w:val="23"/>
        </w:rPr>
        <w:t>cambios del Estado y el  problema  de  </w:t>
      </w:r>
      <w:r>
        <w:rPr>
          <w:spacing w:val="-3"/>
          <w:sz w:val="23"/>
        </w:rPr>
        <w:t>la </w:t>
      </w:r>
      <w:r>
        <w:rPr>
          <w:sz w:val="23"/>
        </w:rPr>
        <w:t>vulnerabilidad social y sustentabilidad del desarrollo. 5. Problemas </w:t>
      </w:r>
      <w:r>
        <w:rPr>
          <w:spacing w:val="3"/>
          <w:sz w:val="23"/>
        </w:rPr>
        <w:t>de </w:t>
      </w:r>
      <w:r>
        <w:rPr>
          <w:sz w:val="23"/>
        </w:rPr>
        <w:t>desarrollo educativo, que toma en cuenta los criterios de progreso social y político en </w:t>
      </w:r>
      <w:r>
        <w:rPr>
          <w:spacing w:val="-4"/>
          <w:sz w:val="23"/>
        </w:rPr>
        <w:t>la </w:t>
      </w:r>
      <w:r>
        <w:rPr>
          <w:sz w:val="23"/>
        </w:rPr>
        <w:t>educación en </w:t>
      </w:r>
      <w:r>
        <w:rPr>
          <w:spacing w:val="-5"/>
          <w:sz w:val="23"/>
        </w:rPr>
        <w:t>la </w:t>
      </w:r>
      <w:r>
        <w:rPr>
          <w:sz w:val="23"/>
        </w:rPr>
        <w:t>medida en que las necesidades sociales </w:t>
      </w:r>
      <w:r>
        <w:rPr>
          <w:spacing w:val="4"/>
          <w:sz w:val="23"/>
        </w:rPr>
        <w:t>se </w:t>
      </w:r>
      <w:r>
        <w:rPr>
          <w:sz w:val="23"/>
        </w:rPr>
        <w:t>articulen con el  conjunto de oportunidades, capacidades y realizaciones </w:t>
      </w:r>
      <w:r>
        <w:rPr>
          <w:spacing w:val="-3"/>
          <w:sz w:val="23"/>
        </w:rPr>
        <w:t>que </w:t>
      </w:r>
      <w:r>
        <w:rPr>
          <w:sz w:val="23"/>
        </w:rPr>
        <w:t>puedan construirse individual, colectiva e institucionalmente desde </w:t>
      </w:r>
      <w:r>
        <w:rPr>
          <w:spacing w:val="-4"/>
          <w:sz w:val="23"/>
        </w:rPr>
        <w:t>la </w:t>
      </w:r>
      <w:r>
        <w:rPr>
          <w:sz w:val="23"/>
        </w:rPr>
        <w:t>productividad económica, </w:t>
      </w:r>
      <w:r>
        <w:rPr>
          <w:spacing w:val="-4"/>
          <w:sz w:val="23"/>
        </w:rPr>
        <w:t>la</w:t>
      </w:r>
      <w:r>
        <w:rPr>
          <w:spacing w:val="55"/>
          <w:sz w:val="23"/>
        </w:rPr>
        <w:t> </w:t>
      </w:r>
      <w:r>
        <w:rPr>
          <w:sz w:val="23"/>
        </w:rPr>
        <w:t>formación de ciudadanía y el fortalecimiento de la solidaridad social; todo ello </w:t>
      </w:r>
      <w:r>
        <w:rPr>
          <w:spacing w:val="2"/>
          <w:sz w:val="23"/>
        </w:rPr>
        <w:t>en </w:t>
      </w:r>
      <w:r>
        <w:rPr>
          <w:sz w:val="23"/>
        </w:rPr>
        <w:t>el ámbito de la eficiencia, efectividad, legitimidad y gobernabilidad de los sistemas educativos (Miranda, 2004:</w:t>
      </w:r>
      <w:r>
        <w:rPr>
          <w:spacing w:val="31"/>
          <w:sz w:val="23"/>
        </w:rPr>
        <w:t> </w:t>
      </w:r>
      <w:r>
        <w:rPr>
          <w:sz w:val="23"/>
        </w:rPr>
        <w:t>86).</w:t>
      </w:r>
    </w:p>
    <w:p>
      <w:pPr>
        <w:pStyle w:val="BodyText"/>
        <w:rPr>
          <w:sz w:val="22"/>
        </w:rPr>
      </w:pPr>
    </w:p>
    <w:p>
      <w:pPr>
        <w:pStyle w:val="Heading3"/>
        <w:numPr>
          <w:ilvl w:val="2"/>
          <w:numId w:val="6"/>
        </w:numPr>
        <w:tabs>
          <w:tab w:pos="841" w:val="left" w:leader="none"/>
        </w:tabs>
        <w:spacing w:line="369" w:lineRule="auto" w:before="150" w:after="0"/>
        <w:ind w:left="116" w:right="109" w:firstLine="0"/>
        <w:jc w:val="both"/>
      </w:pPr>
      <w:r>
        <w:rPr/>
        <w:t>El contexto global de las políticas públicas en la educación básica en México</w:t>
      </w:r>
    </w:p>
    <w:p>
      <w:pPr>
        <w:spacing w:after="0" w:line="369" w:lineRule="auto"/>
        <w:jc w:val="both"/>
        <w:sectPr>
          <w:pgSz w:w="11910" w:h="16840"/>
          <w:pgMar w:header="0" w:footer="1457" w:top="1580" w:bottom="1640" w:left="1540" w:right="1540"/>
        </w:sectPr>
      </w:pPr>
    </w:p>
    <w:p>
      <w:pPr>
        <w:pStyle w:val="BodyText"/>
        <w:rPr>
          <w:b/>
          <w:sz w:val="20"/>
        </w:rPr>
      </w:pPr>
    </w:p>
    <w:p>
      <w:pPr>
        <w:pStyle w:val="BodyText"/>
        <w:spacing w:before="2"/>
        <w:rPr>
          <w:b/>
          <w:sz w:val="16"/>
        </w:rPr>
      </w:pPr>
    </w:p>
    <w:p>
      <w:pPr>
        <w:pStyle w:val="BodyText"/>
        <w:spacing w:line="364" w:lineRule="auto" w:before="74"/>
        <w:ind w:left="115" w:right="103"/>
        <w:jc w:val="both"/>
      </w:pPr>
      <w:r>
        <w:rPr/>
        <w:t>Las políticas educativas actuales responden a una “configuración estatal  emergente” a </w:t>
      </w:r>
      <w:r>
        <w:rPr>
          <w:spacing w:val="-5"/>
        </w:rPr>
        <w:t>lo </w:t>
      </w:r>
      <w:r>
        <w:rPr/>
        <w:t>que Dale (2001) denomina “Estado competitivo”,  el  cual  se  vincula de manera estrecha con las necesidades </w:t>
      </w:r>
      <w:r>
        <w:rPr>
          <w:spacing w:val="-3"/>
        </w:rPr>
        <w:t>de </w:t>
      </w:r>
      <w:r>
        <w:rPr/>
        <w:t>competencia de la economía global y actúa en sectores como el educativo, modificando algunos criterios, mecanismos e instrumentos para adecuarlos a </w:t>
      </w:r>
      <w:r>
        <w:rPr>
          <w:spacing w:val="-3"/>
        </w:rPr>
        <w:t>la </w:t>
      </w:r>
      <w:r>
        <w:rPr/>
        <w:t>dinámica de competencia global, pero sin que necesariamente </w:t>
      </w:r>
      <w:r>
        <w:rPr>
          <w:spacing w:val="2"/>
        </w:rPr>
        <w:t>se </w:t>
      </w:r>
      <w:r>
        <w:rPr/>
        <w:t>reflejen en lógicas de  mercantilización.</w:t>
      </w:r>
    </w:p>
    <w:p>
      <w:pPr>
        <w:pStyle w:val="BodyText"/>
        <w:spacing w:line="357" w:lineRule="auto" w:before="5"/>
        <w:ind w:left="115" w:right="108" w:firstLine="686"/>
        <w:jc w:val="both"/>
      </w:pPr>
      <w:r>
        <w:rPr/>
        <w:t>Al operar con criterios desmercantilizados, el “Estado nacional de competencia” extiende su acción política  educativa  en  varios  ámbitos estratégicos</w:t>
      </w:r>
      <w:r>
        <w:rPr>
          <w:position w:val="11"/>
          <w:sz w:val="15"/>
        </w:rPr>
        <w:t>7</w:t>
      </w:r>
      <w:r>
        <w:rPr/>
        <w:t>: los esquemas regulatorios, las formas de organización y funcionamiento, la distribución y dotación de recursos y </w:t>
      </w:r>
      <w:r>
        <w:rPr>
          <w:spacing w:val="4"/>
        </w:rPr>
        <w:t>el </w:t>
      </w:r>
      <w:r>
        <w:rPr/>
        <w:t>impulso a nuevos imaginarios</w:t>
      </w:r>
      <w:r>
        <w:rPr>
          <w:spacing w:val="52"/>
        </w:rPr>
        <w:t> </w:t>
      </w:r>
      <w:r>
        <w:rPr/>
        <w:t>sociales</w:t>
      </w:r>
      <w:r>
        <w:rPr>
          <w:spacing w:val="61"/>
        </w:rPr>
        <w:t> </w:t>
      </w:r>
      <w:r>
        <w:rPr/>
        <w:t>y</w:t>
      </w:r>
      <w:r>
        <w:rPr>
          <w:spacing w:val="52"/>
        </w:rPr>
        <w:t> </w:t>
      </w:r>
      <w:r>
        <w:rPr>
          <w:spacing w:val="-3"/>
        </w:rPr>
        <w:t>la</w:t>
      </w:r>
      <w:r>
        <w:rPr>
          <w:spacing w:val="56"/>
        </w:rPr>
        <w:t> </w:t>
      </w:r>
      <w:r>
        <w:rPr/>
        <w:t>constitución</w:t>
      </w:r>
      <w:r>
        <w:rPr>
          <w:spacing w:val="56"/>
        </w:rPr>
        <w:t> </w:t>
      </w:r>
      <w:r>
        <w:rPr/>
        <w:t>de</w:t>
      </w:r>
      <w:r>
        <w:rPr>
          <w:spacing w:val="56"/>
        </w:rPr>
        <w:t> </w:t>
      </w:r>
      <w:r>
        <w:rPr/>
        <w:t>identidades</w:t>
      </w:r>
      <w:r>
        <w:rPr>
          <w:spacing w:val="52"/>
        </w:rPr>
        <w:t> </w:t>
      </w:r>
      <w:r>
        <w:rPr/>
        <w:t>y</w:t>
      </w:r>
      <w:r>
        <w:rPr>
          <w:spacing w:val="52"/>
        </w:rPr>
        <w:t> </w:t>
      </w:r>
      <w:r>
        <w:rPr/>
        <w:t>ethos</w:t>
      </w:r>
      <w:r>
        <w:rPr>
          <w:spacing w:val="52"/>
        </w:rPr>
        <w:t> </w:t>
      </w:r>
      <w:r>
        <w:rPr/>
        <w:t>vinculados</w:t>
      </w:r>
      <w:r>
        <w:rPr>
          <w:spacing w:val="52"/>
        </w:rPr>
        <w:t> </w:t>
      </w:r>
      <w:r>
        <w:rPr/>
        <w:t>con</w:t>
      </w:r>
      <w:r>
        <w:rPr>
          <w:spacing w:val="56"/>
        </w:rPr>
        <w:t> </w:t>
      </w:r>
      <w:r>
        <w:rPr>
          <w:spacing w:val="-5"/>
        </w:rPr>
        <w:t>la</w:t>
      </w:r>
    </w:p>
    <w:p>
      <w:pPr>
        <w:pStyle w:val="BodyText"/>
        <w:spacing w:line="364" w:lineRule="auto" w:before="13"/>
        <w:ind w:left="115" w:right="107"/>
        <w:jc w:val="both"/>
      </w:pPr>
      <w:r>
        <w:rPr/>
        <w:t>competitividad, el desempeño y los resultados. Así lo expresa Roger Dale: “el principal cambio en la gobernación de la educación es menos probable que sea desde las instituciones estatales a las instituciones del mercado, y más probablemente será desde el Estado burocrático al competitivo y también al regulador” (Dale, 2001: 84).</w:t>
      </w:r>
    </w:p>
    <w:p>
      <w:pPr>
        <w:pStyle w:val="BodyText"/>
        <w:spacing w:line="367" w:lineRule="auto" w:before="5"/>
        <w:ind w:left="115" w:right="105" w:firstLine="686"/>
        <w:jc w:val="both"/>
      </w:pPr>
      <w:r>
        <w:rPr/>
        <w:t>Si bien el “Estado de competencia” en educación deriva del eje estructural entre economía y Estado en la era de </w:t>
      </w:r>
      <w:r>
        <w:rPr>
          <w:spacing w:val="-4"/>
        </w:rPr>
        <w:t>la </w:t>
      </w:r>
      <w:r>
        <w:rPr/>
        <w:t>competencia global, enfrenta un conjunto de mediaciones y restricciones políticas, sociales e institucionales que impiden sostener un esquema general de mercantilización. En tal sentido, el Estado debe definir políticas que, desde lógicas </w:t>
      </w:r>
      <w:r>
        <w:rPr>
          <w:spacing w:val="-3"/>
        </w:rPr>
        <w:t>no </w:t>
      </w:r>
      <w:r>
        <w:rPr/>
        <w:t>mercantilizadas, impulsen la competencia, </w:t>
      </w:r>
      <w:r>
        <w:rPr>
          <w:spacing w:val="-5"/>
        </w:rPr>
        <w:t>la </w:t>
      </w:r>
      <w:r>
        <w:rPr/>
        <w:t>innovación y la rentabilidad social de </w:t>
      </w:r>
      <w:r>
        <w:rPr>
          <w:spacing w:val="-4"/>
        </w:rPr>
        <w:t>la </w:t>
      </w:r>
      <w:r>
        <w:rPr/>
        <w:t>escuela</w:t>
      </w:r>
      <w:r>
        <w:rPr>
          <w:spacing w:val="62"/>
        </w:rPr>
        <w:t> </w:t>
      </w:r>
      <w:r>
        <w:rPr/>
        <w:t>pública.</w:t>
      </w:r>
    </w:p>
    <w:p>
      <w:pPr>
        <w:pStyle w:val="BodyText"/>
        <w:spacing w:line="364" w:lineRule="auto"/>
        <w:ind w:left="115" w:right="108" w:firstLine="686"/>
        <w:jc w:val="both"/>
      </w:pPr>
      <w:r>
        <w:rPr/>
        <w:t>En consecuencia, se trata de un impulso mercantilizado indirecto que recupera   e   inserta   criterios   e   imaginarios   de   competencia   económica  que</w:t>
      </w:r>
    </w:p>
    <w:p>
      <w:pPr>
        <w:pStyle w:val="BodyText"/>
        <w:rPr>
          <w:sz w:val="20"/>
        </w:rPr>
      </w:pPr>
    </w:p>
    <w:p>
      <w:pPr>
        <w:pStyle w:val="BodyText"/>
        <w:spacing w:before="5"/>
        <w:rPr>
          <w:sz w:val="12"/>
        </w:rPr>
      </w:pPr>
      <w:r>
        <w:rPr/>
        <w:pict>
          <v:line style="position:absolute;mso-position-horizontal-relative:page;mso-position-vertical-relative:paragraph;z-index:1192;mso-wrap-distance-left:0;mso-wrap-distance-right:0" from="82.799004pt,9.508181pt" to="222.958004pt,9.508181pt" stroked="true" strokeweight=".72pt" strokecolor="#000000">
            <w10:wrap type="topAndBottom"/>
          </v:line>
        </w:pict>
      </w:r>
    </w:p>
    <w:p>
      <w:pPr>
        <w:spacing w:line="244" w:lineRule="auto" w:before="46"/>
        <w:ind w:left="115" w:right="103" w:firstLine="0"/>
        <w:jc w:val="both"/>
        <w:rPr>
          <w:sz w:val="19"/>
        </w:rPr>
      </w:pPr>
      <w:r>
        <w:rPr>
          <w:w w:val="105"/>
          <w:position w:val="10"/>
          <w:sz w:val="12"/>
        </w:rPr>
        <w:t>7 </w:t>
      </w:r>
      <w:r>
        <w:rPr>
          <w:w w:val="105"/>
          <w:sz w:val="19"/>
        </w:rPr>
        <w:t>La lógica de la función del “Estado nacional de competencia” se basa en conducir todas las esferas de la sociedad hacia lograr la capacidad competitiva en dimensión global, en aras </w:t>
      </w:r>
      <w:r>
        <w:rPr>
          <w:spacing w:val="-3"/>
          <w:w w:val="105"/>
          <w:sz w:val="19"/>
        </w:rPr>
        <w:t>de </w:t>
      </w:r>
      <w:r>
        <w:rPr>
          <w:spacing w:val="2"/>
          <w:w w:val="105"/>
          <w:sz w:val="19"/>
        </w:rPr>
        <w:t>la </w:t>
      </w:r>
      <w:r>
        <w:rPr>
          <w:w w:val="105"/>
          <w:sz w:val="19"/>
        </w:rPr>
        <w:t>rentabilidad de los ‘emplazamientos’ para </w:t>
      </w:r>
      <w:r>
        <w:rPr>
          <w:spacing w:val="-3"/>
          <w:w w:val="105"/>
          <w:sz w:val="19"/>
        </w:rPr>
        <w:t>un </w:t>
      </w:r>
      <w:r>
        <w:rPr>
          <w:w w:val="105"/>
          <w:sz w:val="19"/>
        </w:rPr>
        <w:t>capital internacional que </w:t>
      </w:r>
      <w:r>
        <w:rPr>
          <w:spacing w:val="-3"/>
          <w:w w:val="105"/>
          <w:sz w:val="19"/>
        </w:rPr>
        <w:t>se </w:t>
      </w:r>
      <w:r>
        <w:rPr>
          <w:w w:val="105"/>
          <w:sz w:val="19"/>
        </w:rPr>
        <w:t>torna cada vez más flexible. Se </w:t>
      </w:r>
      <w:r>
        <w:rPr>
          <w:spacing w:val="-3"/>
          <w:w w:val="105"/>
          <w:sz w:val="19"/>
        </w:rPr>
        <w:t>trata </w:t>
      </w:r>
      <w:r>
        <w:rPr>
          <w:w w:val="105"/>
          <w:sz w:val="19"/>
        </w:rPr>
        <w:t>de la movilización total de </w:t>
      </w:r>
      <w:r>
        <w:rPr>
          <w:spacing w:val="-3"/>
          <w:w w:val="105"/>
          <w:sz w:val="19"/>
        </w:rPr>
        <w:t>la </w:t>
      </w:r>
      <w:r>
        <w:rPr>
          <w:w w:val="105"/>
          <w:sz w:val="19"/>
        </w:rPr>
        <w:t>población para una ‘guerra económica’, que </w:t>
      </w:r>
      <w:r>
        <w:rPr>
          <w:spacing w:val="-3"/>
          <w:w w:val="105"/>
          <w:sz w:val="19"/>
        </w:rPr>
        <w:t>tendría </w:t>
      </w:r>
      <w:r>
        <w:rPr>
          <w:w w:val="105"/>
          <w:sz w:val="19"/>
        </w:rPr>
        <w:t>mayores probabilidades </w:t>
      </w:r>
      <w:r>
        <w:rPr>
          <w:spacing w:val="-4"/>
          <w:w w:val="105"/>
          <w:sz w:val="19"/>
        </w:rPr>
        <w:t>de </w:t>
      </w:r>
      <w:r>
        <w:rPr>
          <w:w w:val="105"/>
          <w:sz w:val="19"/>
        </w:rPr>
        <w:t>ser ganada si </w:t>
      </w:r>
      <w:r>
        <w:rPr>
          <w:spacing w:val="-3"/>
          <w:w w:val="105"/>
          <w:sz w:val="19"/>
        </w:rPr>
        <w:t>la </w:t>
      </w:r>
      <w:r>
        <w:rPr>
          <w:w w:val="105"/>
          <w:sz w:val="19"/>
        </w:rPr>
        <w:t>misma nación se concibe como una empresa capitalista;</w:t>
      </w:r>
      <w:r>
        <w:rPr>
          <w:spacing w:val="-11"/>
          <w:w w:val="105"/>
          <w:sz w:val="19"/>
        </w:rPr>
        <w:t> </w:t>
      </w:r>
      <w:r>
        <w:rPr>
          <w:w w:val="105"/>
          <w:sz w:val="19"/>
        </w:rPr>
        <w:t>estructurada</w:t>
      </w:r>
      <w:r>
        <w:rPr>
          <w:spacing w:val="-5"/>
          <w:w w:val="105"/>
          <w:sz w:val="19"/>
        </w:rPr>
        <w:t> </w:t>
      </w:r>
      <w:r>
        <w:rPr>
          <w:w w:val="105"/>
          <w:sz w:val="19"/>
        </w:rPr>
        <w:t>jerárquicamente</w:t>
      </w:r>
      <w:r>
        <w:rPr>
          <w:spacing w:val="-8"/>
          <w:w w:val="105"/>
          <w:sz w:val="19"/>
        </w:rPr>
        <w:t> </w:t>
      </w:r>
      <w:r>
        <w:rPr>
          <w:w w:val="105"/>
          <w:sz w:val="19"/>
        </w:rPr>
        <w:t>orientada</w:t>
      </w:r>
      <w:r>
        <w:rPr>
          <w:spacing w:val="-8"/>
          <w:w w:val="105"/>
          <w:sz w:val="19"/>
        </w:rPr>
        <w:t> </w:t>
      </w:r>
      <w:r>
        <w:rPr>
          <w:w w:val="105"/>
          <w:sz w:val="19"/>
        </w:rPr>
        <w:t>a</w:t>
      </w:r>
      <w:r>
        <w:rPr>
          <w:spacing w:val="-8"/>
          <w:w w:val="105"/>
          <w:sz w:val="19"/>
        </w:rPr>
        <w:t> </w:t>
      </w:r>
      <w:r>
        <w:rPr>
          <w:w w:val="105"/>
          <w:sz w:val="19"/>
        </w:rPr>
        <w:t>una</w:t>
      </w:r>
      <w:r>
        <w:rPr>
          <w:spacing w:val="-8"/>
          <w:w w:val="105"/>
          <w:sz w:val="19"/>
        </w:rPr>
        <w:t> </w:t>
      </w:r>
      <w:r>
        <w:rPr>
          <w:w w:val="105"/>
          <w:sz w:val="19"/>
        </w:rPr>
        <w:t>meta</w:t>
      </w:r>
      <w:r>
        <w:rPr>
          <w:spacing w:val="-8"/>
          <w:w w:val="105"/>
          <w:sz w:val="19"/>
        </w:rPr>
        <w:t> </w:t>
      </w:r>
      <w:r>
        <w:rPr>
          <w:w w:val="105"/>
          <w:sz w:val="19"/>
        </w:rPr>
        <w:t>económica,</w:t>
      </w:r>
      <w:r>
        <w:rPr>
          <w:spacing w:val="-8"/>
          <w:w w:val="105"/>
          <w:sz w:val="19"/>
        </w:rPr>
        <w:t> </w:t>
      </w:r>
      <w:r>
        <w:rPr>
          <w:w w:val="105"/>
          <w:sz w:val="19"/>
        </w:rPr>
        <w:t>subdividida</w:t>
      </w:r>
      <w:r>
        <w:rPr>
          <w:spacing w:val="-5"/>
          <w:w w:val="105"/>
          <w:sz w:val="19"/>
        </w:rPr>
        <w:t> </w:t>
      </w:r>
      <w:r>
        <w:rPr>
          <w:w w:val="105"/>
          <w:sz w:val="19"/>
        </w:rPr>
        <w:t>en</w:t>
      </w:r>
      <w:r>
        <w:rPr>
          <w:spacing w:val="-8"/>
          <w:w w:val="105"/>
          <w:sz w:val="19"/>
        </w:rPr>
        <w:t> </w:t>
      </w:r>
      <w:r>
        <w:rPr>
          <w:w w:val="105"/>
          <w:sz w:val="19"/>
        </w:rPr>
        <w:t>centros de rentabilidad, funcionando </w:t>
      </w:r>
      <w:r>
        <w:rPr>
          <w:spacing w:val="-3"/>
          <w:w w:val="105"/>
          <w:sz w:val="19"/>
        </w:rPr>
        <w:t>sin </w:t>
      </w:r>
      <w:r>
        <w:rPr>
          <w:w w:val="105"/>
          <w:sz w:val="19"/>
        </w:rPr>
        <w:t>asperezas y con eficiencia, conducida autoritariamente, con personal central y periférico, con derechos de cogestión limitados y con círculos leales a la innovación,</w:t>
      </w:r>
      <w:r>
        <w:rPr>
          <w:spacing w:val="-25"/>
          <w:w w:val="105"/>
          <w:sz w:val="19"/>
        </w:rPr>
        <w:t> </w:t>
      </w:r>
      <w:r>
        <w:rPr>
          <w:w w:val="105"/>
          <w:sz w:val="19"/>
        </w:rPr>
        <w:t>productividad</w:t>
      </w:r>
      <w:r>
        <w:rPr>
          <w:spacing w:val="-24"/>
          <w:w w:val="105"/>
          <w:sz w:val="19"/>
        </w:rPr>
        <w:t> </w:t>
      </w:r>
      <w:r>
        <w:rPr>
          <w:w w:val="105"/>
          <w:sz w:val="19"/>
        </w:rPr>
        <w:t>y</w:t>
      </w:r>
      <w:r>
        <w:rPr>
          <w:spacing w:val="-28"/>
          <w:w w:val="105"/>
          <w:sz w:val="19"/>
        </w:rPr>
        <w:t> </w:t>
      </w:r>
      <w:r>
        <w:rPr>
          <w:w w:val="105"/>
          <w:sz w:val="19"/>
        </w:rPr>
        <w:t>calidad</w:t>
      </w:r>
      <w:r>
        <w:rPr>
          <w:spacing w:val="-24"/>
          <w:w w:val="105"/>
          <w:sz w:val="19"/>
        </w:rPr>
        <w:t> </w:t>
      </w:r>
      <w:r>
        <w:rPr>
          <w:w w:val="105"/>
          <w:sz w:val="19"/>
        </w:rPr>
        <w:t>(Hirsch,</w:t>
      </w:r>
      <w:r>
        <w:rPr>
          <w:spacing w:val="-28"/>
          <w:w w:val="105"/>
          <w:sz w:val="19"/>
        </w:rPr>
        <w:t> </w:t>
      </w:r>
      <w:r>
        <w:rPr>
          <w:w w:val="105"/>
          <w:sz w:val="19"/>
        </w:rPr>
        <w:t>2002).</w:t>
      </w:r>
    </w:p>
    <w:p>
      <w:pPr>
        <w:spacing w:after="0" w:line="244" w:lineRule="auto"/>
        <w:jc w:val="both"/>
        <w:rPr>
          <w:sz w:val="19"/>
        </w:rPr>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12"/>
        <w:jc w:val="both"/>
      </w:pPr>
      <w:r>
        <w:rPr/>
        <w:t>provienen de mecanismos </w:t>
      </w:r>
      <w:r>
        <w:rPr>
          <w:spacing w:val="-3"/>
        </w:rPr>
        <w:t>no </w:t>
      </w:r>
      <w:r>
        <w:rPr/>
        <w:t>mercantilizados, y utilizan diversos espacios </w:t>
      </w:r>
      <w:r>
        <w:rPr>
          <w:spacing w:val="-3"/>
        </w:rPr>
        <w:t>de la </w:t>
      </w:r>
      <w:r>
        <w:rPr/>
        <w:t>democracia, </w:t>
      </w:r>
      <w:r>
        <w:rPr>
          <w:spacing w:val="-5"/>
        </w:rPr>
        <w:t>la </w:t>
      </w:r>
      <w:r>
        <w:rPr/>
        <w:t>cultura, </w:t>
      </w:r>
      <w:r>
        <w:rPr>
          <w:spacing w:val="-5"/>
        </w:rPr>
        <w:t>la </w:t>
      </w:r>
      <w:r>
        <w:rPr/>
        <w:t>ideología y la tecnología para construir  y  potenciar  nuevos campos de interacción, rendimiento y</w:t>
      </w:r>
      <w:r>
        <w:rPr>
          <w:spacing w:val="61"/>
        </w:rPr>
        <w:t> </w:t>
      </w:r>
      <w:r>
        <w:rPr/>
        <w:t>resultados.</w:t>
      </w:r>
    </w:p>
    <w:p>
      <w:pPr>
        <w:pStyle w:val="BodyText"/>
        <w:spacing w:line="364" w:lineRule="auto" w:before="5"/>
        <w:ind w:left="115" w:right="109" w:firstLine="686"/>
        <w:jc w:val="both"/>
      </w:pPr>
      <w:r>
        <w:rPr/>
        <w:t>La situación en </w:t>
      </w:r>
      <w:r>
        <w:rPr>
          <w:spacing w:val="-5"/>
        </w:rPr>
        <w:t>la </w:t>
      </w:r>
      <w:r>
        <w:rPr/>
        <w:t>que se coloca el Estado de competencia  considera  </w:t>
      </w:r>
      <w:r>
        <w:rPr>
          <w:spacing w:val="-4"/>
        </w:rPr>
        <w:t>la </w:t>
      </w:r>
      <w:r>
        <w:rPr/>
        <w:t>fuerte influencia de agencias internacionales que tienen que ver con la educación, tanto las que atañen al financiamiento (BM, BID, OCDE) como  aquellas relacionadas con el desarrollo económico (CEPAL) y humano, así como con </w:t>
      </w:r>
      <w:r>
        <w:rPr>
          <w:spacing w:val="-5"/>
        </w:rPr>
        <w:t>la </w:t>
      </w:r>
      <w:r>
        <w:rPr/>
        <w:t>educación (UNESCO). Los procesos de internacionalización educativa y  </w:t>
      </w:r>
      <w:r>
        <w:rPr>
          <w:spacing w:val="-5"/>
        </w:rPr>
        <w:t>la  </w:t>
      </w:r>
      <w:r>
        <w:rPr/>
        <w:t>creación de estándares mundiales para evaluar los resultados y el desarrollo en  esta materia constituyen </w:t>
      </w:r>
      <w:r>
        <w:rPr>
          <w:spacing w:val="-3"/>
        </w:rPr>
        <w:t>los </w:t>
      </w:r>
      <w:r>
        <w:rPr/>
        <w:t>principales aspectos que </w:t>
      </w:r>
      <w:r>
        <w:rPr>
          <w:spacing w:val="-3"/>
        </w:rPr>
        <w:t>rigen </w:t>
      </w:r>
      <w:r>
        <w:rPr/>
        <w:t>las decisiones sobre políticas educativas orientadas a la competencia global (Meyer y Ramírez, </w:t>
      </w:r>
      <w:r>
        <w:rPr>
          <w:spacing w:val="22"/>
        </w:rPr>
        <w:t> </w:t>
      </w:r>
      <w:r>
        <w:rPr/>
        <w:t>2002).</w:t>
      </w:r>
    </w:p>
    <w:p>
      <w:pPr>
        <w:pStyle w:val="BodyText"/>
        <w:spacing w:line="364" w:lineRule="auto" w:before="5"/>
        <w:ind w:left="115" w:right="105" w:firstLine="686"/>
        <w:jc w:val="both"/>
      </w:pPr>
      <w:r>
        <w:rPr/>
        <w:t>En este marco, la competencia social supone que para que </w:t>
      </w:r>
      <w:r>
        <w:rPr>
          <w:spacing w:val="-3"/>
        </w:rPr>
        <w:t>una </w:t>
      </w:r>
      <w:r>
        <w:rPr/>
        <w:t>sociedad pueda enfrentar los requerimientos de la competencia económica del mercado, primero debe resolver varias cuestiones ligadas a condiciones sociales, culturales    y políticas básicas, entre las cuales pueden mencionarse: 1)  </w:t>
      </w:r>
      <w:r>
        <w:rPr>
          <w:spacing w:val="-3"/>
        </w:rPr>
        <w:t>las  </w:t>
      </w:r>
      <w:r>
        <w:rPr/>
        <w:t>tareas  reguladoras y compensatorias fundamentales que </w:t>
      </w:r>
      <w:r>
        <w:rPr>
          <w:spacing w:val="-3"/>
        </w:rPr>
        <w:t>permitan </w:t>
      </w:r>
      <w:r>
        <w:rPr/>
        <w:t>excluir  las metáforas  de </w:t>
      </w:r>
      <w:r>
        <w:rPr>
          <w:spacing w:val="-4"/>
        </w:rPr>
        <w:t>la </w:t>
      </w:r>
      <w:r>
        <w:rPr/>
        <w:t>guerra y la presencia de la violencia como eje básico de la resolución de </w:t>
      </w:r>
      <w:r>
        <w:rPr>
          <w:spacing w:val="-2"/>
        </w:rPr>
        <w:t>las </w:t>
      </w:r>
      <w:r>
        <w:rPr/>
        <w:t>diferencias y los conflictos; 2) </w:t>
      </w:r>
      <w:r>
        <w:rPr>
          <w:spacing w:val="-4"/>
        </w:rPr>
        <w:t>la</w:t>
      </w:r>
      <w:r>
        <w:rPr>
          <w:spacing w:val="55"/>
        </w:rPr>
        <w:t> </w:t>
      </w:r>
      <w:r>
        <w:rPr/>
        <w:t>formación de capacidades básicas en las  personas </w:t>
      </w:r>
      <w:r>
        <w:rPr>
          <w:spacing w:val="-3"/>
        </w:rPr>
        <w:t>que </w:t>
      </w:r>
      <w:r>
        <w:rPr/>
        <w:t>permita consolidar las  energías individuales  y sociales, y disponer  de un umbral mínimo de condiciones y oportunidades para vincular el desarrollo social con las alternativas de trabajo y las capacidades productivas de  </w:t>
      </w:r>
      <w:r>
        <w:rPr>
          <w:spacing w:val="-3"/>
        </w:rPr>
        <w:t>los  </w:t>
      </w:r>
      <w:r>
        <w:rPr/>
        <w:t>diferentes sectores nacionales </w:t>
      </w:r>
      <w:r>
        <w:rPr>
          <w:spacing w:val="3"/>
        </w:rPr>
        <w:t>de </w:t>
      </w:r>
      <w:r>
        <w:rPr/>
        <w:t>actividad; 3) la generación de ambientes de comunicación e integración sobre criterios de legitimidad que permitan </w:t>
      </w:r>
      <w:r>
        <w:rPr>
          <w:spacing w:val="-5"/>
        </w:rPr>
        <w:t>la </w:t>
      </w:r>
      <w:r>
        <w:rPr/>
        <w:t>construcción de esfuerzos comunes y </w:t>
      </w:r>
      <w:r>
        <w:rPr>
          <w:spacing w:val="-3"/>
        </w:rPr>
        <w:t>la </w:t>
      </w:r>
      <w:r>
        <w:rPr/>
        <w:t>creación de expectativas </w:t>
      </w:r>
      <w:r>
        <w:rPr>
          <w:spacing w:val="3"/>
        </w:rPr>
        <w:t>de </w:t>
      </w:r>
      <w:r>
        <w:rPr/>
        <w:t>sentido con capacidad para llevar a coordenadas comunes </w:t>
      </w:r>
      <w:r>
        <w:rPr>
          <w:spacing w:val="-3"/>
        </w:rPr>
        <w:t>las </w:t>
      </w:r>
      <w:r>
        <w:rPr/>
        <w:t>voluntades y acciones de </w:t>
      </w:r>
      <w:r>
        <w:rPr>
          <w:spacing w:val="-2"/>
        </w:rPr>
        <w:t>los </w:t>
      </w:r>
      <w:r>
        <w:rPr/>
        <w:t>sujetos en su cotidianidad; y 4) </w:t>
      </w:r>
      <w:r>
        <w:rPr>
          <w:spacing w:val="-5"/>
        </w:rPr>
        <w:t>la </w:t>
      </w:r>
      <w:r>
        <w:rPr/>
        <w:t>creación de un espacio público vinculante y con posibilidades de transformación desde enfoques de participación, agregación y representación de intereses que propicien </w:t>
      </w:r>
      <w:r>
        <w:rPr>
          <w:spacing w:val="-3"/>
        </w:rPr>
        <w:t>la </w:t>
      </w:r>
      <w:r>
        <w:rPr/>
        <w:t>construcción de </w:t>
      </w:r>
      <w:r>
        <w:rPr>
          <w:spacing w:val="-3"/>
        </w:rPr>
        <w:t>una </w:t>
      </w:r>
      <w:r>
        <w:rPr/>
        <w:t>idea de gobernabilidad bajo los criterios democráticos de inclusión, equidad y </w:t>
      </w:r>
      <w:r>
        <w:rPr>
          <w:spacing w:val="8"/>
        </w:rPr>
        <w:t> </w:t>
      </w:r>
      <w:r>
        <w:rPr/>
        <w:t>libertad.</w:t>
      </w:r>
    </w:p>
    <w:p>
      <w:pPr>
        <w:pStyle w:val="BodyText"/>
        <w:spacing w:line="369" w:lineRule="auto"/>
        <w:ind w:left="115" w:right="109" w:firstLine="686"/>
        <w:jc w:val="both"/>
      </w:pPr>
      <w:r>
        <w:rPr/>
        <w:t>De ese modo el “Estado de competencia” en educación produce reglas, funciones  e  identidades  de  competencia  sin  renunciar  a  sus  compromisos     y</w:t>
      </w:r>
    </w:p>
    <w:p>
      <w:pPr>
        <w:spacing w:after="0" w:line="369"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7"/>
        <w:jc w:val="both"/>
      </w:pPr>
      <w:r>
        <w:rPr/>
        <w:t>responsabilidades públicas. </w:t>
      </w:r>
      <w:r>
        <w:rPr>
          <w:spacing w:val="2"/>
        </w:rPr>
        <w:t>El </w:t>
      </w:r>
      <w:r>
        <w:rPr/>
        <w:t>cambio de la racionalidad administrativa y política  del Estado de competencia incluye y adapta distintas lógicas asociadas a su poder de coordinación, control, fomento y</w:t>
      </w:r>
      <w:r>
        <w:rPr>
          <w:spacing w:val="48"/>
        </w:rPr>
        <w:t> </w:t>
      </w:r>
      <w:r>
        <w:rPr/>
        <w:t>desarrollo.</w:t>
      </w:r>
    </w:p>
    <w:p>
      <w:pPr>
        <w:pStyle w:val="BodyText"/>
        <w:spacing w:line="364" w:lineRule="auto" w:before="5"/>
        <w:ind w:left="115" w:right="105" w:firstLine="686"/>
        <w:jc w:val="both"/>
      </w:pPr>
      <w:r>
        <w:rPr/>
        <w:t>Replantea las lógicas burocráticas tradicionales que caracterizan a los sistemas  </w:t>
      </w:r>
      <w:r>
        <w:rPr>
          <w:spacing w:val="-3"/>
        </w:rPr>
        <w:t>de  </w:t>
      </w:r>
      <w:r>
        <w:rPr/>
        <w:t>autoridad derivados de </w:t>
      </w:r>
      <w:r>
        <w:rPr>
          <w:spacing w:val="-4"/>
        </w:rPr>
        <w:t>la  </w:t>
      </w:r>
      <w:r>
        <w:rPr/>
        <w:t>constitución del Estado-nación, y adecua  los sistemas de participación y representatividad ligados a </w:t>
      </w:r>
      <w:r>
        <w:rPr>
          <w:spacing w:val="-5"/>
        </w:rPr>
        <w:t>la </w:t>
      </w:r>
      <w:r>
        <w:rPr/>
        <w:t>democracia y </w:t>
      </w:r>
      <w:r>
        <w:rPr>
          <w:spacing w:val="-3"/>
        </w:rPr>
        <w:t>los </w:t>
      </w:r>
      <w:r>
        <w:rPr/>
        <w:t>procesos </w:t>
      </w:r>
      <w:r>
        <w:rPr>
          <w:spacing w:val="-3"/>
        </w:rPr>
        <w:t>de </w:t>
      </w:r>
      <w:r>
        <w:rPr/>
        <w:t>cooperación y solidaridad entre los distintos actores sociales y sujetos educativos. Utiliza también distintas herramientas técnico-instrumentales de organización, gestión y financiamiento, y  redefine  los  procedimientos  para distribuir y redistribuir los recursos y para crear </w:t>
      </w:r>
      <w:r>
        <w:rPr>
          <w:spacing w:val="-3"/>
        </w:rPr>
        <w:t>las </w:t>
      </w:r>
      <w:r>
        <w:rPr/>
        <w:t>condiciones que impulsen o restrinjan las acciones y las iniciativas institucionales, de grupos e </w:t>
      </w:r>
      <w:r>
        <w:rPr>
          <w:spacing w:val="9"/>
        </w:rPr>
        <w:t> </w:t>
      </w:r>
      <w:r>
        <w:rPr/>
        <w:t>individuos.</w:t>
      </w:r>
    </w:p>
    <w:p>
      <w:pPr>
        <w:pStyle w:val="BodyText"/>
        <w:spacing w:line="364" w:lineRule="auto" w:before="5"/>
        <w:ind w:left="115" w:right="107" w:firstLine="686"/>
        <w:jc w:val="both"/>
      </w:pPr>
      <w:r>
        <w:rPr/>
        <w:t>En consecuencia, el mensaje de </w:t>
      </w:r>
      <w:r>
        <w:rPr>
          <w:spacing w:val="-5"/>
        </w:rPr>
        <w:t>la </w:t>
      </w:r>
      <w:r>
        <w:rPr/>
        <w:t>competencia social en  educación  es claro y contundente: no sólo </w:t>
      </w:r>
      <w:r>
        <w:rPr>
          <w:spacing w:val="3"/>
        </w:rPr>
        <w:t>se </w:t>
      </w:r>
      <w:r>
        <w:rPr/>
        <w:t>trata de mejorar capacidades productivas y capital humano para insertarlo en el marco de </w:t>
      </w:r>
      <w:r>
        <w:rPr>
          <w:spacing w:val="-5"/>
        </w:rPr>
        <w:t>la </w:t>
      </w:r>
      <w:r>
        <w:rPr/>
        <w:t>competencia global, sino también es indispensable garantizar las condiciones básicas </w:t>
      </w:r>
      <w:r>
        <w:rPr>
          <w:spacing w:val="3"/>
        </w:rPr>
        <w:t>de </w:t>
      </w:r>
      <w:r>
        <w:rPr/>
        <w:t>viabilidad social, estabilidad política, bienestar público y desarrollo. Para </w:t>
      </w:r>
      <w:r>
        <w:rPr>
          <w:spacing w:val="-3"/>
        </w:rPr>
        <w:t>ello </w:t>
      </w:r>
      <w:r>
        <w:rPr>
          <w:spacing w:val="2"/>
        </w:rPr>
        <w:t>son </w:t>
      </w:r>
      <w:r>
        <w:rPr/>
        <w:t>necesarios una racionalidad diferente y criterios redistributivos que generen un nuevo contexto de competencia de las instituciones públicas en función de </w:t>
      </w:r>
      <w:r>
        <w:rPr>
          <w:spacing w:val="3"/>
        </w:rPr>
        <w:t>su </w:t>
      </w:r>
      <w:r>
        <w:rPr/>
        <w:t>pertinencia, efectividad e implicaciones frente a </w:t>
      </w:r>
      <w:r>
        <w:rPr>
          <w:spacing w:val="-5"/>
        </w:rPr>
        <w:t>la </w:t>
      </w:r>
      <w:r>
        <w:rPr/>
        <w:t>diversidad de condiciones y oportunidades de acceso, permanencia y resultados</w:t>
      </w:r>
      <w:r>
        <w:rPr>
          <w:spacing w:val="41"/>
        </w:rPr>
        <w:t> </w:t>
      </w:r>
      <w:r>
        <w:rPr/>
        <w:t>educativos.</w:t>
      </w:r>
    </w:p>
    <w:p>
      <w:pPr>
        <w:pStyle w:val="BodyText"/>
        <w:spacing w:line="364" w:lineRule="auto" w:before="5"/>
        <w:ind w:left="115" w:right="105" w:firstLine="686"/>
        <w:jc w:val="both"/>
      </w:pPr>
      <w:r>
        <w:rPr/>
        <w:t>Generar las articulaciones básicas entre la competencia de mercado y </w:t>
      </w:r>
      <w:r>
        <w:rPr>
          <w:spacing w:val="-5"/>
        </w:rPr>
        <w:t>la </w:t>
      </w:r>
      <w:r>
        <w:rPr/>
        <w:t>competencia social no está exenta de contradicciones, </w:t>
      </w:r>
      <w:r>
        <w:rPr>
          <w:spacing w:val="-2"/>
        </w:rPr>
        <w:t>puntos </w:t>
      </w:r>
      <w:r>
        <w:rPr/>
        <w:t>de tensión e imbricaciones, sobre todo porque, al efecto diferenciador de mercado, se agrega el hecho de que </w:t>
      </w:r>
      <w:r>
        <w:rPr>
          <w:spacing w:val="-3"/>
        </w:rPr>
        <w:t>en </w:t>
      </w:r>
      <w:r>
        <w:rPr>
          <w:spacing w:val="-5"/>
        </w:rPr>
        <w:t>la </w:t>
      </w:r>
      <w:r>
        <w:rPr/>
        <w:t>globalización se incorporan otras lógicas que exigen cumplir  con lineamientos internacionales sobre equidad, calidad y efectividad de </w:t>
      </w:r>
      <w:r>
        <w:rPr>
          <w:spacing w:val="-2"/>
        </w:rPr>
        <w:t>los </w:t>
      </w:r>
      <w:r>
        <w:rPr/>
        <w:t>servicios públicos</w:t>
      </w:r>
      <w:r>
        <w:rPr>
          <w:spacing w:val="25"/>
        </w:rPr>
        <w:t> </w:t>
      </w:r>
      <w:r>
        <w:rPr/>
        <w:t>educativos.</w:t>
      </w:r>
    </w:p>
    <w:p>
      <w:pPr>
        <w:pStyle w:val="BodyText"/>
        <w:spacing w:line="364" w:lineRule="auto" w:before="10"/>
        <w:ind w:left="115" w:right="108" w:firstLine="686"/>
        <w:jc w:val="both"/>
      </w:pPr>
      <w:r>
        <w:rPr/>
        <w:t>En el nuevo marco de tensiones entre competencia de mercado y competencia social hay un punto de articulación posible en  el funcionamiento de  las instituciones educativas, cuya tarea primordial es  construir  arreglos “razonables” en los que se establezcan puntos básicos </w:t>
      </w:r>
      <w:r>
        <w:rPr>
          <w:spacing w:val="-3"/>
        </w:rPr>
        <w:t>de </w:t>
      </w:r>
      <w:r>
        <w:rPr/>
        <w:t>contacto y  funcionamiento entre ambas</w:t>
      </w:r>
      <w:r>
        <w:rPr>
          <w:spacing w:val="40"/>
        </w:rPr>
        <w:t> </w:t>
      </w:r>
      <w:r>
        <w:rPr/>
        <w:t>competencias.</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6" w:right="104" w:firstLine="686"/>
        <w:jc w:val="both"/>
      </w:pPr>
      <w:r>
        <w:rPr/>
        <w:t>La competencia institucional del sistema y la  política  educativa  se relacionan con la competencia social, y también con la de mercado –por supuesto sin excluir tensiones e imbricaciones–, a través de la capacidad estatal para garantizar eficiencia y efectividad en sus acciones sociales y políticas. Tal competencia institucional se observa en las acciones encaminadas a garantizar equidad en el acceso, permanencia y resultados educativos, con perspectiva compensatoria y de acción afirmativa, pertinencia social a las necesidades de la diversidad social y étnica y calidad en la formación obtenida y en los desempeños educativos de las personas.</w:t>
      </w:r>
    </w:p>
    <w:p>
      <w:pPr>
        <w:pStyle w:val="BodyText"/>
        <w:spacing w:line="364" w:lineRule="auto" w:before="5"/>
        <w:ind w:left="116" w:right="107" w:firstLine="686"/>
        <w:jc w:val="both"/>
      </w:pPr>
      <w:r>
        <w:rPr/>
        <w:t>Se trata, pues, de un conjunto de estrategias y de una vocación institucional pública y social de los estados nacionales, que para constituirse como estados nacionales de competencia tienen que favorecer el bienestar y el desarrollo social, no sólo por razones de competencia </w:t>
      </w:r>
      <w:r>
        <w:rPr>
          <w:spacing w:val="3"/>
        </w:rPr>
        <w:t>de </w:t>
      </w:r>
      <w:r>
        <w:rPr/>
        <w:t>mercado sino por requerimientos </w:t>
      </w:r>
      <w:r>
        <w:rPr>
          <w:spacing w:val="-3"/>
        </w:rPr>
        <w:t>de </w:t>
      </w:r>
      <w:r>
        <w:rPr/>
        <w:t>gobernabilidad con sentido público, bienestar y desarrollo</w:t>
      </w:r>
      <w:r>
        <w:rPr>
          <w:spacing w:val="59"/>
        </w:rPr>
        <w:t> </w:t>
      </w:r>
      <w:r>
        <w:rPr/>
        <w:t>social.</w:t>
      </w:r>
    </w:p>
    <w:p>
      <w:pPr>
        <w:pStyle w:val="BodyText"/>
        <w:rPr>
          <w:sz w:val="22"/>
        </w:rPr>
      </w:pPr>
    </w:p>
    <w:p>
      <w:pPr>
        <w:pStyle w:val="Heading3"/>
        <w:numPr>
          <w:ilvl w:val="2"/>
          <w:numId w:val="6"/>
        </w:numPr>
        <w:tabs>
          <w:tab w:pos="979" w:val="left" w:leader="none"/>
        </w:tabs>
        <w:spacing w:line="364" w:lineRule="auto" w:before="150" w:after="0"/>
        <w:ind w:left="116" w:right="110" w:firstLine="0"/>
        <w:jc w:val="both"/>
      </w:pPr>
      <w:r>
        <w:rPr/>
        <w:t>Las políticas públicas de la calidad educativa: ¿procesos o resultados?</w:t>
      </w:r>
    </w:p>
    <w:p>
      <w:pPr>
        <w:pStyle w:val="BodyText"/>
        <w:spacing w:line="364" w:lineRule="auto" w:before="10"/>
        <w:ind w:left="116" w:right="105"/>
        <w:jc w:val="both"/>
      </w:pPr>
      <w:r>
        <w:rPr/>
        <w:t>La concepción de </w:t>
      </w:r>
      <w:r>
        <w:rPr>
          <w:spacing w:val="-5"/>
        </w:rPr>
        <w:t>la </w:t>
      </w:r>
      <w:r>
        <w:rPr/>
        <w:t>“calidad educativa” como política pública, supone una serie de desafíos epistemológicos, en función </w:t>
      </w:r>
      <w:r>
        <w:rPr>
          <w:spacing w:val="2"/>
        </w:rPr>
        <w:t>de </w:t>
      </w:r>
      <w:r>
        <w:rPr/>
        <w:t>que no </w:t>
      </w:r>
      <w:r>
        <w:rPr>
          <w:spacing w:val="-3"/>
        </w:rPr>
        <w:t>hay </w:t>
      </w:r>
      <w:r>
        <w:rPr/>
        <w:t>acuerdo  entre  </w:t>
      </w:r>
      <w:r>
        <w:rPr>
          <w:spacing w:val="-3"/>
        </w:rPr>
        <w:t>los  </w:t>
      </w:r>
      <w:r>
        <w:rPr/>
        <w:t>especialistas sobre si </w:t>
      </w:r>
      <w:r>
        <w:rPr>
          <w:spacing w:val="3"/>
        </w:rPr>
        <w:t>se </w:t>
      </w:r>
      <w:r>
        <w:rPr/>
        <w:t>debe poner énfasis en los procesos (planes y programas, capacitación de docentes, mejora de instalaciones) o en los  resultados (logro de  los aprendizajes). Otra discusión se refiere a los elementos del proceso que se deben ponderar. Existen elementos “internos” de la actividad educativa en los que las políticas de calidad pretenden actuar (personal, instalaciones y procesos organizativos y pedagógicos), pero hay otros elementos “externos” que en los que es </w:t>
      </w:r>
      <w:r>
        <w:rPr>
          <w:spacing w:val="-3"/>
        </w:rPr>
        <w:t>más </w:t>
      </w:r>
      <w:r>
        <w:rPr/>
        <w:t>complicado incidir, como es el caso de </w:t>
      </w:r>
      <w:r>
        <w:rPr>
          <w:spacing w:val="-6"/>
        </w:rPr>
        <w:t>la </w:t>
      </w:r>
      <w:r>
        <w:rPr/>
        <w:t>pobreza, </w:t>
      </w:r>
      <w:r>
        <w:rPr>
          <w:spacing w:val="-4"/>
        </w:rPr>
        <w:t>la </w:t>
      </w:r>
      <w:r>
        <w:rPr/>
        <w:t>violencia intra familiar o los hábitos </w:t>
      </w:r>
      <w:r>
        <w:rPr>
          <w:spacing w:val="-3"/>
        </w:rPr>
        <w:t>de </w:t>
      </w:r>
      <w:r>
        <w:rPr/>
        <w:t>estudio, entre otros. A continuación se exponen algunas vertientes de este</w:t>
      </w:r>
      <w:r>
        <w:rPr>
          <w:spacing w:val="18"/>
        </w:rPr>
        <w:t> </w:t>
      </w:r>
      <w:r>
        <w:rPr/>
        <w:t>debate.</w:t>
      </w:r>
    </w:p>
    <w:p>
      <w:pPr>
        <w:pStyle w:val="BodyText"/>
        <w:rPr>
          <w:sz w:val="22"/>
        </w:rPr>
      </w:pPr>
    </w:p>
    <w:p>
      <w:pPr>
        <w:pStyle w:val="Heading3"/>
        <w:numPr>
          <w:ilvl w:val="0"/>
          <w:numId w:val="7"/>
        </w:numPr>
        <w:tabs>
          <w:tab w:pos="375" w:val="left" w:leader="none"/>
        </w:tabs>
        <w:spacing w:line="240" w:lineRule="auto" w:before="150" w:after="0"/>
        <w:ind w:left="374" w:right="0" w:hanging="258"/>
        <w:jc w:val="both"/>
      </w:pPr>
      <w:r>
        <w:rPr/>
        <w:t>La calidad como política</w:t>
      </w:r>
      <w:r>
        <w:rPr>
          <w:spacing w:val="30"/>
        </w:rPr>
        <w:t> </w:t>
      </w:r>
      <w:r>
        <w:rPr/>
        <w:t>pública</w:t>
      </w:r>
    </w:p>
    <w:p>
      <w:pPr>
        <w:spacing w:after="0" w:line="240" w:lineRule="auto"/>
        <w:jc w:val="both"/>
        <w:sectPr>
          <w:pgSz w:w="11910" w:h="16840"/>
          <w:pgMar w:header="0" w:footer="1457" w:top="1580" w:bottom="1640" w:left="1540" w:right="1540"/>
        </w:sectPr>
      </w:pPr>
    </w:p>
    <w:p>
      <w:pPr>
        <w:pStyle w:val="BodyText"/>
        <w:rPr>
          <w:b/>
          <w:sz w:val="20"/>
        </w:rPr>
      </w:pPr>
    </w:p>
    <w:p>
      <w:pPr>
        <w:pStyle w:val="BodyText"/>
        <w:spacing w:before="2"/>
        <w:rPr>
          <w:b/>
          <w:sz w:val="16"/>
        </w:rPr>
      </w:pPr>
    </w:p>
    <w:p>
      <w:pPr>
        <w:pStyle w:val="BodyText"/>
        <w:spacing w:line="364" w:lineRule="auto" w:before="74"/>
        <w:ind w:left="115" w:right="105"/>
        <w:jc w:val="both"/>
      </w:pPr>
      <w:r>
        <w:rPr/>
        <w:t>Montaudon (2004) analizó cómo el concepto de calidad ha ido incrementando su campo de aplicación y </w:t>
      </w:r>
      <w:r>
        <w:rPr>
          <w:spacing w:val="3"/>
        </w:rPr>
        <w:t>su </w:t>
      </w:r>
      <w:r>
        <w:rPr/>
        <w:t>definición </w:t>
      </w:r>
      <w:r>
        <w:rPr>
          <w:spacing w:val="3"/>
        </w:rPr>
        <w:t>al </w:t>
      </w:r>
      <w:r>
        <w:rPr/>
        <w:t>involucrar diversos aspectos  y disciplinas.  En épocas pasadas se veía </w:t>
      </w:r>
      <w:r>
        <w:rPr>
          <w:spacing w:val="-5"/>
        </w:rPr>
        <w:t>la </w:t>
      </w:r>
      <w:r>
        <w:rPr/>
        <w:t>calidad como </w:t>
      </w:r>
      <w:r>
        <w:rPr>
          <w:spacing w:val="-4"/>
        </w:rPr>
        <w:t>la </w:t>
      </w:r>
      <w:r>
        <w:rPr/>
        <w:t>búsqueda de trascendencia por medio </w:t>
      </w:r>
      <w:r>
        <w:rPr>
          <w:spacing w:val="2"/>
        </w:rPr>
        <w:t>del </w:t>
      </w:r>
      <w:r>
        <w:rPr/>
        <w:t>trabajo propio, </w:t>
      </w:r>
      <w:r>
        <w:rPr>
          <w:spacing w:val="-4"/>
        </w:rPr>
        <w:t>la</w:t>
      </w:r>
      <w:r>
        <w:rPr>
          <w:spacing w:val="55"/>
        </w:rPr>
        <w:t> </w:t>
      </w:r>
      <w:r>
        <w:rPr/>
        <w:t>durabilidad o resistencia o como una cuestión tecnológica basada en </w:t>
      </w:r>
      <w:r>
        <w:rPr>
          <w:spacing w:val="2"/>
        </w:rPr>
        <w:t>el </w:t>
      </w:r>
      <w:r>
        <w:rPr/>
        <w:t>trabajo de las máquinas y cálculos  estadísticos; como  una herramienta de </w:t>
      </w:r>
      <w:r>
        <w:rPr>
          <w:spacing w:val="-4"/>
        </w:rPr>
        <w:t>la </w:t>
      </w:r>
      <w:r>
        <w:rPr/>
        <w:t>administración o la ingeniería. Sin embargo actualmente se habla de </w:t>
      </w:r>
      <w:r>
        <w:rPr>
          <w:spacing w:val="-5"/>
        </w:rPr>
        <w:t>la </w:t>
      </w:r>
      <w:r>
        <w:rPr/>
        <w:t>calidad de vida, </w:t>
      </w:r>
      <w:r>
        <w:rPr>
          <w:spacing w:val="2"/>
        </w:rPr>
        <w:t>de </w:t>
      </w:r>
      <w:r>
        <w:rPr>
          <w:spacing w:val="-3"/>
        </w:rPr>
        <w:t>la </w:t>
      </w:r>
      <w:r>
        <w:rPr/>
        <w:t>calidad del medio ambiente, calidad de los productos y servicios, calidad del ambiente laboral, calidad de las empresas,  calidad de las democracias y gobiernos, calidad en los servicios médicos, en fin, incluso se menciona la calidad del ser</w:t>
      </w:r>
      <w:r>
        <w:rPr>
          <w:spacing w:val="47"/>
        </w:rPr>
        <w:t> </w:t>
      </w:r>
      <w:r>
        <w:rPr/>
        <w:t>humano.</w:t>
      </w:r>
    </w:p>
    <w:p>
      <w:pPr>
        <w:pStyle w:val="BodyText"/>
        <w:spacing w:line="364" w:lineRule="auto" w:before="5"/>
        <w:ind w:left="115" w:right="106" w:firstLine="686"/>
        <w:jc w:val="both"/>
      </w:pPr>
      <w:r>
        <w:rPr/>
        <w:t>Para Montaudon (2004:14) el concepto de calidad </w:t>
      </w:r>
      <w:r>
        <w:rPr>
          <w:spacing w:val="3"/>
        </w:rPr>
        <w:t>se </w:t>
      </w:r>
      <w:r>
        <w:rPr/>
        <w:t>encuentra fuertemente ligado con </w:t>
      </w:r>
      <w:r>
        <w:rPr>
          <w:spacing w:val="-3"/>
        </w:rPr>
        <w:t>las </w:t>
      </w:r>
      <w:r>
        <w:rPr/>
        <w:t>artes, con </w:t>
      </w:r>
      <w:r>
        <w:rPr>
          <w:spacing w:val="-3"/>
        </w:rPr>
        <w:t>la </w:t>
      </w:r>
      <w:r>
        <w:rPr/>
        <w:t>ética y la filosofía; incluye aspectos  de  derecho;  emplea prácticas de comercio; contempla a las relaciones humanas y al desarrollo organizacional;  incluye consideraciones ecológicas y de sustentabilidad, además  de estar relacionada con la arquitectura y el diseño. La calidad resulta ser por </w:t>
      </w:r>
      <w:r>
        <w:rPr>
          <w:spacing w:val="-5"/>
        </w:rPr>
        <w:t>lo </w:t>
      </w:r>
      <w:r>
        <w:rPr/>
        <w:t>tanto multidisciplinaria y multiáreas. Situación que nos hace pensar </w:t>
      </w:r>
      <w:r>
        <w:rPr>
          <w:spacing w:val="-3"/>
        </w:rPr>
        <w:t>que </w:t>
      </w:r>
      <w:r>
        <w:rPr/>
        <w:t>la calidad juega un papel importante en </w:t>
      </w:r>
      <w:r>
        <w:rPr>
          <w:spacing w:val="-5"/>
        </w:rPr>
        <w:t>la </w:t>
      </w:r>
      <w:r>
        <w:rPr/>
        <w:t>edificación de sociedades fuertes y ha estado presente en la concepción del ser humano desde hace </w:t>
      </w:r>
      <w:r>
        <w:rPr>
          <w:spacing w:val="-4"/>
        </w:rPr>
        <w:t>ya </w:t>
      </w:r>
      <w:r>
        <w:rPr/>
        <w:t>bastante tiempo </w:t>
      </w:r>
      <w:r>
        <w:rPr>
          <w:spacing w:val="34"/>
        </w:rPr>
        <w:t> </w:t>
      </w:r>
      <w:r>
        <w:rPr/>
        <w:t>atrás.</w:t>
      </w:r>
    </w:p>
    <w:p>
      <w:pPr>
        <w:pStyle w:val="BodyText"/>
        <w:spacing w:line="364" w:lineRule="auto" w:before="5"/>
        <w:ind w:left="115" w:right="107" w:firstLine="686"/>
        <w:jc w:val="both"/>
      </w:pPr>
      <w:r>
        <w:rPr/>
        <w:t>Jouslin (1992:31) menciona que la calidad no apareció en un momento histórico preciso, sino más bien </w:t>
      </w:r>
      <w:r>
        <w:rPr>
          <w:spacing w:val="2"/>
        </w:rPr>
        <w:t>se </w:t>
      </w:r>
      <w:r>
        <w:rPr/>
        <w:t>trata de un elemento fundamental </w:t>
      </w:r>
      <w:r>
        <w:rPr>
          <w:spacing w:val="2"/>
        </w:rPr>
        <w:t>del </w:t>
      </w:r>
      <w:r>
        <w:rPr/>
        <w:t>comportamiento del hombre, más o menos desarrollado según las circunstancias y necesidades. Por </w:t>
      </w:r>
      <w:r>
        <w:rPr>
          <w:spacing w:val="-6"/>
        </w:rPr>
        <w:t>lo  </w:t>
      </w:r>
      <w:r>
        <w:rPr/>
        <w:t>que </w:t>
      </w:r>
      <w:r>
        <w:rPr>
          <w:spacing w:val="-3"/>
        </w:rPr>
        <w:t>la </w:t>
      </w:r>
      <w:r>
        <w:rPr/>
        <w:t>calidad resulta  </w:t>
      </w:r>
      <w:r>
        <w:rPr>
          <w:spacing w:val="3"/>
        </w:rPr>
        <w:t>de </w:t>
      </w:r>
      <w:r>
        <w:rPr>
          <w:spacing w:val="-3"/>
        </w:rPr>
        <w:t>la </w:t>
      </w:r>
      <w:r>
        <w:rPr/>
        <w:t>evolución natural del hombre en   su afán por conseguir mejores condiciones de vida. De acuerdo al autor Garvin (1988:6), encuentra que </w:t>
      </w:r>
      <w:r>
        <w:rPr>
          <w:spacing w:val="-4"/>
        </w:rPr>
        <w:t>la </w:t>
      </w:r>
      <w:r>
        <w:rPr/>
        <w:t>calidad como concepto ha habitado en el hombre por milenios, pero recientemente surgió como una función de </w:t>
      </w:r>
      <w:r>
        <w:rPr>
          <w:spacing w:val="-4"/>
        </w:rPr>
        <w:t>la  </w:t>
      </w:r>
      <w:r>
        <w:rPr/>
        <w:t>administración.   Por   su parte Montaudon (2004:17) reflexiona sobre </w:t>
      </w:r>
      <w:r>
        <w:rPr>
          <w:spacing w:val="-4"/>
        </w:rPr>
        <w:t>la </w:t>
      </w:r>
      <w:r>
        <w:rPr/>
        <w:t>calidad haciendo mención que ésta </w:t>
      </w:r>
      <w:r>
        <w:rPr>
          <w:spacing w:val="-3"/>
        </w:rPr>
        <w:t>es </w:t>
      </w:r>
      <w:r>
        <w:rPr/>
        <w:t>también historia, es el resultado de todos los eventos </w:t>
      </w:r>
      <w:r>
        <w:rPr>
          <w:spacing w:val="-3"/>
        </w:rPr>
        <w:t>del </w:t>
      </w:r>
      <w:r>
        <w:rPr/>
        <w:t>pasado encauzados a mejorar las herramientas y productos, a eliminar variaciones, </w:t>
      </w:r>
      <w:r>
        <w:rPr>
          <w:spacing w:val="-5"/>
        </w:rPr>
        <w:t>la </w:t>
      </w:r>
      <w:r>
        <w:rPr/>
        <w:t>medición de éstas  y a lograr que los  productos y servicios sean adecuados para  su</w:t>
      </w:r>
      <w:r>
        <w:rPr>
          <w:spacing w:val="14"/>
        </w:rPr>
        <w:t> </w:t>
      </w:r>
      <w:r>
        <w:rPr/>
        <w:t>uso.</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6" w:right="104" w:firstLine="686"/>
        <w:jc w:val="both"/>
      </w:pPr>
      <w:r>
        <w:rPr/>
        <w:t>En el siglo XIX, la ciencia y el cálculo penetran y renuevan los procesos industriales, sin embargo la gestión continuaba siendo empírica. A principios del siglo XX, </w:t>
      </w:r>
      <w:r>
        <w:rPr>
          <w:spacing w:val="-5"/>
        </w:rPr>
        <w:t>la </w:t>
      </w:r>
      <w:r>
        <w:rPr/>
        <w:t>medida y el método científico se adentran en la organización y en </w:t>
      </w:r>
      <w:r>
        <w:rPr>
          <w:spacing w:val="-4"/>
        </w:rPr>
        <w:t>la</w:t>
      </w:r>
      <w:r>
        <w:rPr>
          <w:spacing w:val="55"/>
        </w:rPr>
        <w:t> </w:t>
      </w:r>
      <w:r>
        <w:rPr/>
        <w:t>gestión por dos vías distintas, pero convergentes: a) </w:t>
      </w:r>
      <w:r>
        <w:rPr>
          <w:spacing w:val="-5"/>
        </w:rPr>
        <w:t>la </w:t>
      </w:r>
      <w:r>
        <w:rPr/>
        <w:t>organización científica del trabajo, fundamentada principalmente por </w:t>
      </w:r>
      <w:r>
        <w:rPr>
          <w:spacing w:val="4"/>
        </w:rPr>
        <w:t>el </w:t>
      </w:r>
      <w:r>
        <w:rPr/>
        <w:t>ingeniero F. W. Taylor, quien en 1911 publicó </w:t>
      </w:r>
      <w:r>
        <w:rPr>
          <w:i/>
        </w:rPr>
        <w:t>The principles of scientific management </w:t>
      </w:r>
      <w:r>
        <w:rPr/>
        <w:t>(</w:t>
      </w:r>
      <w:r>
        <w:rPr>
          <w:i/>
        </w:rPr>
        <w:t>Los principios de  </w:t>
      </w:r>
      <w:r>
        <w:rPr>
          <w:i/>
          <w:spacing w:val="-4"/>
        </w:rPr>
        <w:t>la </w:t>
      </w:r>
      <w:r>
        <w:rPr>
          <w:i/>
          <w:spacing w:val="55"/>
        </w:rPr>
        <w:t> </w:t>
      </w:r>
      <w:r>
        <w:rPr>
          <w:i/>
        </w:rPr>
        <w:t>Administración científica</w:t>
      </w:r>
      <w:r>
        <w:rPr/>
        <w:t>) que llegó a convertirse en la guía de organización de las empresas industriales  en el mundo; </w:t>
      </w:r>
      <w:r>
        <w:rPr>
          <w:spacing w:val="3"/>
        </w:rPr>
        <w:t>b) </w:t>
      </w:r>
      <w:r>
        <w:rPr/>
        <w:t>el modelo ideal de burocracia presentado  en </w:t>
      </w:r>
      <w:r>
        <w:rPr>
          <w:spacing w:val="-3"/>
        </w:rPr>
        <w:t>la </w:t>
      </w:r>
      <w:r>
        <w:rPr/>
        <w:t>misma época </w:t>
      </w:r>
      <w:r>
        <w:rPr>
          <w:spacing w:val="-3"/>
        </w:rPr>
        <w:t>por </w:t>
      </w:r>
      <w:r>
        <w:rPr/>
        <w:t>el sociólogo alemán Max Weber, cuyos principios de regulación detallada, de decisión despersonalizada y de personal reglamentado guiaron </w:t>
      </w:r>
      <w:r>
        <w:rPr>
          <w:spacing w:val="-5"/>
        </w:rPr>
        <w:t>la </w:t>
      </w:r>
      <w:r>
        <w:rPr/>
        <w:t>organización de </w:t>
      </w:r>
      <w:r>
        <w:rPr>
          <w:spacing w:val="-3"/>
        </w:rPr>
        <w:t>las </w:t>
      </w:r>
      <w:r>
        <w:rPr/>
        <w:t>administraciones, y en cierto sentido de toda </w:t>
      </w:r>
      <w:r>
        <w:rPr>
          <w:spacing w:val="-4"/>
        </w:rPr>
        <w:t>la </w:t>
      </w:r>
      <w:r>
        <w:rPr/>
        <w:t>sociedad.</w:t>
      </w:r>
    </w:p>
    <w:p>
      <w:pPr>
        <w:pStyle w:val="BodyText"/>
        <w:spacing w:line="364" w:lineRule="auto"/>
        <w:ind w:left="115" w:right="106" w:firstLine="686"/>
        <w:jc w:val="both"/>
      </w:pPr>
      <w:r>
        <w:rPr/>
        <w:t>Cuando Taylor publicó </w:t>
      </w:r>
      <w:r>
        <w:rPr>
          <w:spacing w:val="3"/>
        </w:rPr>
        <w:t>su </w:t>
      </w:r>
      <w:r>
        <w:rPr>
          <w:spacing w:val="-3"/>
        </w:rPr>
        <w:t>libro </w:t>
      </w:r>
      <w:r>
        <w:rPr>
          <w:i/>
        </w:rPr>
        <w:t>The principles of scientific management </w:t>
      </w:r>
      <w:r>
        <w:rPr/>
        <w:t>en 1911, estaba confiado en que las innovaciones administrativo-tecnológicas que él proponía en </w:t>
      </w:r>
      <w:r>
        <w:rPr>
          <w:spacing w:val="-3"/>
        </w:rPr>
        <w:t>las </w:t>
      </w:r>
      <w:r>
        <w:rPr/>
        <w:t>áreas productivas de </w:t>
      </w:r>
      <w:r>
        <w:rPr>
          <w:spacing w:val="-3"/>
        </w:rPr>
        <w:t>las </w:t>
      </w:r>
      <w:r>
        <w:rPr/>
        <w:t>empresas norteamericanas  lo  harían pasar a </w:t>
      </w:r>
      <w:r>
        <w:rPr>
          <w:spacing w:val="-3"/>
        </w:rPr>
        <w:t>la </w:t>
      </w:r>
      <w:r>
        <w:rPr/>
        <w:t>historia como un gran transformador en el arte de  la  gestión  empresarial. En la misma línea, un checoslovaco, Tomás Bat’a desarrolló un  modelo de administración y producción con importantes matices de calidad que fueron después retomados por otros autores. Las ideas centrales de Bat’  a,  también conocido como Bata se basaron en los siguientes principios: el cliente es   el amo; </w:t>
      </w:r>
      <w:r>
        <w:rPr>
          <w:spacing w:val="3"/>
        </w:rPr>
        <w:t>el </w:t>
      </w:r>
      <w:r>
        <w:rPr/>
        <w:t>pensar es para las personas, el trabajo para las máquinas; la mejor calidad al menor precio posible; lo mejor del mundo es bueno </w:t>
      </w:r>
      <w:r>
        <w:rPr>
          <w:spacing w:val="-3"/>
        </w:rPr>
        <w:t>para </w:t>
      </w:r>
      <w:r>
        <w:rPr/>
        <w:t>nosotros, cada empleado un capitalista (Zeleny</w:t>
      </w:r>
      <w:r>
        <w:rPr>
          <w:spacing w:val="34"/>
        </w:rPr>
        <w:t> </w:t>
      </w:r>
      <w:r>
        <w:rPr/>
        <w:t>2001).</w:t>
      </w:r>
    </w:p>
    <w:p>
      <w:pPr>
        <w:pStyle w:val="BodyText"/>
        <w:spacing w:line="364" w:lineRule="auto" w:before="5"/>
        <w:ind w:left="115" w:right="104" w:firstLine="686"/>
        <w:jc w:val="both"/>
      </w:pPr>
      <w:r>
        <w:rPr/>
        <w:t>Uno de los primeros proyectos gerenciales </w:t>
      </w:r>
      <w:r>
        <w:rPr>
          <w:spacing w:val="3"/>
        </w:rPr>
        <w:t>de </w:t>
      </w:r>
      <w:r>
        <w:rPr>
          <w:spacing w:val="-3"/>
        </w:rPr>
        <w:t>la  </w:t>
      </w:r>
      <w:r>
        <w:rPr/>
        <w:t>calidad,  fue  el sistema Bata que constituye un sistema administrativo que trae como resultado extraordinaria productividad y eficiencia. Sus características principales incluyen </w:t>
      </w:r>
      <w:r>
        <w:rPr>
          <w:spacing w:val="-5"/>
        </w:rPr>
        <w:t>la </w:t>
      </w:r>
      <w:r>
        <w:rPr/>
        <w:t>integración en lugar de la división del trabajo, orientación de sistemas, continua innovación, mejoramiento de </w:t>
      </w:r>
      <w:r>
        <w:rPr>
          <w:spacing w:val="-3"/>
        </w:rPr>
        <w:t>la </w:t>
      </w:r>
      <w:r>
        <w:rPr/>
        <w:t>calidad, equipos de trabajo y </w:t>
      </w:r>
      <w:r>
        <w:rPr>
          <w:spacing w:val="-5"/>
        </w:rPr>
        <w:t>la </w:t>
      </w:r>
      <w:r>
        <w:rPr/>
        <w:t>participación de utilidades entre otras. Sus políticas de recursos humanos  incluyen  atención especial al mejoramiento </w:t>
      </w:r>
      <w:r>
        <w:rPr>
          <w:spacing w:val="3"/>
        </w:rPr>
        <w:t>de </w:t>
      </w:r>
      <w:r>
        <w:rPr>
          <w:spacing w:val="-3"/>
        </w:rPr>
        <w:t>la </w:t>
      </w:r>
      <w:r>
        <w:rPr/>
        <w:t>calidad de vida de los trabajadores. Con  este sistema el cliente  era  siempre </w:t>
      </w:r>
      <w:r>
        <w:rPr>
          <w:spacing w:val="4"/>
        </w:rPr>
        <w:t>el </w:t>
      </w:r>
      <w:r>
        <w:rPr/>
        <w:t>rey  y  todas  las  actividades  </w:t>
      </w:r>
      <w:r>
        <w:rPr>
          <w:spacing w:val="2"/>
        </w:rPr>
        <w:t>de  </w:t>
      </w:r>
      <w:r>
        <w:rPr>
          <w:spacing w:val="-4"/>
        </w:rPr>
        <w:t>la  </w:t>
      </w:r>
      <w:r>
        <w:rPr/>
        <w:t>empresa </w:t>
      </w:r>
      <w:r>
        <w:rPr>
          <w:spacing w:val="38"/>
        </w:rPr>
        <w:t> </w:t>
      </w:r>
      <w:r>
        <w:rPr/>
        <w:t>se</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7"/>
        <w:jc w:val="both"/>
      </w:pPr>
      <w:r>
        <w:rPr/>
        <w:t>encaminaban a buscar el beneficio de éste. Bat’a dio origen a las prácticas de administración de la calidad y muchos de sus acercamientos al tema han sido “descubiertos” en las últimas dos décadas, convirtiéndose en la Revolución de la Calidad.</w:t>
      </w:r>
    </w:p>
    <w:p>
      <w:pPr>
        <w:pStyle w:val="BodyText"/>
        <w:spacing w:line="364" w:lineRule="auto" w:before="5"/>
        <w:ind w:left="115" w:right="109" w:firstLine="686"/>
        <w:jc w:val="both"/>
      </w:pPr>
      <w:r>
        <w:rPr/>
        <w:t>Durante </w:t>
      </w:r>
      <w:r>
        <w:rPr>
          <w:spacing w:val="-3"/>
        </w:rPr>
        <w:t>la </w:t>
      </w:r>
      <w:r>
        <w:rPr/>
        <w:t>Primera guerra Mundial, los sistemas de producción se hicieron más complicados y aparecieron los primeros inspectores de tiempo completo, </w:t>
      </w:r>
      <w:r>
        <w:rPr>
          <w:spacing w:val="-5"/>
        </w:rPr>
        <w:t>la </w:t>
      </w:r>
      <w:r>
        <w:rPr/>
        <w:t>calidad en las armas se convirtió </w:t>
      </w:r>
      <w:r>
        <w:rPr>
          <w:spacing w:val="3"/>
        </w:rPr>
        <w:t>en </w:t>
      </w:r>
      <w:r>
        <w:rPr/>
        <w:t>una necesidad, se fijaron estándares, el uso   de medidas daba más objetividad a la determinación de  si un producto cumplía  con los estándares fijados en </w:t>
      </w:r>
      <w:r>
        <w:rPr>
          <w:spacing w:val="-4"/>
        </w:rPr>
        <w:t>la </w:t>
      </w:r>
      <w:r>
        <w:rPr/>
        <w:t>especificación del producto. Con el advenimiento  de </w:t>
      </w:r>
      <w:r>
        <w:rPr>
          <w:spacing w:val="-4"/>
        </w:rPr>
        <w:t>la </w:t>
      </w:r>
      <w:r>
        <w:rPr/>
        <w:t>estadística, los procesos en la industria y </w:t>
      </w:r>
      <w:r>
        <w:rPr>
          <w:spacing w:val="-3"/>
        </w:rPr>
        <w:t>la </w:t>
      </w:r>
      <w:r>
        <w:rPr/>
        <w:t>búsqueda por </w:t>
      </w:r>
      <w:r>
        <w:rPr>
          <w:spacing w:val="-4"/>
        </w:rPr>
        <w:t>la </w:t>
      </w:r>
      <w:r>
        <w:rPr/>
        <w:t>calidad en los productos </w:t>
      </w:r>
      <w:r>
        <w:rPr>
          <w:spacing w:val="3"/>
        </w:rPr>
        <w:t>se </w:t>
      </w:r>
      <w:r>
        <w:rPr/>
        <w:t>vieron favorecidos</w:t>
      </w:r>
      <w:r>
        <w:rPr>
          <w:spacing w:val="37"/>
        </w:rPr>
        <w:t> </w:t>
      </w:r>
      <w:r>
        <w:rPr/>
        <w:t>ampliamente.</w:t>
      </w:r>
    </w:p>
    <w:p>
      <w:pPr>
        <w:pStyle w:val="BodyText"/>
        <w:spacing w:line="364" w:lineRule="auto" w:before="5"/>
        <w:ind w:left="115" w:right="106" w:firstLine="686"/>
        <w:jc w:val="both"/>
      </w:pPr>
      <w:r>
        <w:rPr/>
        <w:t>A principios de los años veinte, Bernard Dudding, de los laboratorios de investigación de General Electric Company, en Wembley, realizó análisis estadísticos acerca de la variación de la calidad de producción. Aun cuando la calidad había sido aplicada a lo largo y ancho del proceso productivo de las industrias manufactureras, el uso de la estadística en general surgió en las investigaciones para la agricultura.</w:t>
      </w:r>
    </w:p>
    <w:p>
      <w:pPr>
        <w:pStyle w:val="BodyText"/>
        <w:spacing w:line="364" w:lineRule="auto" w:before="10"/>
        <w:ind w:left="115" w:right="104" w:firstLine="686"/>
        <w:jc w:val="both"/>
      </w:pPr>
      <w:r>
        <w:rPr/>
        <w:t>La industria americana introdujo los conocimientos estadísticos en sus procesos bajo el nombre de Control Estadístico de la Calidad. El concepto de “control de calidad” </w:t>
      </w:r>
      <w:r>
        <w:rPr>
          <w:spacing w:val="2"/>
        </w:rPr>
        <w:t>se </w:t>
      </w:r>
      <w:r>
        <w:rPr/>
        <w:t>utilizó por primera vez durante la Primera  Guerra Mundial,  no obstante el término como tal </w:t>
      </w:r>
      <w:r>
        <w:rPr>
          <w:spacing w:val="3"/>
        </w:rPr>
        <w:t>se </w:t>
      </w:r>
      <w:r>
        <w:rPr/>
        <w:t>empleó por vez primera en </w:t>
      </w:r>
      <w:r>
        <w:rPr>
          <w:spacing w:val="3"/>
        </w:rPr>
        <w:t>el </w:t>
      </w:r>
      <w:r>
        <w:rPr/>
        <w:t>texto de Radford, publicado en 1917. El </w:t>
      </w:r>
      <w:r>
        <w:rPr>
          <w:spacing w:val="-3"/>
        </w:rPr>
        <w:t>libro </w:t>
      </w:r>
      <w:r>
        <w:rPr>
          <w:spacing w:val="2"/>
        </w:rPr>
        <w:t>de </w:t>
      </w:r>
      <w:r>
        <w:rPr/>
        <w:t>Radford titulado </w:t>
      </w:r>
      <w:r>
        <w:rPr>
          <w:i/>
        </w:rPr>
        <w:t>The control of quality  </w:t>
      </w:r>
      <w:r>
        <w:rPr>
          <w:i/>
          <w:spacing w:val="-5"/>
        </w:rPr>
        <w:t>in </w:t>
      </w:r>
      <w:r>
        <w:rPr>
          <w:i/>
        </w:rPr>
        <w:t>manufacturing </w:t>
      </w:r>
      <w:r>
        <w:rPr>
          <w:i/>
          <w:spacing w:val="-3"/>
        </w:rPr>
        <w:t>(El </w:t>
      </w:r>
      <w:r>
        <w:rPr>
          <w:i/>
        </w:rPr>
        <w:t>control de la calidad en la manufactura)</w:t>
      </w:r>
      <w:r>
        <w:rPr/>
        <w:t>, describió los deberes y obligaciones de </w:t>
      </w:r>
      <w:r>
        <w:rPr>
          <w:spacing w:val="-3"/>
        </w:rPr>
        <w:t>la </w:t>
      </w:r>
      <w:r>
        <w:rPr/>
        <w:t>administración en el desarrollo de </w:t>
      </w:r>
      <w:r>
        <w:rPr>
          <w:spacing w:val="-3"/>
        </w:rPr>
        <w:t>la  </w:t>
      </w:r>
      <w:r>
        <w:rPr/>
        <w:t>calidad dentro del diseño  de un producto. En 1922 Radford analizó la relación existente entre </w:t>
      </w:r>
      <w:r>
        <w:rPr>
          <w:spacing w:val="-3"/>
        </w:rPr>
        <w:t>la </w:t>
      </w:r>
      <w:r>
        <w:rPr/>
        <w:t>inspección y el control de calidad, también determinó la necesidad de incluir diseñadores en el proceso de desarrollo </w:t>
      </w:r>
      <w:r>
        <w:rPr>
          <w:spacing w:val="2"/>
        </w:rPr>
        <w:t>de </w:t>
      </w:r>
      <w:r>
        <w:rPr/>
        <w:t>la calidad y el uso del control de calidad para su mejora, con el inherente incremento de la producción, costos más bajos y beneficios para   el consumidor (James 1997:30). Con </w:t>
      </w:r>
      <w:r>
        <w:rPr>
          <w:spacing w:val="-3"/>
        </w:rPr>
        <w:t>la </w:t>
      </w:r>
      <w:r>
        <w:rPr/>
        <w:t>publicación de Radford por vez primera </w:t>
      </w:r>
      <w:r>
        <w:rPr>
          <w:spacing w:val="-5"/>
        </w:rPr>
        <w:t>la </w:t>
      </w:r>
      <w:r>
        <w:rPr/>
        <w:t>calidad era vista como una responsabilidad distintiva de la gerencia y como una función</w:t>
      </w:r>
      <w:r>
        <w:rPr>
          <w:spacing w:val="18"/>
        </w:rPr>
        <w:t> </w:t>
      </w:r>
      <w:r>
        <w:rPr/>
        <w:t>independiente.</w:t>
      </w:r>
    </w:p>
    <w:p>
      <w:pPr>
        <w:spacing w:after="0" w:line="364" w:lineRule="auto"/>
        <w:jc w:val="both"/>
        <w:sectPr>
          <w:footerReference w:type="default" r:id="rId18"/>
          <w:pgSz w:w="11910" w:h="16840"/>
          <w:pgMar w:footer="1457" w:header="0" w:top="1580" w:bottom="1640" w:left="1540" w:right="1540"/>
        </w:sectPr>
      </w:pPr>
    </w:p>
    <w:p>
      <w:pPr>
        <w:pStyle w:val="BodyText"/>
        <w:rPr>
          <w:sz w:val="20"/>
        </w:rPr>
      </w:pPr>
    </w:p>
    <w:p>
      <w:pPr>
        <w:pStyle w:val="BodyText"/>
        <w:spacing w:before="2"/>
        <w:rPr>
          <w:sz w:val="16"/>
        </w:rPr>
      </w:pPr>
    </w:p>
    <w:p>
      <w:pPr>
        <w:pStyle w:val="BodyText"/>
        <w:spacing w:line="364" w:lineRule="auto" w:before="74"/>
        <w:ind w:left="116" w:right="191" w:firstLine="686"/>
      </w:pPr>
      <w:r>
        <w:rPr/>
        <w:t>A continuación se exponen algunas definiciones sobre la calidad en un contexto dentro de la industria de acuerdo </w:t>
      </w:r>
      <w:r>
        <w:rPr>
          <w:spacing w:val="3"/>
        </w:rPr>
        <w:t>al </w:t>
      </w:r>
      <w:r>
        <w:rPr/>
        <w:t>estudio de Lowenthal (2002: 31-32). La calidad constituye la totalidad de rasgos y características de un producto o servicio que conlleva la posibilidad de satisfacer unas necesidades dadas. (American Society for</w:t>
      </w:r>
      <w:r>
        <w:rPr>
          <w:spacing w:val="28"/>
        </w:rPr>
        <w:t> </w:t>
      </w:r>
      <w:r>
        <w:rPr/>
        <w:t>Quality/ANS).</w:t>
      </w:r>
    </w:p>
    <w:p>
      <w:pPr>
        <w:pStyle w:val="BodyText"/>
        <w:spacing w:line="364" w:lineRule="auto" w:before="5"/>
        <w:ind w:left="116" w:right="120" w:firstLine="686"/>
        <w:jc w:val="both"/>
      </w:pPr>
      <w:r>
        <w:rPr/>
        <w:t>“La calidad significa conformidad a las peticiones”. (Phil Crosby, “Quality is Free”).</w:t>
      </w:r>
    </w:p>
    <w:p>
      <w:pPr>
        <w:pStyle w:val="BodyText"/>
        <w:spacing w:line="364" w:lineRule="auto" w:before="5"/>
        <w:ind w:left="116" w:right="109" w:firstLine="686"/>
        <w:jc w:val="both"/>
      </w:pPr>
      <w:r>
        <w:rPr/>
        <w:t>“La calidad es el grado en el cual un producto concreto concuerda con un diseño o especificación”. (H. L. Gilmore, “Quality Progress”, June,  1974).</w:t>
      </w:r>
    </w:p>
    <w:p>
      <w:pPr>
        <w:pStyle w:val="BodyText"/>
        <w:spacing w:line="364" w:lineRule="auto" w:before="5"/>
        <w:ind w:left="116" w:right="115" w:firstLine="686"/>
        <w:jc w:val="both"/>
      </w:pPr>
      <w:r>
        <w:rPr/>
        <w:t>“La calidad es el grado de excelencia dentro de un precio aceptable y un control de variabilidad a un aceptable coste”. (H. Broh, Managing Quality”,  1982).</w:t>
      </w:r>
    </w:p>
    <w:p>
      <w:pPr>
        <w:pStyle w:val="BodyText"/>
        <w:spacing w:line="364" w:lineRule="auto" w:before="5"/>
        <w:ind w:left="116" w:right="103" w:firstLine="686"/>
        <w:jc w:val="both"/>
      </w:pPr>
      <w:r>
        <w:rPr/>
        <w:t>“Calidad significa lo mejor para las condiciones de ciertos clientes. Estas condiciones son el uso real y el precio de venta del producto”. (A. Feigenbaum, “Total Quality Control”).</w:t>
      </w:r>
    </w:p>
    <w:p>
      <w:pPr>
        <w:pStyle w:val="BodyText"/>
        <w:spacing w:line="362" w:lineRule="auto" w:before="5"/>
        <w:ind w:left="116" w:right="119" w:firstLine="686"/>
        <w:jc w:val="both"/>
      </w:pPr>
      <w:r>
        <w:rPr/>
        <w:t>“La calidad es el grado en el cual un producto específico satisface lo que desea un cliente específico.” (H. L. Gilmore, Quality Progress, june  1974).</w:t>
      </w:r>
    </w:p>
    <w:p>
      <w:pPr>
        <w:pStyle w:val="BodyText"/>
        <w:spacing w:before="7"/>
        <w:ind w:left="802" w:right="191"/>
      </w:pPr>
      <w:r>
        <w:rPr>
          <w:spacing w:val="-3"/>
        </w:rPr>
        <w:t>“La </w:t>
      </w:r>
      <w:r>
        <w:rPr/>
        <w:t>calidad es, listo para el uso.” (J. M.</w:t>
      </w:r>
      <w:r>
        <w:rPr>
          <w:spacing w:val="61"/>
        </w:rPr>
        <w:t> </w:t>
      </w:r>
      <w:r>
        <w:rPr/>
        <w:t>Juran)</w:t>
      </w:r>
    </w:p>
    <w:p>
      <w:pPr>
        <w:pStyle w:val="BodyText"/>
        <w:spacing w:line="364" w:lineRule="auto" w:before="143"/>
        <w:ind w:left="116" w:right="105" w:firstLine="686"/>
        <w:jc w:val="both"/>
      </w:pPr>
      <w:r>
        <w:rPr/>
        <w:t>De acuerdo con Feigenbaum (1988: 37), la calidad </w:t>
      </w:r>
      <w:r>
        <w:rPr>
          <w:spacing w:val="3"/>
        </w:rPr>
        <w:t>del </w:t>
      </w:r>
      <w:r>
        <w:rPr/>
        <w:t>producto y servicio puede definirse como: La resultante total </w:t>
      </w:r>
      <w:r>
        <w:rPr>
          <w:spacing w:val="4"/>
        </w:rPr>
        <w:t>de </w:t>
      </w:r>
      <w:r>
        <w:rPr/>
        <w:t>las características del producto y servicio de mercadotecnia, ingeniería, fabricación y mantenimiento a través </w:t>
      </w:r>
      <w:r>
        <w:rPr>
          <w:spacing w:val="-3"/>
        </w:rPr>
        <w:t>de </w:t>
      </w:r>
      <w:r>
        <w:rPr/>
        <w:t>los cuales el producto o servicio en uso podrá satisfacer </w:t>
      </w:r>
      <w:r>
        <w:rPr>
          <w:spacing w:val="-3"/>
        </w:rPr>
        <w:t>las </w:t>
      </w:r>
      <w:r>
        <w:rPr/>
        <w:t>esperanzas del cliente. Para el autor la calidad está determinada por el cliente, no por el ingeniero, ni mercadotecnia, ni por la gerencia general. Está basada en </w:t>
      </w:r>
      <w:r>
        <w:rPr>
          <w:spacing w:val="-6"/>
        </w:rPr>
        <w:t>la </w:t>
      </w:r>
      <w:r>
        <w:rPr/>
        <w:t>experiencia real del cliente </w:t>
      </w:r>
      <w:r>
        <w:rPr>
          <w:spacing w:val="3"/>
        </w:rPr>
        <w:t>con </w:t>
      </w:r>
      <w:r>
        <w:rPr/>
        <w:t>el producto o servicio, medida contra sus  requisitos  -definidos  o  tácitos, conscientes o </w:t>
      </w:r>
      <w:r>
        <w:rPr>
          <w:spacing w:val="-3"/>
        </w:rPr>
        <w:t>sólo </w:t>
      </w:r>
      <w:r>
        <w:rPr/>
        <w:t>sentidos, operacionales técnicamente o por completo subjetivos- y siempre representa un objetivo que se mueve en el mercado competitivo.</w:t>
      </w:r>
    </w:p>
    <w:p>
      <w:pPr>
        <w:pStyle w:val="BodyText"/>
        <w:spacing w:before="11"/>
        <w:rPr>
          <w:sz w:val="17"/>
        </w:rPr>
      </w:pPr>
    </w:p>
    <w:p>
      <w:pPr>
        <w:pStyle w:val="BodyText"/>
        <w:spacing w:line="364" w:lineRule="auto"/>
        <w:ind w:left="116" w:right="110" w:firstLine="686"/>
        <w:jc w:val="both"/>
      </w:pPr>
      <w:r>
        <w:rPr/>
        <w:t>El propósito de </w:t>
      </w:r>
      <w:r>
        <w:rPr>
          <w:spacing w:val="-4"/>
        </w:rPr>
        <w:t>la </w:t>
      </w:r>
      <w:r>
        <w:rPr/>
        <w:t>mayoría de las medidas de calidad es el determinar y evaluar el grado o nivel </w:t>
      </w:r>
      <w:r>
        <w:rPr>
          <w:spacing w:val="3"/>
        </w:rPr>
        <w:t>al </w:t>
      </w:r>
      <w:r>
        <w:rPr/>
        <w:t>que el producto o servicio enfoca su resultante total.  Otros términos como confiable, servicial y durable, en algunas ocasiones se han tomado</w:t>
      </w:r>
      <w:r>
        <w:rPr>
          <w:spacing w:val="40"/>
        </w:rPr>
        <w:t> </w:t>
      </w:r>
      <w:r>
        <w:rPr/>
        <w:t>como</w:t>
      </w:r>
      <w:r>
        <w:rPr>
          <w:spacing w:val="40"/>
        </w:rPr>
        <w:t> </w:t>
      </w:r>
      <w:r>
        <w:rPr/>
        <w:t>definiciones</w:t>
      </w:r>
      <w:r>
        <w:rPr>
          <w:spacing w:val="46"/>
        </w:rPr>
        <w:t> </w:t>
      </w:r>
      <w:r>
        <w:rPr/>
        <w:t>de</w:t>
      </w:r>
      <w:r>
        <w:rPr>
          <w:spacing w:val="40"/>
        </w:rPr>
        <w:t> </w:t>
      </w:r>
      <w:r>
        <w:rPr/>
        <w:t>la</w:t>
      </w:r>
      <w:r>
        <w:rPr>
          <w:spacing w:val="40"/>
        </w:rPr>
        <w:t> </w:t>
      </w:r>
      <w:r>
        <w:rPr/>
        <w:t>calidad</w:t>
      </w:r>
      <w:r>
        <w:rPr>
          <w:spacing w:val="40"/>
        </w:rPr>
        <w:t> </w:t>
      </w:r>
      <w:r>
        <w:rPr/>
        <w:t>del</w:t>
      </w:r>
      <w:r>
        <w:rPr>
          <w:spacing w:val="40"/>
        </w:rPr>
        <w:t> </w:t>
      </w:r>
      <w:r>
        <w:rPr/>
        <w:t>producto.</w:t>
      </w:r>
      <w:r>
        <w:rPr>
          <w:spacing w:val="40"/>
        </w:rPr>
        <w:t> </w:t>
      </w:r>
      <w:r>
        <w:rPr/>
        <w:t>Aunque</w:t>
      </w:r>
      <w:r>
        <w:rPr>
          <w:spacing w:val="40"/>
        </w:rPr>
        <w:t> </w:t>
      </w:r>
      <w:r>
        <w:rPr/>
        <w:t>en</w:t>
      </w:r>
      <w:r>
        <w:rPr>
          <w:spacing w:val="45"/>
        </w:rPr>
        <w:t> </w:t>
      </w:r>
      <w:r>
        <w:rPr/>
        <w:t>realidad</w:t>
      </w:r>
      <w:r>
        <w:rPr>
          <w:spacing w:val="40"/>
        </w:rPr>
        <w:t> </w:t>
      </w:r>
      <w:r>
        <w:rPr/>
        <w:t>estos</w:t>
      </w:r>
    </w:p>
    <w:p>
      <w:pPr>
        <w:spacing w:after="0" w:line="364" w:lineRule="auto"/>
        <w:jc w:val="both"/>
        <w:sectPr>
          <w:footerReference w:type="default" r:id="rId19"/>
          <w:pgSz w:w="11910" w:h="16840"/>
          <w:pgMar w:footer="1457" w:header="0" w:top="1580" w:bottom="1640" w:left="1540" w:right="1540"/>
          <w:pgNumType w:start="61"/>
        </w:sectPr>
      </w:pPr>
    </w:p>
    <w:p>
      <w:pPr>
        <w:pStyle w:val="BodyText"/>
        <w:rPr>
          <w:sz w:val="20"/>
        </w:rPr>
      </w:pPr>
    </w:p>
    <w:p>
      <w:pPr>
        <w:pStyle w:val="BodyText"/>
        <w:spacing w:before="2"/>
        <w:rPr>
          <w:sz w:val="16"/>
        </w:rPr>
      </w:pPr>
    </w:p>
    <w:p>
      <w:pPr>
        <w:pStyle w:val="BodyText"/>
        <w:spacing w:line="364" w:lineRule="auto" w:before="74"/>
        <w:ind w:left="115" w:right="107"/>
        <w:jc w:val="both"/>
      </w:pPr>
      <w:r>
        <w:rPr/>
        <w:t>son características individuales, que en conjunto constituyen la calidad  del  producto y servicio. </w:t>
      </w:r>
      <w:r>
        <w:rPr>
          <w:spacing w:val="2"/>
        </w:rPr>
        <w:t>El </w:t>
      </w:r>
      <w:r>
        <w:rPr/>
        <w:t>requisito clave de la calidad exige un equilibrio entre estas características individuales. Por ejemplo el producto debe desempeñar sus funciones tantas veces como se </w:t>
      </w:r>
      <w:r>
        <w:rPr>
          <w:spacing w:val="-3"/>
        </w:rPr>
        <w:t>le </w:t>
      </w:r>
      <w:r>
        <w:rPr/>
        <w:t>pida, a todo lo </w:t>
      </w:r>
      <w:r>
        <w:rPr>
          <w:spacing w:val="-3"/>
        </w:rPr>
        <w:t>largo </w:t>
      </w:r>
      <w:r>
        <w:rPr/>
        <w:t>de su ciclo de vida estipulado, en las condiciones </w:t>
      </w:r>
      <w:r>
        <w:rPr>
          <w:spacing w:val="-3"/>
        </w:rPr>
        <w:t>de  </w:t>
      </w:r>
      <w:r>
        <w:rPr/>
        <w:t>ambiente y de servicio y duración de producto,  de forma que el producto sea apropiadamente servicial y durable en su ciclo de  vida.</w:t>
      </w:r>
    </w:p>
    <w:p>
      <w:pPr>
        <w:pStyle w:val="BodyText"/>
        <w:spacing w:before="11"/>
        <w:rPr>
          <w:sz w:val="17"/>
        </w:rPr>
      </w:pPr>
    </w:p>
    <w:p>
      <w:pPr>
        <w:pStyle w:val="BodyText"/>
        <w:spacing w:line="364" w:lineRule="auto"/>
        <w:ind w:left="115" w:right="104" w:firstLine="686"/>
        <w:jc w:val="both"/>
      </w:pPr>
      <w:r>
        <w:rPr/>
        <w:t>El servicio y </w:t>
      </w:r>
      <w:r>
        <w:rPr>
          <w:spacing w:val="-3"/>
        </w:rPr>
        <w:t>la </w:t>
      </w:r>
      <w:r>
        <w:rPr/>
        <w:t>duración diseñados deben cumplirse para que el producto pueda considerarse como servicial. El producto debe tener un aspecto que agrade  al consumidor, debe ser atractivo. Cuando todas las otras características del producto se encuentran balanceadas, </w:t>
      </w:r>
      <w:r>
        <w:rPr>
          <w:spacing w:val="-5"/>
        </w:rPr>
        <w:t>la </w:t>
      </w:r>
      <w:r>
        <w:rPr/>
        <w:t>calidad resultante de </w:t>
      </w:r>
      <w:r>
        <w:rPr>
          <w:spacing w:val="-3"/>
        </w:rPr>
        <w:t>ese </w:t>
      </w:r>
      <w:r>
        <w:rPr/>
        <w:t>conjunto </w:t>
      </w:r>
      <w:r>
        <w:rPr>
          <w:spacing w:val="-3"/>
        </w:rPr>
        <w:t>es </w:t>
      </w:r>
      <w:r>
        <w:rPr/>
        <w:t>que proporciona la función deseada, con la mayor economía, teniendo  en  consideración entre otras cosas  la obsolescencia y servicio del producto – y esto   es el concepto orientado hacia la completa satisfacción del</w:t>
      </w:r>
      <w:r>
        <w:rPr>
          <w:spacing w:val="57"/>
        </w:rPr>
        <w:t> </w:t>
      </w:r>
      <w:r>
        <w:rPr/>
        <w:t>cliente.</w:t>
      </w:r>
    </w:p>
    <w:p>
      <w:pPr>
        <w:pStyle w:val="BodyText"/>
        <w:rPr>
          <w:sz w:val="22"/>
        </w:rPr>
      </w:pPr>
    </w:p>
    <w:p>
      <w:pPr>
        <w:pStyle w:val="Heading3"/>
        <w:numPr>
          <w:ilvl w:val="2"/>
          <w:numId w:val="8"/>
        </w:numPr>
        <w:tabs>
          <w:tab w:pos="702" w:val="left" w:leader="none"/>
        </w:tabs>
        <w:spacing w:line="240" w:lineRule="auto" w:before="155" w:after="0"/>
        <w:ind w:left="116" w:right="0" w:firstLine="0"/>
        <w:jc w:val="both"/>
      </w:pPr>
      <w:bookmarkStart w:name="_TOC_250021" w:id="11"/>
      <w:r>
        <w:rPr/>
        <w:t>La calidad en las políticas</w:t>
      </w:r>
      <w:r>
        <w:rPr>
          <w:spacing w:val="45"/>
        </w:rPr>
        <w:t> </w:t>
      </w:r>
      <w:bookmarkEnd w:id="11"/>
      <w:r>
        <w:rPr/>
        <w:t>públicas</w:t>
      </w:r>
    </w:p>
    <w:p>
      <w:pPr>
        <w:pStyle w:val="BodyText"/>
        <w:spacing w:line="364" w:lineRule="auto" w:before="138"/>
        <w:ind w:left="115" w:right="106"/>
        <w:jc w:val="both"/>
      </w:pPr>
      <w:r>
        <w:rPr/>
        <w:t>Las estructuras organizativas del gobierno y </w:t>
      </w:r>
      <w:r>
        <w:rPr>
          <w:spacing w:val="-6"/>
        </w:rPr>
        <w:t>la </w:t>
      </w:r>
      <w:r>
        <w:rPr/>
        <w:t>administración pública han experimentado diversas transformaciones, producto </w:t>
      </w:r>
      <w:r>
        <w:rPr>
          <w:spacing w:val="3"/>
        </w:rPr>
        <w:t>de </w:t>
      </w:r>
      <w:r>
        <w:rPr>
          <w:spacing w:val="-4"/>
        </w:rPr>
        <w:t>la </w:t>
      </w:r>
      <w:r>
        <w:rPr/>
        <w:t>dinámica internacional y  </w:t>
      </w:r>
      <w:r>
        <w:rPr>
          <w:spacing w:val="-5"/>
        </w:rPr>
        <w:t>la </w:t>
      </w:r>
      <w:r>
        <w:rPr/>
        <w:t>agenda político-institucional de cada país. Por otra parte, </w:t>
      </w:r>
      <w:r>
        <w:rPr>
          <w:spacing w:val="-3"/>
        </w:rPr>
        <w:t>la </w:t>
      </w:r>
      <w:r>
        <w:rPr/>
        <w:t>complejidad de </w:t>
      </w:r>
      <w:r>
        <w:rPr>
          <w:spacing w:val="-5"/>
        </w:rPr>
        <w:t>la </w:t>
      </w:r>
      <w:r>
        <w:rPr/>
        <w:t>problemática social y económica a la que se enfrentan los estados se traduce </w:t>
      </w:r>
      <w:r>
        <w:rPr>
          <w:spacing w:val="-3"/>
        </w:rPr>
        <w:t>en </w:t>
      </w:r>
      <w:r>
        <w:rPr/>
        <w:t>dos problemas concretos desde la óptica de la gobernanza: 1) capacidad directiva de los gobiernos para dirigir a sus sociedades, </w:t>
      </w:r>
      <w:r>
        <w:rPr>
          <w:spacing w:val="-3"/>
        </w:rPr>
        <w:t>es </w:t>
      </w:r>
      <w:r>
        <w:rPr/>
        <w:t>decir, impulsar acciones y traducirlas en resultados; y 2) erosión de la legitimidad política como consecuencia de la complicación de ofrecer respuestas oportunas y satisfactorias a  </w:t>
      </w:r>
      <w:r>
        <w:rPr>
          <w:spacing w:val="-2"/>
        </w:rPr>
        <w:t>las</w:t>
      </w:r>
      <w:r>
        <w:rPr>
          <w:spacing w:val="59"/>
        </w:rPr>
        <w:t> </w:t>
      </w:r>
      <w:r>
        <w:rPr/>
        <w:t>demandas de los ciudadanos (Moyado, 2010:</w:t>
      </w:r>
      <w:r>
        <w:rPr>
          <w:spacing w:val="52"/>
        </w:rPr>
        <w:t> </w:t>
      </w:r>
      <w:r>
        <w:rPr/>
        <w:t>22).</w:t>
      </w:r>
    </w:p>
    <w:p>
      <w:pPr>
        <w:pStyle w:val="BodyText"/>
        <w:spacing w:line="364" w:lineRule="auto"/>
        <w:ind w:left="115" w:right="107" w:firstLine="686"/>
        <w:jc w:val="both"/>
      </w:pPr>
      <w:r>
        <w:rPr/>
        <w:t>Aguilar Villanueva presenta esta complejidad como un problema de “validez directiva”, lo cual implica una diferencia fundamental entre validez legal o institucional. En este sentido, los problemas de validez directiva involucran capacidad de previsión y competencias técnicas, gerenciales  y  políticas.  Asimismo, esto supone que los problemas entre el sujeto y las instituciones de gobierno  ahora  implica  una  responsabilidad  esencialmente  gubernamental,  </w:t>
      </w:r>
      <w:r>
        <w:rPr>
          <w:spacing w:val="58"/>
        </w:rPr>
        <w:t> </w:t>
      </w:r>
      <w:r>
        <w:rPr/>
        <w:t>de</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11"/>
        <w:jc w:val="both"/>
      </w:pPr>
      <w:r>
        <w:rPr/>
        <w:t>forma que se trata de un problema de “gobernación” o de “gobernanza” (Aguilar, 2010). Ello implica nuevos retos para el éxito gubernamental y nuevos y múltiples actores que plantean viejas y nuevas demandas que todo el tiempo  ponen  a prueba la capacidad directiva y de coordinación institucional de los gobiernos (Moyado, 2010: 23).</w:t>
      </w:r>
    </w:p>
    <w:p>
      <w:pPr>
        <w:pStyle w:val="BodyText"/>
        <w:spacing w:line="364" w:lineRule="auto" w:before="5"/>
        <w:ind w:left="115" w:right="104" w:firstLine="686"/>
        <w:jc w:val="both"/>
      </w:pPr>
      <w:r>
        <w:rPr/>
        <w:t>Según Aguilar Villanueva los problemas de capacidad directiva y erosión de </w:t>
      </w:r>
      <w:r>
        <w:rPr>
          <w:spacing w:val="-5"/>
        </w:rPr>
        <w:t>la </w:t>
      </w:r>
      <w:r>
        <w:rPr/>
        <w:t>legitimidad democrática </w:t>
      </w:r>
      <w:r>
        <w:rPr>
          <w:spacing w:val="-3"/>
        </w:rPr>
        <w:t>ya </w:t>
      </w:r>
      <w:r>
        <w:rPr>
          <w:spacing w:val="2"/>
        </w:rPr>
        <w:t>se </w:t>
      </w:r>
      <w:r>
        <w:rPr/>
        <w:t>advertía a mediados </w:t>
      </w:r>
      <w:r>
        <w:rPr>
          <w:spacing w:val="-3"/>
        </w:rPr>
        <w:t>de </w:t>
      </w:r>
      <w:r>
        <w:rPr/>
        <w:t>la década de los setenta  en el trabajo de </w:t>
      </w:r>
      <w:r>
        <w:rPr>
          <w:spacing w:val="-3"/>
        </w:rPr>
        <w:t>la </w:t>
      </w:r>
      <w:r>
        <w:rPr/>
        <w:t>Comisión Trilateral titulado </w:t>
      </w:r>
      <w:r>
        <w:rPr>
          <w:i/>
        </w:rPr>
        <w:t>La crisis de la democracia. </w:t>
      </w:r>
      <w:r>
        <w:rPr/>
        <w:t>Este trabajo señalaba como uno de los principales problemas </w:t>
      </w:r>
      <w:r>
        <w:rPr>
          <w:spacing w:val="-3"/>
        </w:rPr>
        <w:t>era </w:t>
      </w:r>
      <w:r>
        <w:rPr/>
        <w:t>la sobrecarga de demandas sociales y </w:t>
      </w:r>
      <w:r>
        <w:rPr>
          <w:spacing w:val="2"/>
        </w:rPr>
        <w:t>su </w:t>
      </w:r>
      <w:r>
        <w:rPr/>
        <w:t>consecuente y eventual “crisis fiscal”, que a su vez, amenazaba con generar ingobernabilidad. Otro trabajo clave en esta discusión es   el de Hanf y Scharpf, publicado en 1978, titulado </w:t>
      </w:r>
      <w:r>
        <w:rPr>
          <w:i/>
        </w:rPr>
        <w:t>Interorganizational policy making</w:t>
      </w:r>
      <w:r>
        <w:rPr/>
        <w:t>. En esta investigación se enlistan </w:t>
      </w:r>
      <w:r>
        <w:rPr>
          <w:spacing w:val="-3"/>
        </w:rPr>
        <w:t>los </w:t>
      </w:r>
      <w:r>
        <w:rPr/>
        <w:t>riesgos de </w:t>
      </w:r>
      <w:r>
        <w:rPr>
          <w:spacing w:val="-3"/>
        </w:rPr>
        <w:t>la  </w:t>
      </w:r>
      <w:r>
        <w:rPr/>
        <w:t>ingobernabilidad  en  </w:t>
      </w:r>
      <w:r>
        <w:rPr>
          <w:spacing w:val="-5"/>
        </w:rPr>
        <w:t>la  </w:t>
      </w:r>
      <w:r>
        <w:rPr/>
        <w:t>capacidad de gestión interorganizativa. Según el documento, los  restos  del  proceso interorganizativo era darle </w:t>
      </w:r>
      <w:r>
        <w:rPr>
          <w:spacing w:val="-5"/>
        </w:rPr>
        <w:t>la </w:t>
      </w:r>
      <w:r>
        <w:rPr/>
        <w:t>vuelta a la jerarquía y el control jerárquico en los asuntos públicos. El desafío </w:t>
      </w:r>
      <w:r>
        <w:rPr>
          <w:spacing w:val="-3"/>
        </w:rPr>
        <w:t>era </w:t>
      </w:r>
      <w:r>
        <w:rPr/>
        <w:t>buscar </w:t>
      </w:r>
      <w:r>
        <w:rPr>
          <w:spacing w:val="-5"/>
        </w:rPr>
        <w:t>la </w:t>
      </w:r>
      <w:r>
        <w:rPr/>
        <w:t>descentralización  y  nuevos  esquemas de interdependencia burocrática (Aguilar Villanueva, </w:t>
      </w:r>
      <w:r>
        <w:rPr>
          <w:spacing w:val="7"/>
        </w:rPr>
        <w:t> </w:t>
      </w:r>
      <w:r>
        <w:rPr/>
        <w:t>2010).</w:t>
      </w:r>
    </w:p>
    <w:p>
      <w:pPr>
        <w:pStyle w:val="BodyText"/>
        <w:spacing w:line="364" w:lineRule="auto" w:before="10"/>
        <w:ind w:left="115" w:right="104" w:firstLine="686"/>
        <w:jc w:val="both"/>
      </w:pPr>
      <w:r>
        <w:rPr/>
        <w:t>La debilidad de la capacidad directiva de </w:t>
      </w:r>
      <w:r>
        <w:rPr>
          <w:spacing w:val="-3"/>
        </w:rPr>
        <w:t>los </w:t>
      </w:r>
      <w:r>
        <w:rPr/>
        <w:t>gobiernos tiene como una de  sus causas la globalización de las actividades  económicas,  financieras, productivas, comerciales y de servicios, que determinó la emergencia de nuevos polos de poder económico, limitando el instrumental de regulación y </w:t>
      </w:r>
      <w:r>
        <w:rPr>
          <w:spacing w:val="-5"/>
        </w:rPr>
        <w:t>la </w:t>
      </w:r>
      <w:r>
        <w:rPr/>
        <w:t>rectoría económica. Igualmente, </w:t>
      </w:r>
      <w:r>
        <w:rPr>
          <w:spacing w:val="3"/>
        </w:rPr>
        <w:t>es </w:t>
      </w:r>
      <w:r>
        <w:rPr/>
        <w:t>la creciente independencia de las personas y </w:t>
      </w:r>
      <w:r>
        <w:rPr>
          <w:spacing w:val="-2"/>
        </w:rPr>
        <w:t>las </w:t>
      </w:r>
      <w:r>
        <w:rPr/>
        <w:t>organizaciones sociales, políticas o económicas </w:t>
      </w:r>
      <w:r>
        <w:rPr>
          <w:spacing w:val="-3"/>
        </w:rPr>
        <w:t>que </w:t>
      </w:r>
      <w:r>
        <w:rPr/>
        <w:t>reclaman mayor autonomía para resolver problemas y apuntalar sus propios intereses, lo cual deviene en el ensanchamiento del espacio público (Moyado, 2010:</w:t>
      </w:r>
      <w:r>
        <w:rPr>
          <w:spacing w:val="55"/>
        </w:rPr>
        <w:t> </w:t>
      </w:r>
      <w:r>
        <w:rPr/>
        <w:t>25).</w:t>
      </w:r>
    </w:p>
    <w:p>
      <w:pPr>
        <w:pStyle w:val="BodyText"/>
        <w:spacing w:line="367" w:lineRule="auto"/>
        <w:ind w:left="115" w:right="106" w:firstLine="686"/>
        <w:jc w:val="both"/>
      </w:pPr>
      <w:r>
        <w:rPr/>
        <w:t>El contexto económico, institucional y social, que </w:t>
      </w:r>
      <w:r>
        <w:rPr>
          <w:spacing w:val="4"/>
        </w:rPr>
        <w:t>se </w:t>
      </w:r>
      <w:r>
        <w:rPr/>
        <w:t>redimensionó a consecuencia de las transformaciones provocadas por la  globalización,  </w:t>
      </w:r>
      <w:r>
        <w:rPr>
          <w:spacing w:val="-3"/>
        </w:rPr>
        <w:t>los </w:t>
      </w:r>
      <w:r>
        <w:rPr/>
        <w:t>procesos de modernización y en ensanchamiento del espacio público, demandaría entonces el desarrollo de un conjunto de capacidades de gestión, por parte de </w:t>
      </w:r>
      <w:r>
        <w:rPr>
          <w:spacing w:val="-2"/>
        </w:rPr>
        <w:t>los </w:t>
      </w:r>
      <w:r>
        <w:rPr/>
        <w:t>gobiernos, para enfrentar con éxito ese nuevo contexto.  Estas  nuevas  capacidades  mostrarían  también un nuevo  estilo  y patrón de dirección y  </w:t>
      </w:r>
      <w:r>
        <w:rPr>
          <w:spacing w:val="23"/>
        </w:rPr>
        <w:t> </w:t>
      </w:r>
      <w:r>
        <w:rPr/>
        <w:t>control,</w:t>
      </w:r>
    </w:p>
    <w:p>
      <w:pPr>
        <w:spacing w:after="0" w:line="367"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9" w:lineRule="auto" w:before="74"/>
        <w:ind w:left="115" w:right="109"/>
        <w:jc w:val="both"/>
      </w:pPr>
      <w:r>
        <w:rPr/>
        <w:t>más orientado a la coordinación y concertación, tanto entre </w:t>
      </w:r>
      <w:r>
        <w:rPr>
          <w:spacing w:val="-3"/>
        </w:rPr>
        <w:t>los </w:t>
      </w:r>
      <w:r>
        <w:rPr/>
        <w:t>niveles institucionales como entre los actores políticos, económicos y </w:t>
      </w:r>
      <w:r>
        <w:rPr>
          <w:spacing w:val="5"/>
        </w:rPr>
        <w:t> </w:t>
      </w:r>
      <w:r>
        <w:rPr/>
        <w:t>sociales.</w:t>
      </w:r>
    </w:p>
    <w:p>
      <w:pPr>
        <w:pStyle w:val="BodyText"/>
        <w:spacing w:line="364" w:lineRule="auto"/>
        <w:ind w:left="115" w:right="110" w:firstLine="686"/>
        <w:jc w:val="both"/>
      </w:pPr>
      <w:r>
        <w:rPr/>
        <w:t>En esta nueva forma de “gobernanza” </w:t>
      </w:r>
      <w:r>
        <w:rPr>
          <w:spacing w:val="-3"/>
        </w:rPr>
        <w:t>la </w:t>
      </w:r>
      <w:r>
        <w:rPr/>
        <w:t>calidad emerge también como un principio y valor público  en tanto el contexto demanda una regulación económica  de calidad para dar cauce a la diversidad de polos de poder económico; </w:t>
      </w:r>
      <w:r>
        <w:rPr>
          <w:spacing w:val="-3"/>
        </w:rPr>
        <w:t>un </w:t>
      </w:r>
      <w:r>
        <w:rPr/>
        <w:t>marco institucional de calidad para mejorar </w:t>
      </w:r>
      <w:r>
        <w:rPr>
          <w:spacing w:val="-4"/>
        </w:rPr>
        <w:t>la </w:t>
      </w:r>
      <w:r>
        <w:rPr/>
        <w:t>percepción social sobre la gestión y </w:t>
      </w:r>
      <w:r>
        <w:rPr>
          <w:spacing w:val="-3"/>
        </w:rPr>
        <w:t>los </w:t>
      </w:r>
      <w:r>
        <w:rPr/>
        <w:t>servicios públicos que </w:t>
      </w:r>
      <w:r>
        <w:rPr>
          <w:spacing w:val="3"/>
        </w:rPr>
        <w:t>se </w:t>
      </w:r>
      <w:r>
        <w:rPr/>
        <w:t>brindan, así como una participación ciudadana para fortalecer </w:t>
      </w:r>
      <w:r>
        <w:rPr>
          <w:spacing w:val="-5"/>
        </w:rPr>
        <w:t>la </w:t>
      </w:r>
      <w:r>
        <w:rPr/>
        <w:t>transparencia, la rendición </w:t>
      </w:r>
      <w:r>
        <w:rPr>
          <w:spacing w:val="3"/>
        </w:rPr>
        <w:t>de </w:t>
      </w:r>
      <w:r>
        <w:rPr/>
        <w:t>cuentas y la misma </w:t>
      </w:r>
      <w:r>
        <w:rPr>
          <w:spacing w:val="16"/>
        </w:rPr>
        <w:t> </w:t>
      </w:r>
      <w:r>
        <w:rPr/>
        <w:t>democracia.</w:t>
      </w:r>
    </w:p>
    <w:p>
      <w:pPr>
        <w:pStyle w:val="BodyText"/>
        <w:rPr>
          <w:sz w:val="22"/>
        </w:rPr>
      </w:pPr>
    </w:p>
    <w:p>
      <w:pPr>
        <w:pStyle w:val="Heading3"/>
        <w:numPr>
          <w:ilvl w:val="2"/>
          <w:numId w:val="8"/>
        </w:numPr>
        <w:tabs>
          <w:tab w:pos="702" w:val="left" w:leader="none"/>
        </w:tabs>
        <w:spacing w:line="240" w:lineRule="auto" w:before="155" w:after="0"/>
        <w:ind w:left="701" w:right="0" w:hanging="585"/>
        <w:jc w:val="both"/>
      </w:pPr>
      <w:bookmarkStart w:name="_TOC_250020" w:id="12"/>
      <w:r>
        <w:rPr/>
        <w:t>Nueva gestión pública y gestión de</w:t>
      </w:r>
      <w:r>
        <w:rPr>
          <w:spacing w:val="46"/>
        </w:rPr>
        <w:t> </w:t>
      </w:r>
      <w:bookmarkEnd w:id="12"/>
      <w:r>
        <w:rPr/>
        <w:t>calidad</w:t>
      </w:r>
    </w:p>
    <w:p>
      <w:pPr>
        <w:pStyle w:val="BodyText"/>
        <w:spacing w:line="364" w:lineRule="auto" w:before="138"/>
        <w:ind w:left="115" w:right="109"/>
        <w:jc w:val="both"/>
      </w:pPr>
      <w:r>
        <w:rPr/>
        <w:t>En 1997, Joan Subirats y Quinm Brugué, hicieron una compilación </w:t>
      </w:r>
      <w:r>
        <w:rPr>
          <w:spacing w:val="2"/>
        </w:rPr>
        <w:t>de </w:t>
      </w:r>
      <w:r>
        <w:rPr/>
        <w:t>textos anglosajones que dan cuenta del enfoque denominado “nueva gestión pública”, el cual </w:t>
      </w:r>
      <w:r>
        <w:rPr>
          <w:spacing w:val="2"/>
        </w:rPr>
        <w:t>se </w:t>
      </w:r>
      <w:r>
        <w:rPr/>
        <w:t>presenta como un nuevo enfoque de transición de la vieja administración hacia </w:t>
      </w:r>
      <w:r>
        <w:rPr>
          <w:spacing w:val="2"/>
        </w:rPr>
        <w:t>un </w:t>
      </w:r>
      <w:r>
        <w:rPr/>
        <w:t>modelo que centra su importancia en los resultados y en </w:t>
      </w:r>
      <w:r>
        <w:rPr>
          <w:spacing w:val="-5"/>
        </w:rPr>
        <w:t>la  </w:t>
      </w:r>
      <w:r>
        <w:rPr/>
        <w:t>responsabilidad de </w:t>
      </w:r>
      <w:r>
        <w:rPr>
          <w:spacing w:val="-3"/>
        </w:rPr>
        <w:t>las </w:t>
      </w:r>
      <w:r>
        <w:rPr/>
        <w:t>burocracias gubernamentales. Igualmente este nuevo enfoque parte de la necesidad de que los gobiernos  utilicen  recursos  y condiciones contractuales más flexibles y en técnicas de evaluación del  rendimiento </w:t>
      </w:r>
      <w:r>
        <w:rPr>
          <w:spacing w:val="2"/>
        </w:rPr>
        <w:t>de </w:t>
      </w:r>
      <w:r>
        <w:rPr/>
        <w:t>los recursos</w:t>
      </w:r>
      <w:r>
        <w:rPr>
          <w:spacing w:val="35"/>
        </w:rPr>
        <w:t> </w:t>
      </w:r>
      <w:r>
        <w:rPr/>
        <w:t>humanos.</w:t>
      </w:r>
    </w:p>
    <w:p>
      <w:pPr>
        <w:pStyle w:val="BodyText"/>
        <w:spacing w:line="364" w:lineRule="auto" w:before="5"/>
        <w:ind w:left="115" w:right="104" w:firstLine="686"/>
        <w:jc w:val="both"/>
      </w:pPr>
      <w:r>
        <w:rPr/>
        <w:t>La nueva gestión pública constituye una fusión de la orientación normativa   de </w:t>
      </w:r>
      <w:r>
        <w:rPr>
          <w:spacing w:val="-3"/>
        </w:rPr>
        <w:t>la </w:t>
      </w:r>
      <w:r>
        <w:rPr/>
        <w:t>administración pública tradicional y de la orientación instrumental de  </w:t>
      </w:r>
      <w:r>
        <w:rPr>
          <w:spacing w:val="-5"/>
        </w:rPr>
        <w:t>la  </w:t>
      </w:r>
      <w:r>
        <w:rPr/>
        <w:t>gestión en sentido genérico, esto es, pretende superar la visión reduccionista del managment en el ámbito del gobierno. Desde el punto de vista  normativo  </w:t>
      </w:r>
      <w:r>
        <w:rPr>
          <w:spacing w:val="-5"/>
        </w:rPr>
        <w:t>la  </w:t>
      </w:r>
      <w:r>
        <w:rPr/>
        <w:t>gestión pública establece </w:t>
      </w:r>
      <w:r>
        <w:rPr>
          <w:spacing w:val="-5"/>
        </w:rPr>
        <w:t>la </w:t>
      </w:r>
      <w:r>
        <w:rPr/>
        <w:t>necesidad </w:t>
      </w:r>
      <w:r>
        <w:rPr>
          <w:spacing w:val="-3"/>
        </w:rPr>
        <w:t>de </w:t>
      </w:r>
      <w:r>
        <w:rPr/>
        <w:t>tomar en cuenta más el diseño democrático institucional y </w:t>
      </w:r>
      <w:r>
        <w:rPr>
          <w:spacing w:val="-5"/>
        </w:rPr>
        <w:t>la </w:t>
      </w:r>
      <w:r>
        <w:rPr/>
        <w:t>responsabilidad pública, además de ciertos valores al ejercer recursos, como la equidad, </w:t>
      </w:r>
      <w:r>
        <w:rPr>
          <w:spacing w:val="-5"/>
        </w:rPr>
        <w:t>la </w:t>
      </w:r>
      <w:r>
        <w:rPr/>
        <w:t>consistencia y </w:t>
      </w:r>
      <w:r>
        <w:rPr>
          <w:spacing w:val="-4"/>
        </w:rPr>
        <w:t>la</w:t>
      </w:r>
      <w:r>
        <w:rPr>
          <w:spacing w:val="55"/>
        </w:rPr>
        <w:t> </w:t>
      </w:r>
      <w:r>
        <w:rPr/>
        <w:t>igualdad. En </w:t>
      </w:r>
      <w:r>
        <w:rPr>
          <w:spacing w:val="-5"/>
        </w:rPr>
        <w:t>lo  </w:t>
      </w:r>
      <w:r>
        <w:rPr/>
        <w:t>que  respecta al factor instrumentalista la nueva gestión pública apela a una mayor eficiencia a través </w:t>
      </w:r>
      <w:r>
        <w:rPr>
          <w:spacing w:val="-3"/>
        </w:rPr>
        <w:t>de </w:t>
      </w:r>
      <w:r>
        <w:rPr/>
        <w:t>una visión estratégica, estructuras precisas, personal profesionalizado y técnicas gerenciales (Subirats y Quinm,</w:t>
      </w:r>
      <w:r>
        <w:rPr>
          <w:spacing w:val="62"/>
        </w:rPr>
        <w:t> </w:t>
      </w:r>
      <w:r>
        <w:rPr/>
        <w:t>1997).</w:t>
      </w:r>
    </w:p>
    <w:p>
      <w:pPr>
        <w:pStyle w:val="BodyText"/>
        <w:spacing w:line="364" w:lineRule="auto" w:before="5"/>
        <w:ind w:left="115" w:right="106" w:firstLine="686"/>
        <w:jc w:val="both"/>
      </w:pPr>
      <w:r>
        <w:rPr/>
        <w:t>Por otro lado, </w:t>
      </w:r>
      <w:r>
        <w:rPr>
          <w:spacing w:val="-5"/>
        </w:rPr>
        <w:t>la </w:t>
      </w:r>
      <w:r>
        <w:rPr/>
        <w:t>nueva gestión pública es </w:t>
      </w:r>
      <w:r>
        <w:rPr>
          <w:spacing w:val="-3"/>
        </w:rPr>
        <w:t>en </w:t>
      </w:r>
      <w:r>
        <w:rPr/>
        <w:t>gran medida un modelo de operación que procura utilizar tecnologías </w:t>
      </w:r>
      <w:r>
        <w:rPr>
          <w:spacing w:val="-3"/>
        </w:rPr>
        <w:t>del </w:t>
      </w:r>
      <w:r>
        <w:rPr/>
        <w:t>ámbito de las empresas privadas y  las  aplica  en  la  estructura  del  sector  gubernamental,  esto  con  el  propósito</w:t>
      </w:r>
      <w:r>
        <w:rPr>
          <w:spacing w:val="8"/>
        </w:rPr>
        <w:t> </w:t>
      </w:r>
      <w:r>
        <w:rPr/>
        <w:t>de</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4"/>
        <w:jc w:val="both"/>
      </w:pPr>
      <w:r>
        <w:rPr/>
        <w:t>responder a contextos de sociedades más exigentes, de gobiernos más descentralizados, con más estructuras horizontales y con menor control vertical (Moyado, 2010: 28).</w:t>
      </w:r>
    </w:p>
    <w:p>
      <w:pPr>
        <w:pStyle w:val="BodyText"/>
        <w:spacing w:line="364" w:lineRule="auto" w:before="5"/>
        <w:ind w:left="115" w:right="105" w:firstLine="686"/>
        <w:jc w:val="both"/>
      </w:pPr>
      <w:r>
        <w:rPr/>
        <w:t>A grandes rasgos las acciones de la nueva gestión pública supone: 1) el rediseño de estructuras organizativas, </w:t>
      </w:r>
      <w:r>
        <w:rPr>
          <w:spacing w:val="-5"/>
        </w:rPr>
        <w:t>lo </w:t>
      </w:r>
      <w:r>
        <w:rPr/>
        <w:t>cual implica diversificar las formas de organización y el suministro de servicios públicos introduciendo  sistemas  de  control para delimitar, ampliar y mejorar </w:t>
      </w:r>
      <w:r>
        <w:rPr>
          <w:spacing w:val="-5"/>
        </w:rPr>
        <w:t>la </w:t>
      </w:r>
      <w:r>
        <w:rPr/>
        <w:t>responsabilidad de los directivos, así como </w:t>
      </w:r>
      <w:r>
        <w:rPr>
          <w:spacing w:val="-5"/>
        </w:rPr>
        <w:t>la </w:t>
      </w:r>
      <w:r>
        <w:rPr/>
        <w:t>desregulación y simplificación de trámites; 2) transformación de  las  culturas burocráticas introduciendo </w:t>
      </w:r>
      <w:r>
        <w:rPr>
          <w:spacing w:val="-3"/>
        </w:rPr>
        <w:t>la </w:t>
      </w:r>
      <w:r>
        <w:rPr/>
        <w:t>lógica de </w:t>
      </w:r>
      <w:r>
        <w:rPr>
          <w:spacing w:val="-3"/>
        </w:rPr>
        <w:t>la </w:t>
      </w:r>
      <w:r>
        <w:rPr/>
        <w:t>evaluación, responsabilidad, reducción de los controles burocráticos y ampliación del control por parte de usuarios; 3) racionalización y flexibilización de los sistemas de función pública mediante la transformación de reclutamiento de funcionarios públicos,  dando  mayor peso a la formación y la experiencia en espacios directivos; 4) flexibilización de formas de gestión mediante </w:t>
      </w:r>
      <w:r>
        <w:rPr>
          <w:spacing w:val="-5"/>
        </w:rPr>
        <w:t>la </w:t>
      </w:r>
      <w:r>
        <w:rPr/>
        <w:t>creación de agencias autónomas y semiautónomas, contratación externa de servicios públicos, con el </w:t>
      </w:r>
      <w:r>
        <w:rPr>
          <w:spacing w:val="-3"/>
        </w:rPr>
        <w:t>fin </w:t>
      </w:r>
      <w:r>
        <w:rPr/>
        <w:t>de generar una gestión pública dinámica y competitiva basada en coordinación de redes y niveles organizativos; 5) receptividad y apertura orientando los servicios hacia el ciudadano-cliente, que exige introducir procesos de interacción y comunicación electrónicas, planeación estratégica, marketing y </w:t>
      </w:r>
      <w:r>
        <w:rPr>
          <w:spacing w:val="-3"/>
        </w:rPr>
        <w:t>la </w:t>
      </w:r>
      <w:r>
        <w:rPr/>
        <w:t>participación-opinión de </w:t>
      </w:r>
      <w:r>
        <w:rPr>
          <w:spacing w:val="-3"/>
        </w:rPr>
        <w:t>los </w:t>
      </w:r>
      <w:r>
        <w:rPr/>
        <w:t>usuarios en </w:t>
      </w:r>
      <w:r>
        <w:rPr>
          <w:spacing w:val="3"/>
        </w:rPr>
        <w:t>el </w:t>
      </w:r>
      <w:r>
        <w:rPr/>
        <w:t>diseño y puesta en marcha de los</w:t>
      </w:r>
      <w:r>
        <w:rPr>
          <w:spacing w:val="48"/>
        </w:rPr>
        <w:t> </w:t>
      </w:r>
      <w:r>
        <w:rPr/>
        <w:t>servicios.</w:t>
      </w:r>
    </w:p>
    <w:p>
      <w:pPr>
        <w:pStyle w:val="BodyText"/>
        <w:rPr>
          <w:sz w:val="22"/>
        </w:rPr>
      </w:pPr>
    </w:p>
    <w:p>
      <w:pPr>
        <w:pStyle w:val="Heading3"/>
        <w:numPr>
          <w:ilvl w:val="2"/>
          <w:numId w:val="8"/>
        </w:numPr>
        <w:tabs>
          <w:tab w:pos="700" w:val="left" w:leader="none"/>
        </w:tabs>
        <w:spacing w:line="240" w:lineRule="auto" w:before="160" w:after="0"/>
        <w:ind w:left="699" w:right="0" w:hanging="583"/>
        <w:jc w:val="both"/>
      </w:pPr>
      <w:r>
        <w:rPr/>
        <w:t>La calidad como contrato y compromiso con el </w:t>
      </w:r>
      <w:r>
        <w:rPr>
          <w:spacing w:val="12"/>
        </w:rPr>
        <w:t> </w:t>
      </w:r>
      <w:r>
        <w:rPr/>
        <w:t>ciudadano</w:t>
      </w:r>
    </w:p>
    <w:p>
      <w:pPr>
        <w:pStyle w:val="BodyText"/>
        <w:spacing w:line="364" w:lineRule="auto" w:before="134"/>
        <w:ind w:left="115" w:right="102" w:firstLine="686"/>
        <w:jc w:val="both"/>
      </w:pPr>
      <w:r>
        <w:rPr/>
        <w:t>En esta óptica, el concepto de calidad debe  transmitir  </w:t>
      </w:r>
      <w:r>
        <w:rPr>
          <w:spacing w:val="-5"/>
        </w:rPr>
        <w:t>la  </w:t>
      </w:r>
      <w:r>
        <w:rPr/>
        <w:t>idea  de compromiso con el ciudadano, mismo que tendría que materializarse en hacer efectivo </w:t>
      </w:r>
      <w:r>
        <w:rPr>
          <w:i/>
        </w:rPr>
        <w:t>un contrato social </w:t>
      </w:r>
      <w:r>
        <w:rPr/>
        <w:t>(Bouckaert, 1995; Pérez Menayo, 1998), a través del  cual las burocracias públicas buscarían adaptarse a las necesidades  y  expectativas </w:t>
      </w:r>
      <w:r>
        <w:rPr>
          <w:spacing w:val="-3"/>
        </w:rPr>
        <w:t>de </w:t>
      </w:r>
      <w:r>
        <w:rPr/>
        <w:t>los</w:t>
      </w:r>
      <w:r>
        <w:rPr>
          <w:spacing w:val="44"/>
        </w:rPr>
        <w:t> </w:t>
      </w:r>
      <w:r>
        <w:rPr/>
        <w:t>ciudadanos.</w:t>
      </w:r>
    </w:p>
    <w:p>
      <w:pPr>
        <w:pStyle w:val="BodyText"/>
        <w:spacing w:line="364" w:lineRule="auto" w:before="5"/>
        <w:ind w:left="115" w:right="107" w:firstLine="686"/>
        <w:jc w:val="both"/>
      </w:pPr>
      <w:r>
        <w:rPr/>
        <w:t>En comparación con el contrato mercantil en el sector privado, el </w:t>
      </w:r>
      <w:r>
        <w:rPr>
          <w:i/>
        </w:rPr>
        <w:t>contrato </w:t>
      </w:r>
      <w:r>
        <w:rPr>
          <w:i/>
        </w:rPr>
        <w:t>social </w:t>
      </w:r>
      <w:r>
        <w:rPr/>
        <w:t>debe conceptualizarse como una contraprestación no monetaria, como una transacción derivada de </w:t>
      </w:r>
      <w:r>
        <w:rPr>
          <w:spacing w:val="-4"/>
        </w:rPr>
        <w:t>los </w:t>
      </w:r>
      <w:r>
        <w:rPr/>
        <w:t>deberes de </w:t>
      </w:r>
      <w:r>
        <w:rPr>
          <w:spacing w:val="-3"/>
        </w:rPr>
        <w:t>las </w:t>
      </w:r>
      <w:r>
        <w:rPr/>
        <w:t>organizaciones públicas y los derechos de los ciudadanos. El esfuerzo de las burocracias públicas por ofertar servicios  </w:t>
      </w:r>
      <w:r>
        <w:rPr>
          <w:spacing w:val="56"/>
        </w:rPr>
        <w:t> </w:t>
      </w:r>
      <w:r>
        <w:rPr/>
        <w:t>de</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14"/>
        <w:jc w:val="both"/>
      </w:pPr>
      <w:r>
        <w:rPr/>
        <w:t>calidad, para que la evaluación del gobierno y la legitimidad de la acción de los poderes públicos se ubique como algo positivo entre los ciudadanos (Parrado y Ruiz, 2010: 54).</w:t>
      </w:r>
    </w:p>
    <w:p>
      <w:pPr>
        <w:pStyle w:val="BodyText"/>
        <w:spacing w:line="364" w:lineRule="auto" w:before="5"/>
        <w:ind w:left="115" w:right="107" w:firstLine="686"/>
        <w:jc w:val="both"/>
      </w:pPr>
      <w:r>
        <w:rPr/>
        <w:t>De mediados del siglo XX a la fecha el Estado se caracteriza por construir una mezcla en </w:t>
      </w:r>
      <w:r>
        <w:rPr>
          <w:spacing w:val="3"/>
        </w:rPr>
        <w:t>su </w:t>
      </w:r>
      <w:r>
        <w:rPr/>
        <w:t>relación con </w:t>
      </w:r>
      <w:r>
        <w:rPr>
          <w:spacing w:val="-4"/>
        </w:rPr>
        <w:t>la </w:t>
      </w:r>
      <w:r>
        <w:rPr/>
        <w:t>ciudadanía en </w:t>
      </w:r>
      <w:r>
        <w:rPr>
          <w:spacing w:val="-4"/>
        </w:rPr>
        <w:t>la </w:t>
      </w:r>
      <w:r>
        <w:rPr/>
        <w:t>que intervienen factores garantistas, como la seguridad jurídica o la protección de derechos  individuales,   de salvaguarda de los ciudadanos como titulares de derechos, así como factores posgarantistas, como la eficiencia administrativa del gobierno, </w:t>
      </w:r>
      <w:r>
        <w:rPr>
          <w:spacing w:val="-5"/>
        </w:rPr>
        <w:t>la </w:t>
      </w:r>
      <w:r>
        <w:rPr/>
        <w:t>participación de  los ciudadanos </w:t>
      </w:r>
      <w:r>
        <w:rPr>
          <w:spacing w:val="-3"/>
        </w:rPr>
        <w:t>en </w:t>
      </w:r>
      <w:r>
        <w:rPr/>
        <w:t>la definición de las orientaciones de las políticas públicas y </w:t>
      </w:r>
      <w:r>
        <w:rPr>
          <w:spacing w:val="-6"/>
        </w:rPr>
        <w:t>la </w:t>
      </w:r>
      <w:r>
        <w:rPr/>
        <w:t>búsqueda de resultados con calidad en los productos públicos más importantes, como la salud y la</w:t>
      </w:r>
      <w:r>
        <w:rPr>
          <w:spacing w:val="28"/>
        </w:rPr>
        <w:t> </w:t>
      </w:r>
      <w:r>
        <w:rPr/>
        <w:t>educación.</w:t>
      </w:r>
    </w:p>
    <w:p>
      <w:pPr>
        <w:pStyle w:val="BodyText"/>
        <w:spacing w:line="364" w:lineRule="auto" w:before="5"/>
        <w:ind w:left="115" w:right="107" w:firstLine="686"/>
        <w:jc w:val="both"/>
      </w:pPr>
      <w:r>
        <w:rPr/>
        <w:t>Fue clave el arribo del Estado de bienestar en </w:t>
      </w:r>
      <w:r>
        <w:rPr>
          <w:spacing w:val="-3"/>
        </w:rPr>
        <w:t>la </w:t>
      </w:r>
      <w:r>
        <w:rPr/>
        <w:t>década </w:t>
      </w:r>
      <w:r>
        <w:rPr>
          <w:spacing w:val="-3"/>
        </w:rPr>
        <w:t>los </w:t>
      </w:r>
      <w:r>
        <w:rPr/>
        <w:t>cincuenta, la irrupción de las constituciones sociales, </w:t>
      </w:r>
      <w:r>
        <w:rPr>
          <w:spacing w:val="-5"/>
        </w:rPr>
        <w:t>la </w:t>
      </w:r>
      <w:r>
        <w:rPr/>
        <w:t>protección y </w:t>
      </w:r>
      <w:r>
        <w:rPr>
          <w:spacing w:val="-4"/>
        </w:rPr>
        <w:t>la </w:t>
      </w:r>
      <w:r>
        <w:rPr/>
        <w:t>promoción de los derechos sociales por parte de los poderes públicos. En este modelo de Estado posgarantista, el gobierno empieza a considerar </w:t>
      </w:r>
      <w:r>
        <w:rPr>
          <w:spacing w:val="3"/>
        </w:rPr>
        <w:t>al </w:t>
      </w:r>
      <w:r>
        <w:rPr/>
        <w:t>ciudadano, no solamente como un “administrado”, cuyos derechos legales no deben ser lesionados, sino como un ciudadano cliente que demanda un Estado activo y adaptativo a </w:t>
      </w:r>
      <w:r>
        <w:rPr>
          <w:spacing w:val="-3"/>
        </w:rPr>
        <w:t>las </w:t>
      </w:r>
      <w:r>
        <w:rPr/>
        <w:t>necesidades cambiantes del ciudadano. Así, </w:t>
      </w:r>
      <w:r>
        <w:rPr>
          <w:spacing w:val="3"/>
        </w:rPr>
        <w:t>al </w:t>
      </w:r>
      <w:r>
        <w:rPr/>
        <w:t>concepto de ciudadano se incorpora  </w:t>
      </w:r>
      <w:r>
        <w:rPr>
          <w:spacing w:val="-5"/>
        </w:rPr>
        <w:t>la  </w:t>
      </w:r>
      <w:r>
        <w:rPr/>
        <w:t>dimensión de cliente (Parrado y Ruiz, 2010:</w:t>
      </w:r>
      <w:r>
        <w:rPr>
          <w:spacing w:val="49"/>
        </w:rPr>
        <w:t> </w:t>
      </w:r>
      <w:r>
        <w:rPr/>
        <w:t>58).</w:t>
      </w:r>
    </w:p>
    <w:p>
      <w:pPr>
        <w:pStyle w:val="BodyText"/>
        <w:spacing w:line="364" w:lineRule="auto"/>
        <w:ind w:left="115" w:right="108" w:firstLine="686"/>
        <w:jc w:val="both"/>
      </w:pPr>
      <w:r>
        <w:rPr/>
        <w:t>Esto implica emplear y adaptar al ejercicio público este nuevo concepto (cliente), el cual proviene de las empresas del sector privado y de  las  dinámicas  del mercado. Pero incluso en el </w:t>
      </w:r>
      <w:r>
        <w:rPr>
          <w:spacing w:val="-2"/>
        </w:rPr>
        <w:t>ámbito </w:t>
      </w:r>
      <w:r>
        <w:rPr/>
        <w:t>de las empresas, </w:t>
      </w:r>
      <w:r>
        <w:rPr>
          <w:spacing w:val="-4"/>
        </w:rPr>
        <w:t>la </w:t>
      </w:r>
      <w:r>
        <w:rPr/>
        <w:t>concepción </w:t>
      </w:r>
      <w:r>
        <w:rPr>
          <w:spacing w:val="3"/>
        </w:rPr>
        <w:t>de </w:t>
      </w:r>
      <w:r>
        <w:rPr/>
        <w:t>cliente cambia; el cliente </w:t>
      </w:r>
      <w:r>
        <w:rPr>
          <w:spacing w:val="-4"/>
        </w:rPr>
        <w:t>ya </w:t>
      </w:r>
      <w:r>
        <w:rPr/>
        <w:t>no es una concentración de derechos y deberes </w:t>
      </w:r>
      <w:r>
        <w:rPr>
          <w:spacing w:val="-3"/>
        </w:rPr>
        <w:t>en </w:t>
      </w:r>
      <w:r>
        <w:rPr/>
        <w:t>el </w:t>
      </w:r>
      <w:r>
        <w:rPr>
          <w:spacing w:val="-3"/>
        </w:rPr>
        <w:t>mismo </w:t>
      </w:r>
      <w:r>
        <w:rPr/>
        <w:t>sentido que es definido el ciudadano, sino que </w:t>
      </w:r>
      <w:r>
        <w:rPr>
          <w:spacing w:val="-3"/>
        </w:rPr>
        <w:t>es </w:t>
      </w:r>
      <w:r>
        <w:rPr/>
        <w:t>una concentración de necesidades y satisfacción de necesidades </w:t>
      </w:r>
      <w:r>
        <w:rPr>
          <w:spacing w:val="3"/>
        </w:rPr>
        <w:t>en </w:t>
      </w:r>
      <w:r>
        <w:rPr/>
        <w:t>el seno de una situación de  mercado de oferta y demanda de bienes y servicios dentro de </w:t>
      </w:r>
      <w:r>
        <w:rPr>
          <w:spacing w:val="-3"/>
        </w:rPr>
        <w:t>una </w:t>
      </w:r>
      <w:r>
        <w:rPr/>
        <w:t>jerarquía de necesidades sometidas a disponibilidad de</w:t>
      </w:r>
      <w:r>
        <w:rPr>
          <w:spacing w:val="45"/>
        </w:rPr>
        <w:t> </w:t>
      </w:r>
      <w:r>
        <w:rPr/>
        <w:t>pagar.</w:t>
      </w:r>
    </w:p>
    <w:p>
      <w:pPr>
        <w:pStyle w:val="BodyText"/>
        <w:spacing w:line="364" w:lineRule="auto" w:before="5"/>
        <w:ind w:left="115" w:right="109" w:firstLine="686"/>
        <w:jc w:val="both"/>
      </w:pPr>
      <w:r>
        <w:rPr/>
        <w:t>Cuando se traslada al sector público, la dimensión de cliente, incorporada </w:t>
      </w:r>
      <w:r>
        <w:rPr>
          <w:spacing w:val="3"/>
        </w:rPr>
        <w:t>al </w:t>
      </w:r>
      <w:r>
        <w:rPr/>
        <w:t>concepto compuesto de ciudadano, mantiene la noción </w:t>
      </w:r>
      <w:r>
        <w:rPr>
          <w:spacing w:val="2"/>
        </w:rPr>
        <w:t>de </w:t>
      </w:r>
      <w:r>
        <w:rPr/>
        <w:t>concentración de necesidades y satisfacción de necesidades, pero ya en situación de monopolio  y  no de mercado. Por el hecho de ser ciudadano y por la inexistencia de mercado </w:t>
      </w:r>
      <w:r>
        <w:rPr>
          <w:spacing w:val="24"/>
        </w:rPr>
        <w:t> </w:t>
      </w:r>
      <w:r>
        <w:rPr/>
        <w:t>no</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8"/>
        <w:jc w:val="both"/>
      </w:pPr>
      <w:r>
        <w:rPr/>
        <w:t>procede la referencia a la jerarquía de necesidades sometidas a la disponibilidad  de pagar. </w:t>
      </w:r>
      <w:r>
        <w:rPr>
          <w:spacing w:val="2"/>
        </w:rPr>
        <w:t>El </w:t>
      </w:r>
      <w:r>
        <w:rPr/>
        <w:t>ciudadano-cliente exige individualmente </w:t>
      </w:r>
      <w:r>
        <w:rPr>
          <w:spacing w:val="-3"/>
        </w:rPr>
        <w:t>la </w:t>
      </w:r>
      <w:r>
        <w:rPr/>
        <w:t>satisfacción  de  necesidades individuales que paga colectivamente como ciudadano-contribuyente (Parrado y Ruiz, 2010:</w:t>
      </w:r>
      <w:r>
        <w:rPr>
          <w:spacing w:val="29"/>
        </w:rPr>
        <w:t> </w:t>
      </w:r>
      <w:r>
        <w:rPr/>
        <w:t>58).</w:t>
      </w:r>
    </w:p>
    <w:p>
      <w:pPr>
        <w:pStyle w:val="BodyText"/>
        <w:spacing w:line="364" w:lineRule="auto" w:before="5"/>
        <w:ind w:left="115" w:right="107" w:firstLine="686"/>
        <w:jc w:val="both"/>
      </w:pPr>
      <w:r>
        <w:rPr/>
        <w:t>Así, en el contrato social los ciudadanos, en calidad de clientes, adoptan un rol </w:t>
      </w:r>
      <w:r>
        <w:rPr>
          <w:spacing w:val="-3"/>
        </w:rPr>
        <w:t>más </w:t>
      </w:r>
      <w:r>
        <w:rPr/>
        <w:t>activo. Si el Estado </w:t>
      </w:r>
      <w:r>
        <w:rPr>
          <w:spacing w:val="-3"/>
        </w:rPr>
        <w:t>no </w:t>
      </w:r>
      <w:r>
        <w:rPr/>
        <w:t>cubre las demandas, no se adapta a  las  necesidades cambiantes de </w:t>
      </w:r>
      <w:r>
        <w:rPr>
          <w:spacing w:val="-4"/>
        </w:rPr>
        <w:t>los </w:t>
      </w:r>
      <w:r>
        <w:rPr/>
        <w:t>ciudadanos, corre el riesgo de la desafección política y la deslegitimación de la acción estatal. En esta perspectiva, </w:t>
      </w:r>
      <w:r>
        <w:rPr>
          <w:spacing w:val="3"/>
        </w:rPr>
        <w:t>se </w:t>
      </w:r>
      <w:r>
        <w:rPr/>
        <w:t>hace visible que las bases de </w:t>
      </w:r>
      <w:r>
        <w:rPr>
          <w:spacing w:val="-5"/>
        </w:rPr>
        <w:t>la </w:t>
      </w:r>
      <w:r>
        <w:rPr/>
        <w:t>reforma de la  administración  pública,  están relacionadas con facilitar mayor capacidad de elección al ciudadano. Un primer objetivo proviene de la teoría de </w:t>
      </w:r>
      <w:r>
        <w:rPr>
          <w:spacing w:val="-3"/>
        </w:rPr>
        <w:t>la </w:t>
      </w:r>
      <w:r>
        <w:rPr/>
        <w:t>elección pública, mientras que el segundo es propuesto por los economistas del</w:t>
      </w:r>
      <w:r>
        <w:rPr>
          <w:spacing w:val="45"/>
        </w:rPr>
        <w:t> </w:t>
      </w:r>
      <w:r>
        <w:rPr/>
        <w:t>mercado.</w:t>
      </w:r>
    </w:p>
    <w:p>
      <w:pPr>
        <w:pStyle w:val="BodyText"/>
        <w:spacing w:line="367" w:lineRule="auto"/>
        <w:ind w:left="115" w:right="107" w:firstLine="686"/>
        <w:jc w:val="both"/>
      </w:pPr>
      <w:r>
        <w:rPr/>
        <w:t>Las </w:t>
      </w:r>
      <w:r>
        <w:rPr>
          <w:spacing w:val="-3"/>
        </w:rPr>
        <w:t>dos </w:t>
      </w:r>
      <w:r>
        <w:rPr/>
        <w:t>críticas principales que </w:t>
      </w:r>
      <w:r>
        <w:rPr>
          <w:spacing w:val="-4"/>
        </w:rPr>
        <w:t>la </w:t>
      </w:r>
      <w:r>
        <w:rPr/>
        <w:t>teoría de la elección pública realiza a </w:t>
      </w:r>
      <w:r>
        <w:rPr>
          <w:spacing w:val="-2"/>
        </w:rPr>
        <w:t>las </w:t>
      </w:r>
      <w:r>
        <w:rPr/>
        <w:t>burocracias del gobierno </w:t>
      </w:r>
      <w:r>
        <w:rPr>
          <w:spacing w:val="2"/>
        </w:rPr>
        <w:t>son </w:t>
      </w:r>
      <w:r>
        <w:rPr/>
        <w:t>1) que las burocracias del gobierno restringen </w:t>
      </w:r>
      <w:r>
        <w:rPr>
          <w:spacing w:val="-5"/>
        </w:rPr>
        <w:t>la </w:t>
      </w:r>
      <w:r>
        <w:rPr/>
        <w:t>libertad del individuo y 2) que el poder burocrático tiene que ser reducido a favor   de </w:t>
      </w:r>
      <w:r>
        <w:rPr>
          <w:spacing w:val="-3"/>
        </w:rPr>
        <w:t>la </w:t>
      </w:r>
      <w:r>
        <w:rPr/>
        <w:t>elección. Por su parte los economistas del mercado asumían que </w:t>
      </w:r>
      <w:r>
        <w:rPr>
          <w:spacing w:val="-3"/>
        </w:rPr>
        <w:t>las </w:t>
      </w:r>
      <w:r>
        <w:rPr/>
        <w:t>burocracias del gobierno no ofrecían los incentivos y </w:t>
      </w:r>
      <w:r>
        <w:rPr>
          <w:spacing w:val="-3"/>
        </w:rPr>
        <w:t>las </w:t>
      </w:r>
      <w:r>
        <w:rPr/>
        <w:t>recompensas necesarias para mejorar </w:t>
      </w:r>
      <w:r>
        <w:rPr>
          <w:spacing w:val="3"/>
        </w:rPr>
        <w:t>el </w:t>
      </w:r>
      <w:r>
        <w:rPr/>
        <w:t>rendimiento </w:t>
      </w:r>
      <w:r>
        <w:rPr>
          <w:spacing w:val="2"/>
        </w:rPr>
        <w:t>de </w:t>
      </w:r>
      <w:r>
        <w:rPr>
          <w:spacing w:val="-5"/>
        </w:rPr>
        <w:t>la </w:t>
      </w:r>
      <w:r>
        <w:rPr/>
        <w:t>organización </w:t>
      </w:r>
      <w:r>
        <w:rPr>
          <w:spacing w:val="-4"/>
        </w:rPr>
        <w:t>y, </w:t>
      </w:r>
      <w:r>
        <w:rPr/>
        <w:t>por tanto, los servicios públicos eran menos eficientes, </w:t>
      </w:r>
      <w:r>
        <w:rPr>
          <w:spacing w:val="-3"/>
        </w:rPr>
        <w:t>por </w:t>
      </w:r>
      <w:r>
        <w:rPr>
          <w:spacing w:val="-4"/>
        </w:rPr>
        <w:t>lo </w:t>
      </w:r>
      <w:r>
        <w:rPr/>
        <w:t>que requerían tener incentivos propios del </w:t>
      </w:r>
      <w:r>
        <w:rPr>
          <w:spacing w:val="46"/>
        </w:rPr>
        <w:t> </w:t>
      </w:r>
      <w:r>
        <w:rPr/>
        <w:t>mercado.</w:t>
      </w:r>
    </w:p>
    <w:p>
      <w:pPr>
        <w:pStyle w:val="BodyText"/>
        <w:spacing w:line="364" w:lineRule="auto"/>
        <w:ind w:left="115" w:right="107" w:firstLine="686"/>
        <w:jc w:val="both"/>
      </w:pPr>
      <w:r>
        <w:rPr/>
        <w:t>En algunos países existen “Cartas de Calidad” de los servicios públicos en  las que </w:t>
      </w:r>
      <w:r>
        <w:rPr>
          <w:spacing w:val="2"/>
        </w:rPr>
        <w:t>se </w:t>
      </w:r>
      <w:r>
        <w:rPr/>
        <w:t>obliga a las autoridades a establecer los  estándares  del servicio que  van a cumplir. </w:t>
      </w:r>
      <w:r>
        <w:rPr>
          <w:spacing w:val="3"/>
        </w:rPr>
        <w:t>El </w:t>
      </w:r>
      <w:r>
        <w:rPr/>
        <w:t>establecimiento de estos estándares y la utilización de </w:t>
      </w:r>
      <w:r>
        <w:rPr>
          <w:spacing w:val="-2"/>
        </w:rPr>
        <w:t>los </w:t>
      </w:r>
      <w:r>
        <w:rPr/>
        <w:t>indicadores para determinar en qué medida el rendimiento de los servicios  se acerca a los objetivos establecidos. </w:t>
      </w:r>
      <w:r>
        <w:rPr>
          <w:spacing w:val="-3"/>
        </w:rPr>
        <w:t>Sin </w:t>
      </w:r>
      <w:r>
        <w:rPr/>
        <w:t>embargo, esos objetivos suelen estar negociándose continuamente con los ciudadanos, </w:t>
      </w:r>
      <w:r>
        <w:rPr>
          <w:spacing w:val="-3"/>
        </w:rPr>
        <w:t>lo </w:t>
      </w:r>
      <w:r>
        <w:rPr/>
        <w:t>cual implica que </w:t>
      </w:r>
      <w:r>
        <w:rPr>
          <w:spacing w:val="2"/>
        </w:rPr>
        <w:t>se </w:t>
      </w:r>
      <w:r>
        <w:rPr/>
        <w:t>plasme   por escrito el compromiso que </w:t>
      </w:r>
      <w:r>
        <w:rPr>
          <w:spacing w:val="-3"/>
        </w:rPr>
        <w:t>las </w:t>
      </w:r>
      <w:r>
        <w:rPr/>
        <w:t>burocracias gubernamentales  están dispuestas  a asumir. Estas cartas </w:t>
      </w:r>
      <w:r>
        <w:rPr>
          <w:spacing w:val="3"/>
        </w:rPr>
        <w:t>son </w:t>
      </w:r>
      <w:r>
        <w:rPr/>
        <w:t>en muchos sentidos un nuevo contrato social entre gobierno y ciudadanos (Parrado y Ruiz, 2010:</w:t>
      </w:r>
      <w:r>
        <w:rPr>
          <w:spacing w:val="49"/>
        </w:rPr>
        <w:t> </w:t>
      </w:r>
      <w:r>
        <w:rPr/>
        <w:t>61).</w:t>
      </w:r>
    </w:p>
    <w:p>
      <w:pPr>
        <w:pStyle w:val="BodyText"/>
        <w:spacing w:line="364" w:lineRule="auto" w:before="5"/>
        <w:ind w:left="115" w:right="107" w:firstLine="686"/>
        <w:jc w:val="both"/>
      </w:pPr>
      <w:r>
        <w:rPr/>
        <w:t>El problema de los modelos de calidad en los servicios públicos </w:t>
      </w:r>
      <w:r>
        <w:rPr>
          <w:spacing w:val="-3"/>
        </w:rPr>
        <w:t>es </w:t>
      </w:r>
      <w:r>
        <w:rPr/>
        <w:t>que  suelen confundir la línea entre </w:t>
      </w:r>
      <w:r>
        <w:rPr>
          <w:spacing w:val="-3"/>
        </w:rPr>
        <w:t>lo </w:t>
      </w:r>
      <w:r>
        <w:rPr/>
        <w:t>global y </w:t>
      </w:r>
      <w:r>
        <w:rPr>
          <w:spacing w:val="-6"/>
        </w:rPr>
        <w:t>lo </w:t>
      </w:r>
      <w:r>
        <w:rPr/>
        <w:t>totalitario. También es  un problema  que  se  pretenda   adoptar  como  filosofía  total,  cuyos  resultado   pueden      </w:t>
      </w:r>
      <w:r>
        <w:rPr>
          <w:spacing w:val="31"/>
        </w:rPr>
        <w:t> </w:t>
      </w:r>
      <w:r>
        <w:rPr/>
        <w:t>ser</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20" w:right="105"/>
        <w:jc w:val="right"/>
      </w:pPr>
      <w:r>
        <w:rPr/>
        <w:t>benéficos en el corto plazo, pero puede generar un golpe para la</w:t>
      </w:r>
      <w:r>
        <w:rPr>
          <w:spacing w:val="50"/>
        </w:rPr>
        <w:t> </w:t>
      </w:r>
      <w:r>
        <w:rPr/>
        <w:t>cultura</w:t>
      </w:r>
      <w:r>
        <w:rPr>
          <w:spacing w:val="2"/>
        </w:rPr>
        <w:t> </w:t>
      </w:r>
      <w:r>
        <w:rPr/>
        <w:t>de</w:t>
      </w:r>
      <w:r>
        <w:rPr>
          <w:spacing w:val="-1"/>
          <w:w w:val="101"/>
        </w:rPr>
        <w:t> </w:t>
      </w:r>
      <w:r>
        <w:rPr/>
        <w:t>cooperación en las organizaciones públicas. Sobre todo porque muchos</w:t>
      </w:r>
      <w:r>
        <w:rPr>
          <w:spacing w:val="31"/>
        </w:rPr>
        <w:t> </w:t>
      </w:r>
      <w:r>
        <w:rPr/>
        <w:t>de</w:t>
      </w:r>
      <w:r>
        <w:rPr>
          <w:spacing w:val="51"/>
        </w:rPr>
        <w:t> </w:t>
      </w:r>
      <w:r>
        <w:rPr>
          <w:spacing w:val="-3"/>
        </w:rPr>
        <w:t>los</w:t>
      </w:r>
      <w:r>
        <w:rPr>
          <w:spacing w:val="-1"/>
          <w:w w:val="101"/>
        </w:rPr>
        <w:t> </w:t>
      </w:r>
      <w:r>
        <w:rPr/>
        <w:t>modelos de calidad en las burocracias públicas se desarrollan bajo</w:t>
      </w:r>
      <w:r>
        <w:rPr>
          <w:spacing w:val="-17"/>
        </w:rPr>
        <w:t> </w:t>
      </w:r>
      <w:r>
        <w:rPr/>
        <w:t>una lógica</w:t>
      </w:r>
      <w:r>
        <w:rPr>
          <w:spacing w:val="-1"/>
          <w:w w:val="101"/>
        </w:rPr>
        <w:t> </w:t>
      </w:r>
      <w:r>
        <w:rPr/>
        <w:t>integrista, cuya máxima es satisfacer al cliente “tirano” con demandas</w:t>
      </w:r>
      <w:r>
        <w:rPr>
          <w:spacing w:val="19"/>
        </w:rPr>
        <w:t> </w:t>
      </w:r>
      <w:r>
        <w:rPr>
          <w:spacing w:val="-3"/>
        </w:rPr>
        <w:t>en</w:t>
      </w:r>
      <w:r>
        <w:rPr>
          <w:spacing w:val="6"/>
        </w:rPr>
        <w:t> </w:t>
      </w:r>
      <w:r>
        <w:rPr/>
        <w:t>aumento.</w:t>
      </w:r>
      <w:r>
        <w:rPr>
          <w:spacing w:val="-1"/>
          <w:w w:val="101"/>
        </w:rPr>
        <w:t> </w:t>
      </w:r>
      <w:r>
        <w:rPr/>
        <w:t>Asimismo, los modelos de calidad en los espacios</w:t>
      </w:r>
      <w:r>
        <w:rPr>
          <w:spacing w:val="20"/>
        </w:rPr>
        <w:t> </w:t>
      </w:r>
      <w:r>
        <w:rPr/>
        <w:t>gubernamentales</w:t>
      </w:r>
      <w:r>
        <w:rPr>
          <w:spacing w:val="4"/>
        </w:rPr>
        <w:t> </w:t>
      </w:r>
      <w:r>
        <w:rPr/>
        <w:t>no</w:t>
      </w:r>
      <w:r>
        <w:rPr>
          <w:spacing w:val="-1"/>
          <w:w w:val="101"/>
        </w:rPr>
        <w:t> </w:t>
      </w:r>
      <w:r>
        <w:rPr/>
        <w:t>siempre</w:t>
      </w:r>
      <w:r>
        <w:rPr>
          <w:spacing w:val="39"/>
        </w:rPr>
        <w:t> </w:t>
      </w:r>
      <w:r>
        <w:rPr/>
        <w:t>toman</w:t>
      </w:r>
      <w:r>
        <w:rPr>
          <w:spacing w:val="39"/>
        </w:rPr>
        <w:t> </w:t>
      </w:r>
      <w:r>
        <w:rPr/>
        <w:t>en</w:t>
      </w:r>
      <w:r>
        <w:rPr>
          <w:spacing w:val="46"/>
        </w:rPr>
        <w:t> </w:t>
      </w:r>
      <w:r>
        <w:rPr/>
        <w:t>cuenta</w:t>
      </w:r>
      <w:r>
        <w:rPr>
          <w:spacing w:val="39"/>
        </w:rPr>
        <w:t> </w:t>
      </w:r>
      <w:r>
        <w:rPr/>
        <w:t>la</w:t>
      </w:r>
      <w:r>
        <w:rPr>
          <w:spacing w:val="43"/>
        </w:rPr>
        <w:t> </w:t>
      </w:r>
      <w:r>
        <w:rPr/>
        <w:t>dimensión</w:t>
      </w:r>
      <w:r>
        <w:rPr>
          <w:spacing w:val="43"/>
        </w:rPr>
        <w:t> </w:t>
      </w:r>
      <w:r>
        <w:rPr/>
        <w:t>política</w:t>
      </w:r>
      <w:r>
        <w:rPr>
          <w:spacing w:val="39"/>
        </w:rPr>
        <w:t> </w:t>
      </w:r>
      <w:r>
        <w:rPr/>
        <w:t>y</w:t>
      </w:r>
      <w:r>
        <w:rPr>
          <w:spacing w:val="39"/>
        </w:rPr>
        <w:t> </w:t>
      </w:r>
      <w:r>
        <w:rPr/>
        <w:t>tecnocrática.</w:t>
      </w:r>
      <w:r>
        <w:rPr>
          <w:spacing w:val="39"/>
        </w:rPr>
        <w:t> </w:t>
      </w:r>
      <w:r>
        <w:rPr/>
        <w:t>Incluso</w:t>
      </w:r>
      <w:r>
        <w:rPr>
          <w:spacing w:val="39"/>
        </w:rPr>
        <w:t> </w:t>
      </w:r>
      <w:r>
        <w:rPr>
          <w:spacing w:val="3"/>
        </w:rPr>
        <w:t>se</w:t>
      </w:r>
      <w:r>
        <w:rPr>
          <w:spacing w:val="44"/>
        </w:rPr>
        <w:t> </w:t>
      </w:r>
      <w:r>
        <w:rPr/>
        <w:t>puede</w:t>
      </w:r>
      <w:r>
        <w:rPr>
          <w:spacing w:val="-1"/>
          <w:w w:val="101"/>
        </w:rPr>
        <w:t> </w:t>
      </w:r>
      <w:r>
        <w:rPr/>
        <w:t>apreciar que en muchos casos los modelos de calidad son exitosos porque</w:t>
      </w:r>
      <w:r>
        <w:rPr>
          <w:spacing w:val="4"/>
        </w:rPr>
        <w:t> </w:t>
      </w:r>
      <w:r>
        <w:rPr/>
        <w:t>hay</w:t>
      </w:r>
      <w:r>
        <w:rPr>
          <w:spacing w:val="10"/>
        </w:rPr>
        <w:t> </w:t>
      </w:r>
      <w:r>
        <w:rPr/>
        <w:t>un</w:t>
      </w:r>
      <w:r>
        <w:rPr>
          <w:spacing w:val="-1"/>
          <w:w w:val="101"/>
        </w:rPr>
        <w:t> </w:t>
      </w:r>
      <w:r>
        <w:rPr/>
        <w:t>liderazgo organizativo importante y con legitimidad. Por otro lado, no</w:t>
      </w:r>
      <w:r>
        <w:rPr>
          <w:spacing w:val="42"/>
        </w:rPr>
        <w:t> </w:t>
      </w:r>
      <w:r>
        <w:rPr/>
        <w:t>siempre</w:t>
      </w:r>
      <w:r>
        <w:rPr>
          <w:spacing w:val="15"/>
        </w:rPr>
        <w:t> </w:t>
      </w:r>
      <w:r>
        <w:rPr/>
        <w:t>está</w:t>
      </w:r>
      <w:r>
        <w:rPr>
          <w:spacing w:val="-1"/>
          <w:w w:val="101"/>
        </w:rPr>
        <w:t> </w:t>
      </w:r>
      <w:r>
        <w:rPr/>
        <w:t>claro en qué medida los modelos de calidad cubren la vertiente </w:t>
      </w:r>
      <w:r>
        <w:rPr>
          <w:i/>
        </w:rPr>
        <w:t>micro</w:t>
      </w:r>
      <w:r>
        <w:rPr>
          <w:i/>
          <w:spacing w:val="53"/>
        </w:rPr>
        <w:t> </w:t>
      </w:r>
      <w:r>
        <w:rPr/>
        <w:t>de</w:t>
      </w:r>
      <w:r>
        <w:rPr>
          <w:spacing w:val="59"/>
        </w:rPr>
        <w:t> </w:t>
      </w:r>
      <w:r>
        <w:rPr>
          <w:spacing w:val="-2"/>
        </w:rPr>
        <w:t>las</w:t>
      </w:r>
      <w:r>
        <w:rPr>
          <w:spacing w:val="-1"/>
          <w:w w:val="101"/>
        </w:rPr>
        <w:t> </w:t>
      </w:r>
      <w:r>
        <w:rPr/>
        <w:t>administraciones públicas (mejora </w:t>
      </w:r>
      <w:r>
        <w:rPr>
          <w:spacing w:val="2"/>
        </w:rPr>
        <w:t>del </w:t>
      </w:r>
      <w:r>
        <w:rPr/>
        <w:t>rendimiento de las</w:t>
      </w:r>
      <w:r>
        <w:rPr>
          <w:spacing w:val="22"/>
        </w:rPr>
        <w:t> </w:t>
      </w:r>
      <w:r>
        <w:rPr/>
        <w:t>unidades</w:t>
      </w:r>
      <w:r>
        <w:rPr>
          <w:spacing w:val="13"/>
        </w:rPr>
        <w:t> </w:t>
      </w:r>
      <w:r>
        <w:rPr/>
        <w:t>administrativas,</w:t>
      </w:r>
      <w:r>
        <w:rPr>
          <w:spacing w:val="-1"/>
          <w:w w:val="101"/>
        </w:rPr>
        <w:t> </w:t>
      </w:r>
      <w:r>
        <w:rPr/>
        <w:t>donde destaca la relación entre funcionarios y usuarios); tampoco se</w:t>
      </w:r>
      <w:r>
        <w:rPr>
          <w:spacing w:val="46"/>
        </w:rPr>
        <w:t> </w:t>
      </w:r>
      <w:r>
        <w:rPr/>
        <w:t>ocupan</w:t>
      </w:r>
      <w:r>
        <w:rPr>
          <w:spacing w:val="34"/>
        </w:rPr>
        <w:t> </w:t>
      </w:r>
      <w:r>
        <w:rPr/>
        <w:t>de</w:t>
      </w:r>
      <w:r>
        <w:rPr>
          <w:spacing w:val="-1"/>
          <w:w w:val="101"/>
        </w:rPr>
        <w:t> </w:t>
      </w:r>
      <w:r>
        <w:rPr/>
        <w:t>revisar</w:t>
      </w:r>
      <w:r>
        <w:rPr>
          <w:spacing w:val="47"/>
        </w:rPr>
        <w:t> </w:t>
      </w:r>
      <w:r>
        <w:rPr/>
        <w:t>cómo</w:t>
      </w:r>
      <w:r>
        <w:rPr>
          <w:spacing w:val="47"/>
        </w:rPr>
        <w:t> </w:t>
      </w:r>
      <w:r>
        <w:rPr/>
        <w:t>debe</w:t>
      </w:r>
      <w:r>
        <w:rPr>
          <w:spacing w:val="47"/>
        </w:rPr>
        <w:t> </w:t>
      </w:r>
      <w:r>
        <w:rPr/>
        <w:t>funcionar</w:t>
      </w:r>
      <w:r>
        <w:rPr>
          <w:spacing w:val="47"/>
        </w:rPr>
        <w:t> </w:t>
      </w:r>
      <w:r>
        <w:rPr/>
        <w:t>el</w:t>
      </w:r>
      <w:r>
        <w:rPr>
          <w:spacing w:val="47"/>
        </w:rPr>
        <w:t> </w:t>
      </w:r>
      <w:r>
        <w:rPr>
          <w:spacing w:val="-3"/>
        </w:rPr>
        <w:t>nivel</w:t>
      </w:r>
      <w:r>
        <w:rPr>
          <w:spacing w:val="52"/>
        </w:rPr>
        <w:t> </w:t>
      </w:r>
      <w:r>
        <w:rPr>
          <w:i/>
        </w:rPr>
        <w:t>meso</w:t>
      </w:r>
      <w:r>
        <w:rPr/>
        <w:t>,</w:t>
      </w:r>
      <w:r>
        <w:rPr>
          <w:spacing w:val="45"/>
        </w:rPr>
        <w:t> </w:t>
      </w:r>
      <w:r>
        <w:rPr/>
        <w:t>donde</w:t>
      </w:r>
      <w:r>
        <w:rPr>
          <w:spacing w:val="50"/>
        </w:rPr>
        <w:t> </w:t>
      </w:r>
      <w:r>
        <w:rPr/>
        <w:t>muchas</w:t>
      </w:r>
      <w:r>
        <w:rPr>
          <w:spacing w:val="45"/>
        </w:rPr>
        <w:t> </w:t>
      </w:r>
      <w:r>
        <w:rPr/>
        <w:t>veces</w:t>
      </w:r>
      <w:r>
        <w:rPr>
          <w:spacing w:val="45"/>
        </w:rPr>
        <w:t> </w:t>
      </w:r>
      <w:r>
        <w:rPr>
          <w:spacing w:val="2"/>
        </w:rPr>
        <w:t>se</w:t>
      </w:r>
      <w:r>
        <w:rPr>
          <w:spacing w:val="50"/>
        </w:rPr>
        <w:t> </w:t>
      </w:r>
      <w:r>
        <w:rPr>
          <w:spacing w:val="-3"/>
        </w:rPr>
        <w:t>ubican</w:t>
      </w:r>
      <w:r>
        <w:rPr>
          <w:spacing w:val="53"/>
        </w:rPr>
        <w:t> </w:t>
      </w:r>
      <w:r>
        <w:rPr>
          <w:spacing w:val="-2"/>
        </w:rPr>
        <w:t>los</w:t>
      </w:r>
      <w:r>
        <w:rPr>
          <w:spacing w:val="-1"/>
          <w:w w:val="101"/>
        </w:rPr>
        <w:t> </w:t>
      </w:r>
      <w:r>
        <w:rPr/>
        <w:t>directivos o gestores del </w:t>
      </w:r>
      <w:r>
        <w:rPr>
          <w:spacing w:val="-3"/>
        </w:rPr>
        <w:t>bien </w:t>
      </w:r>
      <w:r>
        <w:rPr/>
        <w:t>público. En</w:t>
      </w:r>
      <w:r>
        <w:rPr>
          <w:spacing w:val="14"/>
        </w:rPr>
        <w:t> </w:t>
      </w:r>
      <w:r>
        <w:rPr/>
        <w:t>el mejor de los casos, los modelos</w:t>
      </w:r>
      <w:r>
        <w:rPr>
          <w:spacing w:val="33"/>
        </w:rPr>
        <w:t> </w:t>
      </w:r>
      <w:r>
        <w:rPr/>
        <w:t>de</w:t>
      </w:r>
      <w:r>
        <w:rPr>
          <w:spacing w:val="-1"/>
          <w:w w:val="101"/>
        </w:rPr>
        <w:t> </w:t>
      </w:r>
      <w:r>
        <w:rPr/>
        <w:t>calidad sólo se preocupan del nivel </w:t>
      </w:r>
      <w:r>
        <w:rPr>
          <w:i/>
        </w:rPr>
        <w:t>macro</w:t>
      </w:r>
      <w:r>
        <w:rPr/>
        <w:t>, apuntando</w:t>
      </w:r>
      <w:r>
        <w:rPr>
          <w:spacing w:val="30"/>
        </w:rPr>
        <w:t> </w:t>
      </w:r>
      <w:r>
        <w:rPr/>
        <w:t>fundamentalmente </w:t>
      </w:r>
      <w:r>
        <w:rPr>
          <w:spacing w:val="34"/>
        </w:rPr>
        <w:t> </w:t>
      </w:r>
      <w:r>
        <w:rPr/>
        <w:t>a</w:t>
      </w:r>
      <w:r>
        <w:rPr>
          <w:w w:val="101"/>
        </w:rPr>
        <w:t> </w:t>
      </w:r>
      <w:r>
        <w:rPr/>
        <w:t>resolver</w:t>
      </w:r>
      <w:r>
        <w:rPr>
          <w:spacing w:val="47"/>
        </w:rPr>
        <w:t> </w:t>
      </w:r>
      <w:r>
        <w:rPr/>
        <w:t>un</w:t>
      </w:r>
      <w:r>
        <w:rPr>
          <w:spacing w:val="50"/>
        </w:rPr>
        <w:t> </w:t>
      </w:r>
      <w:r>
        <w:rPr/>
        <w:t>problema</w:t>
      </w:r>
      <w:r>
        <w:rPr>
          <w:spacing w:val="47"/>
        </w:rPr>
        <w:t> </w:t>
      </w:r>
      <w:r>
        <w:rPr/>
        <w:t>de</w:t>
      </w:r>
      <w:r>
        <w:rPr>
          <w:spacing w:val="47"/>
        </w:rPr>
        <w:t> </w:t>
      </w:r>
      <w:r>
        <w:rPr/>
        <w:t>legitimidad</w:t>
      </w:r>
      <w:r>
        <w:rPr>
          <w:spacing w:val="47"/>
        </w:rPr>
        <w:t> </w:t>
      </w:r>
      <w:r>
        <w:rPr/>
        <w:t>del</w:t>
      </w:r>
      <w:r>
        <w:rPr>
          <w:spacing w:val="47"/>
        </w:rPr>
        <w:t> </w:t>
      </w:r>
      <w:r>
        <w:rPr/>
        <w:t>aparato</w:t>
      </w:r>
      <w:r>
        <w:rPr>
          <w:spacing w:val="47"/>
        </w:rPr>
        <w:t> </w:t>
      </w:r>
      <w:r>
        <w:rPr/>
        <w:t>administrativo</w:t>
      </w:r>
      <w:r>
        <w:rPr>
          <w:spacing w:val="53"/>
        </w:rPr>
        <w:t> </w:t>
      </w:r>
      <w:r>
        <w:rPr/>
        <w:t>(Parrado</w:t>
      </w:r>
      <w:r>
        <w:rPr>
          <w:spacing w:val="47"/>
        </w:rPr>
        <w:t> </w:t>
      </w:r>
      <w:r>
        <w:rPr/>
        <w:t>y</w:t>
      </w:r>
      <w:r>
        <w:rPr>
          <w:spacing w:val="47"/>
        </w:rPr>
        <w:t> </w:t>
      </w:r>
      <w:r>
        <w:rPr/>
        <w:t>Ruiz,</w:t>
      </w:r>
    </w:p>
    <w:p>
      <w:pPr>
        <w:pStyle w:val="BodyText"/>
        <w:ind w:left="115" w:right="191"/>
      </w:pPr>
      <w:r>
        <w:rPr/>
        <w:t>2010: 55).</w:t>
      </w:r>
    </w:p>
    <w:p>
      <w:pPr>
        <w:pStyle w:val="BodyText"/>
        <w:spacing w:line="364" w:lineRule="auto" w:before="138"/>
        <w:ind w:left="115" w:right="104" w:firstLine="686"/>
        <w:jc w:val="both"/>
      </w:pPr>
      <w:r>
        <w:rPr/>
        <w:t>Por otra parte, la calidad no es un concepto de definición unívoca y no siempre suscita el consenso respecto de lo que puede ser. En muchos casos </w:t>
      </w:r>
      <w:r>
        <w:rPr>
          <w:spacing w:val="3"/>
        </w:rPr>
        <w:t>se </w:t>
      </w:r>
      <w:r>
        <w:rPr/>
        <w:t>pretende hacer pasar por calidad a </w:t>
      </w:r>
      <w:r>
        <w:rPr>
          <w:spacing w:val="-5"/>
        </w:rPr>
        <w:t>la </w:t>
      </w:r>
      <w:r>
        <w:rPr/>
        <w:t>agilización y a la mejora  de  los procedimientos internos de </w:t>
      </w:r>
      <w:r>
        <w:rPr>
          <w:spacing w:val="-4"/>
        </w:rPr>
        <w:t>la  </w:t>
      </w:r>
      <w:r>
        <w:rPr/>
        <w:t>organización,  que suelen beneficiar indirectamente  al usuario del servicio. Este tipo de calidad </w:t>
      </w:r>
      <w:r>
        <w:rPr>
          <w:spacing w:val="-3"/>
        </w:rPr>
        <w:t>es </w:t>
      </w:r>
      <w:r>
        <w:rPr/>
        <w:t>“interna”. </w:t>
      </w:r>
      <w:r>
        <w:rPr>
          <w:spacing w:val="2"/>
        </w:rPr>
        <w:t>En  </w:t>
      </w:r>
      <w:r>
        <w:rPr/>
        <w:t>otras  ocasiones  importa </w:t>
      </w:r>
      <w:r>
        <w:rPr>
          <w:spacing w:val="-5"/>
        </w:rPr>
        <w:t>la </w:t>
      </w:r>
      <w:r>
        <w:rPr/>
        <w:t>calidad definida por los ciudadanos, </w:t>
      </w:r>
      <w:r>
        <w:rPr>
          <w:spacing w:val="-4"/>
        </w:rPr>
        <w:t>es </w:t>
      </w:r>
      <w:r>
        <w:rPr/>
        <w:t>decir, </w:t>
      </w:r>
      <w:r>
        <w:rPr>
          <w:spacing w:val="-4"/>
        </w:rPr>
        <w:t>la </w:t>
      </w:r>
      <w:r>
        <w:rPr/>
        <w:t>que repercute en una mejora de la satisfacción del usuario con el servicio, esto significa que se trata de un modelo de calidad</w:t>
      </w:r>
      <w:r>
        <w:rPr>
          <w:spacing w:val="25"/>
        </w:rPr>
        <w:t> </w:t>
      </w:r>
      <w:r>
        <w:rPr/>
        <w:t>“externa”.</w:t>
      </w:r>
    </w:p>
    <w:p>
      <w:pPr>
        <w:pStyle w:val="BodyText"/>
        <w:spacing w:before="11"/>
        <w:rPr>
          <w:sz w:val="17"/>
        </w:rPr>
      </w:pPr>
    </w:p>
    <w:p>
      <w:pPr>
        <w:pStyle w:val="BodyText"/>
        <w:spacing w:line="364" w:lineRule="auto"/>
        <w:ind w:left="115" w:right="107" w:firstLine="686"/>
        <w:jc w:val="both"/>
      </w:pPr>
      <w:r>
        <w:rPr/>
        <w:t>Por otra parte, si bien, el concepto de calidad supone un contrato entre gobierno y ciudadanos, debe aclararse que el origen de su concepción es el sector privado, donde los contratos son de tipo mercantil. Por lo regular este tipo de contratos dependen de la capacidad de compra de los clientes, por lo que sólo se puede establecer cuando haya una cantidad de  recursos  monetarios  que respalden las necesidades y deseos de los clientes. También, el contrato mercantil tiene una cobertura individual. Igualmente, permite diferenciar los productos y/o  los</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8"/>
        <w:jc w:val="both"/>
      </w:pPr>
      <w:r>
        <w:rPr/>
        <w:t>servicios y segmentar o jerarquizar a los clientes en función de su capacidad adquisitiva. En este sentido, el contrato social entre gobierno y ciudadanos, debe cuidar no hacer distinciones entre ciudadanos en función de su contribución y que no se conculque el principio de igualdad.</w:t>
      </w:r>
    </w:p>
    <w:p>
      <w:pPr>
        <w:pStyle w:val="BodyText"/>
        <w:spacing w:line="364" w:lineRule="auto" w:before="5"/>
        <w:ind w:left="115" w:right="105" w:firstLine="686"/>
        <w:jc w:val="both"/>
      </w:pPr>
      <w:r>
        <w:rPr/>
        <w:t>En este marco, </w:t>
      </w:r>
      <w:r>
        <w:rPr>
          <w:spacing w:val="-3"/>
        </w:rPr>
        <w:t>los </w:t>
      </w:r>
      <w:r>
        <w:rPr/>
        <w:t>poderes públicos no pueden concentrarse  exclusivamente en los resultados (outputs), entendidos como  productos  o servicios, como ocurre en el caso de las empresas privadas. El Estado debe preocuparse también del impacto social de sus medidas, </w:t>
      </w:r>
      <w:r>
        <w:rPr>
          <w:spacing w:val="-4"/>
        </w:rPr>
        <w:t>de</w:t>
      </w:r>
      <w:r>
        <w:rPr>
          <w:spacing w:val="55"/>
        </w:rPr>
        <w:t> </w:t>
      </w:r>
      <w:r>
        <w:rPr/>
        <w:t>los  efectos (outcomes), de cómo quedan afectados los distintos grupos sociales por </w:t>
      </w:r>
      <w:r>
        <w:rPr>
          <w:spacing w:val="-5"/>
        </w:rPr>
        <w:t>la </w:t>
      </w:r>
      <w:r>
        <w:rPr/>
        <w:t>actuación administrativa. También ocurre que el proceso de negociación dentro de las burocracias públicas (gobierno central y gobierno local o gobierno y sindicatos de servidores públicos) consume tiempo y dificulta </w:t>
      </w:r>
      <w:r>
        <w:rPr>
          <w:spacing w:val="-4"/>
        </w:rPr>
        <w:t>la</w:t>
      </w:r>
      <w:r>
        <w:rPr>
          <w:spacing w:val="55"/>
        </w:rPr>
        <w:t> </w:t>
      </w:r>
      <w:r>
        <w:rPr/>
        <w:t>implantación de una estrategia </w:t>
      </w:r>
      <w:r>
        <w:rPr>
          <w:spacing w:val="2"/>
        </w:rPr>
        <w:t>de </w:t>
      </w:r>
      <w:r>
        <w:rPr/>
        <w:t>calidad global (Parrado  y Ruiz, 2010:</w:t>
      </w:r>
      <w:r>
        <w:rPr>
          <w:spacing w:val="55"/>
        </w:rPr>
        <w:t> </w:t>
      </w:r>
      <w:r>
        <w:rPr/>
        <w:t>68).</w:t>
      </w:r>
    </w:p>
    <w:p>
      <w:pPr>
        <w:pStyle w:val="BodyText"/>
        <w:rPr>
          <w:sz w:val="22"/>
        </w:rPr>
      </w:pPr>
    </w:p>
    <w:p>
      <w:pPr>
        <w:pStyle w:val="Heading3"/>
        <w:numPr>
          <w:ilvl w:val="2"/>
          <w:numId w:val="8"/>
        </w:numPr>
        <w:tabs>
          <w:tab w:pos="700" w:val="left" w:leader="none"/>
        </w:tabs>
        <w:spacing w:line="240" w:lineRule="auto" w:before="160" w:after="0"/>
        <w:ind w:left="699" w:right="0" w:hanging="583"/>
        <w:jc w:val="both"/>
      </w:pPr>
      <w:bookmarkStart w:name="_TOC_250019" w:id="13"/>
      <w:r>
        <w:rPr/>
        <w:t>Alcances de la calidad</w:t>
      </w:r>
      <w:r>
        <w:rPr>
          <w:spacing w:val="35"/>
        </w:rPr>
        <w:t> </w:t>
      </w:r>
      <w:bookmarkEnd w:id="13"/>
      <w:r>
        <w:rPr/>
        <w:t>educativa</w:t>
      </w:r>
    </w:p>
    <w:p>
      <w:pPr>
        <w:pStyle w:val="BodyText"/>
        <w:spacing w:line="364" w:lineRule="auto" w:before="134"/>
        <w:ind w:left="115" w:right="105"/>
        <w:jc w:val="both"/>
      </w:pPr>
      <w:r>
        <w:rPr/>
        <w:t>La evolución que ha sufrido la investigación educativa </w:t>
      </w:r>
      <w:r>
        <w:rPr>
          <w:spacing w:val="-3"/>
        </w:rPr>
        <w:t>ha </w:t>
      </w:r>
      <w:r>
        <w:rPr/>
        <w:t>sido acorde con  el tiempo, a principios del siglo XX. </w:t>
      </w:r>
      <w:r>
        <w:rPr>
          <w:spacing w:val="2"/>
        </w:rPr>
        <w:t>Así, </w:t>
      </w:r>
      <w:r>
        <w:rPr/>
        <w:t>los problemas </w:t>
      </w:r>
      <w:r>
        <w:rPr>
          <w:spacing w:val="2"/>
        </w:rPr>
        <w:t>de </w:t>
      </w:r>
      <w:r>
        <w:rPr/>
        <w:t>aprendizaje  se  relacionaban con factores hereditarios o genéticos, en contraposición a </w:t>
      </w:r>
      <w:r>
        <w:rPr>
          <w:spacing w:val="-2"/>
        </w:rPr>
        <w:t>los </w:t>
      </w:r>
      <w:r>
        <w:rPr/>
        <w:t>ambientes; luego, con la Segunda Guerra Mundial </w:t>
      </w:r>
      <w:r>
        <w:rPr>
          <w:spacing w:val="-5"/>
        </w:rPr>
        <w:t>la </w:t>
      </w:r>
      <w:r>
        <w:rPr>
          <w:spacing w:val="2"/>
        </w:rPr>
        <w:t>vista </w:t>
      </w:r>
      <w:r>
        <w:rPr/>
        <w:t>se volvió a la escuela; para 1950-1960 </w:t>
      </w:r>
      <w:r>
        <w:rPr>
          <w:spacing w:val="2"/>
        </w:rPr>
        <w:t>se </w:t>
      </w:r>
      <w:r>
        <w:rPr/>
        <w:t>demostraba que </w:t>
      </w:r>
      <w:r>
        <w:rPr>
          <w:spacing w:val="-3"/>
        </w:rPr>
        <w:t>los </w:t>
      </w:r>
      <w:r>
        <w:rPr/>
        <w:t>factores de la escuela no tenían ninguna influencia en los alumnos, para luego certificar que la escuela era garante de desigualdades sociales, incluso con posturas radicales en menosprecio de los menores </w:t>
      </w:r>
      <w:r>
        <w:rPr>
          <w:spacing w:val="2"/>
        </w:rPr>
        <w:t>con </w:t>
      </w:r>
      <w:r>
        <w:rPr/>
        <w:t>hogares</w:t>
      </w:r>
      <w:r>
        <w:rPr>
          <w:spacing w:val="30"/>
        </w:rPr>
        <w:t> </w:t>
      </w:r>
      <w:r>
        <w:rPr/>
        <w:t>desfavorecidos.</w:t>
      </w:r>
    </w:p>
    <w:p>
      <w:pPr>
        <w:pStyle w:val="BodyText"/>
        <w:spacing w:line="364" w:lineRule="auto" w:before="5"/>
        <w:ind w:left="115" w:right="106" w:firstLine="686"/>
        <w:jc w:val="both"/>
      </w:pPr>
      <w:r>
        <w:rPr/>
        <w:t>Posteriormente vino nuevamente el interés por las escuelas, pero con análisis más profundos como prácticas docentes, actitudes y expectativas </w:t>
      </w:r>
      <w:r>
        <w:rPr>
          <w:spacing w:val="-3"/>
        </w:rPr>
        <w:t>de </w:t>
      </w:r>
      <w:r>
        <w:rPr>
          <w:spacing w:val="-2"/>
        </w:rPr>
        <w:t>los </w:t>
      </w:r>
      <w:r>
        <w:rPr/>
        <w:t>diversos actores educativos y hasta los procesos mentales de aprendizaje (psicología y pedagogía); en </w:t>
      </w:r>
      <w:r>
        <w:rPr>
          <w:spacing w:val="-3"/>
        </w:rPr>
        <w:t>la </w:t>
      </w:r>
      <w:r>
        <w:rPr/>
        <w:t>evolución se llega a posturas </w:t>
      </w:r>
      <w:r>
        <w:rPr>
          <w:spacing w:val="-3"/>
        </w:rPr>
        <w:t>más </w:t>
      </w:r>
      <w:r>
        <w:rPr/>
        <w:t>equilibradas que reconocen </w:t>
      </w:r>
      <w:r>
        <w:rPr>
          <w:spacing w:val="-4"/>
        </w:rPr>
        <w:t>la </w:t>
      </w:r>
      <w:r>
        <w:rPr/>
        <w:t>participación de los factores de </w:t>
      </w:r>
      <w:r>
        <w:rPr>
          <w:spacing w:val="-4"/>
        </w:rPr>
        <w:t>la </w:t>
      </w:r>
      <w:r>
        <w:rPr/>
        <w:t>demanda educativa (alumnos, familia, entorno), como los de la oferta educativa (escuela, currículo, materiales, maestros, práctica  pedagógicas,  etc.), hasta el día de hoy en    </w:t>
      </w:r>
      <w:r>
        <w:rPr>
          <w:spacing w:val="9"/>
        </w:rPr>
        <w:t> </w:t>
      </w:r>
      <w:r>
        <w:rPr/>
        <w:t>que  el  interés  se</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9" w:lineRule="auto" w:before="74"/>
        <w:ind w:left="115" w:right="191"/>
      </w:pPr>
      <w:r>
        <w:rPr/>
        <w:t>centra en metodologías mixtas y esperanzas de explicación y comprensión más asertivas.</w:t>
      </w:r>
    </w:p>
    <w:p>
      <w:pPr>
        <w:pStyle w:val="BodyText"/>
        <w:spacing w:line="364" w:lineRule="auto"/>
        <w:ind w:left="115" w:right="108" w:firstLine="686"/>
        <w:jc w:val="both"/>
      </w:pPr>
      <w:r>
        <w:rPr/>
        <w:t>De acuerdo con Jorge Seibold (2000) pueden diferenciarse tres conceptos sobre calidad: el concepto tradicional, la calidad total educativa y la calidad integral educativa:</w:t>
      </w:r>
    </w:p>
    <w:p>
      <w:pPr>
        <w:pStyle w:val="BodyText"/>
        <w:spacing w:line="364" w:lineRule="auto" w:before="5"/>
        <w:ind w:left="115" w:right="107" w:firstLine="686"/>
        <w:jc w:val="both"/>
      </w:pPr>
      <w:r>
        <w:rPr/>
        <w:t>Concepto tradicional. </w:t>
      </w:r>
      <w:r>
        <w:rPr>
          <w:spacing w:val="3"/>
        </w:rPr>
        <w:t>El </w:t>
      </w:r>
      <w:r>
        <w:rPr/>
        <w:t>concepto de «calidad educativa» es relativamente reciente en </w:t>
      </w:r>
      <w:r>
        <w:rPr>
          <w:spacing w:val="-5"/>
        </w:rPr>
        <w:t>la </w:t>
      </w:r>
      <w:r>
        <w:rPr/>
        <w:t>literatura pedagógica. Desde el siglo </w:t>
      </w:r>
      <w:r>
        <w:rPr>
          <w:spacing w:val="-3"/>
        </w:rPr>
        <w:t>XVIII </w:t>
      </w:r>
      <w:r>
        <w:rPr/>
        <w:t>las mejoras en </w:t>
      </w:r>
      <w:r>
        <w:rPr>
          <w:spacing w:val="-5"/>
        </w:rPr>
        <w:t>la  </w:t>
      </w:r>
      <w:r>
        <w:rPr/>
        <w:t>educación se </w:t>
      </w:r>
      <w:r>
        <w:rPr>
          <w:spacing w:val="-3"/>
        </w:rPr>
        <w:t>han </w:t>
      </w:r>
      <w:r>
        <w:rPr/>
        <w:t>ido sucediendo sin solución de  continuidad,  gracias  </w:t>
      </w:r>
      <w:r>
        <w:rPr>
          <w:spacing w:val="3"/>
        </w:rPr>
        <w:t>en </w:t>
      </w:r>
      <w:r>
        <w:rPr/>
        <w:t>gran parte a </w:t>
      </w:r>
      <w:r>
        <w:rPr>
          <w:spacing w:val="-3"/>
        </w:rPr>
        <w:t>las </w:t>
      </w:r>
      <w:r>
        <w:rPr/>
        <w:t>políticas educativas implementadas y a </w:t>
      </w:r>
      <w:r>
        <w:rPr>
          <w:spacing w:val="-5"/>
        </w:rPr>
        <w:t>la </w:t>
      </w:r>
      <w:r>
        <w:rPr/>
        <w:t>variedad de métodos pedagógicos empleados. En todo </w:t>
      </w:r>
      <w:r>
        <w:rPr>
          <w:spacing w:val="3"/>
        </w:rPr>
        <w:t>se </w:t>
      </w:r>
      <w:r>
        <w:rPr/>
        <w:t>buscó solamente crear más escuelas, facilitar el acceso a nuevas poblaciones escolares y mejorar los niveles de enseñanza. La “mejora” de la educación, </w:t>
      </w:r>
      <w:r>
        <w:rPr>
          <w:spacing w:val="2"/>
        </w:rPr>
        <w:t>así </w:t>
      </w:r>
      <w:r>
        <w:rPr/>
        <w:t>se decía, debía cubrir ambos</w:t>
      </w:r>
      <w:r>
        <w:rPr>
          <w:spacing w:val="58"/>
        </w:rPr>
        <w:t> </w:t>
      </w:r>
      <w:r>
        <w:rPr/>
        <w:t>aspectos.</w:t>
      </w:r>
    </w:p>
    <w:p>
      <w:pPr>
        <w:pStyle w:val="BodyText"/>
        <w:spacing w:line="364" w:lineRule="auto"/>
        <w:ind w:left="115" w:right="106" w:firstLine="686"/>
        <w:jc w:val="both"/>
      </w:pPr>
      <w:r>
        <w:rPr/>
        <w:t>A partir de la segunda guerra mundial se produce, en los países </w:t>
      </w:r>
      <w:r>
        <w:rPr>
          <w:spacing w:val="-3"/>
        </w:rPr>
        <w:t>que </w:t>
      </w:r>
      <w:r>
        <w:rPr/>
        <w:t>tenían asegurada una buena infraestructura educativa para toda la población, un movimiento para impulsar una mejora cualitativa de </w:t>
      </w:r>
      <w:r>
        <w:rPr>
          <w:spacing w:val="-5"/>
        </w:rPr>
        <w:t>la </w:t>
      </w:r>
      <w:r>
        <w:rPr/>
        <w:t>educación; esto hizo que se impusiera en la literatura pedagógica y en las políticas científicas el tema de </w:t>
      </w:r>
      <w:r>
        <w:rPr>
          <w:spacing w:val="-5"/>
        </w:rPr>
        <w:t>la </w:t>
      </w:r>
      <w:r>
        <w:rPr/>
        <w:t>“calidad educativa”. La </w:t>
      </w:r>
      <w:r>
        <w:rPr>
          <w:spacing w:val="-2"/>
        </w:rPr>
        <w:t>noción </w:t>
      </w:r>
      <w:r>
        <w:rPr/>
        <w:t>más tradicional de calidad educativa la consideraba como el resultado de </w:t>
      </w:r>
      <w:r>
        <w:rPr>
          <w:spacing w:val="-3"/>
        </w:rPr>
        <w:t>la </w:t>
      </w:r>
      <w:r>
        <w:rPr/>
        <w:t>introducción de más amplios y actualizados  contenidos y  de mejores métodos pedagógicos. El “reformismo pedagógico” suponía un poco ingenuamente que con una simple “modificación de planes” o de “prácticas pedagógicas” </w:t>
      </w:r>
      <w:r>
        <w:rPr>
          <w:spacing w:val="3"/>
        </w:rPr>
        <w:t>se </w:t>
      </w:r>
      <w:r>
        <w:rPr/>
        <w:t>iban a obtener mejores resultados; esta orientación estaba </w:t>
      </w:r>
      <w:r>
        <w:rPr>
          <w:spacing w:val="-2"/>
        </w:rPr>
        <w:t>ligada</w:t>
      </w:r>
      <w:r>
        <w:rPr>
          <w:spacing w:val="59"/>
        </w:rPr>
        <w:t> </w:t>
      </w:r>
      <w:r>
        <w:rPr/>
        <w:t>a evaluaciones con fuertes connotaciones reductoras, centradas en la obtención    de resultados relacionados casi exclusivamente con la esfera de lo </w:t>
      </w:r>
      <w:r>
        <w:rPr>
          <w:spacing w:val="12"/>
        </w:rPr>
        <w:t> </w:t>
      </w:r>
      <w:r>
        <w:rPr/>
        <w:t>cognitivo.</w:t>
      </w:r>
    </w:p>
    <w:p>
      <w:pPr>
        <w:pStyle w:val="BodyText"/>
        <w:spacing w:line="364" w:lineRule="auto" w:before="5"/>
        <w:ind w:left="115" w:right="105" w:firstLine="686"/>
        <w:jc w:val="both"/>
      </w:pPr>
      <w:r>
        <w:rPr/>
        <w:t>Este reduccionismo de </w:t>
      </w:r>
      <w:r>
        <w:rPr>
          <w:spacing w:val="-5"/>
        </w:rPr>
        <w:t>la </w:t>
      </w:r>
      <w:r>
        <w:rPr/>
        <w:t>evaluación tradicional permitió establecer rápidas correlaciones entre el aprendizaje y </w:t>
      </w:r>
      <w:r>
        <w:rPr>
          <w:spacing w:val="4"/>
        </w:rPr>
        <w:t>el </w:t>
      </w:r>
      <w:r>
        <w:rPr/>
        <w:t>contexto socioeconómico de los alumnos. Con ello, y sin examinar otras correlaciones, se atribuyó a causales socioeconómicas </w:t>
      </w:r>
      <w:r>
        <w:rPr>
          <w:spacing w:val="3"/>
        </w:rPr>
        <w:t>el </w:t>
      </w:r>
      <w:r>
        <w:rPr/>
        <w:t>éxito o el fracaso escolar, condiciones  que  ciertamente  afectan al nivel de calidad educativa que esos centros  pueden ofrecer, pero  </w:t>
      </w:r>
      <w:r>
        <w:rPr>
          <w:spacing w:val="-3"/>
        </w:rPr>
        <w:t>que  </w:t>
      </w:r>
      <w:r>
        <w:rPr/>
        <w:t>de ningún modo </w:t>
      </w:r>
      <w:r>
        <w:rPr>
          <w:spacing w:val="-3"/>
        </w:rPr>
        <w:t>lo </w:t>
      </w:r>
      <w:r>
        <w:rPr/>
        <w:t>determinan </w:t>
      </w:r>
      <w:r>
        <w:rPr>
          <w:spacing w:val="5"/>
        </w:rPr>
        <w:t>si </w:t>
      </w:r>
      <w:r>
        <w:rPr/>
        <w:t>se atiende a otras </w:t>
      </w:r>
      <w:r>
        <w:rPr>
          <w:spacing w:val="2"/>
        </w:rPr>
        <w:t> </w:t>
      </w:r>
      <w:r>
        <w:rPr/>
        <w:t>causales.</w:t>
      </w:r>
    </w:p>
    <w:p>
      <w:pPr>
        <w:pStyle w:val="BodyText"/>
        <w:spacing w:line="369" w:lineRule="auto"/>
        <w:ind w:left="115" w:right="109" w:firstLine="686"/>
        <w:jc w:val="both"/>
      </w:pPr>
      <w:r>
        <w:rPr>
          <w:b/>
        </w:rPr>
        <w:t>Calidad total</w:t>
      </w:r>
      <w:r>
        <w:rPr/>
        <w:t>. El concepto de “calidad total” surgió en la postguerra como una  exigencia  de  elevar  </w:t>
      </w:r>
      <w:r>
        <w:rPr>
          <w:spacing w:val="-3"/>
        </w:rPr>
        <w:t>los  </w:t>
      </w:r>
      <w:r>
        <w:rPr/>
        <w:t>valores  estandarizados  de  calidad  que  regían </w:t>
      </w:r>
      <w:r>
        <w:rPr>
          <w:spacing w:val="13"/>
        </w:rPr>
        <w:t> </w:t>
      </w:r>
      <w:r>
        <w:rPr/>
        <w:t>las</w:t>
      </w:r>
    </w:p>
    <w:p>
      <w:pPr>
        <w:spacing w:after="0" w:line="369" w:lineRule="auto"/>
        <w:jc w:val="both"/>
        <w:sectPr>
          <w:footerReference w:type="default" r:id="rId20"/>
          <w:pgSz w:w="11910" w:h="16840"/>
          <w:pgMar w:footer="1457" w:header="0"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6"/>
        <w:jc w:val="both"/>
      </w:pPr>
      <w:r>
        <w:rPr/>
        <w:t>producciones de bienes y servicios en la década de </w:t>
      </w:r>
      <w:r>
        <w:rPr>
          <w:spacing w:val="-3"/>
        </w:rPr>
        <w:t>los </w:t>
      </w:r>
      <w:r>
        <w:rPr/>
        <w:t>30, en orden a satisfacer una </w:t>
      </w:r>
      <w:r>
        <w:rPr>
          <w:spacing w:val="-3"/>
        </w:rPr>
        <w:t>mayor </w:t>
      </w:r>
      <w:r>
        <w:rPr/>
        <w:t>demanda. Pone énfasis en a) </w:t>
      </w:r>
      <w:r>
        <w:rPr>
          <w:spacing w:val="-3"/>
        </w:rPr>
        <w:t>la </w:t>
      </w:r>
      <w:r>
        <w:rPr/>
        <w:t>satisfacción del “cliente” con </w:t>
      </w:r>
      <w:r>
        <w:rPr>
          <w:spacing w:val="-3"/>
        </w:rPr>
        <w:t>sus </w:t>
      </w:r>
      <w:r>
        <w:rPr/>
        <w:t>demandas tanto explícitas como ocultas, b) </w:t>
      </w:r>
      <w:r>
        <w:rPr>
          <w:spacing w:val="-5"/>
        </w:rPr>
        <w:t>la </w:t>
      </w:r>
      <w:r>
        <w:rPr/>
        <w:t>“mejora continua” de </w:t>
      </w:r>
      <w:r>
        <w:rPr>
          <w:spacing w:val="-5"/>
        </w:rPr>
        <w:t>la </w:t>
      </w:r>
      <w:r>
        <w:rPr/>
        <w:t>gestión empresarial y de sus procesos, c) </w:t>
      </w:r>
      <w:r>
        <w:rPr>
          <w:spacing w:val="-3"/>
        </w:rPr>
        <w:t>la </w:t>
      </w:r>
      <w:r>
        <w:rPr/>
        <w:t>necesidad de una “participación” gratificada y gratificante de todos los agentes intervinientes en la producción empresarial y d)    se exige que haya un nivel de “interrelación” de las </w:t>
      </w:r>
      <w:r>
        <w:rPr>
          <w:spacing w:val="1"/>
        </w:rPr>
        <w:t> </w:t>
      </w:r>
      <w:r>
        <w:rPr/>
        <w:t>empresas.</w:t>
      </w:r>
    </w:p>
    <w:p>
      <w:pPr>
        <w:pStyle w:val="BodyText"/>
        <w:spacing w:line="364" w:lineRule="auto" w:before="5"/>
        <w:ind w:left="115" w:right="106" w:firstLine="686"/>
        <w:jc w:val="both"/>
      </w:pPr>
      <w:r>
        <w:rPr/>
        <w:t>Este concepto empresarial ha tenido </w:t>
      </w:r>
      <w:r>
        <w:rPr>
          <w:spacing w:val="2"/>
        </w:rPr>
        <w:t>su </w:t>
      </w:r>
      <w:r>
        <w:rPr/>
        <w:t>versión (versiones) </w:t>
      </w:r>
      <w:r>
        <w:rPr>
          <w:spacing w:val="3"/>
        </w:rPr>
        <w:t>en </w:t>
      </w:r>
      <w:r>
        <w:rPr/>
        <w:t>el campo educativo. El foco se pone en el educando, posición coincidente con los avances  de </w:t>
      </w:r>
      <w:r>
        <w:rPr>
          <w:spacing w:val="-4"/>
        </w:rPr>
        <w:t>la </w:t>
      </w:r>
      <w:r>
        <w:rPr/>
        <w:t>nueva pedagogía que ha desplazado la importancia que en otros tiempos tuvieron los contenidos o los docentes. Son innegables las ventajas que  </w:t>
      </w:r>
      <w:r>
        <w:rPr>
          <w:spacing w:val="-3"/>
        </w:rPr>
        <w:t>los  </w:t>
      </w:r>
      <w:r>
        <w:rPr/>
        <w:t>análisis de </w:t>
      </w:r>
      <w:r>
        <w:rPr>
          <w:spacing w:val="-3"/>
        </w:rPr>
        <w:t>la </w:t>
      </w:r>
      <w:r>
        <w:rPr/>
        <w:t>“calidad total” han introducido en la práctica educativa. Su actitud sistémica </w:t>
      </w:r>
      <w:r>
        <w:rPr>
          <w:spacing w:val="-3"/>
        </w:rPr>
        <w:t>permite </w:t>
      </w:r>
      <w:r>
        <w:rPr/>
        <w:t>ver la escuela como un todo unido a su medio socioeconómico;  sin embargo, el proyecto educativo queda reducido a la simple correspondencia funcional entre objetivos planificados y rendimientos constatados dados en un proceso de continua</w:t>
      </w:r>
      <w:r>
        <w:rPr>
          <w:spacing w:val="31"/>
        </w:rPr>
        <w:t> </w:t>
      </w:r>
      <w:r>
        <w:rPr/>
        <w:t>adecuación.</w:t>
      </w:r>
    </w:p>
    <w:p>
      <w:pPr>
        <w:pStyle w:val="BodyText"/>
        <w:ind w:left="802" w:right="191"/>
      </w:pPr>
      <w:r>
        <w:rPr/>
        <w:t>A esta perspectiva </w:t>
      </w:r>
      <w:r>
        <w:rPr>
          <w:spacing w:val="-5"/>
        </w:rPr>
        <w:t>le </w:t>
      </w:r>
      <w:r>
        <w:rPr/>
        <w:t>falta el impulso de los «fines», que más </w:t>
      </w:r>
      <w:r>
        <w:rPr>
          <w:spacing w:val="-3"/>
        </w:rPr>
        <w:t>allá </w:t>
      </w:r>
      <w:r>
        <w:rPr/>
        <w:t>de </w:t>
      </w:r>
      <w:r>
        <w:rPr>
          <w:spacing w:val="-2"/>
        </w:rPr>
        <w:t>los</w:t>
      </w:r>
    </w:p>
    <w:p>
      <w:pPr>
        <w:pStyle w:val="BodyText"/>
        <w:spacing w:line="364" w:lineRule="auto" w:before="138"/>
        <w:ind w:left="115" w:right="104"/>
        <w:jc w:val="both"/>
      </w:pPr>
      <w:r>
        <w:rPr/>
        <w:t>«objetivos» inmediatos anima con sus valores trascendentes el “ideario” </w:t>
      </w:r>
      <w:r>
        <w:rPr>
          <w:spacing w:val="2"/>
        </w:rPr>
        <w:t>del </w:t>
      </w:r>
      <w:r>
        <w:rPr/>
        <w:t>proyecto educativo de una institución. Tal carencia de “fines” hace que muchas veces la perspectiva de la calidad total esté también reñida con los más  elementales principios de la equidad. La “equidad” en educación tiene que ver, en general, con </w:t>
      </w:r>
      <w:r>
        <w:rPr>
          <w:spacing w:val="-4"/>
        </w:rPr>
        <w:t>la </w:t>
      </w:r>
      <w:r>
        <w:rPr/>
        <w:t>igualdad de oportunidades y con el respeto por </w:t>
      </w:r>
      <w:r>
        <w:rPr>
          <w:spacing w:val="-5"/>
        </w:rPr>
        <w:t>la </w:t>
      </w:r>
      <w:r>
        <w:rPr/>
        <w:t>diversidad, tiene  en cuenta la asignación de sus recursos a los más desprotegidos y débiles del Sistema Educativo, que son </w:t>
      </w:r>
      <w:r>
        <w:rPr>
          <w:spacing w:val="-3"/>
        </w:rPr>
        <w:t>los </w:t>
      </w:r>
      <w:r>
        <w:rPr/>
        <w:t>pobres y los sectores marginales de la </w:t>
      </w:r>
      <w:r>
        <w:rPr>
          <w:spacing w:val="30"/>
        </w:rPr>
        <w:t> </w:t>
      </w:r>
      <w:r>
        <w:rPr/>
        <w:t>sociedad.</w:t>
      </w:r>
    </w:p>
    <w:p>
      <w:pPr>
        <w:pStyle w:val="BodyText"/>
        <w:spacing w:line="364" w:lineRule="auto" w:before="5"/>
        <w:ind w:left="115" w:right="108" w:firstLine="686"/>
        <w:jc w:val="both"/>
      </w:pPr>
      <w:r>
        <w:rPr>
          <w:b/>
        </w:rPr>
        <w:t>Calidad integral. </w:t>
      </w:r>
      <w:r>
        <w:rPr/>
        <w:t>Incorpora a </w:t>
      </w:r>
      <w:r>
        <w:rPr>
          <w:spacing w:val="-4"/>
        </w:rPr>
        <w:t>la </w:t>
      </w:r>
      <w:r>
        <w:rPr/>
        <w:t>equidad y a los restantes valores  </w:t>
      </w:r>
      <w:r>
        <w:rPr>
          <w:spacing w:val="-3"/>
        </w:rPr>
        <w:t>en  </w:t>
      </w:r>
      <w:r>
        <w:rPr/>
        <w:t>su  más completa amplitud y profundidad. Formar en valores tiene una trascendencia que va más allá de </w:t>
      </w:r>
      <w:r>
        <w:rPr>
          <w:spacing w:val="-3"/>
        </w:rPr>
        <w:t>la </w:t>
      </w:r>
      <w:r>
        <w:rPr/>
        <w:t>escuela. No se forma para pasar un examen, sino para </w:t>
      </w:r>
      <w:r>
        <w:rPr>
          <w:spacing w:val="-3"/>
        </w:rPr>
        <w:t>la  </w:t>
      </w:r>
      <w:r>
        <w:rPr/>
        <w:t>vida. La calidad integral educativa debe impregnar la totalidad del proceso educativo, y </w:t>
      </w:r>
      <w:r>
        <w:rPr>
          <w:spacing w:val="-3"/>
        </w:rPr>
        <w:t>la </w:t>
      </w:r>
      <w:r>
        <w:rPr/>
        <w:t>evaluación, en correspondencia </w:t>
      </w:r>
      <w:r>
        <w:rPr>
          <w:spacing w:val="2"/>
        </w:rPr>
        <w:t>con </w:t>
      </w:r>
      <w:r>
        <w:rPr/>
        <w:t>este proceso, deberá ayudar a consolidar y no a encubrir </w:t>
      </w:r>
      <w:r>
        <w:rPr>
          <w:spacing w:val="-3"/>
        </w:rPr>
        <w:t>la </w:t>
      </w:r>
      <w:r>
        <w:rPr/>
        <w:t>transformación educativa en marcha en cualquier institución escolar. Todo eso nos hace presentir que esta «calidad  integral» no  será fácil de evaluar por los métodos</w:t>
      </w:r>
      <w:r>
        <w:rPr>
          <w:spacing w:val="46"/>
        </w:rPr>
        <w:t> </w:t>
      </w:r>
      <w:r>
        <w:rPr/>
        <w:t>actuales.</w:t>
      </w:r>
    </w:p>
    <w:p>
      <w:pPr>
        <w:spacing w:after="0" w:line="364" w:lineRule="auto"/>
        <w:jc w:val="both"/>
        <w:sectPr>
          <w:footerReference w:type="default" r:id="rId21"/>
          <w:pgSz w:w="11910" w:h="16840"/>
          <w:pgMar w:footer="1457" w:header="0" w:top="1580" w:bottom="1640" w:left="1540" w:right="1540"/>
          <w:pgNumType w:start="71"/>
        </w:sectPr>
      </w:pPr>
    </w:p>
    <w:p>
      <w:pPr>
        <w:pStyle w:val="BodyText"/>
        <w:rPr>
          <w:sz w:val="20"/>
        </w:rPr>
      </w:pPr>
    </w:p>
    <w:p>
      <w:pPr>
        <w:pStyle w:val="BodyText"/>
        <w:spacing w:before="2"/>
        <w:rPr>
          <w:sz w:val="16"/>
        </w:rPr>
      </w:pPr>
    </w:p>
    <w:p>
      <w:pPr>
        <w:pStyle w:val="BodyText"/>
        <w:spacing w:line="364" w:lineRule="auto" w:before="74"/>
        <w:ind w:left="116" w:right="107" w:firstLine="686"/>
        <w:jc w:val="both"/>
      </w:pPr>
      <w:r>
        <w:rPr/>
        <w:t>La calidad educativa de </w:t>
      </w:r>
      <w:r>
        <w:rPr>
          <w:spacing w:val="-3"/>
        </w:rPr>
        <w:t>una </w:t>
      </w:r>
      <w:r>
        <w:rPr/>
        <w:t>institución escolar puede ser evaluada de un modo integral si </w:t>
      </w:r>
      <w:r>
        <w:rPr>
          <w:spacing w:val="3"/>
        </w:rPr>
        <w:t>se </w:t>
      </w:r>
      <w:r>
        <w:rPr/>
        <w:t>tienen en cuenta, al menos, tres “factores” que inciden en su conformación: a) sociocultural, </w:t>
      </w:r>
      <w:r>
        <w:rPr>
          <w:spacing w:val="2"/>
        </w:rPr>
        <w:t>el </w:t>
      </w:r>
      <w:r>
        <w:rPr/>
        <w:t>cual </w:t>
      </w:r>
      <w:r>
        <w:rPr>
          <w:spacing w:val="-3"/>
        </w:rPr>
        <w:t>es </w:t>
      </w:r>
      <w:r>
        <w:rPr/>
        <w:t>un factor que supone que la institución escolar vive y se desarrolla, en el </w:t>
      </w:r>
      <w:r>
        <w:rPr>
          <w:spacing w:val="3"/>
        </w:rPr>
        <w:t>se </w:t>
      </w:r>
      <w:r>
        <w:rPr/>
        <w:t>descubren las aspiraciones y necesidades   más elementales de la familia y de la comunidad, también anidan las demandas y las problemáticas </w:t>
      </w:r>
      <w:r>
        <w:rPr>
          <w:spacing w:val="-3"/>
        </w:rPr>
        <w:t>más </w:t>
      </w:r>
      <w:r>
        <w:rPr/>
        <w:t>acuciantes que agitan a los jóvenes y conmueven a </w:t>
      </w:r>
      <w:r>
        <w:rPr>
          <w:spacing w:val="-5"/>
        </w:rPr>
        <w:t>la </w:t>
      </w:r>
      <w:r>
        <w:rPr/>
        <w:t>comunidad; b) institucional-organizativo, factor referido a directivos, docentes, personal administrativo y de servicios, padres </w:t>
      </w:r>
      <w:r>
        <w:rPr>
          <w:spacing w:val="-4"/>
        </w:rPr>
        <w:t>y, </w:t>
      </w:r>
      <w:r>
        <w:rPr/>
        <w:t>en general, toda </w:t>
      </w:r>
      <w:r>
        <w:rPr>
          <w:spacing w:val="-4"/>
        </w:rPr>
        <w:t>la </w:t>
      </w:r>
      <w:r>
        <w:rPr/>
        <w:t>comunidad educativa; c) didáctico-pedagógico, que se refiere  al nuevo  rol </w:t>
      </w:r>
      <w:r>
        <w:rPr>
          <w:spacing w:val="2"/>
        </w:rPr>
        <w:t>del </w:t>
      </w:r>
      <w:r>
        <w:rPr/>
        <w:t>maestro, deja  de ser mero transmisor para convertirse en acompañante de sus alumnos. Como  se puede observar, los indicadores de calidad integral son </w:t>
      </w:r>
      <w:r>
        <w:rPr>
          <w:spacing w:val="-3"/>
        </w:rPr>
        <w:t>más </w:t>
      </w:r>
      <w:r>
        <w:rPr/>
        <w:t>exigentes, porque están calibrados </w:t>
      </w:r>
      <w:r>
        <w:rPr>
          <w:spacing w:val="3"/>
        </w:rPr>
        <w:t>en </w:t>
      </w:r>
      <w:r>
        <w:rPr/>
        <w:t>valores y no en actividades</w:t>
      </w:r>
      <w:r>
        <w:rPr>
          <w:spacing w:val="51"/>
        </w:rPr>
        <w:t> </w:t>
      </w:r>
      <w:r>
        <w:rPr/>
        <w:t>pragmáticas.</w:t>
      </w:r>
    </w:p>
    <w:p>
      <w:pPr>
        <w:pStyle w:val="BodyText"/>
        <w:rPr>
          <w:sz w:val="22"/>
        </w:rPr>
      </w:pPr>
    </w:p>
    <w:p>
      <w:pPr>
        <w:pStyle w:val="Heading3"/>
        <w:numPr>
          <w:ilvl w:val="2"/>
          <w:numId w:val="8"/>
        </w:numPr>
        <w:tabs>
          <w:tab w:pos="702" w:val="left" w:leader="none"/>
        </w:tabs>
        <w:spacing w:line="240" w:lineRule="auto" w:before="155" w:after="0"/>
        <w:ind w:left="701" w:right="0" w:hanging="585"/>
        <w:jc w:val="both"/>
      </w:pPr>
      <w:bookmarkStart w:name="_TOC_250018" w:id="14"/>
      <w:r>
        <w:rPr/>
        <w:t>La calidad y los</w:t>
      </w:r>
      <w:r>
        <w:rPr>
          <w:spacing w:val="34"/>
        </w:rPr>
        <w:t> </w:t>
      </w:r>
      <w:bookmarkEnd w:id="14"/>
      <w:r>
        <w:rPr/>
        <w:t>procesos</w:t>
      </w:r>
    </w:p>
    <w:p>
      <w:pPr>
        <w:pStyle w:val="BodyText"/>
        <w:spacing w:line="364" w:lineRule="auto" w:before="138"/>
        <w:ind w:left="116" w:right="106"/>
        <w:jc w:val="both"/>
      </w:pPr>
      <w:r>
        <w:rPr/>
        <w:t>Laura Elena Yzaguirre (2005:428) dice que una actividad que utiliza  recursos y   que se administra con el fin de permitir que los elementos </w:t>
      </w:r>
      <w:r>
        <w:rPr>
          <w:spacing w:val="-3"/>
        </w:rPr>
        <w:t>de </w:t>
      </w:r>
      <w:r>
        <w:rPr/>
        <w:t>entrada se  transformen en resultados, </w:t>
      </w:r>
      <w:r>
        <w:rPr>
          <w:spacing w:val="3"/>
        </w:rPr>
        <w:t>se </w:t>
      </w:r>
      <w:r>
        <w:rPr/>
        <w:t>puede considerar como un proceso; y frecuentemente el resultado de un proceso constituye directamente el elemento de entrada del siguiente proceso. El enfoque hacia procesos dentro  de  </w:t>
      </w:r>
      <w:r>
        <w:rPr>
          <w:spacing w:val="-5"/>
        </w:rPr>
        <w:t>la  </w:t>
      </w:r>
      <w:r>
        <w:rPr/>
        <w:t>organización puede vislumbrarse primeramente a través de la  identificación  de éstos y posteriormente </w:t>
      </w:r>
      <w:r>
        <w:rPr>
          <w:spacing w:val="-5"/>
        </w:rPr>
        <w:t>la </w:t>
      </w:r>
      <w:r>
        <w:rPr/>
        <w:t>concientización del personal de  </w:t>
      </w:r>
      <w:r>
        <w:rPr>
          <w:spacing w:val="-5"/>
        </w:rPr>
        <w:t>la  </w:t>
      </w:r>
      <w:r>
        <w:rPr/>
        <w:t>interacción  entre éstos. De tal suerte, que el concepto de calidad consiste también en una disciplina que requiere constancia en las prácticas y actividades del personal que conforma   </w:t>
      </w:r>
      <w:r>
        <w:rPr>
          <w:spacing w:val="-5"/>
        </w:rPr>
        <w:t>la </w:t>
      </w:r>
      <w:r>
        <w:rPr/>
        <w:t>organización que la desea alcanzar; requiere lógica en </w:t>
      </w:r>
      <w:r>
        <w:rPr>
          <w:spacing w:val="-3"/>
        </w:rPr>
        <w:t>la </w:t>
      </w:r>
      <w:r>
        <w:rPr/>
        <w:t>descripción de </w:t>
      </w:r>
      <w:r>
        <w:rPr>
          <w:spacing w:val="-3"/>
        </w:rPr>
        <w:t>los  </w:t>
      </w:r>
      <w:r>
        <w:rPr/>
        <w:t>pasos que se siguen, sin olvidar el respaldo documental que indica que se busca cierto nivel de calidad (manuales de calidad, política y objetivos de calidad, manual de procesos, manual de procedimientos, instructivos, registros, formatos, entre otros).</w:t>
      </w:r>
    </w:p>
    <w:p>
      <w:pPr>
        <w:pStyle w:val="BodyText"/>
        <w:spacing w:line="364" w:lineRule="auto" w:before="5"/>
        <w:ind w:left="116" w:right="106" w:firstLine="686"/>
        <w:jc w:val="both"/>
      </w:pPr>
      <w:r>
        <w:rPr/>
        <w:t>Adicionalmente, y siguiendo con los escritos de Yzaguirre, la interrelación académica entre los niveles educativos debe determinar una cadena de eficiencia, que  detecte con  oportunidad las  áreas de mejora que  deberían ser atendidas     y</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5"/>
        <w:jc w:val="both"/>
      </w:pPr>
      <w:r>
        <w:rPr/>
        <w:t>solucionadas, </w:t>
      </w:r>
      <w:r>
        <w:rPr>
          <w:spacing w:val="-4"/>
        </w:rPr>
        <w:t>lo </w:t>
      </w:r>
      <w:r>
        <w:rPr/>
        <w:t>cual ayudaría a elevar los índices de eficiencia terminal y de transición; para ello considera tres enfoques: a) eficacia: que los  alumnos  aprendan </w:t>
      </w:r>
      <w:r>
        <w:rPr>
          <w:spacing w:val="-3"/>
        </w:rPr>
        <w:t>lo </w:t>
      </w:r>
      <w:r>
        <w:rPr/>
        <w:t>que realmente deben aprender; b) pertinencia: que </w:t>
      </w:r>
      <w:r>
        <w:rPr>
          <w:spacing w:val="-3"/>
        </w:rPr>
        <w:t>los </w:t>
      </w:r>
      <w:r>
        <w:rPr/>
        <w:t>contenidos respondan adecuadamente a </w:t>
      </w:r>
      <w:r>
        <w:rPr>
          <w:spacing w:val="-4"/>
        </w:rPr>
        <w:t>lo </w:t>
      </w:r>
      <w:r>
        <w:rPr/>
        <w:t>que el individuo necesita para desarrollarse como persona </w:t>
      </w:r>
      <w:r>
        <w:rPr>
          <w:spacing w:val="-3"/>
        </w:rPr>
        <w:t>y; </w:t>
      </w:r>
      <w:r>
        <w:rPr>
          <w:spacing w:val="4"/>
        </w:rPr>
        <w:t>c) </w:t>
      </w:r>
      <w:r>
        <w:rPr/>
        <w:t>procesos: medios que el sistema brinda a los alumnos para el desarrollo de su experiencia educativa (Yzaguirre,</w:t>
      </w:r>
      <w:r>
        <w:rPr>
          <w:spacing w:val="58"/>
        </w:rPr>
        <w:t> </w:t>
      </w:r>
      <w:r>
        <w:rPr/>
        <w:t>2005:430).</w:t>
      </w:r>
    </w:p>
    <w:p>
      <w:pPr>
        <w:pStyle w:val="BodyText"/>
        <w:rPr>
          <w:sz w:val="22"/>
        </w:rPr>
      </w:pPr>
    </w:p>
    <w:p>
      <w:pPr>
        <w:pStyle w:val="Heading3"/>
        <w:numPr>
          <w:ilvl w:val="2"/>
          <w:numId w:val="8"/>
        </w:numPr>
        <w:tabs>
          <w:tab w:pos="699" w:val="left" w:leader="none"/>
        </w:tabs>
        <w:spacing w:line="240" w:lineRule="auto" w:before="155" w:after="0"/>
        <w:ind w:left="698" w:right="0" w:hanging="582"/>
        <w:jc w:val="both"/>
      </w:pPr>
      <w:bookmarkStart w:name="_TOC_250017" w:id="15"/>
      <w:r>
        <w:rPr/>
        <w:t>Dimensiones de la calidad</w:t>
      </w:r>
      <w:r>
        <w:rPr>
          <w:spacing w:val="45"/>
        </w:rPr>
        <w:t> </w:t>
      </w:r>
      <w:bookmarkEnd w:id="15"/>
      <w:r>
        <w:rPr/>
        <w:t>educativa</w:t>
      </w:r>
    </w:p>
    <w:p>
      <w:pPr>
        <w:pStyle w:val="BodyText"/>
        <w:spacing w:line="364" w:lineRule="auto" w:before="138"/>
        <w:ind w:left="115" w:right="107"/>
        <w:jc w:val="both"/>
      </w:pPr>
      <w:r>
        <w:rPr>
          <w:b/>
        </w:rPr>
        <w:t>Dimensión temporal o dinámica: </w:t>
      </w:r>
      <w:r>
        <w:rPr>
          <w:spacing w:val="3"/>
        </w:rPr>
        <w:t>se </w:t>
      </w:r>
      <w:r>
        <w:rPr/>
        <w:t>piensa en plazos; aunque al hablar  de calidad en el sistema educativo no se puede hablar de corto plazo, por ejemplo, no se trata de que un niño hoy responda acertadamente en  </w:t>
      </w:r>
      <w:r>
        <w:rPr>
          <w:spacing w:val="-3"/>
        </w:rPr>
        <w:t>un  </w:t>
      </w:r>
      <w:r>
        <w:rPr/>
        <w:t>examen, sino que  años después utilice los conocimientos y habilidades aprendidos </w:t>
      </w:r>
      <w:r>
        <w:rPr>
          <w:spacing w:val="-3"/>
        </w:rPr>
        <w:t>en </w:t>
      </w:r>
      <w:r>
        <w:rPr>
          <w:spacing w:val="-4"/>
        </w:rPr>
        <w:t>la </w:t>
      </w:r>
      <w:r>
        <w:rPr/>
        <w:t>escuela, en beneficio de su propio desarrollo, con todo lo que esto último </w:t>
      </w:r>
      <w:r>
        <w:rPr>
          <w:spacing w:val="7"/>
        </w:rPr>
        <w:t> </w:t>
      </w:r>
      <w:r>
        <w:rPr/>
        <w:t>conlleve.</w:t>
      </w:r>
    </w:p>
    <w:p>
      <w:pPr>
        <w:pStyle w:val="BodyText"/>
        <w:spacing w:line="364" w:lineRule="auto" w:before="10"/>
        <w:ind w:left="116" w:right="114" w:firstLine="686"/>
        <w:jc w:val="both"/>
      </w:pPr>
      <w:r>
        <w:rPr>
          <w:b/>
        </w:rPr>
        <w:t>Dimensión eficacia: </w:t>
      </w:r>
      <w:r>
        <w:rPr/>
        <w:t>que a su vez se subdivide en otras dos subdimensiones: la relativa a los resultados de corto plazo o eficacia (interna y/o externa); la que se refiere a los resultados de largo plazo: que denominaremos impacto.</w:t>
      </w:r>
    </w:p>
    <w:p>
      <w:pPr>
        <w:pStyle w:val="BodyText"/>
        <w:spacing w:line="364" w:lineRule="auto" w:before="10"/>
        <w:ind w:left="115" w:right="108" w:firstLine="686"/>
        <w:jc w:val="both"/>
      </w:pPr>
      <w:r>
        <w:rPr>
          <w:b/>
        </w:rPr>
        <w:t>Dimensión de equidad o distributiva</w:t>
      </w:r>
      <w:r>
        <w:rPr/>
        <w:t>, que hace referencia a la diversidad de tipos de dificultades que afectan a las escuelas en la consecución de los objetivos de aprendizaje, en correlación con la cuestión de desigualdad, lo que implica que la escuela requiere de apoyar a los alumnos en sus diferencias de aprendizaje y de acuerdo a sus necesidades.</w:t>
      </w:r>
    </w:p>
    <w:p>
      <w:pPr>
        <w:pStyle w:val="BodyText"/>
        <w:rPr>
          <w:sz w:val="22"/>
        </w:rPr>
      </w:pPr>
    </w:p>
    <w:p>
      <w:pPr>
        <w:pStyle w:val="Heading3"/>
        <w:numPr>
          <w:ilvl w:val="2"/>
          <w:numId w:val="8"/>
        </w:numPr>
        <w:tabs>
          <w:tab w:pos="702" w:val="left" w:leader="none"/>
        </w:tabs>
        <w:spacing w:line="240" w:lineRule="auto" w:before="150" w:after="0"/>
        <w:ind w:left="701" w:right="0" w:hanging="585"/>
        <w:jc w:val="both"/>
      </w:pPr>
      <w:bookmarkStart w:name="_TOC_250016" w:id="16"/>
      <w:r>
        <w:rPr/>
        <w:t>Dimensiones de la noción abstracta de</w:t>
      </w:r>
      <w:r>
        <w:rPr>
          <w:spacing w:val="51"/>
        </w:rPr>
        <w:t> </w:t>
      </w:r>
      <w:bookmarkEnd w:id="16"/>
      <w:r>
        <w:rPr/>
        <w:t>calidad</w:t>
      </w:r>
    </w:p>
    <w:p>
      <w:pPr>
        <w:pStyle w:val="BodyText"/>
        <w:spacing w:line="364" w:lineRule="auto" w:before="138"/>
        <w:ind w:left="115" w:right="106"/>
        <w:jc w:val="both"/>
      </w:pPr>
      <w:r>
        <w:rPr/>
        <w:t>Las dimensiones de la noción abstracta de calidad (relevancia, eficacia interna y externa, impacto, equidad y eficiencia) </w:t>
      </w:r>
      <w:r>
        <w:rPr>
          <w:spacing w:val="3"/>
        </w:rPr>
        <w:t>se </w:t>
      </w:r>
      <w:r>
        <w:rPr/>
        <w:t>hacen presentes, diciendo que un  sistema educativo de calidad es aquel que: a) establece un currículo adecuado al entorno en el que </w:t>
      </w:r>
      <w:r>
        <w:rPr>
          <w:spacing w:val="3"/>
        </w:rPr>
        <w:t>se </w:t>
      </w:r>
      <w:r>
        <w:rPr/>
        <w:t>ubica, o sea, </w:t>
      </w:r>
      <w:r>
        <w:rPr>
          <w:spacing w:val="-3"/>
        </w:rPr>
        <w:t>es </w:t>
      </w:r>
      <w:r>
        <w:rPr/>
        <w:t>relevante; b) logra que un gran número de alumnos accedan a la escuela, permanezca en </w:t>
      </w:r>
      <w:r>
        <w:rPr>
          <w:spacing w:val="-3"/>
        </w:rPr>
        <w:t>ella </w:t>
      </w:r>
      <w:r>
        <w:rPr/>
        <w:t>hasta el último grado previsto     y egrese habiendo alcanzado </w:t>
      </w:r>
      <w:r>
        <w:rPr>
          <w:spacing w:val="-3"/>
        </w:rPr>
        <w:t>los </w:t>
      </w:r>
      <w:r>
        <w:rPr/>
        <w:t>objetivos de aprendizaje establecidos (tiene eficacia</w:t>
      </w:r>
      <w:r>
        <w:rPr>
          <w:spacing w:val="29"/>
        </w:rPr>
        <w:t> </w:t>
      </w:r>
      <w:r>
        <w:rPr/>
        <w:t>externa</w:t>
      </w:r>
      <w:r>
        <w:rPr>
          <w:spacing w:val="29"/>
        </w:rPr>
        <w:t> </w:t>
      </w:r>
      <w:r>
        <w:rPr/>
        <w:t>e</w:t>
      </w:r>
      <w:r>
        <w:rPr>
          <w:spacing w:val="29"/>
        </w:rPr>
        <w:t> </w:t>
      </w:r>
      <w:r>
        <w:rPr/>
        <w:t>interna);</w:t>
      </w:r>
      <w:r>
        <w:rPr>
          <w:spacing w:val="29"/>
        </w:rPr>
        <w:t> </w:t>
      </w:r>
      <w:r>
        <w:rPr/>
        <w:t>c)</w:t>
      </w:r>
      <w:r>
        <w:rPr>
          <w:spacing w:val="29"/>
        </w:rPr>
        <w:t> </w:t>
      </w:r>
      <w:r>
        <w:rPr/>
        <w:t>logra</w:t>
      </w:r>
      <w:r>
        <w:rPr>
          <w:spacing w:val="29"/>
        </w:rPr>
        <w:t> </w:t>
      </w:r>
      <w:r>
        <w:rPr/>
        <w:t>que</w:t>
      </w:r>
      <w:r>
        <w:rPr>
          <w:spacing w:val="29"/>
        </w:rPr>
        <w:t> </w:t>
      </w:r>
      <w:r>
        <w:rPr/>
        <w:t>el</w:t>
      </w:r>
      <w:r>
        <w:rPr>
          <w:spacing w:val="29"/>
        </w:rPr>
        <w:t> </w:t>
      </w:r>
      <w:r>
        <w:rPr/>
        <w:t>aprendizaje</w:t>
      </w:r>
      <w:r>
        <w:rPr>
          <w:spacing w:val="29"/>
        </w:rPr>
        <w:t> </w:t>
      </w:r>
      <w:r>
        <w:rPr/>
        <w:t>adquirido</w:t>
      </w:r>
      <w:r>
        <w:rPr>
          <w:spacing w:val="29"/>
        </w:rPr>
        <w:t> </w:t>
      </w:r>
      <w:r>
        <w:rPr/>
        <w:t>por</w:t>
      </w:r>
      <w:r>
        <w:rPr>
          <w:spacing w:val="29"/>
        </w:rPr>
        <w:t> </w:t>
      </w:r>
      <w:r>
        <w:rPr/>
        <w:t>los</w:t>
      </w:r>
      <w:r>
        <w:rPr>
          <w:spacing w:val="35"/>
        </w:rPr>
        <w:t> </w:t>
      </w:r>
      <w:r>
        <w:rPr/>
        <w:t>alumnos</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6"/>
        <w:jc w:val="both"/>
      </w:pPr>
      <w:r>
        <w:rPr/>
        <w:t>sea de largo plazo y que consiga darle utilidad en su vida adulta (tiene impacto positivo); d) evita despilfarros y derroches, aprovechando consecuente y  de  </w:t>
      </w:r>
      <w:r>
        <w:rPr>
          <w:spacing w:val="-5"/>
        </w:rPr>
        <w:t>la </w:t>
      </w:r>
      <w:r>
        <w:rPr/>
        <w:t>mejor manera los recursos asignados (es eficiente); e) las técnicas de medición  han avanzado a </w:t>
      </w:r>
      <w:r>
        <w:rPr>
          <w:spacing w:val="-6"/>
        </w:rPr>
        <w:t>lo </w:t>
      </w:r>
      <w:r>
        <w:rPr/>
        <w:t>largo del siglo </w:t>
      </w:r>
      <w:r>
        <w:rPr>
          <w:spacing w:val="-4"/>
        </w:rPr>
        <w:t>XX, </w:t>
      </w:r>
      <w:r>
        <w:rPr/>
        <w:t>sobresaliendo los acercamientos a </w:t>
      </w:r>
      <w:r>
        <w:rPr>
          <w:spacing w:val="-3"/>
        </w:rPr>
        <w:t>la </w:t>
      </w:r>
      <w:r>
        <w:rPr/>
        <w:t>detección de rasgos latentes o teoría de respuesta a los ítems, lo que permite acercar los enfoques cualitativos a los cuantitativos, </w:t>
      </w:r>
      <w:r>
        <w:rPr>
          <w:spacing w:val="2"/>
        </w:rPr>
        <w:t>con </w:t>
      </w:r>
      <w:r>
        <w:rPr>
          <w:spacing w:val="-3"/>
        </w:rPr>
        <w:t>la </w:t>
      </w:r>
      <w:r>
        <w:rPr/>
        <w:t>certeza de que </w:t>
      </w:r>
      <w:r>
        <w:rPr>
          <w:spacing w:val="-5"/>
        </w:rPr>
        <w:t>la </w:t>
      </w:r>
      <w:r>
        <w:rPr/>
        <w:t>combinación ofrecerá resultados más contundentes, que si se  utilizan  por separado.</w:t>
      </w:r>
    </w:p>
    <w:p>
      <w:pPr>
        <w:pStyle w:val="BodyText"/>
        <w:rPr>
          <w:sz w:val="22"/>
        </w:rPr>
      </w:pPr>
    </w:p>
    <w:p>
      <w:pPr>
        <w:pStyle w:val="Heading3"/>
        <w:numPr>
          <w:ilvl w:val="2"/>
          <w:numId w:val="8"/>
        </w:numPr>
        <w:tabs>
          <w:tab w:pos="699" w:val="left" w:leader="none"/>
        </w:tabs>
        <w:spacing w:line="240" w:lineRule="auto" w:before="155" w:after="0"/>
        <w:ind w:left="698" w:right="0" w:hanging="582"/>
        <w:jc w:val="both"/>
      </w:pPr>
      <w:bookmarkStart w:name="_TOC_250015" w:id="17"/>
      <w:r>
        <w:rPr/>
        <w:t>Tensiones en los componentes de la calidad</w:t>
      </w:r>
      <w:r>
        <w:rPr>
          <w:spacing w:val="62"/>
        </w:rPr>
        <w:t> </w:t>
      </w:r>
      <w:bookmarkEnd w:id="17"/>
      <w:r>
        <w:rPr/>
        <w:t>educativa</w:t>
      </w:r>
    </w:p>
    <w:p>
      <w:pPr>
        <w:pStyle w:val="BodyText"/>
        <w:spacing w:line="364" w:lineRule="auto" w:before="138"/>
        <w:ind w:left="115" w:right="109"/>
        <w:jc w:val="both"/>
      </w:pPr>
      <w:r>
        <w:rPr>
          <w:spacing w:val="-3"/>
        </w:rPr>
        <w:t>Sin </w:t>
      </w:r>
      <w:r>
        <w:rPr/>
        <w:t>embargo, se debe reconocer que un concepto complejo no puede evitar tensiones entre sus dimensiones. </w:t>
      </w:r>
      <w:r>
        <w:rPr>
          <w:spacing w:val="-3"/>
        </w:rPr>
        <w:t>La  </w:t>
      </w:r>
      <w:r>
        <w:rPr/>
        <w:t>eficacia y el impacto implican recursos, y </w:t>
      </w:r>
      <w:r>
        <w:rPr>
          <w:spacing w:val="-5"/>
        </w:rPr>
        <w:t>la  </w:t>
      </w:r>
      <w:r>
        <w:rPr/>
        <w:t>ley de rendimientos decrecientes, que se aplica totalmente en las escuelas,  provoca que llegando a los niveles más altos de esas dimensiones, se </w:t>
      </w:r>
      <w:r>
        <w:rPr>
          <w:spacing w:val="-3"/>
        </w:rPr>
        <w:t>exijan </w:t>
      </w:r>
      <w:r>
        <w:rPr/>
        <w:t>recursos, que resultan desproporcionados, </w:t>
      </w:r>
      <w:r>
        <w:rPr>
          <w:spacing w:val="2"/>
        </w:rPr>
        <w:t>con </w:t>
      </w:r>
      <w:r>
        <w:rPr/>
        <w:t>lo que consecuentemente, </w:t>
      </w:r>
      <w:r>
        <w:rPr>
          <w:spacing w:val="-2"/>
        </w:rPr>
        <w:t>los </w:t>
      </w:r>
      <w:r>
        <w:rPr/>
        <w:t>costos suben y </w:t>
      </w:r>
      <w:r>
        <w:rPr>
          <w:spacing w:val="-4"/>
        </w:rPr>
        <w:t>la </w:t>
      </w:r>
      <w:r>
        <w:rPr/>
        <w:t>eficiencia</w:t>
      </w:r>
      <w:r>
        <w:rPr>
          <w:spacing w:val="48"/>
        </w:rPr>
        <w:t> </w:t>
      </w:r>
      <w:r>
        <w:rPr/>
        <w:t>disminuye.</w:t>
      </w:r>
    </w:p>
    <w:p>
      <w:pPr>
        <w:pStyle w:val="BodyText"/>
        <w:spacing w:line="364" w:lineRule="auto" w:before="5"/>
        <w:ind w:left="115" w:right="109" w:firstLine="686"/>
        <w:jc w:val="both"/>
      </w:pPr>
      <w:r>
        <w:rPr/>
        <w:t>Más notoria es la tensión entre eficiencia y equidad, pues implica tratar con ámbitos desfavorecidos o con alumnos con problemas de aprendizaje (discapacidades mentales y/o físicas) que es todavía más costoso. Nadie en sus cabales pretendería que los objetivos de aprendizaje fueran cubiertos totalmente ante este tipo de alumnos, pero cualquiera admitiría la puesta en marcha de una</w:t>
      </w:r>
    </w:p>
    <w:p>
      <w:pPr>
        <w:pStyle w:val="BodyText"/>
        <w:spacing w:line="328" w:lineRule="auto" w:before="10"/>
        <w:ind w:left="115" w:right="113"/>
        <w:jc w:val="both"/>
        <w:rPr>
          <w:sz w:val="15"/>
        </w:rPr>
      </w:pPr>
      <w:r>
        <w:rPr/>
        <w:t>política compensatoria que apoye a quienes más lo requieran  (Yzaguirre, 2003:186).</w:t>
      </w:r>
      <w:r>
        <w:rPr>
          <w:position w:val="11"/>
          <w:sz w:val="15"/>
        </w:rPr>
        <w:t>8</w:t>
      </w:r>
    </w:p>
    <w:p>
      <w:pPr>
        <w:pStyle w:val="BodyText"/>
        <w:spacing w:before="7"/>
        <w:rPr>
          <w:sz w:val="37"/>
        </w:rPr>
      </w:pPr>
    </w:p>
    <w:p>
      <w:pPr>
        <w:pStyle w:val="Heading3"/>
        <w:numPr>
          <w:ilvl w:val="2"/>
          <w:numId w:val="8"/>
        </w:numPr>
        <w:tabs>
          <w:tab w:pos="701" w:val="left" w:leader="none"/>
        </w:tabs>
        <w:spacing w:line="240" w:lineRule="auto" w:before="0" w:after="0"/>
        <w:ind w:left="700" w:right="0" w:hanging="584"/>
        <w:jc w:val="both"/>
      </w:pPr>
      <w:bookmarkStart w:name="_TOC_250014" w:id="18"/>
      <w:r>
        <w:rPr/>
        <w:t>La calidad como concepto orientador de </w:t>
      </w:r>
      <w:r>
        <w:rPr>
          <w:spacing w:val="5"/>
        </w:rPr>
        <w:t> </w:t>
      </w:r>
      <w:bookmarkEnd w:id="18"/>
      <w:r>
        <w:rPr/>
        <w:t>políticas</w:t>
      </w:r>
    </w:p>
    <w:p>
      <w:pPr>
        <w:pStyle w:val="BodyText"/>
        <w:spacing w:before="2"/>
        <w:rPr>
          <w:b/>
          <w:sz w:val="28"/>
        </w:rPr>
      </w:pPr>
      <w:r>
        <w:rPr/>
        <w:pict>
          <v:line style="position:absolute;mso-position-horizontal-relative:page;mso-position-vertical-relative:paragraph;z-index:1216;mso-wrap-distance-left:0;mso-wrap-distance-right:0" from="82.799004pt,18.567982pt" to="222.958004pt,18.567982pt" stroked="true" strokeweight=".72pt" strokecolor="#000000">
            <w10:wrap type="topAndBottom"/>
          </v:line>
        </w:pict>
      </w:r>
    </w:p>
    <w:p>
      <w:pPr>
        <w:spacing w:line="244" w:lineRule="auto" w:before="46"/>
        <w:ind w:left="115" w:right="103" w:firstLine="0"/>
        <w:jc w:val="both"/>
        <w:rPr>
          <w:sz w:val="19"/>
        </w:rPr>
      </w:pPr>
      <w:r>
        <w:rPr>
          <w:w w:val="105"/>
          <w:position w:val="10"/>
          <w:sz w:val="12"/>
        </w:rPr>
        <w:t>8</w:t>
      </w:r>
      <w:r>
        <w:rPr>
          <w:spacing w:val="7"/>
          <w:w w:val="105"/>
          <w:position w:val="10"/>
          <w:sz w:val="12"/>
        </w:rPr>
        <w:t> </w:t>
      </w:r>
      <w:r>
        <w:rPr>
          <w:w w:val="105"/>
          <w:sz w:val="19"/>
        </w:rPr>
        <w:t>Muñoz</w:t>
      </w:r>
      <w:r>
        <w:rPr>
          <w:spacing w:val="-10"/>
          <w:w w:val="105"/>
          <w:sz w:val="19"/>
        </w:rPr>
        <w:t> </w:t>
      </w:r>
      <w:r>
        <w:rPr>
          <w:w w:val="105"/>
          <w:sz w:val="19"/>
        </w:rPr>
        <w:t>Repiso</w:t>
      </w:r>
      <w:r>
        <w:rPr>
          <w:spacing w:val="-6"/>
          <w:w w:val="105"/>
          <w:sz w:val="19"/>
        </w:rPr>
        <w:t> </w:t>
      </w:r>
      <w:r>
        <w:rPr>
          <w:w w:val="105"/>
          <w:sz w:val="19"/>
        </w:rPr>
        <w:t>y</w:t>
      </w:r>
      <w:r>
        <w:rPr>
          <w:spacing w:val="-10"/>
          <w:w w:val="105"/>
          <w:sz w:val="19"/>
        </w:rPr>
        <w:t> </w:t>
      </w:r>
      <w:r>
        <w:rPr>
          <w:w w:val="105"/>
          <w:sz w:val="19"/>
        </w:rPr>
        <w:t>Murillo</w:t>
      </w:r>
      <w:r>
        <w:rPr>
          <w:spacing w:val="-10"/>
          <w:w w:val="105"/>
          <w:sz w:val="19"/>
        </w:rPr>
        <w:t> </w:t>
      </w:r>
      <w:r>
        <w:rPr>
          <w:w w:val="105"/>
          <w:sz w:val="19"/>
        </w:rPr>
        <w:t>proponen</w:t>
      </w:r>
      <w:r>
        <w:rPr>
          <w:spacing w:val="-10"/>
          <w:w w:val="105"/>
          <w:sz w:val="19"/>
        </w:rPr>
        <w:t> </w:t>
      </w:r>
      <w:r>
        <w:rPr>
          <w:w w:val="105"/>
          <w:sz w:val="19"/>
        </w:rPr>
        <w:t>que</w:t>
      </w:r>
      <w:r>
        <w:rPr>
          <w:spacing w:val="-10"/>
          <w:w w:val="105"/>
          <w:sz w:val="19"/>
        </w:rPr>
        <w:t> </w:t>
      </w:r>
      <w:r>
        <w:rPr>
          <w:spacing w:val="-3"/>
          <w:w w:val="105"/>
          <w:sz w:val="19"/>
        </w:rPr>
        <w:t>la</w:t>
      </w:r>
      <w:r>
        <w:rPr>
          <w:spacing w:val="-10"/>
          <w:w w:val="105"/>
          <w:sz w:val="19"/>
        </w:rPr>
        <w:t> </w:t>
      </w:r>
      <w:r>
        <w:rPr>
          <w:w w:val="105"/>
          <w:sz w:val="19"/>
        </w:rPr>
        <w:t>calidad</w:t>
      </w:r>
      <w:r>
        <w:rPr>
          <w:spacing w:val="-10"/>
          <w:w w:val="105"/>
          <w:sz w:val="19"/>
        </w:rPr>
        <w:t> </w:t>
      </w:r>
      <w:r>
        <w:rPr>
          <w:w w:val="105"/>
          <w:sz w:val="19"/>
        </w:rPr>
        <w:t>educativa</w:t>
      </w:r>
      <w:r>
        <w:rPr>
          <w:spacing w:val="-6"/>
          <w:w w:val="105"/>
          <w:sz w:val="19"/>
        </w:rPr>
        <w:t> </w:t>
      </w:r>
      <w:r>
        <w:rPr>
          <w:w w:val="105"/>
          <w:sz w:val="19"/>
        </w:rPr>
        <w:t>sea</w:t>
      </w:r>
      <w:r>
        <w:rPr>
          <w:spacing w:val="-10"/>
          <w:w w:val="105"/>
          <w:sz w:val="19"/>
        </w:rPr>
        <w:t> </w:t>
      </w:r>
      <w:r>
        <w:rPr>
          <w:w w:val="105"/>
          <w:sz w:val="19"/>
        </w:rPr>
        <w:t>autodefinida</w:t>
      </w:r>
      <w:r>
        <w:rPr>
          <w:spacing w:val="-10"/>
          <w:w w:val="105"/>
          <w:sz w:val="19"/>
        </w:rPr>
        <w:t> </w:t>
      </w:r>
      <w:r>
        <w:rPr>
          <w:w w:val="105"/>
          <w:sz w:val="19"/>
        </w:rPr>
        <w:t>por</w:t>
      </w:r>
      <w:r>
        <w:rPr>
          <w:spacing w:val="-13"/>
          <w:w w:val="105"/>
          <w:sz w:val="19"/>
        </w:rPr>
        <w:t> </w:t>
      </w:r>
      <w:r>
        <w:rPr>
          <w:w w:val="105"/>
          <w:sz w:val="19"/>
        </w:rPr>
        <w:t>las</w:t>
      </w:r>
      <w:r>
        <w:rPr>
          <w:spacing w:val="-14"/>
          <w:w w:val="105"/>
          <w:sz w:val="19"/>
        </w:rPr>
        <w:t> </w:t>
      </w:r>
      <w:r>
        <w:rPr>
          <w:w w:val="105"/>
          <w:sz w:val="19"/>
        </w:rPr>
        <w:t>burocracias</w:t>
      </w:r>
      <w:r>
        <w:rPr>
          <w:spacing w:val="-10"/>
          <w:w w:val="105"/>
          <w:sz w:val="19"/>
        </w:rPr>
        <w:t> </w:t>
      </w:r>
      <w:r>
        <w:rPr>
          <w:w w:val="105"/>
          <w:sz w:val="19"/>
        </w:rPr>
        <w:t>o por los actores sociales del sector educativo, en función de sus objetivos compartidos. </w:t>
      </w:r>
      <w:r>
        <w:rPr>
          <w:spacing w:val="-4"/>
          <w:w w:val="105"/>
          <w:sz w:val="19"/>
        </w:rPr>
        <w:t>En </w:t>
      </w:r>
      <w:r>
        <w:rPr>
          <w:w w:val="105"/>
          <w:sz w:val="19"/>
        </w:rPr>
        <w:t>ese sentido, señalan que es preciso distinguir dos planos de </w:t>
      </w:r>
      <w:r>
        <w:rPr>
          <w:spacing w:val="-3"/>
          <w:w w:val="105"/>
          <w:sz w:val="19"/>
        </w:rPr>
        <w:t>análisis </w:t>
      </w:r>
      <w:r>
        <w:rPr>
          <w:w w:val="105"/>
          <w:sz w:val="19"/>
        </w:rPr>
        <w:t>para conceptualizar </w:t>
      </w:r>
      <w:r>
        <w:rPr>
          <w:i/>
          <w:w w:val="105"/>
          <w:sz w:val="19"/>
        </w:rPr>
        <w:t>calidad </w:t>
      </w:r>
      <w:r>
        <w:rPr>
          <w:i/>
          <w:spacing w:val="-3"/>
          <w:w w:val="105"/>
          <w:sz w:val="19"/>
        </w:rPr>
        <w:t>de </w:t>
      </w:r>
      <w:r>
        <w:rPr>
          <w:i/>
          <w:spacing w:val="-6"/>
          <w:w w:val="105"/>
          <w:sz w:val="19"/>
        </w:rPr>
        <w:t>la </w:t>
      </w:r>
      <w:r>
        <w:rPr>
          <w:i/>
          <w:w w:val="105"/>
          <w:sz w:val="19"/>
        </w:rPr>
        <w:t>educación</w:t>
      </w:r>
      <w:r>
        <w:rPr>
          <w:w w:val="105"/>
          <w:sz w:val="19"/>
        </w:rPr>
        <w:t>: el plano </w:t>
      </w:r>
      <w:r>
        <w:rPr>
          <w:spacing w:val="3"/>
          <w:w w:val="105"/>
          <w:sz w:val="19"/>
        </w:rPr>
        <w:t>de </w:t>
      </w:r>
      <w:r>
        <w:rPr>
          <w:w w:val="105"/>
          <w:sz w:val="19"/>
        </w:rPr>
        <w:t>los fines donde </w:t>
      </w:r>
      <w:r>
        <w:rPr>
          <w:spacing w:val="-4"/>
          <w:w w:val="105"/>
          <w:sz w:val="19"/>
        </w:rPr>
        <w:t>se </w:t>
      </w:r>
      <w:r>
        <w:rPr>
          <w:w w:val="105"/>
          <w:sz w:val="19"/>
        </w:rPr>
        <w:t>pregunta para </w:t>
      </w:r>
      <w:r>
        <w:rPr>
          <w:spacing w:val="-3"/>
          <w:w w:val="105"/>
          <w:sz w:val="19"/>
        </w:rPr>
        <w:t>qué </w:t>
      </w:r>
      <w:r>
        <w:rPr>
          <w:w w:val="105"/>
          <w:sz w:val="19"/>
        </w:rPr>
        <w:t>educar, para quién se educa y qué tipos</w:t>
      </w:r>
      <w:r>
        <w:rPr>
          <w:spacing w:val="-16"/>
          <w:w w:val="105"/>
          <w:sz w:val="19"/>
        </w:rPr>
        <w:t> </w:t>
      </w:r>
      <w:r>
        <w:rPr>
          <w:w w:val="105"/>
          <w:sz w:val="19"/>
        </w:rPr>
        <w:t>de</w:t>
      </w:r>
      <w:r>
        <w:rPr>
          <w:spacing w:val="-7"/>
          <w:w w:val="105"/>
          <w:sz w:val="19"/>
        </w:rPr>
        <w:t> </w:t>
      </w:r>
      <w:r>
        <w:rPr>
          <w:w w:val="105"/>
          <w:sz w:val="19"/>
        </w:rPr>
        <w:t>resultados</w:t>
      </w:r>
      <w:r>
        <w:rPr>
          <w:spacing w:val="-16"/>
          <w:w w:val="105"/>
          <w:sz w:val="19"/>
        </w:rPr>
        <w:t> </w:t>
      </w:r>
      <w:r>
        <w:rPr>
          <w:w w:val="105"/>
          <w:sz w:val="19"/>
        </w:rPr>
        <w:t>se</w:t>
      </w:r>
      <w:r>
        <w:rPr>
          <w:spacing w:val="-12"/>
          <w:w w:val="105"/>
          <w:sz w:val="19"/>
        </w:rPr>
        <w:t> </w:t>
      </w:r>
      <w:r>
        <w:rPr>
          <w:w w:val="105"/>
          <w:sz w:val="19"/>
        </w:rPr>
        <w:t>quieren</w:t>
      </w:r>
      <w:r>
        <w:rPr>
          <w:spacing w:val="-12"/>
          <w:w w:val="105"/>
          <w:sz w:val="19"/>
        </w:rPr>
        <w:t> </w:t>
      </w:r>
      <w:r>
        <w:rPr>
          <w:w w:val="105"/>
          <w:sz w:val="19"/>
        </w:rPr>
        <w:t>conseguir;</w:t>
      </w:r>
      <w:r>
        <w:rPr>
          <w:spacing w:val="-16"/>
          <w:w w:val="105"/>
          <w:sz w:val="19"/>
        </w:rPr>
        <w:t> </w:t>
      </w:r>
      <w:r>
        <w:rPr>
          <w:w w:val="105"/>
          <w:sz w:val="19"/>
        </w:rPr>
        <w:t>y</w:t>
      </w:r>
      <w:r>
        <w:rPr>
          <w:spacing w:val="-13"/>
          <w:w w:val="105"/>
          <w:sz w:val="19"/>
        </w:rPr>
        <w:t> </w:t>
      </w:r>
      <w:r>
        <w:rPr>
          <w:spacing w:val="2"/>
          <w:w w:val="105"/>
          <w:sz w:val="19"/>
        </w:rPr>
        <w:t>el</w:t>
      </w:r>
      <w:r>
        <w:rPr>
          <w:spacing w:val="-13"/>
          <w:w w:val="105"/>
          <w:sz w:val="19"/>
        </w:rPr>
        <w:t> </w:t>
      </w:r>
      <w:r>
        <w:rPr>
          <w:w w:val="105"/>
          <w:sz w:val="19"/>
        </w:rPr>
        <w:t>plano</w:t>
      </w:r>
      <w:r>
        <w:rPr>
          <w:spacing w:val="-16"/>
          <w:w w:val="105"/>
          <w:sz w:val="19"/>
        </w:rPr>
        <w:t> </w:t>
      </w:r>
      <w:r>
        <w:rPr>
          <w:w w:val="105"/>
          <w:sz w:val="19"/>
        </w:rPr>
        <w:t>de</w:t>
      </w:r>
      <w:r>
        <w:rPr>
          <w:spacing w:val="-16"/>
          <w:w w:val="105"/>
          <w:sz w:val="19"/>
        </w:rPr>
        <w:t> </w:t>
      </w:r>
      <w:r>
        <w:rPr>
          <w:w w:val="105"/>
          <w:sz w:val="19"/>
        </w:rPr>
        <w:t>los</w:t>
      </w:r>
      <w:r>
        <w:rPr>
          <w:spacing w:val="-16"/>
          <w:w w:val="105"/>
          <w:sz w:val="19"/>
        </w:rPr>
        <w:t> </w:t>
      </w:r>
      <w:r>
        <w:rPr>
          <w:w w:val="105"/>
          <w:sz w:val="19"/>
        </w:rPr>
        <w:t>procesos</w:t>
      </w:r>
      <w:r>
        <w:rPr>
          <w:spacing w:val="-16"/>
          <w:w w:val="105"/>
          <w:sz w:val="19"/>
        </w:rPr>
        <w:t> </w:t>
      </w:r>
      <w:r>
        <w:rPr>
          <w:w w:val="105"/>
          <w:sz w:val="19"/>
        </w:rPr>
        <w:t>o</w:t>
      </w:r>
      <w:r>
        <w:rPr>
          <w:spacing w:val="-16"/>
          <w:w w:val="105"/>
          <w:sz w:val="19"/>
        </w:rPr>
        <w:t> </w:t>
      </w:r>
      <w:r>
        <w:rPr>
          <w:w w:val="105"/>
          <w:sz w:val="19"/>
        </w:rPr>
        <w:t>medios,</w:t>
      </w:r>
      <w:r>
        <w:rPr>
          <w:spacing w:val="-13"/>
          <w:w w:val="105"/>
          <w:sz w:val="19"/>
        </w:rPr>
        <w:t> </w:t>
      </w:r>
      <w:r>
        <w:rPr>
          <w:w w:val="105"/>
          <w:sz w:val="19"/>
        </w:rPr>
        <w:t>es</w:t>
      </w:r>
      <w:r>
        <w:rPr>
          <w:spacing w:val="-16"/>
          <w:w w:val="105"/>
          <w:sz w:val="19"/>
        </w:rPr>
        <w:t> </w:t>
      </w:r>
      <w:r>
        <w:rPr>
          <w:w w:val="105"/>
          <w:sz w:val="19"/>
        </w:rPr>
        <w:t>decir,</w:t>
      </w:r>
      <w:r>
        <w:rPr>
          <w:spacing w:val="-16"/>
          <w:w w:val="105"/>
          <w:sz w:val="19"/>
        </w:rPr>
        <w:t> </w:t>
      </w:r>
      <w:r>
        <w:rPr>
          <w:w w:val="105"/>
          <w:sz w:val="19"/>
        </w:rPr>
        <w:t>cómo</w:t>
      </w:r>
      <w:r>
        <w:rPr>
          <w:spacing w:val="-12"/>
          <w:w w:val="105"/>
          <w:sz w:val="19"/>
        </w:rPr>
        <w:t> </w:t>
      </w:r>
      <w:r>
        <w:rPr>
          <w:w w:val="105"/>
          <w:sz w:val="19"/>
        </w:rPr>
        <w:t>y</w:t>
      </w:r>
      <w:r>
        <w:rPr>
          <w:spacing w:val="-16"/>
          <w:w w:val="105"/>
          <w:sz w:val="19"/>
        </w:rPr>
        <w:t> </w:t>
      </w:r>
      <w:r>
        <w:rPr>
          <w:w w:val="105"/>
          <w:sz w:val="19"/>
        </w:rPr>
        <w:t>con qué recursos se realiza la educación. Cualquiera que fuese el contenido de los fines de la educación, </w:t>
      </w:r>
      <w:r>
        <w:rPr>
          <w:spacing w:val="-3"/>
          <w:w w:val="105"/>
          <w:sz w:val="19"/>
        </w:rPr>
        <w:t>éste </w:t>
      </w:r>
      <w:r>
        <w:rPr>
          <w:w w:val="105"/>
          <w:sz w:val="19"/>
        </w:rPr>
        <w:t>determinará lo que se entienda por calidad de la educación. Las diferentes nociones </w:t>
      </w:r>
      <w:r>
        <w:rPr>
          <w:spacing w:val="-4"/>
          <w:w w:val="105"/>
          <w:sz w:val="19"/>
        </w:rPr>
        <w:t>de </w:t>
      </w:r>
      <w:r>
        <w:rPr>
          <w:w w:val="105"/>
          <w:sz w:val="19"/>
        </w:rPr>
        <w:t>la calidad dependerán </w:t>
      </w:r>
      <w:r>
        <w:rPr>
          <w:spacing w:val="-3"/>
          <w:w w:val="105"/>
          <w:sz w:val="19"/>
        </w:rPr>
        <w:t>del </w:t>
      </w:r>
      <w:r>
        <w:rPr>
          <w:w w:val="105"/>
          <w:sz w:val="19"/>
        </w:rPr>
        <w:t>grado en que entren en ella elementos que </w:t>
      </w:r>
      <w:r>
        <w:rPr>
          <w:spacing w:val="-3"/>
          <w:w w:val="105"/>
          <w:sz w:val="19"/>
        </w:rPr>
        <w:t>se </w:t>
      </w:r>
      <w:r>
        <w:rPr>
          <w:w w:val="105"/>
          <w:sz w:val="19"/>
        </w:rPr>
        <w:t>consideren básicos.</w:t>
      </w:r>
    </w:p>
    <w:p>
      <w:pPr>
        <w:spacing w:after="0" w:line="244" w:lineRule="auto"/>
        <w:jc w:val="both"/>
        <w:rPr>
          <w:sz w:val="19"/>
        </w:rPr>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4"/>
        <w:jc w:val="both"/>
      </w:pPr>
      <w:r>
        <w:rPr/>
        <w:t>De acuerdo con Inés Aguerrondo (1999) </w:t>
      </w:r>
      <w:r>
        <w:rPr>
          <w:spacing w:val="-5"/>
        </w:rPr>
        <w:t>la </w:t>
      </w:r>
      <w:r>
        <w:rPr/>
        <w:t>calidad es un concepto con cuatro características principales: 1) es complejo y totalizante en la medida en  que  permite ser aplicado a cualquiera de los elementos que entran en el campo de </w:t>
      </w:r>
      <w:r>
        <w:rPr>
          <w:spacing w:val="-4"/>
        </w:rPr>
        <w:t>lo</w:t>
      </w:r>
      <w:r>
        <w:rPr>
          <w:spacing w:val="55"/>
        </w:rPr>
        <w:t> </w:t>
      </w:r>
      <w:r>
        <w:rPr/>
        <w:t>educativo; 2) social e históricamente determinado, es decir, que </w:t>
      </w:r>
      <w:r>
        <w:rPr>
          <w:spacing w:val="5"/>
        </w:rPr>
        <w:t>se </w:t>
      </w:r>
      <w:r>
        <w:rPr>
          <w:spacing w:val="-3"/>
        </w:rPr>
        <w:t>lee </w:t>
      </w:r>
      <w:r>
        <w:rPr/>
        <w:t>de acuerdo con los patrones históricos y culturales que tienen que ver con una realidad específica, con una formación social, en un país y momento concretos; 3) </w:t>
      </w:r>
      <w:r>
        <w:rPr>
          <w:spacing w:val="-3"/>
        </w:rPr>
        <w:t>se </w:t>
      </w:r>
      <w:r>
        <w:rPr/>
        <w:t>constituye en imagen-objetivo de </w:t>
      </w:r>
      <w:r>
        <w:rPr>
          <w:spacing w:val="-4"/>
        </w:rPr>
        <w:t>la </w:t>
      </w:r>
      <w:r>
        <w:rPr/>
        <w:t>Transformación educativa, esto </w:t>
      </w:r>
      <w:r>
        <w:rPr>
          <w:spacing w:val="-4"/>
        </w:rPr>
        <w:t>es </w:t>
      </w:r>
      <w:r>
        <w:rPr/>
        <w:t>que </w:t>
      </w:r>
      <w:r>
        <w:rPr>
          <w:spacing w:val="-4"/>
        </w:rPr>
        <w:t>la  </w:t>
      </w:r>
      <w:r>
        <w:rPr/>
        <w:t>calidad de la educación se define a través </w:t>
      </w:r>
      <w:r>
        <w:rPr>
          <w:spacing w:val="-3"/>
        </w:rPr>
        <w:t>de </w:t>
      </w:r>
      <w:r>
        <w:rPr>
          <w:spacing w:val="3"/>
        </w:rPr>
        <w:t>su </w:t>
      </w:r>
      <w:r>
        <w:rPr/>
        <w:t>ajuste con las demandas de </w:t>
      </w:r>
      <w:r>
        <w:rPr>
          <w:spacing w:val="-5"/>
        </w:rPr>
        <w:t>la </w:t>
      </w:r>
      <w:r>
        <w:rPr/>
        <w:t>sociedad y por tanto en el </w:t>
      </w:r>
      <w:r>
        <w:rPr>
          <w:spacing w:val="-3"/>
        </w:rPr>
        <w:t>eje </w:t>
      </w:r>
      <w:r>
        <w:rPr/>
        <w:t>regidor de la toma de decisiones; y 4) </w:t>
      </w:r>
      <w:r>
        <w:rPr>
          <w:spacing w:val="3"/>
        </w:rPr>
        <w:t>se </w:t>
      </w:r>
      <w:r>
        <w:rPr/>
        <w:t>constituye en patrón de control de </w:t>
      </w:r>
      <w:r>
        <w:rPr>
          <w:spacing w:val="-5"/>
        </w:rPr>
        <w:t>la </w:t>
      </w:r>
      <w:r>
        <w:rPr/>
        <w:t>eficiencia del servicio, puede servir de patrón de comparación para ajustar decisiones y reajustar procesos, </w:t>
      </w:r>
      <w:r>
        <w:rPr>
          <w:spacing w:val="3"/>
        </w:rPr>
        <w:t>un </w:t>
      </w:r>
      <w:r>
        <w:rPr/>
        <w:t>sistema educativo eficiente será aquél que optimizando los medios de que dispone sea capaz de brindar educación de calidad a toda la</w:t>
      </w:r>
      <w:r>
        <w:rPr>
          <w:spacing w:val="47"/>
        </w:rPr>
        <w:t> </w:t>
      </w:r>
      <w:r>
        <w:rPr/>
        <w:t>población.</w:t>
      </w:r>
    </w:p>
    <w:p>
      <w:pPr>
        <w:pStyle w:val="BodyText"/>
        <w:spacing w:line="364" w:lineRule="auto" w:before="10"/>
        <w:ind w:left="115" w:right="110" w:firstLine="686"/>
        <w:jc w:val="both"/>
      </w:pPr>
      <w:r>
        <w:rPr/>
        <w:t>En suma, </w:t>
      </w:r>
      <w:r>
        <w:rPr>
          <w:spacing w:val="-3"/>
        </w:rPr>
        <w:t>la </w:t>
      </w:r>
      <w:r>
        <w:rPr/>
        <w:t>calidad educativa es “mejor educación para toda la población”    </w:t>
      </w:r>
      <w:r>
        <w:rPr>
          <w:spacing w:val="-5"/>
        </w:rPr>
        <w:t>lo </w:t>
      </w:r>
      <w:r>
        <w:rPr/>
        <w:t>que permite rescatar y revalorizar la idea de eficiencia en el campo </w:t>
      </w:r>
      <w:r>
        <w:rPr>
          <w:spacing w:val="-3"/>
        </w:rPr>
        <w:t>de la </w:t>
      </w:r>
      <w:r>
        <w:rPr/>
        <w:t>educación y avanzar hacia la creación de mecanismos y procedimientos </w:t>
      </w:r>
      <w:r>
        <w:rPr>
          <w:spacing w:val="3"/>
        </w:rPr>
        <w:t>de </w:t>
      </w:r>
      <w:r>
        <w:rPr>
          <w:spacing w:val="-3"/>
        </w:rPr>
        <w:t>toma  </w:t>
      </w:r>
      <w:r>
        <w:rPr/>
        <w:t>de decisiones </w:t>
      </w:r>
      <w:r>
        <w:rPr>
          <w:spacing w:val="-3"/>
        </w:rPr>
        <w:t>que </w:t>
      </w:r>
      <w:r>
        <w:rPr/>
        <w:t>instalen criterios de eficiencia educativa a </w:t>
      </w:r>
      <w:r>
        <w:rPr>
          <w:spacing w:val="-3"/>
        </w:rPr>
        <w:t>partir </w:t>
      </w:r>
      <w:r>
        <w:rPr/>
        <w:t>de concretas definiciones pedagógicas de calidad de la</w:t>
      </w:r>
      <w:r>
        <w:rPr>
          <w:spacing w:val="52"/>
        </w:rPr>
        <w:t> </w:t>
      </w:r>
      <w:r>
        <w:rPr/>
        <w:t>educación.</w:t>
      </w:r>
    </w:p>
    <w:p>
      <w:pPr>
        <w:pStyle w:val="BodyText"/>
        <w:rPr>
          <w:sz w:val="22"/>
        </w:rPr>
      </w:pPr>
    </w:p>
    <w:p>
      <w:pPr>
        <w:pStyle w:val="Heading3"/>
        <w:numPr>
          <w:ilvl w:val="2"/>
          <w:numId w:val="8"/>
        </w:numPr>
        <w:tabs>
          <w:tab w:pos="833" w:val="left" w:leader="none"/>
        </w:tabs>
        <w:spacing w:line="240" w:lineRule="auto" w:before="150" w:after="0"/>
        <w:ind w:left="832" w:right="0" w:hanging="716"/>
        <w:jc w:val="both"/>
      </w:pPr>
      <w:bookmarkStart w:name="_TOC_250013" w:id="19"/>
      <w:r>
        <w:rPr/>
        <w:t>Importancia de los paradigmas y sus</w:t>
      </w:r>
      <w:r>
        <w:rPr>
          <w:spacing w:val="53"/>
        </w:rPr>
        <w:t> </w:t>
      </w:r>
      <w:bookmarkEnd w:id="19"/>
      <w:r>
        <w:rPr/>
        <w:t>mediciones</w:t>
      </w:r>
    </w:p>
    <w:p>
      <w:pPr>
        <w:pStyle w:val="BodyText"/>
        <w:spacing w:line="364" w:lineRule="auto" w:before="138"/>
        <w:ind w:left="115" w:right="106"/>
        <w:jc w:val="both"/>
      </w:pPr>
      <w:r>
        <w:rPr/>
        <w:t>De acuerdo con José Zilberstein Toruncha (2000) la calidad de la Educación se refiere a las características del proceso y los resultados de </w:t>
      </w:r>
      <w:r>
        <w:rPr>
          <w:spacing w:val="-3"/>
        </w:rPr>
        <w:t>la </w:t>
      </w:r>
      <w:r>
        <w:rPr/>
        <w:t>formación  del  hombre, condicionados histórica y socialmente, y que toman una expresión  concreta a partir de los paradigmas filosóficos, pedagógicos, psicológicos y sociológicos imperantes en </w:t>
      </w:r>
      <w:r>
        <w:rPr>
          <w:spacing w:val="-3"/>
        </w:rPr>
        <w:t>la </w:t>
      </w:r>
      <w:r>
        <w:rPr/>
        <w:t>sociedad de que se trate. La calidad debe verse  desde una perspectiva multidimensional para lo cual deberán establecerse indicadores que permitan “medirla”, a nivel “macro” (un país, provincia o municipio)  y “micro” (de una escuela, de un salón de clases); </w:t>
      </w:r>
      <w:r>
        <w:rPr>
          <w:spacing w:val="-3"/>
        </w:rPr>
        <w:t>en </w:t>
      </w:r>
      <w:r>
        <w:rPr/>
        <w:t>este segundo nivel deben participar protagónicamente docentes y directivos, para </w:t>
      </w:r>
      <w:r>
        <w:rPr>
          <w:spacing w:val="-3"/>
        </w:rPr>
        <w:t>lo </w:t>
      </w:r>
      <w:r>
        <w:rPr/>
        <w:t>cual </w:t>
      </w:r>
      <w:r>
        <w:rPr>
          <w:spacing w:val="3"/>
        </w:rPr>
        <w:t>se </w:t>
      </w:r>
      <w:r>
        <w:rPr/>
        <w:t>deben </w:t>
      </w:r>
      <w:r>
        <w:rPr>
          <w:spacing w:val="20"/>
        </w:rPr>
        <w:t> </w:t>
      </w:r>
      <w:r>
        <w:rPr/>
        <w:t>capacitar.</w:t>
      </w:r>
    </w:p>
    <w:p>
      <w:pPr>
        <w:pStyle w:val="BodyText"/>
        <w:rPr>
          <w:sz w:val="22"/>
        </w:rPr>
      </w:pPr>
    </w:p>
    <w:p>
      <w:pPr>
        <w:pStyle w:val="Heading3"/>
        <w:numPr>
          <w:ilvl w:val="2"/>
          <w:numId w:val="8"/>
        </w:numPr>
        <w:tabs>
          <w:tab w:pos="834" w:val="left" w:leader="none"/>
        </w:tabs>
        <w:spacing w:line="240" w:lineRule="auto" w:before="155" w:after="0"/>
        <w:ind w:left="833" w:right="0" w:hanging="717"/>
        <w:jc w:val="both"/>
      </w:pPr>
      <w:bookmarkStart w:name="_TOC_250012" w:id="20"/>
      <w:r>
        <w:rPr/>
        <w:t>Calidad educativa como eficacia o logro de</w:t>
      </w:r>
      <w:r>
        <w:rPr>
          <w:spacing w:val="54"/>
        </w:rPr>
        <w:t> </w:t>
      </w:r>
      <w:bookmarkEnd w:id="20"/>
      <w:r>
        <w:rPr/>
        <w:t>metas</w:t>
      </w:r>
    </w:p>
    <w:p>
      <w:pPr>
        <w:spacing w:after="0" w:line="240" w:lineRule="auto"/>
        <w:jc w:val="both"/>
        <w:sectPr>
          <w:pgSz w:w="11910" w:h="16840"/>
          <w:pgMar w:header="0" w:footer="1457" w:top="1580" w:bottom="1640" w:left="1540" w:right="1540"/>
        </w:sectPr>
      </w:pPr>
    </w:p>
    <w:p>
      <w:pPr>
        <w:pStyle w:val="BodyText"/>
        <w:rPr>
          <w:b/>
          <w:sz w:val="20"/>
        </w:rPr>
      </w:pPr>
    </w:p>
    <w:p>
      <w:pPr>
        <w:pStyle w:val="BodyText"/>
        <w:spacing w:before="2"/>
        <w:rPr>
          <w:b/>
          <w:sz w:val="16"/>
        </w:rPr>
      </w:pPr>
    </w:p>
    <w:p>
      <w:pPr>
        <w:pStyle w:val="BodyText"/>
        <w:spacing w:line="364" w:lineRule="auto" w:before="74"/>
        <w:ind w:left="115" w:right="104"/>
        <w:jc w:val="both"/>
      </w:pPr>
      <w:r>
        <w:rPr/>
        <w:t>La mayoría de los expertos, directivos y administradores educativos coinciden en que este concepto </w:t>
      </w:r>
      <w:r>
        <w:rPr>
          <w:spacing w:val="3"/>
        </w:rPr>
        <w:t>se </w:t>
      </w:r>
      <w:r>
        <w:rPr/>
        <w:t>relaciona estrechamente con  </w:t>
      </w:r>
      <w:r>
        <w:rPr>
          <w:spacing w:val="-5"/>
        </w:rPr>
        <w:t>la  </w:t>
      </w:r>
      <w:r>
        <w:rPr/>
        <w:t>noción  de  eficacia, entendida ésta como la medida en que un programa, centro escolar o sistema educativo logra sus metas en función de su misión social. Aunque es frecuente pensar que el alumno es el único indicador para medir la eficacia de </w:t>
      </w:r>
      <w:r>
        <w:rPr>
          <w:spacing w:val="-3"/>
        </w:rPr>
        <w:t>un </w:t>
      </w:r>
      <w:r>
        <w:rPr/>
        <w:t>centro, programa o sistema educativo por su nivel de aprendizaje efectivo alcanzado, </w:t>
      </w:r>
      <w:r>
        <w:rPr>
          <w:spacing w:val="-3"/>
        </w:rPr>
        <w:t>esa </w:t>
      </w:r>
      <w:r>
        <w:rPr/>
        <w:t>visión es errónea. La evaluación de </w:t>
      </w:r>
      <w:r>
        <w:rPr>
          <w:spacing w:val="-3"/>
        </w:rPr>
        <w:t>la </w:t>
      </w:r>
      <w:r>
        <w:rPr/>
        <w:t>eficacia de una política, plan o acción educativa no </w:t>
      </w:r>
      <w:r>
        <w:rPr>
          <w:spacing w:val="3"/>
        </w:rPr>
        <w:t>se </w:t>
      </w:r>
      <w:r>
        <w:rPr/>
        <w:t>restringe a todos los aspectos que constituyen un compromiso explícito </w:t>
      </w:r>
      <w:r>
        <w:rPr>
          <w:spacing w:val="2"/>
        </w:rPr>
        <w:t>con </w:t>
      </w:r>
      <w:r>
        <w:rPr>
          <w:spacing w:val="-4"/>
        </w:rPr>
        <w:t>la </w:t>
      </w:r>
      <w:r>
        <w:rPr/>
        <w:t>comunidad educativa y </w:t>
      </w:r>
      <w:r>
        <w:rPr>
          <w:spacing w:val="-4"/>
        </w:rPr>
        <w:t>la </w:t>
      </w:r>
      <w:r>
        <w:rPr/>
        <w:t>sociedad. Cambios en el ámbito  de trabajo, </w:t>
      </w:r>
      <w:r>
        <w:rPr>
          <w:spacing w:val="-5"/>
        </w:rPr>
        <w:t>la </w:t>
      </w:r>
      <w:r>
        <w:rPr/>
        <w:t>entidad, la reputación institucional o la satisfacción del alumno y padre  de familia o de los contratantes de los egresados también se convierten en indicadores importantes de eficacia (Hernández, 2003: </w:t>
      </w:r>
      <w:r>
        <w:rPr>
          <w:spacing w:val="3"/>
        </w:rPr>
        <w:t> </w:t>
      </w:r>
      <w:r>
        <w:rPr/>
        <w:t>435-436)</w:t>
      </w:r>
    </w:p>
    <w:p>
      <w:pPr>
        <w:pStyle w:val="BodyText"/>
        <w:rPr>
          <w:sz w:val="22"/>
        </w:rPr>
      </w:pPr>
    </w:p>
    <w:p>
      <w:pPr>
        <w:pStyle w:val="Heading3"/>
        <w:numPr>
          <w:ilvl w:val="2"/>
          <w:numId w:val="8"/>
        </w:numPr>
        <w:tabs>
          <w:tab w:pos="833" w:val="left" w:leader="none"/>
        </w:tabs>
        <w:spacing w:line="240" w:lineRule="auto" w:before="155" w:after="0"/>
        <w:ind w:left="832" w:right="0" w:hanging="716"/>
        <w:jc w:val="both"/>
      </w:pPr>
      <w:r>
        <w:rPr/>
        <w:t>La calidad como oportunidades de acceso y </w:t>
      </w:r>
      <w:r>
        <w:rPr>
          <w:spacing w:val="4"/>
        </w:rPr>
        <w:t> </w:t>
      </w:r>
      <w:r>
        <w:rPr/>
        <w:t>permanencia</w:t>
      </w:r>
    </w:p>
    <w:p>
      <w:pPr>
        <w:pStyle w:val="BodyText"/>
        <w:spacing w:line="364" w:lineRule="auto" w:before="138"/>
        <w:ind w:left="115" w:right="106"/>
        <w:jc w:val="both"/>
      </w:pPr>
      <w:r>
        <w:rPr/>
        <w:t>Climent Giné (2007:14) señala que una educación de calidad es caracterizada por ser accesible a todos los ciudadanos, facilitar los recursos personales,  organizativos y materiales, ajustados a </w:t>
      </w:r>
      <w:r>
        <w:rPr>
          <w:spacing w:val="-3"/>
        </w:rPr>
        <w:t>las </w:t>
      </w:r>
      <w:r>
        <w:rPr/>
        <w:t>necesidades </w:t>
      </w:r>
      <w:r>
        <w:rPr>
          <w:spacing w:val="3"/>
        </w:rPr>
        <w:t>de </w:t>
      </w:r>
      <w:r>
        <w:rPr/>
        <w:t>cada uno de los alumnos, para que todos puedan tener </w:t>
      </w:r>
      <w:r>
        <w:rPr>
          <w:spacing w:val="-3"/>
        </w:rPr>
        <w:t>las </w:t>
      </w:r>
      <w:r>
        <w:rPr/>
        <w:t>oportunidades que promoverán </w:t>
      </w:r>
      <w:r>
        <w:rPr>
          <w:spacing w:val="-4"/>
        </w:rPr>
        <w:t>lo </w:t>
      </w:r>
      <w:r>
        <w:rPr/>
        <w:t>más posible, su progreso académico y personal. Promover cambio e innovación en </w:t>
      </w:r>
      <w:r>
        <w:rPr>
          <w:spacing w:val="-4"/>
        </w:rPr>
        <w:t>la</w:t>
      </w:r>
      <w:r>
        <w:rPr>
          <w:spacing w:val="55"/>
        </w:rPr>
        <w:t> </w:t>
      </w:r>
      <w:r>
        <w:rPr/>
        <w:t>institución escolar y en las aulas, posibilitando la reflexión compartida sobre  </w:t>
      </w:r>
      <w:r>
        <w:rPr>
          <w:spacing w:val="-3"/>
        </w:rPr>
        <w:t>la </w:t>
      </w:r>
      <w:r>
        <w:rPr/>
        <w:t>propia práctica docente y el trabajo colaborativo del profesorado; así como promover </w:t>
      </w:r>
      <w:r>
        <w:rPr>
          <w:spacing w:val="-3"/>
        </w:rPr>
        <w:t>la </w:t>
      </w:r>
      <w:r>
        <w:rPr/>
        <w:t>participación del alumnado, tanto en el aprendizaje como en la vida de </w:t>
      </w:r>
      <w:r>
        <w:rPr>
          <w:spacing w:val="-5"/>
        </w:rPr>
        <w:t>la </w:t>
      </w:r>
      <w:r>
        <w:rPr/>
        <w:t>institución, en </w:t>
      </w:r>
      <w:r>
        <w:rPr>
          <w:spacing w:val="2"/>
        </w:rPr>
        <w:t>un </w:t>
      </w:r>
      <w:r>
        <w:rPr/>
        <w:t>marco de valores donde todos se sientan respetados y  valorados como personas: lograr la participación de las familias e insertarse en </w:t>
      </w:r>
      <w:r>
        <w:rPr>
          <w:spacing w:val="-5"/>
        </w:rPr>
        <w:t>la </w:t>
      </w:r>
      <w:r>
        <w:rPr/>
        <w:t>comunidad, así como estimular y facilitar el desarrollo y bienestar del profesorado    y de los demás profesionales del centro</w:t>
      </w:r>
      <w:r>
        <w:rPr>
          <w:spacing w:val="51"/>
        </w:rPr>
        <w:t> </w:t>
      </w:r>
      <w:r>
        <w:rPr/>
        <w:t>educativo.</w:t>
      </w:r>
    </w:p>
    <w:p>
      <w:pPr>
        <w:pStyle w:val="BodyText"/>
        <w:rPr>
          <w:sz w:val="22"/>
        </w:rPr>
      </w:pPr>
    </w:p>
    <w:p>
      <w:pPr>
        <w:pStyle w:val="ListParagraph"/>
        <w:numPr>
          <w:ilvl w:val="2"/>
          <w:numId w:val="8"/>
        </w:numPr>
        <w:tabs>
          <w:tab w:pos="834" w:val="left" w:leader="none"/>
        </w:tabs>
        <w:spacing w:line="240" w:lineRule="auto" w:before="160" w:after="0"/>
        <w:ind w:left="833" w:right="0" w:hanging="717"/>
        <w:jc w:val="both"/>
        <w:rPr>
          <w:b/>
          <w:sz w:val="23"/>
        </w:rPr>
      </w:pPr>
      <w:r>
        <w:rPr>
          <w:b/>
          <w:sz w:val="23"/>
        </w:rPr>
        <w:t>La calidad educativa debe </w:t>
      </w:r>
      <w:r>
        <w:rPr>
          <w:b/>
          <w:spacing w:val="-3"/>
          <w:sz w:val="23"/>
        </w:rPr>
        <w:t>ser </w:t>
      </w:r>
      <w:r>
        <w:rPr>
          <w:b/>
          <w:i/>
          <w:sz w:val="23"/>
        </w:rPr>
        <w:t>productivista </w:t>
      </w:r>
      <w:r>
        <w:rPr>
          <w:b/>
          <w:sz w:val="23"/>
        </w:rPr>
        <w:t>y </w:t>
      </w:r>
      <w:r>
        <w:rPr>
          <w:b/>
          <w:spacing w:val="19"/>
          <w:sz w:val="23"/>
        </w:rPr>
        <w:t> </w:t>
      </w:r>
      <w:r>
        <w:rPr>
          <w:b/>
          <w:sz w:val="23"/>
        </w:rPr>
        <w:t>medible</w:t>
      </w:r>
    </w:p>
    <w:p>
      <w:pPr>
        <w:pStyle w:val="BodyText"/>
        <w:spacing w:line="364" w:lineRule="auto" w:before="138"/>
        <w:ind w:left="115" w:right="109"/>
        <w:jc w:val="both"/>
      </w:pPr>
      <w:r>
        <w:rPr/>
        <w:t>Emilio Gautier, luego de hacer una pequeña historia del  advenimiento  </w:t>
      </w:r>
      <w:r>
        <w:rPr>
          <w:spacing w:val="3"/>
        </w:rPr>
        <w:t>del</w:t>
      </w:r>
      <w:r>
        <w:rPr>
          <w:spacing w:val="69"/>
        </w:rPr>
        <w:t> </w:t>
      </w:r>
      <w:r>
        <w:rPr/>
        <w:t>concepto a partir de la producción fordista y de manera ulterior, </w:t>
      </w:r>
      <w:r>
        <w:rPr>
          <w:spacing w:val="2"/>
        </w:rPr>
        <w:t>con </w:t>
      </w:r>
      <w:r>
        <w:rPr/>
        <w:t>las teorías de desarrollo económico de raigambre neoclásica, que trata de un modelo basado  </w:t>
      </w:r>
      <w:r>
        <w:rPr>
          <w:spacing w:val="39"/>
        </w:rPr>
        <w:t> </w:t>
      </w:r>
      <w:r>
        <w:rPr/>
        <w:t>en</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5"/>
        <w:jc w:val="both"/>
      </w:pPr>
      <w:r>
        <w:rPr/>
        <w:t>resultados, de calidad del producto final, bajo </w:t>
      </w:r>
      <w:r>
        <w:rPr>
          <w:spacing w:val="-3"/>
        </w:rPr>
        <w:t>los </w:t>
      </w:r>
      <w:r>
        <w:rPr/>
        <w:t>cuales se encuentra </w:t>
      </w:r>
      <w:r>
        <w:rPr>
          <w:spacing w:val="-5"/>
        </w:rPr>
        <w:t>la </w:t>
      </w:r>
      <w:r>
        <w:rPr/>
        <w:t>idea de eficiencia social que considera al docente poco menos que obrero en línea, que emplea paquetes instruccionales, cuyos objetivos, actividades y materiales  </w:t>
      </w:r>
      <w:r>
        <w:rPr>
          <w:spacing w:val="-5"/>
        </w:rPr>
        <w:t>le  </w:t>
      </w:r>
      <w:r>
        <w:rPr/>
        <w:t>llegan prefabricados y en el cual, la calidad se mide por fenómenos aislados que   se reportan en el producto</w:t>
      </w:r>
      <w:r>
        <w:rPr>
          <w:spacing w:val="43"/>
        </w:rPr>
        <w:t> </w:t>
      </w:r>
      <w:r>
        <w:rPr>
          <w:spacing w:val="-3"/>
        </w:rPr>
        <w:t>final.</w:t>
      </w:r>
    </w:p>
    <w:p>
      <w:pPr>
        <w:pStyle w:val="BodyText"/>
        <w:spacing w:line="364" w:lineRule="auto" w:before="5"/>
        <w:ind w:left="115" w:right="104" w:firstLine="686"/>
        <w:jc w:val="both"/>
      </w:pPr>
      <w:r>
        <w:rPr/>
        <w:t>Así, como cuestión utilitarista, en donde </w:t>
      </w:r>
      <w:r>
        <w:rPr>
          <w:spacing w:val="-5"/>
        </w:rPr>
        <w:t>la </w:t>
      </w:r>
      <w:r>
        <w:rPr/>
        <w:t>calidad educativa se compone de cuatro elementos: conmensurabilidad, adición, maximización y preferencias exógenas, y que todas ellas tienen </w:t>
      </w:r>
      <w:r>
        <w:rPr>
          <w:spacing w:val="-5"/>
        </w:rPr>
        <w:t>la </w:t>
      </w:r>
      <w:r>
        <w:rPr/>
        <w:t>idea de que los seres humanos debemos actuar racionalmente frente a los diversos desafíos y decisiones de </w:t>
      </w:r>
      <w:r>
        <w:rPr>
          <w:spacing w:val="-3"/>
        </w:rPr>
        <w:t>la </w:t>
      </w:r>
      <w:r>
        <w:rPr/>
        <w:t>vida,  entonces un modelo de educación de calidad debe promover dichos atributos y aquel que los alcance, posee calidad. Dichas características adquieren un carácter normativo.</w:t>
      </w:r>
    </w:p>
    <w:p>
      <w:pPr>
        <w:pStyle w:val="BodyText"/>
        <w:spacing w:line="364" w:lineRule="auto"/>
        <w:ind w:left="115" w:right="105" w:firstLine="686"/>
        <w:jc w:val="both"/>
      </w:pPr>
      <w:r>
        <w:rPr>
          <w:spacing w:val="-3"/>
        </w:rPr>
        <w:t>Sin </w:t>
      </w:r>
      <w:r>
        <w:rPr/>
        <w:t>embargo, esta visión </w:t>
      </w:r>
      <w:r>
        <w:rPr>
          <w:spacing w:val="3"/>
        </w:rPr>
        <w:t>se </w:t>
      </w:r>
      <w:r>
        <w:rPr/>
        <w:t>considera reduccionista al concentrarse en ciertas mediciones. En este sentido, se asume que el método es ineficaz porque 1) trabaja </w:t>
      </w:r>
      <w:r>
        <w:rPr>
          <w:spacing w:val="2"/>
        </w:rPr>
        <w:t>con </w:t>
      </w:r>
      <w:r>
        <w:rPr/>
        <w:t>una relación de causalidad y reducción de </w:t>
      </w:r>
      <w:r>
        <w:rPr>
          <w:spacing w:val="-3"/>
        </w:rPr>
        <w:t>la </w:t>
      </w:r>
      <w:r>
        <w:rPr/>
        <w:t>complejidad, con el que    se opera en otros campos, enfrentándose continuamente con la inexplicabilidad de los resultados; 2) las concepciones utilitaristas  terminan  reproduciendo  un esquema de diferencias sociales; 3) no toma en cuenta  la  interculturalidad,  es decir, ignora la diferencia, sobre lo cualitativo y sobre la validez de distintos contenidos de desarrollo y de </w:t>
      </w:r>
      <w:r>
        <w:rPr>
          <w:spacing w:val="-4"/>
        </w:rPr>
        <w:t>la </w:t>
      </w:r>
      <w:r>
        <w:rPr/>
        <w:t>idea de </w:t>
      </w:r>
      <w:r>
        <w:rPr>
          <w:spacing w:val="-3"/>
        </w:rPr>
        <w:t>desarrollo </w:t>
      </w:r>
      <w:r>
        <w:rPr/>
        <w:t>misma; 4) pasa por alto el tema de género, es </w:t>
      </w:r>
      <w:r>
        <w:rPr>
          <w:spacing w:val="-3"/>
        </w:rPr>
        <w:t>decir la </w:t>
      </w:r>
      <w:r>
        <w:rPr/>
        <w:t>evidencia de la desigualdad y </w:t>
      </w:r>
      <w:r>
        <w:rPr>
          <w:spacing w:val="-5"/>
        </w:rPr>
        <w:t>la </w:t>
      </w:r>
      <w:r>
        <w:rPr/>
        <w:t>equivalencia, mismos que encierran profundas discriminaciones. Ante ello, es necesario hacer un análisis crítico de los parámetros cuantitativos de calidad educativa para situarlos en </w:t>
      </w:r>
      <w:r>
        <w:rPr>
          <w:spacing w:val="3"/>
        </w:rPr>
        <w:t>su</w:t>
      </w:r>
      <w:r>
        <w:rPr>
          <w:spacing w:val="69"/>
        </w:rPr>
        <w:t> </w:t>
      </w:r>
      <w:r>
        <w:rPr/>
        <w:t>valor real y no pensar que los procesos evaluativos cuantitativos son puros científicamente (Juárez,</w:t>
      </w:r>
      <w:r>
        <w:rPr>
          <w:spacing w:val="33"/>
        </w:rPr>
        <w:t> </w:t>
      </w:r>
      <w:r>
        <w:rPr/>
        <w:t>2007:70).</w:t>
      </w:r>
    </w:p>
    <w:p>
      <w:pPr>
        <w:pStyle w:val="BodyText"/>
        <w:spacing w:line="367" w:lineRule="auto"/>
        <w:ind w:left="115" w:right="108" w:firstLine="686"/>
        <w:jc w:val="both"/>
      </w:pPr>
      <w:r>
        <w:rPr/>
        <w:t>Si bien se reconocen las ventajas que </w:t>
      </w:r>
      <w:r>
        <w:rPr>
          <w:spacing w:val="-3"/>
        </w:rPr>
        <w:t>los  </w:t>
      </w:r>
      <w:r>
        <w:rPr/>
        <w:t>análisis  de  calidad  han introducido en </w:t>
      </w:r>
      <w:r>
        <w:rPr>
          <w:spacing w:val="-5"/>
        </w:rPr>
        <w:t>la </w:t>
      </w:r>
      <w:r>
        <w:rPr/>
        <w:t>práctica educativa, en </w:t>
      </w:r>
      <w:r>
        <w:rPr>
          <w:spacing w:val="-6"/>
        </w:rPr>
        <w:t>la </w:t>
      </w:r>
      <w:r>
        <w:rPr/>
        <w:t>medida que su visión sistémica permite ver a la escuela como un todo unido a </w:t>
      </w:r>
      <w:r>
        <w:rPr>
          <w:spacing w:val="3"/>
        </w:rPr>
        <w:t>su </w:t>
      </w:r>
      <w:r>
        <w:rPr>
          <w:spacing w:val="-3"/>
        </w:rPr>
        <w:t>medio </w:t>
      </w:r>
      <w:r>
        <w:rPr/>
        <w:t>socioeconómico, también es claro que </w:t>
      </w:r>
      <w:r>
        <w:rPr>
          <w:spacing w:val="-3"/>
        </w:rPr>
        <w:t>ello </w:t>
      </w:r>
      <w:r>
        <w:rPr/>
        <w:t>implica </w:t>
      </w:r>
      <w:r>
        <w:rPr>
          <w:spacing w:val="3"/>
        </w:rPr>
        <w:t>un </w:t>
      </w:r>
      <w:r>
        <w:rPr/>
        <w:t>parentesco muy estrecho con la cultura de  globalidad  imperante, que hace que la calidad total endiose a la efectividad y a </w:t>
      </w:r>
      <w:r>
        <w:rPr>
          <w:spacing w:val="-5"/>
        </w:rPr>
        <w:t>la </w:t>
      </w:r>
      <w:r>
        <w:rPr/>
        <w:t>eficiencia como las  supremas  categorías del funcionamiento escolar correcto, de tal   </w:t>
      </w:r>
      <w:r>
        <w:rPr>
          <w:spacing w:val="14"/>
        </w:rPr>
        <w:t> </w:t>
      </w:r>
      <w:r>
        <w:rPr/>
        <w:t>suerte</w:t>
      </w:r>
    </w:p>
    <w:p>
      <w:pPr>
        <w:spacing w:after="0" w:line="367"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5"/>
        <w:jc w:val="both"/>
      </w:pPr>
      <w:r>
        <w:rPr/>
        <w:t>que el proyecto educativo queda reducido a la simple correspondencia funcional entre objetivos planificados y rendimientos constatados en un proceso de continua adecuación, como lo indicaría </w:t>
      </w:r>
      <w:r>
        <w:rPr>
          <w:spacing w:val="4"/>
        </w:rPr>
        <w:t>el </w:t>
      </w:r>
      <w:r>
        <w:rPr/>
        <w:t>ciclo de Deming. A la propuesta educativa le falta  el impulso de los fines, </w:t>
      </w:r>
      <w:r>
        <w:rPr>
          <w:spacing w:val="-3"/>
        </w:rPr>
        <w:t>que </w:t>
      </w:r>
      <w:r>
        <w:rPr/>
        <w:t>más </w:t>
      </w:r>
      <w:r>
        <w:rPr>
          <w:spacing w:val="-3"/>
        </w:rPr>
        <w:t>allá </w:t>
      </w:r>
      <w:r>
        <w:rPr/>
        <w:t>de los objetivos inmediatos anima con sus valores trascendentes el “ideario” del proyecto educativo de una institución. Tal cercanía de fines hace que muchas veces la perspectiva de la calidad total esté reñida con los principios más elementales de </w:t>
      </w:r>
      <w:r>
        <w:rPr>
          <w:spacing w:val="-4"/>
        </w:rPr>
        <w:t>la </w:t>
      </w:r>
      <w:r>
        <w:rPr/>
        <w:t>equidad, por ejemplo (Schmelkes, 2004:</w:t>
      </w:r>
      <w:r>
        <w:rPr>
          <w:spacing w:val="14"/>
        </w:rPr>
        <w:t> </w:t>
      </w:r>
      <w:r>
        <w:rPr/>
        <w:t>82).</w:t>
      </w:r>
    </w:p>
    <w:p>
      <w:pPr>
        <w:pStyle w:val="BodyText"/>
        <w:rPr>
          <w:sz w:val="22"/>
        </w:rPr>
      </w:pPr>
    </w:p>
    <w:p>
      <w:pPr>
        <w:pStyle w:val="Heading3"/>
        <w:numPr>
          <w:ilvl w:val="2"/>
          <w:numId w:val="8"/>
        </w:numPr>
        <w:tabs>
          <w:tab w:pos="832" w:val="left" w:leader="none"/>
        </w:tabs>
        <w:spacing w:line="240" w:lineRule="auto" w:before="155" w:after="0"/>
        <w:ind w:left="831" w:right="0" w:hanging="715"/>
        <w:jc w:val="both"/>
      </w:pPr>
      <w:bookmarkStart w:name="_TOC_250011" w:id="21"/>
      <w:r>
        <w:rPr/>
        <w:t>Actores de la calidad</w:t>
      </w:r>
      <w:r>
        <w:rPr>
          <w:spacing w:val="27"/>
        </w:rPr>
        <w:t> </w:t>
      </w:r>
      <w:bookmarkEnd w:id="21"/>
      <w:r>
        <w:rPr/>
        <w:t>educativa</w:t>
      </w:r>
    </w:p>
    <w:p>
      <w:pPr>
        <w:pStyle w:val="BodyText"/>
        <w:tabs>
          <w:tab w:pos="7001" w:val="left" w:leader="none"/>
        </w:tabs>
        <w:spacing w:line="364" w:lineRule="auto" w:before="138"/>
        <w:ind w:left="115" w:right="191"/>
      </w:pPr>
      <w:r>
        <w:rPr/>
        <w:t>La calidad educativa debe tomarse como </w:t>
      </w:r>
      <w:r>
        <w:rPr>
          <w:spacing w:val="-4"/>
        </w:rPr>
        <w:t>la </w:t>
      </w:r>
      <w:r>
        <w:rPr/>
        <w:t>gran  tarea, de </w:t>
      </w:r>
      <w:r>
        <w:rPr>
          <w:spacing w:val="-4"/>
        </w:rPr>
        <w:t>la  </w:t>
      </w:r>
      <w:r>
        <w:rPr/>
        <w:t>que ningún actor  debe quedar marginado, siendo estos los pilares </w:t>
      </w:r>
      <w:r>
        <w:rPr>
          <w:spacing w:val="3"/>
        </w:rPr>
        <w:t>de </w:t>
      </w:r>
      <w:r>
        <w:rPr/>
        <w:t>las múltiples relaciones </w:t>
      </w:r>
      <w:r>
        <w:rPr>
          <w:spacing w:val="-3"/>
        </w:rPr>
        <w:t>que </w:t>
      </w:r>
      <w:r>
        <w:rPr/>
        <w:t>sostienen al sistema: a) alumnos, a quienes se orientan los esfuerzos de todos </w:t>
      </w:r>
      <w:r>
        <w:rPr>
          <w:spacing w:val="-2"/>
        </w:rPr>
        <w:t>los </w:t>
      </w:r>
      <w:r>
        <w:rPr/>
        <w:t>demás actores; b) maestros, cuyo trabajo cotidiano es la acción esencial para que </w:t>
      </w:r>
      <w:r>
        <w:rPr>
          <w:spacing w:val="-3"/>
        </w:rPr>
        <w:t>haya </w:t>
      </w:r>
      <w:r>
        <w:rPr/>
        <w:t>escuela y pueda haber calidad; c) directores, quienes dirigen y conducen el trabajo </w:t>
      </w:r>
      <w:r>
        <w:rPr>
          <w:spacing w:val="3"/>
        </w:rPr>
        <w:t>del </w:t>
      </w:r>
      <w:r>
        <w:rPr/>
        <w:t>conjunto y que hacen que </w:t>
      </w:r>
      <w:r>
        <w:rPr>
          <w:spacing w:val="-4"/>
        </w:rPr>
        <w:t>la </w:t>
      </w:r>
      <w:r>
        <w:rPr/>
        <w:t>escuela </w:t>
      </w:r>
      <w:r>
        <w:rPr>
          <w:spacing w:val="5"/>
        </w:rPr>
        <w:t>se </w:t>
      </w:r>
      <w:r>
        <w:rPr/>
        <w:t>asuma como una entidad con dinámica propia; d) padres de familia, quienes independientemente del apoyo personal que ofrezcan a sus hijos, son miembros activos de la comunidad escolar    y que, como ciudadanos, definen una legislación más adecuada, apoyan  al  docente y </w:t>
      </w:r>
      <w:r>
        <w:rPr>
          <w:spacing w:val="4"/>
        </w:rPr>
        <w:t>al </w:t>
      </w:r>
      <w:r>
        <w:rPr/>
        <w:t>liderazgo del director; e) académicos e intelectuales, particularmente quienes dedican sus esfuerzos a la educación; f) sectores de la sociedad, tales como empresarios, medios de comunicación masiva,</w:t>
      </w:r>
      <w:r>
        <w:rPr>
          <w:spacing w:val="51"/>
        </w:rPr>
        <w:t> </w:t>
      </w:r>
      <w:r>
        <w:rPr/>
        <w:t>ONG´s;</w:t>
      </w:r>
      <w:r>
        <w:rPr>
          <w:spacing w:val="2"/>
        </w:rPr>
        <w:t> </w:t>
      </w:r>
      <w:r>
        <w:rPr/>
        <w:t>g)</w:t>
        <w:tab/>
        <w:t>autoridades educativas en sus diferentes ámbitos; h) Poder Legislativo, </w:t>
      </w:r>
      <w:r>
        <w:rPr>
          <w:spacing w:val="3"/>
        </w:rPr>
        <w:t>en </w:t>
      </w:r>
      <w:r>
        <w:rPr/>
        <w:t>cuyas manos está establecer un marco jurídico adecuado y asignar los recursos suficientes en </w:t>
      </w:r>
      <w:r>
        <w:rPr>
          <w:spacing w:val="-2"/>
        </w:rPr>
        <w:t>los </w:t>
      </w:r>
      <w:r>
        <w:rPr/>
        <w:t>presupuestos</w:t>
      </w:r>
      <w:r>
        <w:rPr>
          <w:spacing w:val="17"/>
        </w:rPr>
        <w:t> </w:t>
      </w:r>
      <w:r>
        <w:rPr/>
        <w:t>públicos.</w:t>
      </w:r>
    </w:p>
    <w:p>
      <w:pPr>
        <w:pStyle w:val="BodyText"/>
        <w:rPr>
          <w:sz w:val="22"/>
        </w:rPr>
      </w:pPr>
    </w:p>
    <w:p>
      <w:pPr>
        <w:pStyle w:val="Heading3"/>
        <w:numPr>
          <w:ilvl w:val="2"/>
          <w:numId w:val="8"/>
        </w:numPr>
        <w:tabs>
          <w:tab w:pos="913" w:val="left" w:leader="none"/>
        </w:tabs>
        <w:spacing w:line="364" w:lineRule="auto" w:before="155" w:after="0"/>
        <w:ind w:left="116" w:right="107" w:firstLine="0"/>
        <w:jc w:val="both"/>
      </w:pPr>
      <w:r>
        <w:rPr/>
        <w:t>Particularización de la calidad educativa. </w:t>
      </w:r>
      <w:r>
        <w:rPr>
          <w:spacing w:val="3"/>
        </w:rPr>
        <w:t>El </w:t>
      </w:r>
      <w:r>
        <w:rPr/>
        <w:t>caso </w:t>
      </w:r>
      <w:r>
        <w:rPr>
          <w:spacing w:val="2"/>
        </w:rPr>
        <w:t>de </w:t>
      </w:r>
      <w:r>
        <w:rPr/>
        <w:t>los centros escolares</w:t>
      </w:r>
    </w:p>
    <w:p>
      <w:pPr>
        <w:pStyle w:val="BodyText"/>
        <w:spacing w:line="364" w:lineRule="auto" w:before="5"/>
        <w:ind w:left="115" w:right="106"/>
        <w:jc w:val="both"/>
      </w:pPr>
      <w:r>
        <w:rPr/>
        <w:t>Laura Elena Izaguirre (2005) citando a Marqués Graells, sostiene que  los  siguientes factores contribuyen a la calidad de los centros de enseñanza: 1) infraestructura,  lo  cual  abarca  aulas  de  clase,  aulas  de  recursos,    </w:t>
      </w:r>
      <w:r>
        <w:rPr>
          <w:spacing w:val="55"/>
        </w:rPr>
        <w:t> </w:t>
      </w:r>
      <w:r>
        <w:rPr/>
        <w:t>biblioteca,</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5"/>
        <w:jc w:val="both"/>
      </w:pPr>
      <w:r>
        <w:rPr/>
        <w:t>laboratorios, patio, instalaciones deportivas, mobiliario; 2) competencia de </w:t>
      </w:r>
      <w:r>
        <w:rPr>
          <w:spacing w:val="-3"/>
        </w:rPr>
        <w:t>los </w:t>
      </w:r>
      <w:r>
        <w:rPr/>
        <w:t>recursos humanos, que supone nivel científico y didáctico </w:t>
      </w:r>
      <w:r>
        <w:rPr>
          <w:spacing w:val="-3"/>
        </w:rPr>
        <w:t>del </w:t>
      </w:r>
      <w:r>
        <w:rPr/>
        <w:t>profesorado, experiencia y actitudes del personal en general, capacidad de trabajar en equipo, relación alumnos/profesor, tiempo de dedicación a la instrucción, los servicios y </w:t>
      </w:r>
      <w:r>
        <w:rPr>
          <w:spacing w:val="-3"/>
        </w:rPr>
        <w:t>las </w:t>
      </w:r>
      <w:r>
        <w:rPr/>
        <w:t>actuaciones que realizan las personas son algunos </w:t>
      </w:r>
      <w:r>
        <w:rPr>
          <w:spacing w:val="-3"/>
        </w:rPr>
        <w:t>de </w:t>
      </w:r>
      <w:r>
        <w:rPr/>
        <w:t>los factores que determinan </w:t>
      </w:r>
      <w:r>
        <w:rPr>
          <w:spacing w:val="-5"/>
        </w:rPr>
        <w:t>la </w:t>
      </w:r>
      <w:r>
        <w:rPr/>
        <w:t>calidad de toda organización; 3) dirección y gestión administrativa y académica del centro, que abarca los siguientes elementos: planeación, labor directiva, organización, funcionamiento de los servicios, relaciones humanas, coordinación y control.; </w:t>
      </w:r>
      <w:r>
        <w:rPr>
          <w:spacing w:val="3"/>
        </w:rPr>
        <w:t>4) </w:t>
      </w:r>
      <w:r>
        <w:rPr/>
        <w:t>aspectos pedagógicos: </w:t>
      </w:r>
      <w:r>
        <w:rPr>
          <w:i/>
        </w:rPr>
        <w:t>PEC (proyecto educativo de centro), PCC </w:t>
      </w:r>
      <w:r>
        <w:rPr>
          <w:i/>
        </w:rPr>
        <w:t>(proyecto curricular de centro), </w:t>
      </w:r>
      <w:r>
        <w:rPr/>
        <w:t>lo cual </w:t>
      </w:r>
      <w:r>
        <w:rPr>
          <w:spacing w:val="3"/>
        </w:rPr>
        <w:t>se </w:t>
      </w:r>
      <w:r>
        <w:rPr/>
        <w:t>refiere a evaluación inicial de  los  alumnos, adecuación de los objetivos y los contenidos,  tratamiento  de  </w:t>
      </w:r>
      <w:r>
        <w:rPr>
          <w:spacing w:val="-5"/>
        </w:rPr>
        <w:t>la </w:t>
      </w:r>
      <w:r>
        <w:rPr/>
        <w:t>diversidad, metodología didáctica, utilización </w:t>
      </w:r>
      <w:r>
        <w:rPr>
          <w:spacing w:val="3"/>
        </w:rPr>
        <w:t>de </w:t>
      </w:r>
      <w:r>
        <w:rPr/>
        <w:t>los recursos educativos, evaluación, tutorías, logro de los objetivos previstos; 5) métodos evaluativos; este factor </w:t>
      </w:r>
      <w:r>
        <w:rPr>
          <w:spacing w:val="3"/>
        </w:rPr>
        <w:t>se </w:t>
      </w:r>
      <w:r>
        <w:rPr/>
        <w:t>refiere a la evaluación del sistema y se suele abordar desde dos perspectivas metodológicas contrapuestas: métodos cualitativos y </w:t>
      </w:r>
      <w:r>
        <w:rPr>
          <w:spacing w:val="17"/>
        </w:rPr>
        <w:t> </w:t>
      </w:r>
      <w:r>
        <w:rPr/>
        <w:t>cuantitativos.</w:t>
      </w:r>
    </w:p>
    <w:p>
      <w:pPr>
        <w:pStyle w:val="BodyText"/>
        <w:spacing w:line="364" w:lineRule="auto"/>
        <w:ind w:left="115" w:right="105" w:firstLine="686"/>
        <w:jc w:val="both"/>
      </w:pPr>
      <w:r>
        <w:rPr/>
        <w:t>Los </w:t>
      </w:r>
      <w:r>
        <w:rPr>
          <w:spacing w:val="-3"/>
        </w:rPr>
        <w:t>métodos </w:t>
      </w:r>
      <w:r>
        <w:rPr/>
        <w:t>cualitativos se orientan a </w:t>
      </w:r>
      <w:r>
        <w:rPr>
          <w:spacing w:val="-4"/>
        </w:rPr>
        <w:t>la </w:t>
      </w:r>
      <w:r>
        <w:rPr/>
        <w:t>búsqueda </w:t>
      </w:r>
      <w:r>
        <w:rPr>
          <w:spacing w:val="-3"/>
        </w:rPr>
        <w:t>de </w:t>
      </w:r>
      <w:r>
        <w:rPr/>
        <w:t>pautas para  </w:t>
      </w:r>
      <w:r>
        <w:rPr>
          <w:spacing w:val="-4"/>
        </w:rPr>
        <w:t>la </w:t>
      </w:r>
      <w:r>
        <w:rPr>
          <w:spacing w:val="55"/>
        </w:rPr>
        <w:t> </w:t>
      </w:r>
      <w:r>
        <w:rPr/>
        <w:t>mejora de la calidad; subyace en ellos la incidencia en las políticas educativas de mejora. Por </w:t>
      </w:r>
      <w:r>
        <w:rPr>
          <w:spacing w:val="2"/>
        </w:rPr>
        <w:t>su </w:t>
      </w:r>
      <w:r>
        <w:rPr/>
        <w:t>parte, los métodos cuantitativos </w:t>
      </w:r>
      <w:r>
        <w:rPr>
          <w:spacing w:val="3"/>
        </w:rPr>
        <w:t>se </w:t>
      </w:r>
      <w:r>
        <w:rPr/>
        <w:t>centran fundamentalmente en el análisis de los rendimientos escolares del alumnado como indicador de </w:t>
      </w:r>
      <w:r>
        <w:rPr>
          <w:spacing w:val="-5"/>
        </w:rPr>
        <w:t>la </w:t>
      </w:r>
      <w:r>
        <w:rPr/>
        <w:t>calidad. Predominan la orientación estadística y </w:t>
      </w:r>
      <w:r>
        <w:rPr>
          <w:spacing w:val="-3"/>
        </w:rPr>
        <w:t>la </w:t>
      </w:r>
      <w:r>
        <w:rPr/>
        <w:t>aplicación de evaluaciones periódicas. Esta tendencia ha experimentado mejoras definitivas </w:t>
      </w:r>
      <w:r>
        <w:rPr>
          <w:spacing w:val="2"/>
        </w:rPr>
        <w:t>en </w:t>
      </w:r>
      <w:r>
        <w:rPr>
          <w:spacing w:val="-3"/>
        </w:rPr>
        <w:t>los </w:t>
      </w:r>
      <w:r>
        <w:rPr/>
        <w:t>últimos tiempos; actualmente se atiende a </w:t>
      </w:r>
      <w:r>
        <w:rPr>
          <w:spacing w:val="-4"/>
        </w:rPr>
        <w:t>la</w:t>
      </w:r>
      <w:r>
        <w:rPr>
          <w:spacing w:val="55"/>
        </w:rPr>
        <w:t> </w:t>
      </w:r>
      <w:r>
        <w:rPr/>
        <w:t>mejora de los rendimientos como elemento de  equidad, puesto que la evaluación rigurosa de los rendimientos es el primer paso para el </w:t>
      </w:r>
      <w:r>
        <w:rPr>
          <w:spacing w:val="-3"/>
        </w:rPr>
        <w:t>logro </w:t>
      </w:r>
      <w:r>
        <w:rPr/>
        <w:t>de una educación de calidad para todos. El peso relativo de  </w:t>
      </w:r>
      <w:r>
        <w:rPr>
          <w:spacing w:val="-3"/>
        </w:rPr>
        <w:t>los </w:t>
      </w:r>
      <w:r>
        <w:rPr/>
        <w:t>métodos cualitativos y cuantitativos en </w:t>
      </w:r>
      <w:r>
        <w:rPr>
          <w:spacing w:val="-4"/>
        </w:rPr>
        <w:t>la </w:t>
      </w:r>
      <w:r>
        <w:rPr/>
        <w:t>evaluación del sistema es  otro aspecto  en el que la administración educativa puede condicionar, con sus decisiones, </w:t>
      </w:r>
      <w:r>
        <w:rPr>
          <w:spacing w:val="-5"/>
        </w:rPr>
        <w:t>la </w:t>
      </w:r>
      <w:r>
        <w:rPr/>
        <w:t>actuación de una institución evaluadora del</w:t>
      </w:r>
      <w:r>
        <w:rPr>
          <w:spacing w:val="57"/>
        </w:rPr>
        <w:t> </w:t>
      </w:r>
      <w:r>
        <w:rPr/>
        <w:t>aprendizaje.</w:t>
      </w:r>
    </w:p>
    <w:p>
      <w:pPr>
        <w:pStyle w:val="BodyText"/>
        <w:rPr>
          <w:sz w:val="22"/>
        </w:rPr>
      </w:pPr>
    </w:p>
    <w:p>
      <w:pPr>
        <w:pStyle w:val="Heading3"/>
        <w:numPr>
          <w:ilvl w:val="2"/>
          <w:numId w:val="8"/>
        </w:numPr>
        <w:tabs>
          <w:tab w:pos="833" w:val="left" w:leader="none"/>
        </w:tabs>
        <w:spacing w:line="240" w:lineRule="auto" w:before="155" w:after="0"/>
        <w:ind w:left="832" w:right="0" w:hanging="716"/>
        <w:jc w:val="both"/>
      </w:pPr>
      <w:bookmarkStart w:name="_TOC_250010" w:id="22"/>
      <w:r>
        <w:rPr/>
        <w:t>Factores que limitan la calidad</w:t>
      </w:r>
      <w:r>
        <w:rPr>
          <w:spacing w:val="31"/>
        </w:rPr>
        <w:t> </w:t>
      </w:r>
      <w:bookmarkEnd w:id="22"/>
      <w:r>
        <w:rPr/>
        <w:t>educativa</w:t>
      </w:r>
    </w:p>
    <w:p>
      <w:pPr>
        <w:pStyle w:val="BodyText"/>
        <w:spacing w:before="134"/>
        <w:ind w:left="115"/>
        <w:jc w:val="both"/>
      </w:pPr>
      <w:r>
        <w:rPr/>
        <w:t>José Lema Labadie  (2007:10-14) menciona que,  aunque se acepten los    criterios</w:t>
      </w:r>
    </w:p>
    <w:p>
      <w:pPr>
        <w:pStyle w:val="BodyText"/>
        <w:spacing w:before="143"/>
        <w:ind w:left="115"/>
        <w:jc w:val="both"/>
      </w:pPr>
      <w:r>
        <w:rPr>
          <w:i/>
        </w:rPr>
        <w:t>eficientistas  </w:t>
      </w:r>
      <w:r>
        <w:rPr/>
        <w:t>de la  OCDE en  la evaluación de  la  calidad educativa, en el caso   de</w:t>
      </w:r>
    </w:p>
    <w:p>
      <w:pPr>
        <w:spacing w:after="0"/>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9"/>
        <w:jc w:val="both"/>
      </w:pPr>
      <w:r>
        <w:rPr/>
        <w:t>México “es una mera aspiración, pero de ninguna manera una realidad”, en particular porque prevalece la pobreza, la marginalidad y las bajas inversiones en educación, por lo cual es muy difícil plantear la cuestión de la calidad sin caer en actitudes discrecionales o individualistas de funcionarios, empresarios o líderes sociales.</w:t>
      </w:r>
    </w:p>
    <w:p>
      <w:pPr>
        <w:pStyle w:val="BodyText"/>
        <w:spacing w:line="364" w:lineRule="auto" w:before="5"/>
        <w:ind w:left="115" w:right="109" w:firstLine="686"/>
        <w:jc w:val="both"/>
      </w:pPr>
      <w:r>
        <w:rPr/>
        <w:t>Al respecto señala José Lema que el panorama económico  en el que  se sitúa la educación nacional no es el más adecuado </w:t>
      </w:r>
      <w:r>
        <w:rPr>
          <w:spacing w:val="-3"/>
        </w:rPr>
        <w:t>para </w:t>
      </w:r>
      <w:r>
        <w:rPr/>
        <w:t>experimentar formas conocidas de control de </w:t>
      </w:r>
      <w:r>
        <w:rPr>
          <w:spacing w:val="-4"/>
        </w:rPr>
        <w:t>la </w:t>
      </w:r>
      <w:r>
        <w:rPr/>
        <w:t>población escolarizada y de los cuerpos académicos,  sino como opción para repensar nuestras propias concepciones, desde nuestra propia identidad cultural y desde nuestros propios valores y principios,  cuáles serían las modalidades más adecuadas para reformar el sistema educativo  nacional.</w:t>
      </w:r>
    </w:p>
    <w:p>
      <w:pPr>
        <w:pStyle w:val="BodyText"/>
        <w:spacing w:line="367" w:lineRule="auto"/>
        <w:ind w:left="115" w:right="111" w:firstLine="686"/>
        <w:jc w:val="both"/>
      </w:pPr>
      <w:r>
        <w:rPr/>
        <w:t>Menciona que los criterios que conforman la calidad </w:t>
      </w:r>
      <w:r>
        <w:rPr>
          <w:spacing w:val="3"/>
        </w:rPr>
        <w:t>son </w:t>
      </w:r>
      <w:r>
        <w:rPr/>
        <w:t>sólo una migración de ideas que, proviniendo del campo de </w:t>
      </w:r>
      <w:r>
        <w:rPr>
          <w:spacing w:val="-3"/>
        </w:rPr>
        <w:t>la </w:t>
      </w:r>
      <w:r>
        <w:rPr/>
        <w:t>mercadotecnia y de </w:t>
      </w:r>
      <w:r>
        <w:rPr>
          <w:spacing w:val="-3"/>
        </w:rPr>
        <w:t>la </w:t>
      </w:r>
      <w:r>
        <w:rPr/>
        <w:t>planeación estratégica, se aplican sin demasiados escrúpulos teóricos al nuevo discurso educativo (Lema, 2007:12). Desde una visión educativa que privilegie a los sujetos  y no </w:t>
      </w:r>
      <w:r>
        <w:rPr>
          <w:spacing w:val="3"/>
        </w:rPr>
        <w:t>al </w:t>
      </w:r>
      <w:r>
        <w:rPr/>
        <w:t>control administrativo sobre ellos, la aplicación de modalidades para definir  </w:t>
      </w:r>
      <w:r>
        <w:rPr>
          <w:spacing w:val="-5"/>
        </w:rPr>
        <w:t>la </w:t>
      </w:r>
      <w:r>
        <w:rPr/>
        <w:t>calidad no debería </w:t>
      </w:r>
      <w:r>
        <w:rPr>
          <w:spacing w:val="2"/>
        </w:rPr>
        <w:t>ser </w:t>
      </w:r>
      <w:r>
        <w:rPr/>
        <w:t>un criterio de exclusión que contradiga </w:t>
      </w:r>
      <w:r>
        <w:rPr>
          <w:spacing w:val="-4"/>
        </w:rPr>
        <w:t>la </w:t>
      </w:r>
      <w:r>
        <w:rPr/>
        <w:t>vocación humanista y universal de los conocimientos, propia de las instituciones educativas públicas; y hace hincapié en que cuando se hace referencia a </w:t>
      </w:r>
      <w:r>
        <w:rPr>
          <w:spacing w:val="-5"/>
        </w:rPr>
        <w:t>la  </w:t>
      </w:r>
      <w:r>
        <w:rPr/>
        <w:t>calidad, también  se está aludiendo a </w:t>
      </w:r>
      <w:r>
        <w:rPr>
          <w:spacing w:val="-3"/>
        </w:rPr>
        <w:t>la </w:t>
      </w:r>
      <w:r>
        <w:rPr/>
        <w:t>evaluación, a sabiendas </w:t>
      </w:r>
      <w:r>
        <w:rPr>
          <w:spacing w:val="-3"/>
        </w:rPr>
        <w:t>de </w:t>
      </w:r>
      <w:r>
        <w:rPr/>
        <w:t>que todo criterio de evaluación   es</w:t>
      </w:r>
      <w:r>
        <w:rPr>
          <w:spacing w:val="8"/>
        </w:rPr>
        <w:t> </w:t>
      </w:r>
      <w:r>
        <w:rPr/>
        <w:t>arbitrario.</w:t>
      </w:r>
    </w:p>
    <w:p>
      <w:pPr>
        <w:pStyle w:val="BodyText"/>
        <w:rPr>
          <w:sz w:val="22"/>
        </w:rPr>
      </w:pPr>
    </w:p>
    <w:p>
      <w:pPr>
        <w:pStyle w:val="Heading3"/>
        <w:numPr>
          <w:ilvl w:val="2"/>
          <w:numId w:val="8"/>
        </w:numPr>
        <w:tabs>
          <w:tab w:pos="831" w:val="left" w:leader="none"/>
        </w:tabs>
        <w:spacing w:line="240" w:lineRule="auto" w:before="148" w:after="0"/>
        <w:ind w:left="830" w:right="0" w:hanging="714"/>
        <w:jc w:val="both"/>
      </w:pPr>
      <w:bookmarkStart w:name="_TOC_250009" w:id="23"/>
      <w:r>
        <w:rPr/>
        <w:t>Calidad y</w:t>
      </w:r>
      <w:r>
        <w:rPr>
          <w:spacing w:val="19"/>
        </w:rPr>
        <w:t> </w:t>
      </w:r>
      <w:bookmarkEnd w:id="23"/>
      <w:r>
        <w:rPr/>
        <w:t>evaluación</w:t>
      </w:r>
    </w:p>
    <w:p>
      <w:pPr>
        <w:pStyle w:val="BodyText"/>
        <w:spacing w:line="364" w:lineRule="auto" w:before="138"/>
        <w:ind w:left="115" w:right="104"/>
        <w:jc w:val="both"/>
      </w:pPr>
      <w:r>
        <w:rPr/>
        <w:t>De acuerdo con Erika Himmel (1999), por evaluación </w:t>
      </w:r>
      <w:r>
        <w:rPr>
          <w:spacing w:val="3"/>
        </w:rPr>
        <w:t>se </w:t>
      </w:r>
      <w:r>
        <w:rPr/>
        <w:t>entenderá el proceso de determinar el valor o mérito de un objeto educacional sometido a dicho proceso, cualquiera que éste sea. Esto implica la identificación, clarificación y aplicación de criterios o estándares defendibles para determinar el valor o mérito, la calidad, utilidad, efectividad o significación del objeto de </w:t>
      </w:r>
      <w:r>
        <w:rPr>
          <w:spacing w:val="-5"/>
        </w:rPr>
        <w:t>la </w:t>
      </w:r>
      <w:r>
        <w:rPr/>
        <w:t>evaluación con  respecto  a dichos criterios. La evaluación se aplica ahora a aspectos tan variados como los aprendizajes  de los alumnos, la competencia de  los  profesores, la calidad de  </w:t>
      </w:r>
      <w:r>
        <w:rPr>
          <w:spacing w:val="46"/>
        </w:rPr>
        <w:t> </w:t>
      </w:r>
      <w:r>
        <w:rPr>
          <w:spacing w:val="-2"/>
        </w:rPr>
        <w:t>las</w:t>
      </w:r>
    </w:p>
    <w:p>
      <w:pPr>
        <w:spacing w:after="0" w:line="364" w:lineRule="auto"/>
        <w:jc w:val="both"/>
        <w:sectPr>
          <w:footerReference w:type="default" r:id="rId22"/>
          <w:pgSz w:w="11910" w:h="16840"/>
          <w:pgMar w:footer="1457" w:header="0" w:top="1580" w:bottom="1640" w:left="1540" w:right="1540"/>
        </w:sectPr>
      </w:pPr>
    </w:p>
    <w:p>
      <w:pPr>
        <w:pStyle w:val="BodyText"/>
        <w:rPr>
          <w:sz w:val="20"/>
        </w:rPr>
      </w:pPr>
    </w:p>
    <w:p>
      <w:pPr>
        <w:pStyle w:val="BodyText"/>
        <w:spacing w:before="2"/>
        <w:rPr>
          <w:sz w:val="16"/>
        </w:rPr>
      </w:pPr>
    </w:p>
    <w:p>
      <w:pPr>
        <w:pStyle w:val="BodyText"/>
        <w:spacing w:line="369" w:lineRule="auto" w:before="74"/>
        <w:ind w:left="115" w:right="191"/>
      </w:pPr>
      <w:r>
        <w:rPr/>
        <w:t>instituciones escolares, los planes y programas educacionales, los programas de innovación pedagógica, las reformas educacionales  y la calidad de la  educación.</w:t>
      </w:r>
    </w:p>
    <w:p>
      <w:pPr>
        <w:pStyle w:val="BodyText"/>
        <w:spacing w:line="364" w:lineRule="auto"/>
        <w:ind w:left="115" w:right="107" w:firstLine="686"/>
        <w:jc w:val="both"/>
      </w:pPr>
      <w:r>
        <w:rPr/>
        <w:t>De hecho la evaluación es un elemento al que se </w:t>
      </w:r>
      <w:r>
        <w:rPr>
          <w:spacing w:val="-4"/>
        </w:rPr>
        <w:t>le </w:t>
      </w:r>
      <w:r>
        <w:rPr/>
        <w:t>ha asignado un gran peso en este proceso de alcanzar la calidad en educación, que al igual que </w:t>
      </w:r>
      <w:r>
        <w:rPr>
          <w:spacing w:val="-5"/>
        </w:rPr>
        <w:t>la </w:t>
      </w:r>
      <w:r>
        <w:rPr/>
        <w:t>calidad educativa </w:t>
      </w:r>
      <w:r>
        <w:rPr>
          <w:spacing w:val="-3"/>
        </w:rPr>
        <w:t>es </w:t>
      </w:r>
      <w:r>
        <w:rPr/>
        <w:t>una realidad compleja; depende de varios factores y no se  deja acotar solamente por </w:t>
      </w:r>
      <w:r>
        <w:rPr>
          <w:spacing w:val="3"/>
        </w:rPr>
        <w:t>el </w:t>
      </w:r>
      <w:r>
        <w:rPr/>
        <w:t>indicador de </w:t>
      </w:r>
      <w:r>
        <w:rPr>
          <w:spacing w:val="2"/>
        </w:rPr>
        <w:t>un </w:t>
      </w:r>
      <w:r>
        <w:rPr/>
        <w:t>solo resultado. Sin querer describirla de un modo exhaustivo, se diría que </w:t>
      </w:r>
      <w:r>
        <w:rPr>
          <w:spacing w:val="-4"/>
        </w:rPr>
        <w:t>la </w:t>
      </w:r>
      <w:r>
        <w:rPr/>
        <w:t>calidad educativa de </w:t>
      </w:r>
      <w:r>
        <w:rPr>
          <w:spacing w:val="-3"/>
        </w:rPr>
        <w:t>una </w:t>
      </w:r>
      <w:r>
        <w:rPr/>
        <w:t>institución escolar puede ser evaluada de un modo integral si se tienen en cuenta al menos tres factores </w:t>
      </w:r>
      <w:r>
        <w:rPr>
          <w:spacing w:val="-3"/>
        </w:rPr>
        <w:t>que </w:t>
      </w:r>
      <w:r>
        <w:rPr/>
        <w:t>inciden en su conformación: el sociocultural, </w:t>
      </w:r>
      <w:r>
        <w:rPr>
          <w:spacing w:val="3"/>
        </w:rPr>
        <w:t>el </w:t>
      </w:r>
      <w:r>
        <w:rPr/>
        <w:t>institucional- organizativo y el didáctico-pedagógico, que </w:t>
      </w:r>
      <w:r>
        <w:rPr>
          <w:spacing w:val="-3"/>
        </w:rPr>
        <w:t>forman </w:t>
      </w:r>
      <w:r>
        <w:rPr/>
        <w:t>su contexto </w:t>
      </w:r>
      <w:r>
        <w:rPr>
          <w:spacing w:val="33"/>
        </w:rPr>
        <w:t> </w:t>
      </w:r>
      <w:r>
        <w:rPr/>
        <w:t>concomitante.</w:t>
      </w:r>
    </w:p>
    <w:p>
      <w:pPr>
        <w:pStyle w:val="BodyText"/>
        <w:spacing w:line="364" w:lineRule="auto" w:before="5"/>
        <w:ind w:left="115" w:right="106" w:firstLine="686"/>
        <w:jc w:val="both"/>
      </w:pPr>
      <w:r>
        <w:rPr/>
        <w:t>La importancia que reviste la calidad educativa en el mundo es uno de </w:t>
      </w:r>
      <w:r>
        <w:rPr>
          <w:spacing w:val="-3"/>
        </w:rPr>
        <w:t>los </w:t>
      </w:r>
      <w:r>
        <w:rPr/>
        <w:t>principales motivos </w:t>
      </w:r>
      <w:r>
        <w:rPr>
          <w:spacing w:val="-3"/>
        </w:rPr>
        <w:t>por </w:t>
      </w:r>
      <w:r>
        <w:rPr/>
        <w:t>el cual se hace necesario contar con una herramienta que coadyuve en la organización escolar, considerando que </w:t>
      </w:r>
      <w:r>
        <w:rPr>
          <w:spacing w:val="-4"/>
        </w:rPr>
        <w:t>la  </w:t>
      </w:r>
      <w:r>
        <w:rPr/>
        <w:t>norma ISO 9001:2000  es un mecanismo </w:t>
      </w:r>
      <w:r>
        <w:rPr>
          <w:spacing w:val="-3"/>
        </w:rPr>
        <w:t>que </w:t>
      </w:r>
      <w:r>
        <w:rPr/>
        <w:t>se utiliza </w:t>
      </w:r>
      <w:r>
        <w:rPr>
          <w:spacing w:val="3"/>
        </w:rPr>
        <w:t>al </w:t>
      </w:r>
      <w:r>
        <w:rPr/>
        <w:t>considerar las autoridades educativas que contribuye con su enfoque a procesos a </w:t>
      </w:r>
      <w:r>
        <w:rPr>
          <w:spacing w:val="-3"/>
        </w:rPr>
        <w:t>una </w:t>
      </w:r>
      <w:r>
        <w:rPr/>
        <w:t>mejor gestión de las organizaciones educativas. La implementación de sistemas de gestión de la calidad con </w:t>
      </w:r>
      <w:r>
        <w:rPr>
          <w:spacing w:val="-5"/>
        </w:rPr>
        <w:t>la </w:t>
      </w:r>
      <w:r>
        <w:rPr/>
        <w:t>norma ISO 9001:2000 ha sido adoptada ya por </w:t>
      </w:r>
      <w:r>
        <w:rPr>
          <w:spacing w:val="-3"/>
        </w:rPr>
        <w:t>muchas </w:t>
      </w:r>
      <w:r>
        <w:rPr/>
        <w:t>organizaciones educativas </w:t>
      </w:r>
      <w:r>
        <w:rPr>
          <w:spacing w:val="3"/>
        </w:rPr>
        <w:t>en </w:t>
      </w:r>
      <w:r>
        <w:rPr/>
        <w:t>el mundo, incluso desde el aparato gubernamental como </w:t>
      </w:r>
      <w:r>
        <w:rPr>
          <w:spacing w:val="-4"/>
        </w:rPr>
        <w:t>es </w:t>
      </w:r>
      <w:r>
        <w:rPr/>
        <w:t>el caso de Colombia, México y</w:t>
      </w:r>
      <w:r>
        <w:rPr>
          <w:spacing w:val="16"/>
        </w:rPr>
        <w:t> </w:t>
      </w:r>
      <w:r>
        <w:rPr/>
        <w:t>otros.</w:t>
      </w:r>
    </w:p>
    <w:p>
      <w:pPr>
        <w:pStyle w:val="BodyText"/>
        <w:spacing w:line="364" w:lineRule="auto"/>
        <w:ind w:left="115" w:right="107" w:firstLine="686"/>
        <w:jc w:val="both"/>
      </w:pPr>
      <w:r>
        <w:rPr/>
        <w:t>En la presente década han cobrado especial relevancia los programas nacionales para evaluar los aprendizajes escolares o el rendimiento estudiantil.  Esta tendencia encuentra sus raíces en diversos factores que han contribuido a </w:t>
      </w:r>
      <w:r>
        <w:rPr>
          <w:spacing w:val="-5"/>
        </w:rPr>
        <w:t>la </w:t>
      </w:r>
      <w:r>
        <w:rPr/>
        <w:t>implantación de </w:t>
      </w:r>
      <w:r>
        <w:rPr>
          <w:spacing w:val="-3"/>
        </w:rPr>
        <w:t>estos </w:t>
      </w:r>
      <w:r>
        <w:rPr/>
        <w:t>programas: se construyeron más escuelas y se contrataron más profesores para ofrecer acceso a la educación a toda </w:t>
      </w:r>
      <w:r>
        <w:rPr>
          <w:spacing w:val="-3"/>
        </w:rPr>
        <w:t>la </w:t>
      </w:r>
      <w:r>
        <w:rPr/>
        <w:t>población en edad escolar y una vez que </w:t>
      </w:r>
      <w:r>
        <w:rPr>
          <w:spacing w:val="3"/>
        </w:rPr>
        <w:t>se </w:t>
      </w:r>
      <w:r>
        <w:rPr/>
        <w:t>logró este objetivo, surgió </w:t>
      </w:r>
      <w:r>
        <w:rPr>
          <w:spacing w:val="-5"/>
        </w:rPr>
        <w:t>la </w:t>
      </w:r>
      <w:r>
        <w:rPr/>
        <w:t>necesidad  de  conocer  cuáles eran los resultados del esfuerzo desplegado, esto porque se ha detectado que </w:t>
      </w:r>
      <w:r>
        <w:rPr>
          <w:spacing w:val="-4"/>
        </w:rPr>
        <w:t>la </w:t>
      </w:r>
      <w:r>
        <w:rPr/>
        <w:t>expansión de los sistemas educacionales fue realizada a costas  de  </w:t>
      </w:r>
      <w:r>
        <w:rPr>
          <w:spacing w:val="-4"/>
        </w:rPr>
        <w:t>la </w:t>
      </w:r>
      <w:r>
        <w:rPr/>
        <w:t>calidad del servicio</w:t>
      </w:r>
      <w:r>
        <w:rPr>
          <w:spacing w:val="29"/>
        </w:rPr>
        <w:t> </w:t>
      </w:r>
      <w:r>
        <w:rPr/>
        <w:t>educativo.</w:t>
      </w:r>
    </w:p>
    <w:p>
      <w:pPr>
        <w:pStyle w:val="BodyText"/>
        <w:spacing w:line="364" w:lineRule="auto" w:before="5"/>
        <w:ind w:left="115" w:right="112" w:firstLine="686"/>
        <w:jc w:val="both"/>
      </w:pPr>
      <w:r>
        <w:rPr/>
        <w:t>Esta inquietud se ha visto reforzada por la Declaración Mundial de </w:t>
      </w:r>
      <w:r>
        <w:rPr>
          <w:spacing w:val="-5"/>
        </w:rPr>
        <w:t>la </w:t>
      </w:r>
      <w:r>
        <w:rPr/>
        <w:t>Educación para Todos (UNESCO, 1990, párrafo  4), que señala: “si </w:t>
      </w:r>
      <w:r>
        <w:rPr>
          <w:spacing w:val="-4"/>
        </w:rPr>
        <w:t>la  </w:t>
      </w:r>
      <w:r>
        <w:rPr/>
        <w:t>expansión  de</w:t>
      </w:r>
      <w:r>
        <w:rPr>
          <w:spacing w:val="25"/>
        </w:rPr>
        <w:t> </w:t>
      </w:r>
      <w:r>
        <w:rPr/>
        <w:t>las</w:t>
      </w:r>
      <w:r>
        <w:rPr>
          <w:spacing w:val="25"/>
        </w:rPr>
        <w:t> </w:t>
      </w:r>
      <w:r>
        <w:rPr/>
        <w:t>oportunidades</w:t>
      </w:r>
      <w:r>
        <w:rPr>
          <w:spacing w:val="30"/>
        </w:rPr>
        <w:t> </w:t>
      </w:r>
      <w:r>
        <w:rPr/>
        <w:t>educacionales</w:t>
      </w:r>
      <w:r>
        <w:rPr>
          <w:spacing w:val="25"/>
        </w:rPr>
        <w:t> </w:t>
      </w:r>
      <w:r>
        <w:rPr/>
        <w:t>se</w:t>
      </w:r>
      <w:r>
        <w:rPr>
          <w:spacing w:val="25"/>
        </w:rPr>
        <w:t> </w:t>
      </w:r>
      <w:r>
        <w:rPr/>
        <w:t>traduce</w:t>
      </w:r>
      <w:r>
        <w:rPr>
          <w:spacing w:val="31"/>
        </w:rPr>
        <w:t> </w:t>
      </w:r>
      <w:r>
        <w:rPr/>
        <w:t>o</w:t>
      </w:r>
      <w:r>
        <w:rPr>
          <w:spacing w:val="25"/>
        </w:rPr>
        <w:t> </w:t>
      </w:r>
      <w:r>
        <w:rPr/>
        <w:t>no</w:t>
      </w:r>
      <w:r>
        <w:rPr>
          <w:spacing w:val="20"/>
        </w:rPr>
        <w:t> </w:t>
      </w:r>
      <w:r>
        <w:rPr/>
        <w:t>en</w:t>
      </w:r>
      <w:r>
        <w:rPr>
          <w:spacing w:val="25"/>
        </w:rPr>
        <w:t> </w:t>
      </w:r>
      <w:r>
        <w:rPr/>
        <w:t>desarrollo</w:t>
      </w:r>
      <w:r>
        <w:rPr>
          <w:spacing w:val="25"/>
        </w:rPr>
        <w:t> </w:t>
      </w:r>
      <w:r>
        <w:rPr/>
        <w:t>depende</w:t>
      </w:r>
      <w:r>
        <w:rPr>
          <w:spacing w:val="25"/>
        </w:rPr>
        <w:t> </w:t>
      </w:r>
      <w:r>
        <w:rPr/>
        <w:t>de</w:t>
      </w:r>
      <w:r>
        <w:rPr>
          <w:spacing w:val="31"/>
        </w:rPr>
        <w:t> </w:t>
      </w:r>
      <w:r>
        <w:rPr>
          <w:spacing w:val="-5"/>
        </w:rPr>
        <w:t>la</w:t>
      </w:r>
    </w:p>
    <w:p>
      <w:pPr>
        <w:spacing w:after="0" w:line="364" w:lineRule="auto"/>
        <w:jc w:val="both"/>
        <w:sectPr>
          <w:footerReference w:type="default" r:id="rId23"/>
          <w:pgSz w:w="11910" w:h="16840"/>
          <w:pgMar w:footer="1457" w:header="0" w:top="1580" w:bottom="1640" w:left="1540" w:right="1540"/>
          <w:pgNumType w:start="81"/>
        </w:sectPr>
      </w:pPr>
    </w:p>
    <w:p>
      <w:pPr>
        <w:pStyle w:val="BodyText"/>
        <w:rPr>
          <w:sz w:val="20"/>
        </w:rPr>
      </w:pPr>
    </w:p>
    <w:p>
      <w:pPr>
        <w:pStyle w:val="BodyText"/>
        <w:spacing w:before="2"/>
        <w:rPr>
          <w:sz w:val="16"/>
        </w:rPr>
      </w:pPr>
    </w:p>
    <w:p>
      <w:pPr>
        <w:pStyle w:val="BodyText"/>
        <w:spacing w:line="364" w:lineRule="auto" w:before="74"/>
        <w:ind w:left="115" w:right="111"/>
        <w:jc w:val="both"/>
      </w:pPr>
      <w:r>
        <w:rPr/>
        <w:t>medida en que incorporan conocimientos útiles, habilidad de razonamiento, destrezas y valores. Por otra parte, la economía ejerce la presión cada vez mayor sobre la educación, exige que la mano de obra sea cada vez más calificada para responder al rendimiento y la competitividad; se recupera la confianza en la educación como eje para el desarrollo del “capital humano”.</w:t>
      </w:r>
    </w:p>
    <w:p>
      <w:pPr>
        <w:pStyle w:val="BodyText"/>
        <w:spacing w:line="364" w:lineRule="auto" w:before="5"/>
        <w:ind w:left="115" w:right="108" w:firstLine="686"/>
        <w:jc w:val="both"/>
      </w:pPr>
      <w:r>
        <w:rPr/>
        <w:t>En esta línea, se supone que los sistemas nacionales de evaluación  permiten proveer información referente </w:t>
      </w:r>
      <w:r>
        <w:rPr>
          <w:spacing w:val="3"/>
        </w:rPr>
        <w:t>al </w:t>
      </w:r>
      <w:r>
        <w:rPr/>
        <w:t>logro de las metas educacionales; identificar variables internas y externas al sistema que explican las desigualdades en los resultados; contribuir a una predicción informada del funcionamiento del sistema en el futuro y proporcionar indicadores acerca de </w:t>
      </w:r>
      <w:r>
        <w:rPr>
          <w:spacing w:val="-4"/>
        </w:rPr>
        <w:t>los</w:t>
      </w:r>
      <w:r>
        <w:rPr>
          <w:spacing w:val="55"/>
        </w:rPr>
        <w:t> </w:t>
      </w:r>
      <w:r>
        <w:rPr/>
        <w:t>rasgos más permanentes (constantes) del sistema. Tales sistemas de evaluación comprenden  </w:t>
      </w:r>
      <w:r>
        <w:rPr>
          <w:spacing w:val="-5"/>
        </w:rPr>
        <w:t>la </w:t>
      </w:r>
      <w:r>
        <w:rPr/>
        <w:t>aplicación de pruebas o test referentes al logro de los  aprendizajes  esperados en las áreas culturales que constituyen los ejes del currículum escolar, complementadas </w:t>
      </w:r>
      <w:r>
        <w:rPr>
          <w:spacing w:val="-3"/>
        </w:rPr>
        <w:t>en </w:t>
      </w:r>
      <w:r>
        <w:rPr/>
        <w:t>ocasiones, con cuestionarios sobre variables potencialmente explicativas de </w:t>
      </w:r>
      <w:r>
        <w:rPr>
          <w:spacing w:val="-4"/>
        </w:rPr>
        <w:t>la </w:t>
      </w:r>
      <w:r>
        <w:rPr/>
        <w:t>variabilidad de los resultados, los que son diseminados entre </w:t>
      </w:r>
      <w:r>
        <w:rPr>
          <w:spacing w:val="-3"/>
        </w:rPr>
        <w:t>los </w:t>
      </w:r>
      <w:r>
        <w:rPr/>
        <w:t>agentes educacionales directos e</w:t>
      </w:r>
      <w:r>
        <w:rPr>
          <w:spacing w:val="47"/>
        </w:rPr>
        <w:t> </w:t>
      </w:r>
      <w:r>
        <w:rPr/>
        <w:t>indirectos.</w:t>
      </w:r>
    </w:p>
    <w:p>
      <w:pPr>
        <w:pStyle w:val="BodyText"/>
        <w:rPr>
          <w:sz w:val="22"/>
        </w:rPr>
      </w:pPr>
    </w:p>
    <w:p>
      <w:pPr>
        <w:pStyle w:val="Heading3"/>
        <w:numPr>
          <w:ilvl w:val="2"/>
          <w:numId w:val="8"/>
        </w:numPr>
        <w:tabs>
          <w:tab w:pos="831" w:val="left" w:leader="none"/>
        </w:tabs>
        <w:spacing w:line="240" w:lineRule="auto" w:before="160" w:after="0"/>
        <w:ind w:left="830" w:right="0" w:hanging="714"/>
        <w:jc w:val="both"/>
      </w:pPr>
      <w:bookmarkStart w:name="_TOC_250008" w:id="24"/>
      <w:r>
        <w:rPr/>
        <w:t>Problemas conceptuales de la</w:t>
      </w:r>
      <w:r>
        <w:rPr>
          <w:spacing w:val="44"/>
        </w:rPr>
        <w:t> </w:t>
      </w:r>
      <w:bookmarkEnd w:id="24"/>
      <w:r>
        <w:rPr/>
        <w:t>evaluación</w:t>
      </w:r>
    </w:p>
    <w:p>
      <w:pPr>
        <w:pStyle w:val="BodyText"/>
        <w:spacing w:line="364" w:lineRule="auto" w:before="138"/>
        <w:ind w:left="115" w:right="109"/>
        <w:jc w:val="both"/>
      </w:pPr>
      <w:r>
        <w:rPr/>
        <w:t>Los planteamientos colocan énfasis en </w:t>
      </w:r>
      <w:r>
        <w:rPr>
          <w:spacing w:val="-4"/>
        </w:rPr>
        <w:t>la </w:t>
      </w:r>
      <w:r>
        <w:rPr/>
        <w:t>evaluación externa como un mecanismo que garantice validez, confiabilidad y comparabilidad mediante la utilización de instrumentos de medición técnicamente bien elaborados que apoyen la evaluación en el aula, </w:t>
      </w:r>
      <w:r>
        <w:rPr>
          <w:spacing w:val="-4"/>
        </w:rPr>
        <w:t>la</w:t>
      </w:r>
      <w:r>
        <w:rPr>
          <w:spacing w:val="55"/>
        </w:rPr>
        <w:t> </w:t>
      </w:r>
      <w:r>
        <w:rPr/>
        <w:t>autoevaluación de las escuelas y la evaluación del  sistema  educativo. Así, se parte de </w:t>
      </w:r>
      <w:r>
        <w:rPr>
          <w:spacing w:val="-5"/>
        </w:rPr>
        <w:t>la </w:t>
      </w:r>
      <w:r>
        <w:rPr/>
        <w:t>idea de </w:t>
      </w:r>
      <w:r>
        <w:rPr>
          <w:spacing w:val="-3"/>
        </w:rPr>
        <w:t>que </w:t>
      </w:r>
      <w:r>
        <w:rPr/>
        <w:t>una evaluación de la calidad, no solamente utilice los métodos economicistas, sino que tenga una visión más  integral, de forma que se considere que la educación se dirige a diversos perfiles sociales e individuales y que no plantean </w:t>
      </w:r>
      <w:r>
        <w:rPr>
          <w:spacing w:val="-3"/>
        </w:rPr>
        <w:t>un solo </w:t>
      </w:r>
      <w:r>
        <w:rPr/>
        <w:t>tipo de </w:t>
      </w:r>
      <w:r>
        <w:rPr>
          <w:spacing w:val="28"/>
        </w:rPr>
        <w:t> </w:t>
      </w:r>
      <w:r>
        <w:rPr/>
        <w:t>demanda.</w:t>
      </w:r>
    </w:p>
    <w:p>
      <w:pPr>
        <w:pStyle w:val="BodyText"/>
        <w:spacing w:line="364" w:lineRule="auto" w:before="10"/>
        <w:ind w:left="115" w:right="109" w:firstLine="686"/>
        <w:jc w:val="both"/>
      </w:pPr>
      <w:r>
        <w:rPr/>
        <w:t>Por ejemplo, es limitado el enfoque que señala que se debe evaluarse la gestión educativa en tanto sea capaz de formar sujetos con competencias para resolver problemas o con capacidades solicitadas ahora por las empresas para innovar en un mercado altamente competitivo. Sus resultados tenderán a mejorar performances de la institución educativa en esa línea empresarial. El enfoque de</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8"/>
        <w:jc w:val="both"/>
      </w:pPr>
      <w:r>
        <w:rPr>
          <w:spacing w:val="-5"/>
        </w:rPr>
        <w:t>la </w:t>
      </w:r>
      <w:r>
        <w:rPr/>
        <w:t>calidad integral no </w:t>
      </w:r>
      <w:r>
        <w:rPr>
          <w:spacing w:val="3"/>
        </w:rPr>
        <w:t>se </w:t>
      </w:r>
      <w:r>
        <w:rPr/>
        <w:t>niega a enfrentar esos desafíos, pero rehúsa someterse a  </w:t>
      </w:r>
      <w:r>
        <w:rPr>
          <w:spacing w:val="-5"/>
        </w:rPr>
        <w:t>la </w:t>
      </w:r>
      <w:r>
        <w:rPr/>
        <w:t>lógica meramente economicista que se </w:t>
      </w:r>
      <w:r>
        <w:rPr>
          <w:spacing w:val="-3"/>
        </w:rPr>
        <w:t>le </w:t>
      </w:r>
      <w:r>
        <w:rPr/>
        <w:t>ofrece. Es por ello por lo que, para evaluar en términos </w:t>
      </w:r>
      <w:r>
        <w:rPr>
          <w:spacing w:val="3"/>
        </w:rPr>
        <w:t>de </w:t>
      </w:r>
      <w:r>
        <w:rPr/>
        <w:t>calidad integral se debe apelar a nuevas formas de evaluación y de autoevaluación, no sólo de </w:t>
      </w:r>
      <w:r>
        <w:rPr>
          <w:spacing w:val="-4"/>
        </w:rPr>
        <w:t>los </w:t>
      </w:r>
      <w:r>
        <w:rPr/>
        <w:t>alumnos sino de </w:t>
      </w:r>
      <w:r>
        <w:rPr>
          <w:spacing w:val="-3"/>
        </w:rPr>
        <w:t>todos </w:t>
      </w:r>
      <w:r>
        <w:rPr/>
        <w:t>los agentes que intervienen en la gestión educacional, incluidos </w:t>
      </w:r>
      <w:r>
        <w:rPr>
          <w:spacing w:val="-5"/>
        </w:rPr>
        <w:t>la </w:t>
      </w:r>
      <w:r>
        <w:rPr/>
        <w:t>familia y </w:t>
      </w:r>
      <w:r>
        <w:rPr>
          <w:spacing w:val="-5"/>
        </w:rPr>
        <w:t>la  </w:t>
      </w:r>
      <w:r>
        <w:rPr/>
        <w:t>sociedad  (Bertoni,</w:t>
      </w:r>
      <w:r>
        <w:rPr>
          <w:spacing w:val="11"/>
        </w:rPr>
        <w:t> </w:t>
      </w:r>
      <w:r>
        <w:rPr/>
        <w:t>1997).</w:t>
      </w:r>
    </w:p>
    <w:p>
      <w:pPr>
        <w:spacing w:after="0" w:line="364" w:lineRule="auto"/>
        <w:jc w:val="both"/>
        <w:sectPr>
          <w:pgSz w:w="11910" w:h="16840"/>
          <w:pgMar w:header="0" w:footer="1457" w:top="1580" w:bottom="1640" w:left="1540" w:right="15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213"/>
      </w:pPr>
      <w:r>
        <w:rPr/>
        <w:t>Capítulo 2</w:t>
      </w:r>
    </w:p>
    <w:p>
      <w:pPr>
        <w:pStyle w:val="Heading2"/>
        <w:spacing w:line="244" w:lineRule="auto"/>
        <w:ind w:left="1805" w:right="1945"/>
      </w:pPr>
      <w:r>
        <w:rPr/>
        <w:t>Escenarios institucionales, actores y </w:t>
      </w:r>
      <w:r>
        <w:rPr>
          <w:spacing w:val="2"/>
        </w:rPr>
        <w:t>juegos </w:t>
      </w:r>
      <w:r>
        <w:rPr>
          <w:spacing w:val="-4"/>
        </w:rPr>
        <w:t>de </w:t>
      </w:r>
      <w:r>
        <w:rPr/>
        <w:t>poder en la política</w:t>
      </w:r>
      <w:r>
        <w:rPr>
          <w:spacing w:val="87"/>
        </w:rPr>
        <w:t> </w:t>
      </w:r>
      <w:r>
        <w:rPr/>
        <w:t>educativa</w:t>
      </w:r>
    </w:p>
    <w:p>
      <w:pPr>
        <w:spacing w:after="0" w:line="244" w:lineRule="auto"/>
        <w:sectPr>
          <w:pgSz w:w="11910" w:h="16840"/>
          <w:pgMar w:header="0" w:footer="1457" w:top="1580" w:bottom="1640" w:left="1680" w:right="154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Heading3"/>
        <w:numPr>
          <w:ilvl w:val="1"/>
          <w:numId w:val="9"/>
        </w:numPr>
        <w:tabs>
          <w:tab w:pos="505" w:val="left" w:leader="none"/>
        </w:tabs>
        <w:spacing w:line="240" w:lineRule="auto" w:before="74" w:after="0"/>
        <w:ind w:left="504" w:right="0" w:hanging="388"/>
        <w:jc w:val="both"/>
      </w:pPr>
      <w:bookmarkStart w:name="_TOC_250007" w:id="25"/>
      <w:r>
        <w:rPr/>
        <w:t>El proceso de formulación de políticas</w:t>
      </w:r>
      <w:r>
        <w:rPr>
          <w:spacing w:val="52"/>
        </w:rPr>
        <w:t> </w:t>
      </w:r>
      <w:bookmarkEnd w:id="25"/>
      <w:r>
        <w:rPr/>
        <w:t>públicas</w:t>
      </w:r>
    </w:p>
    <w:p>
      <w:pPr>
        <w:pStyle w:val="BodyText"/>
        <w:spacing w:line="364" w:lineRule="auto" w:before="138"/>
        <w:ind w:left="115" w:right="105"/>
        <w:jc w:val="both"/>
      </w:pPr>
      <w:r>
        <w:rPr/>
        <w:t>El proceso de formulación de las políticas públicas, de acuerdo con Lindblom está sujeto a “juegos </w:t>
      </w:r>
      <w:r>
        <w:rPr>
          <w:spacing w:val="-3"/>
        </w:rPr>
        <w:t>de </w:t>
      </w:r>
      <w:r>
        <w:rPr/>
        <w:t>poder” que dificultan la planeación tecnocrática y los alcances de racionalidad de las burocracias públicas. Por su parte, Scartascini, Spiller, Stein  y Tommasi (2011) establecen que esos juegos de poder o “juegos políticos”, están condicionados por las reglas del régimen político y por los actores sociales y políticos involucrados. De acuerdo con estos autores, estos elementos favorecen o no </w:t>
      </w:r>
      <w:r>
        <w:rPr>
          <w:spacing w:val="-4"/>
        </w:rPr>
        <w:t>la </w:t>
      </w:r>
      <w:r>
        <w:rPr/>
        <w:t>cooperación para que una determinada política tenga </w:t>
      </w:r>
      <w:r>
        <w:rPr>
          <w:spacing w:val="12"/>
        </w:rPr>
        <w:t> </w:t>
      </w:r>
      <w:r>
        <w:rPr/>
        <w:t>éxito.</w:t>
      </w:r>
    </w:p>
    <w:p>
      <w:pPr>
        <w:pStyle w:val="BodyText"/>
        <w:spacing w:line="364" w:lineRule="auto" w:before="5"/>
        <w:ind w:left="115" w:right="104" w:firstLine="686"/>
        <w:jc w:val="both"/>
      </w:pPr>
      <w:r>
        <w:rPr/>
        <w:t>Se presenta el marco institucional en el que desarrolla </w:t>
      </w:r>
      <w:r>
        <w:rPr>
          <w:spacing w:val="-5"/>
        </w:rPr>
        <w:t>la </w:t>
      </w:r>
      <w:r>
        <w:rPr/>
        <w:t>formulación y </w:t>
      </w:r>
      <w:r>
        <w:rPr>
          <w:spacing w:val="-5"/>
        </w:rPr>
        <w:t>la </w:t>
      </w:r>
      <w:r>
        <w:rPr/>
        <w:t>puesta en marcha de la política educativa en México en los niveles  básico  y normal. Si bien </w:t>
      </w:r>
      <w:r>
        <w:rPr>
          <w:spacing w:val="5"/>
        </w:rPr>
        <w:t>el </w:t>
      </w:r>
      <w:r>
        <w:rPr/>
        <w:t>titular del Ejecutivo, así como los encargados de la Secretaría de Educación Pública (SEP), en un contexto de régimen autoritario (caracterizado por  </w:t>
      </w:r>
      <w:r>
        <w:rPr>
          <w:spacing w:val="-5"/>
        </w:rPr>
        <w:t>la </w:t>
      </w:r>
      <w:r>
        <w:rPr/>
        <w:t>retención del gobierno bajo un esquema de competencia electoral no democrática), fueron casi los únicos actores políticos que modelaron los alcances  de las políticas </w:t>
      </w:r>
      <w:r>
        <w:rPr>
          <w:spacing w:val="-3"/>
        </w:rPr>
        <w:t>en </w:t>
      </w:r>
      <w:r>
        <w:rPr/>
        <w:t>educación básica y normal, tuvieron cierta resistencia de </w:t>
      </w:r>
      <w:r>
        <w:rPr>
          <w:spacing w:val="-2"/>
        </w:rPr>
        <w:t>los </w:t>
      </w:r>
      <w:r>
        <w:rPr/>
        <w:t>partidos políticos, de grupos sociales y de un grupo de maestros agrupados </w:t>
      </w:r>
      <w:r>
        <w:rPr>
          <w:spacing w:val="3"/>
        </w:rPr>
        <w:t>en </w:t>
      </w:r>
      <w:r>
        <w:rPr/>
        <w:t>el Sindicato Nacional de Trabajadores de la Educación</w:t>
      </w:r>
      <w:r>
        <w:rPr>
          <w:spacing w:val="61"/>
        </w:rPr>
        <w:t> </w:t>
      </w:r>
      <w:r>
        <w:rPr/>
        <w:t>(SNTE).</w:t>
      </w:r>
    </w:p>
    <w:p>
      <w:pPr>
        <w:pStyle w:val="BodyText"/>
        <w:spacing w:line="364" w:lineRule="auto" w:before="5"/>
        <w:ind w:left="115" w:right="109" w:firstLine="686"/>
        <w:jc w:val="both"/>
      </w:pPr>
      <w:r>
        <w:rPr/>
        <w:t>Esta resistencia tomó otra forma una vez que se instauró en México el régimen democrático. Los distintos actores políticos y sociales interesados en </w:t>
      </w:r>
      <w:r>
        <w:rPr>
          <w:spacing w:val="-3"/>
        </w:rPr>
        <w:t>la </w:t>
      </w:r>
      <w:r>
        <w:rPr/>
        <w:t>política educativa, tuvieron mejores condiciones para involucrarse con apoyos parciales o vetos abiertos en relación con las  propuestas gubernamentales. En  este marco, los juegos de poder o juegos políticos se hicieron más </w:t>
      </w:r>
      <w:r>
        <w:rPr>
          <w:spacing w:val="23"/>
        </w:rPr>
        <w:t> </w:t>
      </w:r>
      <w:r>
        <w:rPr/>
        <w:t>evidentes.</w:t>
      </w:r>
    </w:p>
    <w:p>
      <w:pPr>
        <w:pStyle w:val="BodyText"/>
        <w:spacing w:line="364" w:lineRule="auto" w:before="5"/>
        <w:ind w:left="115" w:right="105" w:firstLine="686"/>
        <w:jc w:val="both"/>
      </w:pPr>
      <w:r>
        <w:rPr/>
        <w:t>En este capítulo entonces, </w:t>
      </w:r>
      <w:r>
        <w:rPr>
          <w:spacing w:val="2"/>
        </w:rPr>
        <w:t>se </w:t>
      </w:r>
      <w:r>
        <w:rPr/>
        <w:t>muestran los términos en que </w:t>
      </w:r>
      <w:r>
        <w:rPr>
          <w:spacing w:val="-3"/>
        </w:rPr>
        <w:t>los </w:t>
      </w:r>
      <w:r>
        <w:rPr/>
        <w:t>presidentes Vicente Fox y Felipe Calderón, </w:t>
      </w:r>
      <w:r>
        <w:rPr>
          <w:spacing w:val="2"/>
        </w:rPr>
        <w:t>al </w:t>
      </w:r>
      <w:r>
        <w:rPr/>
        <w:t>impulsar su política educativa para favorecer </w:t>
      </w:r>
      <w:r>
        <w:rPr>
          <w:spacing w:val="-4"/>
        </w:rPr>
        <w:t>“la </w:t>
      </w:r>
      <w:r>
        <w:rPr/>
        <w:t>calidad” de </w:t>
      </w:r>
      <w:r>
        <w:rPr>
          <w:spacing w:val="-5"/>
        </w:rPr>
        <w:t>la </w:t>
      </w:r>
      <w:r>
        <w:rPr/>
        <w:t>educación, encontraron resistencias de miles </w:t>
      </w:r>
      <w:r>
        <w:rPr>
          <w:spacing w:val="3"/>
        </w:rPr>
        <w:t>de </w:t>
      </w:r>
      <w:r>
        <w:rPr/>
        <w:t>maestros del nivel  de educación básica, de ciertos sectores </w:t>
      </w:r>
      <w:r>
        <w:rPr>
          <w:spacing w:val="-3"/>
        </w:rPr>
        <w:t>del </w:t>
      </w:r>
      <w:r>
        <w:rPr/>
        <w:t>SNTE, así como de </w:t>
      </w:r>
      <w:r>
        <w:rPr>
          <w:spacing w:val="-3"/>
        </w:rPr>
        <w:t>los </w:t>
      </w:r>
      <w:r>
        <w:rPr/>
        <w:t>gobernadores pertenecientes a los tres principales partidos políticos (PAN, PRI y PRD). Por otra parte, ambos mandatarios evitaron llevar </w:t>
      </w:r>
      <w:r>
        <w:rPr>
          <w:spacing w:val="4"/>
        </w:rPr>
        <w:t>al </w:t>
      </w:r>
      <w:r>
        <w:rPr/>
        <w:t>terreno legislativo las políticas </w:t>
      </w:r>
      <w:r>
        <w:rPr>
          <w:spacing w:val="-3"/>
        </w:rPr>
        <w:t>de </w:t>
      </w:r>
      <w:r>
        <w:rPr/>
        <w:t>cambio, con el </w:t>
      </w:r>
      <w:r>
        <w:rPr>
          <w:spacing w:val="-2"/>
        </w:rPr>
        <w:t>fin </w:t>
      </w:r>
      <w:r>
        <w:rPr/>
        <w:t>de no confrontar </w:t>
      </w:r>
      <w:r>
        <w:rPr>
          <w:spacing w:val="-3"/>
        </w:rPr>
        <w:t>las </w:t>
      </w:r>
      <w:r>
        <w:rPr/>
        <w:t>propuestas impulsadas. Esta estrategia, efectivamente, favoreció los acuerdos rápidos y sin intromisiones partidistas,   </w:t>
      </w:r>
      <w:r>
        <w:rPr>
          <w:spacing w:val="24"/>
        </w:rPr>
        <w:t> </w:t>
      </w:r>
      <w:r>
        <w:rPr/>
        <w:t>pero</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9" w:lineRule="auto" w:before="74"/>
        <w:ind w:left="115" w:right="191"/>
      </w:pPr>
      <w:r>
        <w:rPr/>
        <w:t>por lo mismo fueron </w:t>
      </w:r>
      <w:r>
        <w:rPr>
          <w:spacing w:val="3"/>
        </w:rPr>
        <w:t>de </w:t>
      </w:r>
      <w:r>
        <w:rPr/>
        <w:t>corto alcance (sin sustento constitucional ni reglamentario)   y sin legitimidad social y</w:t>
      </w:r>
      <w:r>
        <w:rPr>
          <w:spacing w:val="38"/>
        </w:rPr>
        <w:t> </w:t>
      </w:r>
      <w:r>
        <w:rPr/>
        <w:t>política.</w:t>
      </w:r>
    </w:p>
    <w:p>
      <w:pPr>
        <w:pStyle w:val="BodyText"/>
        <w:spacing w:line="364" w:lineRule="auto"/>
        <w:ind w:left="115" w:right="104" w:firstLine="748"/>
        <w:jc w:val="both"/>
      </w:pPr>
      <w:r>
        <w:rPr/>
        <w:t>Así, durante el gobierno de Vicente Fox (2000-2006), se propuso el </w:t>
      </w:r>
      <w:r>
        <w:rPr>
          <w:i/>
        </w:rPr>
        <w:t>Compromiso Social por la Calidad de la Educación </w:t>
      </w:r>
      <w:r>
        <w:rPr/>
        <w:t>en 2002 con un consenso de fachada (se dijo que tenía el apoyo de empresarios, medios de comunicación, gobiernos estatales y </w:t>
      </w:r>
      <w:r>
        <w:rPr>
          <w:spacing w:val="-3"/>
        </w:rPr>
        <w:t>líderes </w:t>
      </w:r>
      <w:r>
        <w:rPr/>
        <w:t>sociales) y con compromisos no vinculantes para sus participantes (fundamentalmente sindicato de maestros y gobierno), de forma que  su acuerdo central, el ingreso al magisterio y el ascenso a puestos directivos </w:t>
      </w:r>
      <w:r>
        <w:rPr>
          <w:spacing w:val="3"/>
        </w:rPr>
        <w:t>en </w:t>
      </w:r>
      <w:r>
        <w:rPr/>
        <w:t>el sector educativo a través de concurso, nunca se hicieron realidad. En </w:t>
      </w:r>
      <w:r>
        <w:rPr>
          <w:spacing w:val="-4"/>
        </w:rPr>
        <w:t>los  </w:t>
      </w:r>
      <w:r>
        <w:rPr/>
        <w:t>hechos,  el presidente se quedó solo en el marco de los juegos de poder, entre otras cosas porque este planteamiento no se basó </w:t>
      </w:r>
      <w:r>
        <w:rPr>
          <w:spacing w:val="-3"/>
        </w:rPr>
        <w:t>en </w:t>
      </w:r>
      <w:r>
        <w:rPr/>
        <w:t>normas específicas ni en compromisos políticos exigibles. Adicionalmente, los  partidos y los  gobernadores </w:t>
      </w:r>
      <w:r>
        <w:rPr>
          <w:spacing w:val="2"/>
        </w:rPr>
        <w:t>se </w:t>
      </w:r>
      <w:r>
        <w:rPr/>
        <w:t>quedaron sin incentivos para sumarse de lleno al</w:t>
      </w:r>
      <w:r>
        <w:rPr>
          <w:spacing w:val="52"/>
        </w:rPr>
        <w:t> </w:t>
      </w:r>
      <w:r>
        <w:rPr>
          <w:i/>
        </w:rPr>
        <w:t>Acuerdo</w:t>
      </w:r>
      <w:r>
        <w:rPr/>
        <w:t>.</w:t>
      </w:r>
    </w:p>
    <w:p>
      <w:pPr>
        <w:pStyle w:val="BodyText"/>
        <w:spacing w:line="364" w:lineRule="auto" w:before="10"/>
        <w:ind w:left="116" w:right="107" w:firstLine="686"/>
        <w:jc w:val="both"/>
      </w:pPr>
      <w:r>
        <w:rPr/>
        <w:t>Algo similar ocurrió </w:t>
      </w:r>
      <w:r>
        <w:rPr>
          <w:spacing w:val="3"/>
        </w:rPr>
        <w:t>con </w:t>
      </w:r>
      <w:r>
        <w:rPr>
          <w:spacing w:val="-3"/>
        </w:rPr>
        <w:t>la </w:t>
      </w:r>
      <w:r>
        <w:rPr/>
        <w:t>creación del Instituto Nacional de Evaluación Educativa (INEE). Para evitar la discusión en el Congreso, en parte </w:t>
      </w:r>
      <w:r>
        <w:rPr>
          <w:spacing w:val="-3"/>
        </w:rPr>
        <w:t>por  </w:t>
      </w:r>
      <w:r>
        <w:rPr/>
        <w:t>temor a  una eventual reacción de rechazo </w:t>
      </w:r>
      <w:r>
        <w:rPr>
          <w:spacing w:val="-3"/>
        </w:rPr>
        <w:t>del </w:t>
      </w:r>
      <w:r>
        <w:rPr/>
        <w:t>sindicato magisterial y </w:t>
      </w:r>
      <w:r>
        <w:rPr>
          <w:spacing w:val="-3"/>
        </w:rPr>
        <w:t>los </w:t>
      </w:r>
      <w:r>
        <w:rPr/>
        <w:t>grupos disidentes </w:t>
      </w:r>
      <w:r>
        <w:rPr>
          <w:spacing w:val="-3"/>
        </w:rPr>
        <w:t>(en </w:t>
      </w:r>
      <w:r>
        <w:rPr/>
        <w:t>particular, </w:t>
      </w:r>
      <w:r>
        <w:rPr>
          <w:spacing w:val="3"/>
        </w:rPr>
        <w:t>el </w:t>
      </w:r>
      <w:r>
        <w:rPr/>
        <w:t>caso de </w:t>
      </w:r>
      <w:r>
        <w:rPr>
          <w:spacing w:val="-4"/>
        </w:rPr>
        <w:t>la </w:t>
      </w:r>
      <w:r>
        <w:rPr/>
        <w:t>CNTE) y en parte por la alianza que empezó a generar  el Presidente con </w:t>
      </w:r>
      <w:r>
        <w:rPr>
          <w:spacing w:val="-4"/>
        </w:rPr>
        <w:t>la </w:t>
      </w:r>
      <w:r>
        <w:rPr/>
        <w:t>dirigencia del SNTE, Vicente Fox emitió un decreto para que    el INEE se convirtiera en una institución que evaluara los logros del aprendizaje en el ámbito de la educación básica, a través del Examen de </w:t>
      </w:r>
      <w:r>
        <w:rPr>
          <w:spacing w:val="-3"/>
        </w:rPr>
        <w:t>la </w:t>
      </w:r>
      <w:r>
        <w:rPr/>
        <w:t>Calidad y el Logro Educativos (EXCALE). Al quedar al margen de este proceso gobernadores y Congreso, el INEE  apenas se convirtió en </w:t>
      </w:r>
      <w:r>
        <w:rPr>
          <w:spacing w:val="2"/>
        </w:rPr>
        <w:t>un </w:t>
      </w:r>
      <w:r>
        <w:rPr/>
        <w:t>apéndice administrativo  de </w:t>
      </w:r>
      <w:r>
        <w:rPr>
          <w:spacing w:val="-3"/>
        </w:rPr>
        <w:t>la </w:t>
      </w:r>
      <w:r>
        <w:rPr/>
        <w:t>SEP  sin mayor capacidad de incidencia en las posibles soluciones  para superar </w:t>
      </w:r>
      <w:r>
        <w:rPr>
          <w:spacing w:val="-3"/>
        </w:rPr>
        <w:t>los</w:t>
      </w:r>
      <w:r>
        <w:rPr>
          <w:spacing w:val="57"/>
        </w:rPr>
        <w:t> </w:t>
      </w:r>
      <w:r>
        <w:rPr/>
        <w:t>bajos resultados o siquiera para convertirlos en insumo obligado de políticas de mejora.</w:t>
      </w:r>
    </w:p>
    <w:p>
      <w:pPr>
        <w:pStyle w:val="BodyText"/>
        <w:spacing w:line="367" w:lineRule="auto"/>
        <w:ind w:left="116" w:right="106" w:firstLine="686"/>
        <w:jc w:val="both"/>
      </w:pPr>
      <w:r>
        <w:rPr/>
        <w:t>Otra de las políticas a favor de la “calidad” educativa de Vicente Fox, fue </w:t>
      </w:r>
      <w:r>
        <w:rPr>
          <w:i/>
        </w:rPr>
        <w:t>Escuelas de Calidad</w:t>
      </w:r>
      <w:r>
        <w:rPr/>
        <w:t>. Nuevamente, como en los casos anteriores,  </w:t>
      </w:r>
      <w:r>
        <w:rPr>
          <w:spacing w:val="3"/>
        </w:rPr>
        <w:t>se </w:t>
      </w:r>
      <w:r>
        <w:rPr/>
        <w:t>consideró  que funcionaría mejor esta propuesta </w:t>
      </w:r>
      <w:r>
        <w:rPr>
          <w:spacing w:val="3"/>
        </w:rPr>
        <w:t>si </w:t>
      </w:r>
      <w:r>
        <w:rPr/>
        <w:t>dejaba en el marco del Ejecutivo.  Ni siquiera hubo necesidad de negociar el presupuesto en el Congreso, debido a que los recursos de este programa se incluyeron en el paquete  presupuestal  de  </w:t>
      </w:r>
      <w:r>
        <w:rPr>
          <w:spacing w:val="-4"/>
        </w:rPr>
        <w:t>la </w:t>
      </w:r>
      <w:r>
        <w:rPr/>
        <w:t>SEP.  En  estos  términos,  el  programa  quedó  como  una  política   de       </w:t>
      </w:r>
      <w:r>
        <w:rPr>
          <w:spacing w:val="46"/>
        </w:rPr>
        <w:t> </w:t>
      </w:r>
      <w:r>
        <w:rPr/>
        <w:t>apoyo</w:t>
      </w:r>
    </w:p>
    <w:p>
      <w:pPr>
        <w:spacing w:after="0" w:line="367"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9" w:lineRule="auto" w:before="74"/>
        <w:ind w:left="115" w:right="191"/>
      </w:pPr>
      <w:r>
        <w:rPr/>
        <w:t>económico para aquellos planteles, que en base en un concurso, consiguieran recursos adicionales para mejorar sus</w:t>
      </w:r>
      <w:r>
        <w:rPr>
          <w:spacing w:val="54"/>
        </w:rPr>
        <w:t> </w:t>
      </w:r>
      <w:r>
        <w:rPr/>
        <w:t>instalaciones.</w:t>
      </w:r>
    </w:p>
    <w:p>
      <w:pPr>
        <w:pStyle w:val="BodyText"/>
        <w:spacing w:line="364" w:lineRule="auto"/>
        <w:ind w:left="115" w:right="106" w:firstLine="686"/>
        <w:jc w:val="both"/>
      </w:pPr>
      <w:r>
        <w:rPr/>
        <w:t>El estilo  de Felipe Calderón no fue muy diferente al de Fox. A partir de  2007, se impulsó desde la SEP la aplicación censal de un instrumento para medir   el logro de los aprendizajes, </w:t>
      </w:r>
      <w:r>
        <w:rPr>
          <w:spacing w:val="-5"/>
        </w:rPr>
        <w:t>la </w:t>
      </w:r>
      <w:r>
        <w:rPr/>
        <w:t>Evaluación Nacional de Logro Académico en  Centros Escolares (Enlace). Esta prueba se convirtió en obligatoria para los estudiantes de educación básica y más adelante se aplicó a los alumnos del nivel medio superior. Nuevamente, </w:t>
      </w:r>
      <w:r>
        <w:rPr>
          <w:spacing w:val="-3"/>
        </w:rPr>
        <w:t>la </w:t>
      </w:r>
      <w:r>
        <w:rPr/>
        <w:t>política quedó en el marco del poder Ejecutivo. De este modo, ni legisladores </w:t>
      </w:r>
      <w:r>
        <w:rPr>
          <w:spacing w:val="3"/>
        </w:rPr>
        <w:t>ni </w:t>
      </w:r>
      <w:r>
        <w:rPr/>
        <w:t>gobernadores tuvieron incentivos para </w:t>
      </w:r>
      <w:r>
        <w:rPr>
          <w:spacing w:val="-3"/>
        </w:rPr>
        <w:t>que esta  </w:t>
      </w:r>
      <w:r>
        <w:rPr/>
        <w:t>prueba se convirtiera en un instrumento de consenso que pudiera mejorar  sus rentas políticas de corto o mediano plazos. Todo lo contrario, en algunos casos, sobre todo los gobernadores vieron el examen como una amenaza de estabilidad política y consintieron </w:t>
      </w:r>
      <w:r>
        <w:rPr>
          <w:spacing w:val="5"/>
        </w:rPr>
        <w:t>su </w:t>
      </w:r>
      <w:r>
        <w:rPr/>
        <w:t>cancelación. Este fue el caso de </w:t>
      </w:r>
      <w:r>
        <w:rPr>
          <w:spacing w:val="-4"/>
        </w:rPr>
        <w:t>los </w:t>
      </w:r>
      <w:r>
        <w:rPr/>
        <w:t>estados de Oaxaca, Guerrero y</w:t>
      </w:r>
      <w:r>
        <w:rPr>
          <w:spacing w:val="22"/>
        </w:rPr>
        <w:t> </w:t>
      </w:r>
      <w:r>
        <w:rPr/>
        <w:t>Michoacán.</w:t>
      </w:r>
    </w:p>
    <w:p>
      <w:pPr>
        <w:pStyle w:val="BodyText"/>
        <w:spacing w:line="364" w:lineRule="auto" w:before="5"/>
        <w:ind w:left="115" w:right="103" w:firstLine="686"/>
        <w:jc w:val="both"/>
      </w:pPr>
      <w:r>
        <w:rPr/>
        <w:t>En mayo de 2008, Felipe Calderón retomó los puntos esenciales del </w:t>
      </w:r>
      <w:r>
        <w:rPr>
          <w:i/>
        </w:rPr>
        <w:t>Compromiso Social por la Calidad de la Educación</w:t>
      </w:r>
      <w:r>
        <w:rPr/>
        <w:t>, a través de una nueva política de </w:t>
      </w:r>
      <w:r>
        <w:rPr>
          <w:spacing w:val="-3"/>
        </w:rPr>
        <w:t>mejora </w:t>
      </w:r>
      <w:r>
        <w:rPr/>
        <w:t>de la calidad, la </w:t>
      </w:r>
      <w:r>
        <w:rPr>
          <w:i/>
        </w:rPr>
        <w:t>Alianza para la Calidad de la Educación</w:t>
      </w:r>
      <w:r>
        <w:rPr/>
        <w:t>. Su apuesta central era comprometer a </w:t>
      </w:r>
      <w:r>
        <w:rPr>
          <w:spacing w:val="-5"/>
        </w:rPr>
        <w:t>la </w:t>
      </w:r>
      <w:r>
        <w:rPr/>
        <w:t>dirigencia del SNTE, a aceptar que las plazas de “nueva creación” para el ejercicio de la docencia, se realizaran por concurso, de forma que ingresaran los profesores </w:t>
      </w:r>
      <w:r>
        <w:rPr>
          <w:spacing w:val="2"/>
        </w:rPr>
        <w:t>con </w:t>
      </w:r>
      <w:r>
        <w:rPr/>
        <w:t>las mejores puntuaciones  </w:t>
      </w:r>
      <w:r>
        <w:rPr>
          <w:spacing w:val="-3"/>
        </w:rPr>
        <w:t>en </w:t>
      </w:r>
      <w:r>
        <w:rPr/>
        <w:t>el examen  de ingreso. El propósito manifiesto era acabar con </w:t>
      </w:r>
      <w:r>
        <w:rPr>
          <w:spacing w:val="-5"/>
        </w:rPr>
        <w:t>la </w:t>
      </w:r>
      <w:r>
        <w:rPr/>
        <w:t>“venta”  y  “herencia”  de plazas que era una práctica consuetudinaria en el sector educativo. Nuevamente,  se dejó de lado al Congreso y a los gobernadores. En ese marco, no tuvo </w:t>
      </w:r>
      <w:r>
        <w:rPr>
          <w:spacing w:val="-4"/>
        </w:rPr>
        <w:t>la </w:t>
      </w:r>
      <w:r>
        <w:rPr/>
        <w:t>legitimidad política de las fuerzas partidistas más importantes y por tanto el apoyo  de los gobernadores fue endeble o nulo. No se puede hablar de un “fracaso”, pero  si de un alcance</w:t>
      </w:r>
      <w:r>
        <w:rPr>
          <w:spacing w:val="18"/>
        </w:rPr>
        <w:t> </w:t>
      </w:r>
      <w:r>
        <w:rPr/>
        <w:t>limitado.</w:t>
      </w:r>
    </w:p>
    <w:p>
      <w:pPr>
        <w:spacing w:line="364" w:lineRule="auto" w:before="10"/>
        <w:ind w:left="115" w:right="106" w:firstLine="686"/>
        <w:jc w:val="both"/>
        <w:rPr>
          <w:sz w:val="23"/>
        </w:rPr>
      </w:pPr>
      <w:r>
        <w:rPr>
          <w:sz w:val="23"/>
        </w:rPr>
        <w:t>Posteriormente, en mayo de 2011, Felipe Calderón, bajo el mismo formato  de la </w:t>
      </w:r>
      <w:r>
        <w:rPr>
          <w:i/>
          <w:sz w:val="23"/>
        </w:rPr>
        <w:t>Alianza</w:t>
      </w:r>
      <w:r>
        <w:rPr>
          <w:sz w:val="23"/>
        </w:rPr>
        <w:t>, impulsó el </w:t>
      </w:r>
      <w:r>
        <w:rPr>
          <w:i/>
          <w:sz w:val="23"/>
        </w:rPr>
        <w:t>Acuerdo para la Evaluación Universal </w:t>
      </w:r>
      <w:r>
        <w:rPr>
          <w:i/>
          <w:spacing w:val="-3"/>
          <w:sz w:val="23"/>
        </w:rPr>
        <w:t>de </w:t>
      </w:r>
      <w:r>
        <w:rPr>
          <w:i/>
          <w:sz w:val="23"/>
        </w:rPr>
        <w:t>Docentes y </w:t>
      </w:r>
      <w:r>
        <w:rPr>
          <w:i/>
          <w:sz w:val="23"/>
        </w:rPr>
        <w:t>Directivos en Servicio de Educación Básica</w:t>
      </w:r>
      <w:r>
        <w:rPr>
          <w:sz w:val="23"/>
        </w:rPr>
        <w:t>. Los aspectos </w:t>
      </w:r>
      <w:r>
        <w:rPr>
          <w:spacing w:val="-3"/>
          <w:sz w:val="23"/>
        </w:rPr>
        <w:t>más </w:t>
      </w:r>
      <w:r>
        <w:rPr>
          <w:sz w:val="23"/>
        </w:rPr>
        <w:t>significativos de dicho acuerdo fueron que habría evaluación obligatoria para todos los docentes de </w:t>
      </w:r>
      <w:r>
        <w:rPr>
          <w:spacing w:val="-5"/>
          <w:sz w:val="23"/>
        </w:rPr>
        <w:t>la   </w:t>
      </w:r>
      <w:r>
        <w:rPr>
          <w:sz w:val="23"/>
        </w:rPr>
        <w:t>educación  básica  y  que  sus  resultados  serían  considerados  para  que   </w:t>
      </w:r>
      <w:r>
        <w:rPr>
          <w:spacing w:val="29"/>
          <w:sz w:val="23"/>
        </w:rPr>
        <w:t> </w:t>
      </w:r>
      <w:r>
        <w:rPr>
          <w:sz w:val="23"/>
        </w:rPr>
        <w:t>los</w:t>
      </w:r>
    </w:p>
    <w:p>
      <w:pPr>
        <w:spacing w:after="0" w:line="364" w:lineRule="auto"/>
        <w:jc w:val="both"/>
        <w:rPr>
          <w:sz w:val="23"/>
        </w:rPr>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5"/>
        <w:jc w:val="both"/>
      </w:pPr>
      <w:r>
        <w:rPr/>
        <w:t>profesores frente a grupo y en funciones de Apoyo Técnico Pedagógico  y  directivos inscritos en Carrera Magisterial, acreditaran cierto puntaje. Asimismo, se determinó que el resultado tendría puntaje en el Programa de Estímulos </w:t>
      </w:r>
      <w:r>
        <w:rPr>
          <w:spacing w:val="-3"/>
        </w:rPr>
        <w:t>de </w:t>
      </w:r>
      <w:r>
        <w:rPr>
          <w:spacing w:val="-4"/>
        </w:rPr>
        <w:t>la </w:t>
      </w:r>
      <w:r>
        <w:rPr/>
        <w:t>Calidad Docente. Este acuerdo, igual que los anteriores, no fue discutido en el Congreso, ni siquiera en términos presupuestales,  y  nuevamente,  los gobernadores quedaron al margen. En este marco, un importante número de profesores eludió la prueba ante </w:t>
      </w:r>
      <w:r>
        <w:rPr>
          <w:spacing w:val="-5"/>
        </w:rPr>
        <w:t>la </w:t>
      </w:r>
      <w:r>
        <w:rPr/>
        <w:t>contemplación de los legisladores,  gobernadores y líderes de partidos</w:t>
      </w:r>
      <w:r>
        <w:rPr>
          <w:spacing w:val="51"/>
        </w:rPr>
        <w:t> </w:t>
      </w:r>
      <w:r>
        <w:rPr/>
        <w:t>políticos.</w:t>
      </w:r>
    </w:p>
    <w:p>
      <w:pPr>
        <w:pStyle w:val="BodyText"/>
        <w:spacing w:line="364" w:lineRule="auto" w:before="5"/>
        <w:ind w:left="115" w:right="106" w:firstLine="686"/>
        <w:jc w:val="both"/>
      </w:pPr>
      <w:r>
        <w:rPr/>
        <w:t>Como se puede apreciar, las políticas de </w:t>
      </w:r>
      <w:r>
        <w:rPr>
          <w:spacing w:val="-4"/>
        </w:rPr>
        <w:t>la </w:t>
      </w:r>
      <w:r>
        <w:rPr/>
        <w:t>calidad educativa en México tienen casi como únicos protagonistas al Presidente, al Secretario de Educación y  a </w:t>
      </w:r>
      <w:r>
        <w:rPr>
          <w:spacing w:val="-3"/>
        </w:rPr>
        <w:t>la </w:t>
      </w:r>
      <w:r>
        <w:rPr/>
        <w:t>dirigencia nacional del SNTE, en parte por la tradición  del  autoritarismo  político mexicano, que tuvo como institución central </w:t>
      </w:r>
      <w:r>
        <w:rPr>
          <w:spacing w:val="4"/>
        </w:rPr>
        <w:t>al </w:t>
      </w:r>
      <w:r>
        <w:rPr/>
        <w:t>Poder Ejecutivo, y en parte porque legisladores y gobernadores no han visto alguna ganancia en la política educativa. Enseguida se muestran, cuáles son </w:t>
      </w:r>
      <w:r>
        <w:rPr>
          <w:spacing w:val="-4"/>
        </w:rPr>
        <w:t>las </w:t>
      </w:r>
      <w:r>
        <w:rPr/>
        <w:t>condiciones óptimas de </w:t>
      </w:r>
      <w:r>
        <w:rPr>
          <w:spacing w:val="-5"/>
        </w:rPr>
        <w:t>la </w:t>
      </w:r>
      <w:r>
        <w:rPr/>
        <w:t>cooperación </w:t>
      </w:r>
      <w:r>
        <w:rPr>
          <w:spacing w:val="-3"/>
        </w:rPr>
        <w:t>y, </w:t>
      </w:r>
      <w:r>
        <w:rPr/>
        <w:t>posteriormente, porque en México, </w:t>
      </w:r>
      <w:r>
        <w:rPr>
          <w:spacing w:val="-3"/>
        </w:rPr>
        <w:t>ello </w:t>
      </w:r>
      <w:r>
        <w:rPr/>
        <w:t>no ha </w:t>
      </w:r>
      <w:r>
        <w:rPr>
          <w:spacing w:val="26"/>
        </w:rPr>
        <w:t> </w:t>
      </w:r>
      <w:r>
        <w:rPr/>
        <w:t>ocurrido.</w:t>
      </w:r>
    </w:p>
    <w:p>
      <w:pPr>
        <w:pStyle w:val="BodyText"/>
        <w:rPr>
          <w:sz w:val="22"/>
        </w:rPr>
      </w:pPr>
    </w:p>
    <w:p>
      <w:pPr>
        <w:pStyle w:val="ListParagraph"/>
        <w:numPr>
          <w:ilvl w:val="2"/>
          <w:numId w:val="9"/>
        </w:numPr>
        <w:tabs>
          <w:tab w:pos="697" w:val="left" w:leader="none"/>
          <w:tab w:pos="2884" w:val="left" w:leader="none"/>
        </w:tabs>
        <w:spacing w:line="364" w:lineRule="auto" w:before="150" w:after="0"/>
        <w:ind w:left="116" w:right="104" w:firstLine="0"/>
        <w:jc w:val="left"/>
        <w:rPr>
          <w:sz w:val="23"/>
        </w:rPr>
      </w:pPr>
      <w:r>
        <w:rPr>
          <w:b/>
          <w:sz w:val="23"/>
        </w:rPr>
        <w:t>Elementos clave </w:t>
      </w:r>
      <w:r>
        <w:rPr>
          <w:b/>
          <w:spacing w:val="2"/>
          <w:sz w:val="23"/>
        </w:rPr>
        <w:t>de </w:t>
      </w:r>
      <w:r>
        <w:rPr>
          <w:b/>
          <w:sz w:val="23"/>
        </w:rPr>
        <w:t>la cooperación para la formulación de políticas  </w:t>
      </w:r>
      <w:r>
        <w:rPr>
          <w:sz w:val="23"/>
        </w:rPr>
        <w:t>Como </w:t>
      </w:r>
      <w:r>
        <w:rPr>
          <w:spacing w:val="3"/>
          <w:sz w:val="23"/>
        </w:rPr>
        <w:t>se </w:t>
      </w:r>
      <w:r>
        <w:rPr>
          <w:sz w:val="23"/>
        </w:rPr>
        <w:t>señala en el capítulo anterior, </w:t>
      </w:r>
      <w:r>
        <w:rPr>
          <w:spacing w:val="3"/>
          <w:sz w:val="23"/>
        </w:rPr>
        <w:t>el </w:t>
      </w:r>
      <w:r>
        <w:rPr>
          <w:sz w:val="23"/>
        </w:rPr>
        <w:t>régimen político es un elemento que favorece u obstaculiza </w:t>
      </w:r>
      <w:r>
        <w:rPr>
          <w:spacing w:val="-5"/>
          <w:sz w:val="23"/>
        </w:rPr>
        <w:t>la  </w:t>
      </w:r>
      <w:r>
        <w:rPr>
          <w:sz w:val="23"/>
        </w:rPr>
        <w:t>cooperación, en particular el formato de </w:t>
      </w:r>
      <w:r>
        <w:rPr>
          <w:spacing w:val="-5"/>
          <w:sz w:val="23"/>
        </w:rPr>
        <w:t>la  </w:t>
      </w:r>
      <w:r>
        <w:rPr>
          <w:sz w:val="23"/>
        </w:rPr>
        <w:t>organización  de los poderes. Por </w:t>
      </w:r>
      <w:r>
        <w:rPr>
          <w:spacing w:val="-3"/>
          <w:sz w:val="23"/>
        </w:rPr>
        <w:t>ejemplo, </w:t>
      </w:r>
      <w:r>
        <w:rPr>
          <w:sz w:val="23"/>
        </w:rPr>
        <w:t>parlamentarismo o presidencialismo, y más aún, el alcance de las facultades del Presidente/Primer ministro o del Congreso, sea unicameral</w:t>
      </w:r>
      <w:r>
        <w:rPr>
          <w:spacing w:val="43"/>
          <w:sz w:val="23"/>
        </w:rPr>
        <w:t> </w:t>
      </w:r>
      <w:r>
        <w:rPr>
          <w:sz w:val="23"/>
        </w:rPr>
        <w:t>o</w:t>
      </w:r>
      <w:r>
        <w:rPr>
          <w:spacing w:val="49"/>
          <w:sz w:val="23"/>
        </w:rPr>
        <w:t> </w:t>
      </w:r>
      <w:r>
        <w:rPr>
          <w:sz w:val="23"/>
        </w:rPr>
        <w:t>bicameral.</w:t>
        <w:tab/>
        <w:t>Igualmente,  el  formato  del sistema  </w:t>
      </w:r>
      <w:r>
        <w:rPr>
          <w:spacing w:val="-3"/>
          <w:sz w:val="23"/>
        </w:rPr>
        <w:t>de  </w:t>
      </w:r>
      <w:r>
        <w:rPr>
          <w:sz w:val="23"/>
        </w:rPr>
        <w:t>partidos</w:t>
      </w:r>
      <w:r>
        <w:rPr>
          <w:spacing w:val="26"/>
          <w:sz w:val="23"/>
        </w:rPr>
        <w:t> </w:t>
      </w:r>
      <w:r>
        <w:rPr>
          <w:sz w:val="23"/>
        </w:rPr>
        <w:t>(dos</w:t>
      </w:r>
      <w:r>
        <w:rPr>
          <w:spacing w:val="49"/>
          <w:sz w:val="23"/>
        </w:rPr>
        <w:t> </w:t>
      </w:r>
      <w:r>
        <w:rPr>
          <w:sz w:val="23"/>
        </w:rPr>
        <w:t>o</w:t>
      </w:r>
      <w:r>
        <w:rPr>
          <w:w w:val="101"/>
          <w:sz w:val="23"/>
        </w:rPr>
        <w:t> </w:t>
      </w:r>
      <w:r>
        <w:rPr>
          <w:sz w:val="23"/>
        </w:rPr>
        <w:t>varios, uno grande y otros pequeños, o bien, muchos del mismo tamaño.  </w:t>
      </w:r>
      <w:r>
        <w:rPr>
          <w:spacing w:val="31"/>
          <w:sz w:val="23"/>
        </w:rPr>
        <w:t> </w:t>
      </w:r>
      <w:r>
        <w:rPr>
          <w:sz w:val="23"/>
        </w:rPr>
        <w:t>También</w:t>
      </w:r>
    </w:p>
    <w:p>
      <w:pPr>
        <w:pStyle w:val="BodyText"/>
        <w:spacing w:line="333" w:lineRule="auto" w:before="5"/>
        <w:ind w:left="115" w:right="191"/>
        <w:rPr>
          <w:sz w:val="15"/>
        </w:rPr>
      </w:pPr>
      <w:r>
        <w:rPr/>
        <w:t>influye el tipo de sistema electoral (distritos de mayoría o distritos plurinominales o bien elecciones concurrentes o diferenciadas entre presidente y  congreso.</w:t>
      </w:r>
      <w:r>
        <w:rPr>
          <w:position w:val="11"/>
          <w:sz w:val="15"/>
        </w:rPr>
        <w:t>9</w:t>
      </w:r>
    </w:p>
    <w:p>
      <w:pPr>
        <w:pStyle w:val="BodyText"/>
        <w:spacing w:line="369" w:lineRule="auto" w:before="19"/>
        <w:ind w:left="115" w:right="108" w:firstLine="686"/>
        <w:jc w:val="both"/>
      </w:pPr>
      <w:r>
        <w:rPr/>
        <w:t>Otro factor que cuenta para el grado de disposición a cooperar,  </w:t>
      </w:r>
      <w:r>
        <w:rPr>
          <w:spacing w:val="-3"/>
        </w:rPr>
        <w:t>es  </w:t>
      </w:r>
      <w:r>
        <w:rPr/>
        <w:t>el  tiempo,  </w:t>
      </w:r>
      <w:r>
        <w:rPr>
          <w:spacing w:val="3"/>
        </w:rPr>
        <w:t>el  </w:t>
      </w:r>
      <w:r>
        <w:rPr/>
        <w:t>cual  está  relacionada  con  el  periodo  de  gobierno  o  incluso  si </w:t>
      </w:r>
      <w:r>
        <w:rPr>
          <w:spacing w:val="60"/>
        </w:rPr>
        <w:t> </w:t>
      </w:r>
      <w:r>
        <w:rPr/>
        <w:t>hay</w:t>
      </w:r>
    </w:p>
    <w:p>
      <w:pPr>
        <w:pStyle w:val="BodyText"/>
        <w:spacing w:before="8"/>
      </w:pPr>
      <w:r>
        <w:rPr/>
        <w:pict>
          <v:line style="position:absolute;mso-position-horizontal-relative:page;mso-position-vertical-relative:paragraph;z-index:1240;mso-wrap-distance-left:0;mso-wrap-distance-right:0" from="82.799004pt,15.950247pt" to="222.958004pt,15.950247pt" stroked="true" strokeweight=".72pt" strokecolor="#000000">
            <w10:wrap type="topAndBottom"/>
          </v:line>
        </w:pict>
      </w:r>
    </w:p>
    <w:p>
      <w:pPr>
        <w:spacing w:line="244" w:lineRule="auto" w:before="51"/>
        <w:ind w:left="115" w:right="103" w:firstLine="0"/>
        <w:jc w:val="both"/>
        <w:rPr>
          <w:rFonts w:ascii="Times New Roman" w:hAnsi="Times New Roman"/>
          <w:sz w:val="19"/>
        </w:rPr>
      </w:pPr>
      <w:r>
        <w:rPr>
          <w:w w:val="105"/>
          <w:position w:val="10"/>
          <w:sz w:val="12"/>
        </w:rPr>
        <w:t>9 </w:t>
      </w:r>
      <w:r>
        <w:rPr>
          <w:w w:val="105"/>
          <w:sz w:val="19"/>
        </w:rPr>
        <w:t>En este sentido, puede considerarse el caso hipotético </w:t>
      </w:r>
      <w:r>
        <w:rPr>
          <w:spacing w:val="-3"/>
          <w:w w:val="105"/>
          <w:sz w:val="19"/>
        </w:rPr>
        <w:t>de </w:t>
      </w:r>
      <w:r>
        <w:rPr>
          <w:w w:val="105"/>
          <w:sz w:val="19"/>
        </w:rPr>
        <w:t>un país con dos partidos de tamaño similar</w:t>
      </w:r>
      <w:r>
        <w:rPr>
          <w:spacing w:val="-7"/>
          <w:w w:val="105"/>
          <w:sz w:val="19"/>
        </w:rPr>
        <w:t> </w:t>
      </w:r>
      <w:r>
        <w:rPr>
          <w:w w:val="105"/>
          <w:sz w:val="19"/>
        </w:rPr>
        <w:t>que</w:t>
      </w:r>
      <w:r>
        <w:rPr>
          <w:spacing w:val="-7"/>
          <w:w w:val="105"/>
          <w:sz w:val="19"/>
        </w:rPr>
        <w:t> </w:t>
      </w:r>
      <w:r>
        <w:rPr>
          <w:spacing w:val="-3"/>
          <w:w w:val="105"/>
          <w:sz w:val="19"/>
        </w:rPr>
        <w:t>se</w:t>
      </w:r>
      <w:r>
        <w:rPr>
          <w:spacing w:val="-7"/>
          <w:w w:val="105"/>
          <w:sz w:val="19"/>
        </w:rPr>
        <w:t> </w:t>
      </w:r>
      <w:r>
        <w:rPr>
          <w:w w:val="105"/>
          <w:sz w:val="19"/>
        </w:rPr>
        <w:t>alternan</w:t>
      </w:r>
      <w:r>
        <w:rPr>
          <w:spacing w:val="-7"/>
          <w:w w:val="105"/>
          <w:sz w:val="19"/>
        </w:rPr>
        <w:t> </w:t>
      </w:r>
      <w:r>
        <w:rPr>
          <w:spacing w:val="-3"/>
          <w:w w:val="105"/>
          <w:sz w:val="19"/>
        </w:rPr>
        <w:t>en</w:t>
      </w:r>
      <w:r>
        <w:rPr>
          <w:spacing w:val="-7"/>
          <w:w w:val="105"/>
          <w:sz w:val="19"/>
        </w:rPr>
        <w:t> </w:t>
      </w:r>
      <w:r>
        <w:rPr>
          <w:w w:val="105"/>
          <w:sz w:val="19"/>
        </w:rPr>
        <w:t>el</w:t>
      </w:r>
      <w:r>
        <w:rPr>
          <w:spacing w:val="-7"/>
          <w:w w:val="105"/>
          <w:sz w:val="19"/>
        </w:rPr>
        <w:t> </w:t>
      </w:r>
      <w:r>
        <w:rPr>
          <w:w w:val="105"/>
          <w:sz w:val="19"/>
        </w:rPr>
        <w:t>poder.</w:t>
      </w:r>
      <w:r>
        <w:rPr>
          <w:spacing w:val="-7"/>
          <w:w w:val="105"/>
          <w:sz w:val="19"/>
        </w:rPr>
        <w:t> </w:t>
      </w:r>
      <w:r>
        <w:rPr>
          <w:w w:val="105"/>
          <w:sz w:val="19"/>
        </w:rPr>
        <w:t>Si</w:t>
      </w:r>
      <w:r>
        <w:rPr>
          <w:spacing w:val="-14"/>
          <w:w w:val="105"/>
          <w:sz w:val="19"/>
        </w:rPr>
        <w:t> </w:t>
      </w:r>
      <w:r>
        <w:rPr>
          <w:w w:val="105"/>
          <w:sz w:val="19"/>
        </w:rPr>
        <w:t>estos</w:t>
      </w:r>
      <w:r>
        <w:rPr>
          <w:spacing w:val="-7"/>
          <w:w w:val="105"/>
          <w:sz w:val="19"/>
        </w:rPr>
        <w:t> </w:t>
      </w:r>
      <w:r>
        <w:rPr>
          <w:w w:val="105"/>
          <w:sz w:val="19"/>
        </w:rPr>
        <w:t>partidos</w:t>
      </w:r>
      <w:r>
        <w:rPr>
          <w:spacing w:val="-7"/>
          <w:w w:val="105"/>
          <w:sz w:val="19"/>
        </w:rPr>
        <w:t> </w:t>
      </w:r>
      <w:r>
        <w:rPr>
          <w:spacing w:val="-3"/>
          <w:w w:val="105"/>
          <w:sz w:val="19"/>
        </w:rPr>
        <w:t>son</w:t>
      </w:r>
      <w:r>
        <w:rPr>
          <w:spacing w:val="-7"/>
          <w:w w:val="105"/>
          <w:sz w:val="19"/>
        </w:rPr>
        <w:t> </w:t>
      </w:r>
      <w:r>
        <w:rPr>
          <w:w w:val="105"/>
          <w:sz w:val="19"/>
        </w:rPr>
        <w:t>altamente</w:t>
      </w:r>
      <w:r>
        <w:rPr>
          <w:spacing w:val="-7"/>
          <w:w w:val="105"/>
          <w:sz w:val="19"/>
        </w:rPr>
        <w:t> </w:t>
      </w:r>
      <w:r>
        <w:rPr>
          <w:w w:val="105"/>
          <w:sz w:val="19"/>
        </w:rPr>
        <w:t>polarizados</w:t>
      </w:r>
      <w:r>
        <w:rPr>
          <w:spacing w:val="-4"/>
          <w:w w:val="105"/>
          <w:sz w:val="19"/>
        </w:rPr>
        <w:t> </w:t>
      </w:r>
      <w:r>
        <w:rPr>
          <w:w w:val="105"/>
          <w:sz w:val="19"/>
        </w:rPr>
        <w:t>y</w:t>
      </w:r>
      <w:r>
        <w:rPr>
          <w:spacing w:val="-12"/>
          <w:w w:val="105"/>
          <w:sz w:val="19"/>
        </w:rPr>
        <w:t> </w:t>
      </w:r>
      <w:r>
        <w:rPr>
          <w:w w:val="105"/>
          <w:sz w:val="19"/>
        </w:rPr>
        <w:t>sus</w:t>
      </w:r>
      <w:r>
        <w:rPr>
          <w:spacing w:val="-7"/>
          <w:w w:val="105"/>
          <w:sz w:val="19"/>
        </w:rPr>
        <w:t> </w:t>
      </w:r>
      <w:r>
        <w:rPr>
          <w:w w:val="105"/>
          <w:sz w:val="19"/>
        </w:rPr>
        <w:t>preferencias políticas difieren </w:t>
      </w:r>
      <w:r>
        <w:rPr>
          <w:spacing w:val="2"/>
          <w:w w:val="105"/>
          <w:sz w:val="19"/>
        </w:rPr>
        <w:t>muy </w:t>
      </w:r>
      <w:r>
        <w:rPr>
          <w:w w:val="105"/>
          <w:sz w:val="19"/>
        </w:rPr>
        <w:t>significativamente, las ganancias </w:t>
      </w:r>
      <w:r>
        <w:rPr>
          <w:spacing w:val="-3"/>
          <w:w w:val="105"/>
          <w:sz w:val="19"/>
        </w:rPr>
        <w:t>de </w:t>
      </w:r>
      <w:r>
        <w:rPr>
          <w:w w:val="105"/>
          <w:sz w:val="19"/>
        </w:rPr>
        <w:t>no cooperar en cada periodo serán grandes. A menos que existan otros factores que conduzcan a la cooperación, es probable que cada</w:t>
      </w:r>
      <w:r>
        <w:rPr>
          <w:spacing w:val="-8"/>
          <w:w w:val="105"/>
          <w:sz w:val="19"/>
        </w:rPr>
        <w:t> </w:t>
      </w:r>
      <w:r>
        <w:rPr>
          <w:w w:val="105"/>
          <w:sz w:val="19"/>
        </w:rPr>
        <w:t>partido</w:t>
      </w:r>
      <w:r>
        <w:rPr>
          <w:spacing w:val="-4"/>
          <w:w w:val="105"/>
          <w:sz w:val="19"/>
        </w:rPr>
        <w:t> </w:t>
      </w:r>
      <w:r>
        <w:rPr>
          <w:w w:val="105"/>
          <w:sz w:val="19"/>
        </w:rPr>
        <w:t>intente</w:t>
      </w:r>
      <w:r>
        <w:rPr>
          <w:spacing w:val="-8"/>
          <w:w w:val="105"/>
          <w:sz w:val="19"/>
        </w:rPr>
        <w:t> </w:t>
      </w:r>
      <w:r>
        <w:rPr>
          <w:w w:val="105"/>
          <w:sz w:val="19"/>
        </w:rPr>
        <w:t>adoptar</w:t>
      </w:r>
      <w:r>
        <w:rPr>
          <w:spacing w:val="-8"/>
          <w:w w:val="105"/>
          <w:sz w:val="19"/>
        </w:rPr>
        <w:t> </w:t>
      </w:r>
      <w:r>
        <w:rPr>
          <w:w w:val="105"/>
          <w:sz w:val="19"/>
        </w:rPr>
        <w:t>sus</w:t>
      </w:r>
      <w:r>
        <w:rPr>
          <w:spacing w:val="-12"/>
          <w:w w:val="105"/>
          <w:sz w:val="19"/>
        </w:rPr>
        <w:t> </w:t>
      </w:r>
      <w:r>
        <w:rPr>
          <w:w w:val="105"/>
          <w:sz w:val="19"/>
        </w:rPr>
        <w:t>políticas</w:t>
      </w:r>
      <w:r>
        <w:rPr>
          <w:spacing w:val="-10"/>
          <w:w w:val="105"/>
          <w:sz w:val="19"/>
        </w:rPr>
        <w:t> </w:t>
      </w:r>
      <w:r>
        <w:rPr>
          <w:w w:val="105"/>
          <w:sz w:val="19"/>
        </w:rPr>
        <w:t>preferidas</w:t>
      </w:r>
      <w:r>
        <w:rPr>
          <w:spacing w:val="-10"/>
          <w:w w:val="105"/>
          <w:sz w:val="19"/>
        </w:rPr>
        <w:t> </w:t>
      </w:r>
      <w:r>
        <w:rPr>
          <w:w w:val="105"/>
          <w:sz w:val="19"/>
        </w:rPr>
        <w:t>cuando</w:t>
      </w:r>
      <w:r>
        <w:rPr>
          <w:spacing w:val="-8"/>
          <w:w w:val="105"/>
          <w:sz w:val="19"/>
        </w:rPr>
        <w:t> </w:t>
      </w:r>
      <w:r>
        <w:rPr>
          <w:w w:val="105"/>
          <w:sz w:val="19"/>
        </w:rPr>
        <w:t>esté</w:t>
      </w:r>
      <w:r>
        <w:rPr>
          <w:spacing w:val="-8"/>
          <w:w w:val="105"/>
          <w:sz w:val="19"/>
        </w:rPr>
        <w:t> </w:t>
      </w:r>
      <w:r>
        <w:rPr>
          <w:w w:val="105"/>
          <w:sz w:val="19"/>
        </w:rPr>
        <w:t>a</w:t>
      </w:r>
      <w:r>
        <w:rPr>
          <w:spacing w:val="-8"/>
          <w:w w:val="105"/>
          <w:sz w:val="19"/>
        </w:rPr>
        <w:t> </w:t>
      </w:r>
      <w:r>
        <w:rPr>
          <w:w w:val="105"/>
          <w:sz w:val="19"/>
        </w:rPr>
        <w:t>cargo</w:t>
      </w:r>
      <w:r>
        <w:rPr>
          <w:spacing w:val="-8"/>
          <w:w w:val="105"/>
          <w:sz w:val="19"/>
        </w:rPr>
        <w:t> </w:t>
      </w:r>
      <w:r>
        <w:rPr>
          <w:w w:val="105"/>
          <w:sz w:val="19"/>
        </w:rPr>
        <w:t>del</w:t>
      </w:r>
      <w:r>
        <w:rPr>
          <w:spacing w:val="-8"/>
          <w:w w:val="105"/>
          <w:sz w:val="19"/>
        </w:rPr>
        <w:t> </w:t>
      </w:r>
      <w:r>
        <w:rPr>
          <w:w w:val="105"/>
          <w:sz w:val="19"/>
        </w:rPr>
        <w:t>gobierno,</w:t>
      </w:r>
      <w:r>
        <w:rPr>
          <w:spacing w:val="-13"/>
          <w:w w:val="105"/>
          <w:sz w:val="19"/>
        </w:rPr>
        <w:t> </w:t>
      </w:r>
      <w:r>
        <w:rPr>
          <w:w w:val="105"/>
          <w:sz w:val="19"/>
        </w:rPr>
        <w:t>conducien- do</w:t>
      </w:r>
      <w:r>
        <w:rPr>
          <w:spacing w:val="-19"/>
          <w:w w:val="105"/>
          <w:sz w:val="19"/>
        </w:rPr>
        <w:t> </w:t>
      </w:r>
      <w:r>
        <w:rPr>
          <w:w w:val="105"/>
          <w:sz w:val="19"/>
        </w:rPr>
        <w:t>a</w:t>
      </w:r>
      <w:r>
        <w:rPr>
          <w:spacing w:val="-19"/>
          <w:w w:val="105"/>
          <w:sz w:val="19"/>
        </w:rPr>
        <w:t> </w:t>
      </w:r>
      <w:r>
        <w:rPr>
          <w:w w:val="105"/>
          <w:sz w:val="19"/>
        </w:rPr>
        <w:t>políticas</w:t>
      </w:r>
      <w:r>
        <w:rPr>
          <w:spacing w:val="-19"/>
          <w:w w:val="105"/>
          <w:sz w:val="19"/>
        </w:rPr>
        <w:t> </w:t>
      </w:r>
      <w:r>
        <w:rPr>
          <w:w w:val="105"/>
          <w:sz w:val="19"/>
        </w:rPr>
        <w:t>inestables</w:t>
      </w:r>
      <w:r>
        <w:rPr>
          <w:rFonts w:ascii="Times New Roman" w:hAnsi="Times New Roman"/>
          <w:w w:val="105"/>
          <w:sz w:val="19"/>
        </w:rPr>
        <w:t>.</w:t>
      </w:r>
    </w:p>
    <w:p>
      <w:pPr>
        <w:spacing w:after="0" w:line="244" w:lineRule="auto"/>
        <w:jc w:val="both"/>
        <w:rPr>
          <w:rFonts w:ascii="Times New Roman" w:hAnsi="Times New Roman"/>
          <w:sz w:val="19"/>
        </w:rPr>
        <w:sectPr>
          <w:pgSz w:w="11910" w:h="16840"/>
          <w:pgMar w:header="0" w:footer="1457" w:top="1580" w:bottom="1640" w:left="1540" w:right="1540"/>
        </w:sectPr>
      </w:pPr>
    </w:p>
    <w:p>
      <w:pPr>
        <w:pStyle w:val="BodyText"/>
        <w:rPr>
          <w:rFonts w:ascii="Times New Roman"/>
          <w:sz w:val="20"/>
        </w:rPr>
      </w:pPr>
    </w:p>
    <w:p>
      <w:pPr>
        <w:pStyle w:val="BodyText"/>
        <w:spacing w:before="2"/>
        <w:rPr>
          <w:rFonts w:ascii="Times New Roman"/>
          <w:sz w:val="16"/>
        </w:rPr>
      </w:pPr>
    </w:p>
    <w:p>
      <w:pPr>
        <w:pStyle w:val="BodyText"/>
        <w:spacing w:line="364" w:lineRule="auto" w:before="74"/>
        <w:ind w:left="115" w:right="107"/>
        <w:jc w:val="both"/>
      </w:pPr>
      <w:r>
        <w:rPr/>
        <w:t>posibilidad de reelección. Lo mismo aplica para el periodo de los líderes de partido o jefes de bancada parlamentaria. Por ejemplo, cuando el periodo de gobierno es corto y no hay reelección, las posibilidades </w:t>
      </w:r>
      <w:r>
        <w:rPr>
          <w:spacing w:val="-3"/>
        </w:rPr>
        <w:t>de </w:t>
      </w:r>
      <w:r>
        <w:rPr/>
        <w:t>no cooperar con una política, serán muy significativas, en </w:t>
      </w:r>
      <w:r>
        <w:rPr>
          <w:spacing w:val="-4"/>
        </w:rPr>
        <w:t>la </w:t>
      </w:r>
      <w:r>
        <w:rPr/>
        <w:t>medida que la ruptura de la cooperación puede producir ganancias inmediatas, aunque también produce costos a largo plazo, dado que   </w:t>
      </w:r>
      <w:r>
        <w:rPr>
          <w:spacing w:val="35"/>
        </w:rPr>
        <w:t> </w:t>
      </w:r>
      <w:r>
        <w:rPr>
          <w:spacing w:val="-5"/>
        </w:rPr>
        <w:t>la</w:t>
      </w:r>
    </w:p>
    <w:p>
      <w:pPr>
        <w:pStyle w:val="BodyText"/>
        <w:spacing w:line="333" w:lineRule="auto" w:before="5"/>
        <w:ind w:left="115" w:right="107"/>
        <w:jc w:val="both"/>
        <w:rPr>
          <w:sz w:val="15"/>
        </w:rPr>
      </w:pPr>
      <w:r>
        <w:rPr/>
        <w:t>no cooperación implicará que las políticas  estarán  igualmente  alejadas  cuando otro partido esté en el cargo.</w:t>
      </w:r>
      <w:r>
        <w:rPr>
          <w:position w:val="11"/>
          <w:sz w:val="15"/>
        </w:rPr>
        <w:t>10</w:t>
      </w:r>
    </w:p>
    <w:p>
      <w:pPr>
        <w:pStyle w:val="BodyText"/>
        <w:spacing w:line="364" w:lineRule="auto" w:before="24"/>
        <w:ind w:left="116" w:right="107" w:firstLine="686"/>
        <w:jc w:val="both"/>
        <w:rPr>
          <w:i/>
        </w:rPr>
      </w:pPr>
      <w:r>
        <w:rPr/>
        <w:t>El grado </w:t>
      </w:r>
      <w:r>
        <w:rPr>
          <w:spacing w:val="3"/>
        </w:rPr>
        <w:t>en </w:t>
      </w:r>
      <w:r>
        <w:rPr/>
        <w:t>que se exige institucionalizar acuerdos </w:t>
      </w:r>
      <w:r>
        <w:rPr>
          <w:spacing w:val="-3"/>
        </w:rPr>
        <w:t>es </w:t>
      </w:r>
      <w:r>
        <w:rPr/>
        <w:t>otro factor que puede favorecer u obstaculizar </w:t>
      </w:r>
      <w:r>
        <w:rPr>
          <w:spacing w:val="-5"/>
        </w:rPr>
        <w:t>la </w:t>
      </w:r>
      <w:r>
        <w:rPr/>
        <w:t>cooperación. En ausencia de escenarios  adecuadamente institucionalizados (pactos, acuerdos, tratados, etc.) donde </w:t>
      </w:r>
      <w:r>
        <w:rPr>
          <w:spacing w:val="-3"/>
        </w:rPr>
        <w:t>la </w:t>
      </w:r>
      <w:r>
        <w:rPr/>
        <w:t>cooperación pueda consumarse y sostenerse en el tiempo, será difícil para los actores políticos y sociales mantener el compromiso inicialmente establecido. En algunos casos, los beneficios inmediatos de desviarse de la  cooperación pueden ser suficientemente grandes </w:t>
      </w:r>
      <w:r>
        <w:rPr>
          <w:spacing w:val="3"/>
        </w:rPr>
        <w:t>de </w:t>
      </w:r>
      <w:r>
        <w:rPr/>
        <w:t>modo que la cooperación no será </w:t>
      </w:r>
      <w:r>
        <w:rPr>
          <w:spacing w:val="11"/>
        </w:rPr>
        <w:t> </w:t>
      </w:r>
      <w:r>
        <w:rPr>
          <w:i/>
        </w:rPr>
        <w:t>self-enforcing.</w:t>
      </w:r>
    </w:p>
    <w:p>
      <w:pPr>
        <w:pStyle w:val="BodyText"/>
        <w:spacing w:line="364" w:lineRule="auto" w:before="5"/>
        <w:ind w:left="116" w:right="104" w:firstLine="686"/>
        <w:jc w:val="both"/>
      </w:pPr>
      <w:r>
        <w:rPr/>
        <w:t>En ocasiones, cuando los actores políticos y sociales que concurren a </w:t>
      </w:r>
      <w:r>
        <w:rPr>
          <w:spacing w:val="-3"/>
        </w:rPr>
        <w:t>un </w:t>
      </w:r>
      <w:r>
        <w:rPr/>
        <w:t>acuerdo </w:t>
      </w:r>
      <w:r>
        <w:rPr>
          <w:spacing w:val="3"/>
        </w:rPr>
        <w:t>no </w:t>
      </w:r>
      <w:r>
        <w:rPr/>
        <w:t>logran generar un marco de confianza para la cooperación, se recurre   a </w:t>
      </w:r>
      <w:r>
        <w:rPr>
          <w:spacing w:val="-3"/>
        </w:rPr>
        <w:t>la </w:t>
      </w:r>
      <w:r>
        <w:rPr/>
        <w:t>“delegación”. En este sentido, a veces es una decisión más eficiente delegar    </w:t>
      </w:r>
      <w:r>
        <w:rPr>
          <w:spacing w:val="-5"/>
        </w:rPr>
        <w:t>la </w:t>
      </w:r>
      <w:r>
        <w:rPr/>
        <w:t>formulación de políticas a una burocracia autónoma y competente (siempre que  </w:t>
      </w:r>
      <w:r>
        <w:rPr>
          <w:spacing w:val="-5"/>
        </w:rPr>
        <w:t>la </w:t>
      </w:r>
      <w:r>
        <w:rPr/>
        <w:t>delegación </w:t>
      </w:r>
      <w:r>
        <w:rPr>
          <w:spacing w:val="3"/>
        </w:rPr>
        <w:t>sea </w:t>
      </w:r>
      <w:r>
        <w:rPr/>
        <w:t>creíble). Este </w:t>
      </w:r>
      <w:r>
        <w:rPr>
          <w:spacing w:val="-3"/>
        </w:rPr>
        <w:t>es </w:t>
      </w:r>
      <w:r>
        <w:rPr/>
        <w:t>el caso del poder judicial, de los organismos públicos de derechos humanos, de misiones internacionales o de organismos descentralizados de arbitraje, como el Instituto Federal Electoral o </w:t>
      </w:r>
      <w:r>
        <w:rPr>
          <w:spacing w:val="-5"/>
        </w:rPr>
        <w:t>la </w:t>
      </w:r>
      <w:r>
        <w:rPr/>
        <w:t>Comisión Federal de Competencia. Al tratarse </w:t>
      </w:r>
      <w:r>
        <w:rPr>
          <w:spacing w:val="-3"/>
        </w:rPr>
        <w:t>de </w:t>
      </w:r>
      <w:r>
        <w:rPr/>
        <w:t>estructuras burocráticas independientes, ayudan a hacer tal delegación u otras formas de compromiso más creíbles, forzando a los actores políticos a cumplir con </w:t>
      </w:r>
      <w:r>
        <w:rPr>
          <w:spacing w:val="-3"/>
        </w:rPr>
        <w:t>los </w:t>
      </w:r>
      <w:r>
        <w:rPr/>
        <w:t>compromisos </w:t>
      </w:r>
      <w:r>
        <w:rPr>
          <w:spacing w:val="20"/>
        </w:rPr>
        <w:t> </w:t>
      </w:r>
      <w:r>
        <w:rPr/>
        <w:t>asumidos.</w:t>
      </w:r>
    </w:p>
    <w:p>
      <w:pPr>
        <w:pStyle w:val="BodyText"/>
        <w:spacing w:line="364" w:lineRule="auto" w:before="5"/>
        <w:ind w:left="116" w:right="107" w:firstLine="686"/>
        <w:jc w:val="both"/>
      </w:pPr>
      <w:r>
        <w:rPr/>
        <w:t>Un último elemento que favorece o no la cooperación son los incentivos de los políticos profesionales, como los presidentes, legisladores y líderes partidarios. En muchos casos  la pérdida  individual puede imponer limitaciones  importantes   a</w:t>
      </w:r>
    </w:p>
    <w:p>
      <w:pPr>
        <w:pStyle w:val="BodyText"/>
        <w:spacing w:before="5"/>
        <w:rPr>
          <w:sz w:val="27"/>
        </w:rPr>
      </w:pPr>
    </w:p>
    <w:p>
      <w:pPr>
        <w:spacing w:line="247" w:lineRule="auto" w:before="91"/>
        <w:ind w:left="115" w:right="102" w:firstLine="0"/>
        <w:jc w:val="both"/>
        <w:rPr>
          <w:sz w:val="19"/>
        </w:rPr>
      </w:pPr>
      <w:r>
        <w:rPr>
          <w:spacing w:val="-4"/>
          <w:w w:val="105"/>
          <w:position w:val="10"/>
          <w:sz w:val="12"/>
        </w:rPr>
        <w:t>10 </w:t>
      </w:r>
      <w:r>
        <w:rPr>
          <w:w w:val="105"/>
          <w:sz w:val="19"/>
        </w:rPr>
        <w:t>Puede ocurrir que cooperar conduce a mejores resultados </w:t>
      </w:r>
      <w:r>
        <w:rPr>
          <w:i/>
          <w:w w:val="105"/>
          <w:sz w:val="19"/>
        </w:rPr>
        <w:t>ex ante </w:t>
      </w:r>
      <w:r>
        <w:rPr>
          <w:w w:val="105"/>
          <w:sz w:val="19"/>
        </w:rPr>
        <w:t>para todos (por ejemplo, antes</w:t>
      </w:r>
      <w:r>
        <w:rPr>
          <w:spacing w:val="-4"/>
          <w:w w:val="105"/>
          <w:sz w:val="19"/>
        </w:rPr>
        <w:t> </w:t>
      </w:r>
      <w:r>
        <w:rPr>
          <w:w w:val="105"/>
          <w:sz w:val="19"/>
        </w:rPr>
        <w:t>que</w:t>
      </w:r>
      <w:r>
        <w:rPr>
          <w:spacing w:val="-4"/>
          <w:w w:val="105"/>
          <w:sz w:val="19"/>
        </w:rPr>
        <w:t> </w:t>
      </w:r>
      <w:r>
        <w:rPr>
          <w:w w:val="105"/>
          <w:sz w:val="19"/>
        </w:rPr>
        <w:t>los</w:t>
      </w:r>
      <w:r>
        <w:rPr>
          <w:spacing w:val="-4"/>
          <w:w w:val="105"/>
          <w:sz w:val="19"/>
        </w:rPr>
        <w:t> </w:t>
      </w:r>
      <w:r>
        <w:rPr>
          <w:w w:val="105"/>
          <w:sz w:val="19"/>
        </w:rPr>
        <w:t>resultados</w:t>
      </w:r>
      <w:r>
        <w:rPr>
          <w:spacing w:val="-10"/>
          <w:w w:val="105"/>
          <w:sz w:val="19"/>
        </w:rPr>
        <w:t> </w:t>
      </w:r>
      <w:r>
        <w:rPr>
          <w:w w:val="105"/>
          <w:sz w:val="19"/>
        </w:rPr>
        <w:t>de</w:t>
      </w:r>
      <w:r>
        <w:rPr>
          <w:spacing w:val="-4"/>
          <w:w w:val="105"/>
          <w:sz w:val="19"/>
        </w:rPr>
        <w:t> </w:t>
      </w:r>
      <w:r>
        <w:rPr>
          <w:w w:val="105"/>
          <w:sz w:val="19"/>
        </w:rPr>
        <w:t>las</w:t>
      </w:r>
      <w:r>
        <w:rPr>
          <w:spacing w:val="-10"/>
          <w:w w:val="105"/>
          <w:sz w:val="19"/>
        </w:rPr>
        <w:t> </w:t>
      </w:r>
      <w:r>
        <w:rPr>
          <w:w w:val="105"/>
          <w:sz w:val="19"/>
        </w:rPr>
        <w:t>elecciones</w:t>
      </w:r>
      <w:r>
        <w:rPr>
          <w:spacing w:val="-4"/>
          <w:w w:val="105"/>
          <w:sz w:val="19"/>
        </w:rPr>
        <w:t> </w:t>
      </w:r>
      <w:r>
        <w:rPr>
          <w:w w:val="105"/>
          <w:sz w:val="19"/>
        </w:rPr>
        <w:t>sean</w:t>
      </w:r>
      <w:r>
        <w:rPr>
          <w:spacing w:val="-4"/>
          <w:w w:val="105"/>
          <w:sz w:val="19"/>
        </w:rPr>
        <w:t> </w:t>
      </w:r>
      <w:r>
        <w:rPr>
          <w:w w:val="105"/>
          <w:sz w:val="19"/>
        </w:rPr>
        <w:t>conocidos),</w:t>
      </w:r>
      <w:r>
        <w:rPr>
          <w:spacing w:val="-9"/>
          <w:w w:val="105"/>
          <w:sz w:val="19"/>
        </w:rPr>
        <w:t> </w:t>
      </w:r>
      <w:r>
        <w:rPr>
          <w:w w:val="105"/>
          <w:sz w:val="19"/>
        </w:rPr>
        <w:t>pero</w:t>
      </w:r>
      <w:r>
        <w:rPr>
          <w:spacing w:val="-6"/>
          <w:w w:val="105"/>
          <w:sz w:val="19"/>
        </w:rPr>
        <w:t> </w:t>
      </w:r>
      <w:r>
        <w:rPr>
          <w:w w:val="105"/>
          <w:sz w:val="19"/>
        </w:rPr>
        <w:t>una</w:t>
      </w:r>
      <w:r>
        <w:rPr>
          <w:spacing w:val="-4"/>
          <w:w w:val="105"/>
          <w:sz w:val="19"/>
        </w:rPr>
        <w:t> </w:t>
      </w:r>
      <w:r>
        <w:rPr>
          <w:w w:val="105"/>
          <w:sz w:val="19"/>
        </w:rPr>
        <w:t>vez</w:t>
      </w:r>
      <w:r>
        <w:rPr>
          <w:spacing w:val="-4"/>
          <w:w w:val="105"/>
          <w:sz w:val="19"/>
        </w:rPr>
        <w:t> </w:t>
      </w:r>
      <w:r>
        <w:rPr>
          <w:w w:val="105"/>
          <w:sz w:val="19"/>
        </w:rPr>
        <w:t>que</w:t>
      </w:r>
      <w:r>
        <w:rPr>
          <w:spacing w:val="-4"/>
          <w:w w:val="105"/>
          <w:sz w:val="19"/>
        </w:rPr>
        <w:t> </w:t>
      </w:r>
      <w:r>
        <w:rPr>
          <w:spacing w:val="-3"/>
          <w:w w:val="105"/>
          <w:sz w:val="19"/>
        </w:rPr>
        <w:t>un</w:t>
      </w:r>
      <w:r>
        <w:rPr>
          <w:spacing w:val="1"/>
          <w:w w:val="105"/>
          <w:sz w:val="19"/>
        </w:rPr>
        <w:t> </w:t>
      </w:r>
      <w:r>
        <w:rPr>
          <w:w w:val="105"/>
          <w:sz w:val="19"/>
        </w:rPr>
        <w:t>titular</w:t>
      </w:r>
      <w:r>
        <w:rPr>
          <w:spacing w:val="-6"/>
          <w:w w:val="105"/>
          <w:sz w:val="19"/>
        </w:rPr>
        <w:t> </w:t>
      </w:r>
      <w:r>
        <w:rPr>
          <w:w w:val="105"/>
          <w:sz w:val="19"/>
        </w:rPr>
        <w:t>está</w:t>
      </w:r>
      <w:r>
        <w:rPr>
          <w:spacing w:val="-4"/>
          <w:w w:val="105"/>
          <w:sz w:val="19"/>
        </w:rPr>
        <w:t> </w:t>
      </w:r>
      <w:r>
        <w:rPr>
          <w:w w:val="105"/>
          <w:sz w:val="19"/>
        </w:rPr>
        <w:t>en</w:t>
      </w:r>
      <w:r>
        <w:rPr>
          <w:spacing w:val="-4"/>
          <w:w w:val="105"/>
          <w:sz w:val="19"/>
        </w:rPr>
        <w:t> </w:t>
      </w:r>
      <w:r>
        <w:rPr>
          <w:w w:val="105"/>
          <w:sz w:val="19"/>
        </w:rPr>
        <w:t>el cargo,</w:t>
      </w:r>
      <w:r>
        <w:rPr>
          <w:spacing w:val="-6"/>
          <w:w w:val="105"/>
          <w:sz w:val="19"/>
        </w:rPr>
        <w:t> </w:t>
      </w:r>
      <w:r>
        <w:rPr>
          <w:w w:val="105"/>
          <w:sz w:val="19"/>
        </w:rPr>
        <w:t>no</w:t>
      </w:r>
      <w:r>
        <w:rPr>
          <w:spacing w:val="-1"/>
          <w:w w:val="105"/>
          <w:sz w:val="19"/>
        </w:rPr>
        <w:t> </w:t>
      </w:r>
      <w:r>
        <w:rPr>
          <w:w w:val="105"/>
          <w:sz w:val="19"/>
        </w:rPr>
        <w:t>está</w:t>
      </w:r>
      <w:r>
        <w:rPr>
          <w:spacing w:val="-4"/>
          <w:w w:val="105"/>
          <w:sz w:val="19"/>
        </w:rPr>
        <w:t> </w:t>
      </w:r>
      <w:r>
        <w:rPr>
          <w:w w:val="105"/>
          <w:sz w:val="19"/>
        </w:rPr>
        <w:t>conforme</w:t>
      </w:r>
      <w:r>
        <w:rPr>
          <w:spacing w:val="-7"/>
          <w:w w:val="105"/>
          <w:sz w:val="19"/>
        </w:rPr>
        <w:t> </w:t>
      </w:r>
      <w:r>
        <w:rPr>
          <w:w w:val="105"/>
          <w:sz w:val="19"/>
        </w:rPr>
        <w:t>con</w:t>
      </w:r>
      <w:r>
        <w:rPr>
          <w:spacing w:val="-1"/>
          <w:w w:val="105"/>
          <w:sz w:val="19"/>
        </w:rPr>
        <w:t> </w:t>
      </w:r>
      <w:r>
        <w:rPr>
          <w:w w:val="105"/>
          <w:sz w:val="19"/>
        </w:rPr>
        <w:t>que</w:t>
      </w:r>
      <w:r>
        <w:rPr>
          <w:spacing w:val="-1"/>
          <w:w w:val="105"/>
          <w:sz w:val="19"/>
        </w:rPr>
        <w:t> </w:t>
      </w:r>
      <w:r>
        <w:rPr>
          <w:w w:val="105"/>
          <w:sz w:val="19"/>
        </w:rPr>
        <w:t>todos</w:t>
      </w:r>
      <w:r>
        <w:rPr>
          <w:spacing w:val="1"/>
          <w:w w:val="105"/>
          <w:sz w:val="19"/>
        </w:rPr>
        <w:t> </w:t>
      </w:r>
      <w:r>
        <w:rPr>
          <w:w w:val="105"/>
          <w:sz w:val="19"/>
        </w:rPr>
        <w:t>los</w:t>
      </w:r>
      <w:r>
        <w:rPr>
          <w:spacing w:val="-1"/>
          <w:w w:val="105"/>
          <w:sz w:val="19"/>
        </w:rPr>
        <w:t> </w:t>
      </w:r>
      <w:r>
        <w:rPr>
          <w:w w:val="105"/>
          <w:sz w:val="19"/>
        </w:rPr>
        <w:t>involucrados</w:t>
      </w:r>
      <w:r>
        <w:rPr>
          <w:spacing w:val="-6"/>
          <w:w w:val="105"/>
          <w:sz w:val="19"/>
        </w:rPr>
        <w:t> </w:t>
      </w:r>
      <w:r>
        <w:rPr>
          <w:w w:val="105"/>
          <w:sz w:val="19"/>
        </w:rPr>
        <w:t>ganen</w:t>
      </w:r>
      <w:r>
        <w:rPr>
          <w:spacing w:val="-1"/>
          <w:w w:val="105"/>
          <w:sz w:val="19"/>
        </w:rPr>
        <w:t> </w:t>
      </w:r>
      <w:r>
        <w:rPr>
          <w:w w:val="105"/>
          <w:sz w:val="19"/>
        </w:rPr>
        <w:t>tanto</w:t>
      </w:r>
      <w:r>
        <w:rPr>
          <w:spacing w:val="-1"/>
          <w:w w:val="105"/>
          <w:sz w:val="19"/>
        </w:rPr>
        <w:t> </w:t>
      </w:r>
      <w:r>
        <w:rPr>
          <w:w w:val="105"/>
          <w:sz w:val="19"/>
        </w:rPr>
        <w:t>y</w:t>
      </w:r>
      <w:r>
        <w:rPr>
          <w:spacing w:val="-5"/>
          <w:w w:val="105"/>
          <w:sz w:val="19"/>
        </w:rPr>
        <w:t> </w:t>
      </w:r>
      <w:r>
        <w:rPr>
          <w:w w:val="105"/>
          <w:sz w:val="19"/>
        </w:rPr>
        <w:t>prefiere</w:t>
      </w:r>
      <w:r>
        <w:rPr>
          <w:spacing w:val="-1"/>
          <w:w w:val="105"/>
          <w:sz w:val="19"/>
        </w:rPr>
        <w:t> </w:t>
      </w:r>
      <w:r>
        <w:rPr>
          <w:w w:val="105"/>
          <w:sz w:val="19"/>
        </w:rPr>
        <w:t>perder</w:t>
      </w:r>
      <w:r>
        <w:rPr>
          <w:spacing w:val="-7"/>
          <w:w w:val="105"/>
          <w:sz w:val="19"/>
        </w:rPr>
        <w:t> </w:t>
      </w:r>
      <w:r>
        <w:rPr>
          <w:w w:val="105"/>
          <w:sz w:val="19"/>
        </w:rPr>
        <w:t>un</w:t>
      </w:r>
      <w:r>
        <w:rPr>
          <w:spacing w:val="-1"/>
          <w:w w:val="105"/>
          <w:sz w:val="19"/>
        </w:rPr>
        <w:t> </w:t>
      </w:r>
      <w:r>
        <w:rPr>
          <w:w w:val="105"/>
          <w:sz w:val="19"/>
        </w:rPr>
        <w:t>poco</w:t>
      </w:r>
      <w:r>
        <w:rPr>
          <w:spacing w:val="-1"/>
          <w:w w:val="105"/>
          <w:sz w:val="19"/>
        </w:rPr>
        <w:t> </w:t>
      </w:r>
      <w:r>
        <w:rPr>
          <w:spacing w:val="-3"/>
          <w:w w:val="105"/>
          <w:sz w:val="19"/>
        </w:rPr>
        <w:t>de </w:t>
      </w:r>
      <w:r>
        <w:rPr>
          <w:w w:val="105"/>
          <w:sz w:val="19"/>
        </w:rPr>
        <w:t>su ganancia antes que permitir que aumenten </w:t>
      </w:r>
      <w:r>
        <w:rPr>
          <w:spacing w:val="-3"/>
          <w:w w:val="105"/>
          <w:sz w:val="19"/>
        </w:rPr>
        <w:t>la </w:t>
      </w:r>
      <w:r>
        <w:rPr>
          <w:spacing w:val="2"/>
          <w:w w:val="105"/>
          <w:sz w:val="19"/>
        </w:rPr>
        <w:t>de </w:t>
      </w:r>
      <w:r>
        <w:rPr>
          <w:w w:val="105"/>
          <w:sz w:val="19"/>
        </w:rPr>
        <w:t>sus oponentes. En tales casos, los actores políticos pueden querer acordar una política intermedia de antemano, y establecer </w:t>
      </w:r>
      <w:r>
        <w:rPr>
          <w:spacing w:val="48"/>
          <w:w w:val="105"/>
          <w:sz w:val="19"/>
        </w:rPr>
        <w:t> </w:t>
      </w:r>
      <w:r>
        <w:rPr>
          <w:w w:val="105"/>
          <w:sz w:val="19"/>
        </w:rPr>
        <w:t>mecanismos</w:t>
      </w:r>
    </w:p>
    <w:p>
      <w:pPr>
        <w:spacing w:after="0" w:line="247" w:lineRule="auto"/>
        <w:jc w:val="both"/>
        <w:rPr>
          <w:sz w:val="19"/>
        </w:rPr>
        <w:sectPr>
          <w:footerReference w:type="default" r:id="rId24"/>
          <w:pgSz w:w="11910" w:h="16840"/>
          <w:pgMar w:footer="2060" w:header="0" w:top="1580" w:bottom="2240" w:left="1540" w:right="1540"/>
          <w:pgNumType w:start="89"/>
        </w:sectPr>
      </w:pPr>
    </w:p>
    <w:p>
      <w:pPr>
        <w:pStyle w:val="BodyText"/>
        <w:rPr>
          <w:sz w:val="20"/>
        </w:rPr>
      </w:pPr>
    </w:p>
    <w:p>
      <w:pPr>
        <w:pStyle w:val="BodyText"/>
        <w:spacing w:before="2"/>
        <w:rPr>
          <w:sz w:val="16"/>
        </w:rPr>
      </w:pPr>
    </w:p>
    <w:p>
      <w:pPr>
        <w:pStyle w:val="BodyText"/>
        <w:spacing w:line="364" w:lineRule="auto" w:before="74"/>
        <w:ind w:left="115" w:right="107"/>
        <w:jc w:val="both"/>
      </w:pPr>
      <w:r>
        <w:rPr>
          <w:spacing w:val="-5"/>
        </w:rPr>
        <w:t>la  </w:t>
      </w:r>
      <w:r>
        <w:rPr/>
        <w:t>cooperación. Por ejemplo, una ley de servicio civil no funcionará </w:t>
      </w:r>
      <w:r>
        <w:rPr>
          <w:spacing w:val="3"/>
        </w:rPr>
        <w:t>si </w:t>
      </w:r>
      <w:r>
        <w:rPr/>
        <w:t>los puestos  en </w:t>
      </w:r>
      <w:r>
        <w:rPr>
          <w:spacing w:val="-4"/>
        </w:rPr>
        <w:t>la </w:t>
      </w:r>
      <w:r>
        <w:rPr/>
        <w:t>burocracia siguen siendo una moneda </w:t>
      </w:r>
      <w:r>
        <w:rPr>
          <w:spacing w:val="-3"/>
        </w:rPr>
        <w:t>de </w:t>
      </w:r>
      <w:r>
        <w:rPr/>
        <w:t>cambio importante utilizada por los políticos para recompensar a su base partidista. Puede ocurrir también que </w:t>
      </w:r>
      <w:r>
        <w:rPr>
          <w:spacing w:val="-3"/>
        </w:rPr>
        <w:t>los </w:t>
      </w:r>
      <w:r>
        <w:rPr/>
        <w:t>intentos por mejorar las capacidades de formulación de políticas del Congreso no funcionarán </w:t>
      </w:r>
      <w:r>
        <w:rPr>
          <w:spacing w:val="3"/>
        </w:rPr>
        <w:t>si </w:t>
      </w:r>
      <w:r>
        <w:rPr>
          <w:spacing w:val="-3"/>
        </w:rPr>
        <w:t>los </w:t>
      </w:r>
      <w:r>
        <w:rPr/>
        <w:t>legisladores por sí mismos </w:t>
      </w:r>
      <w:r>
        <w:rPr>
          <w:spacing w:val="2"/>
        </w:rPr>
        <w:t>no </w:t>
      </w:r>
      <w:r>
        <w:rPr/>
        <w:t>tienen incentivos para desarrollar dichas</w:t>
      </w:r>
      <w:r>
        <w:rPr>
          <w:spacing w:val="19"/>
        </w:rPr>
        <w:t> </w:t>
      </w:r>
      <w:r>
        <w:rPr/>
        <w:t>capacidades.</w:t>
      </w:r>
    </w:p>
    <w:p>
      <w:pPr>
        <w:pStyle w:val="BodyText"/>
        <w:rPr>
          <w:sz w:val="22"/>
        </w:rPr>
      </w:pPr>
    </w:p>
    <w:p>
      <w:pPr>
        <w:pStyle w:val="Heading3"/>
        <w:numPr>
          <w:ilvl w:val="2"/>
          <w:numId w:val="9"/>
        </w:numPr>
        <w:tabs>
          <w:tab w:pos="700" w:val="left" w:leader="none"/>
        </w:tabs>
        <w:spacing w:line="240" w:lineRule="auto" w:before="155" w:after="0"/>
        <w:ind w:left="699" w:right="0" w:hanging="583"/>
        <w:jc w:val="both"/>
      </w:pPr>
      <w:r>
        <w:rPr/>
        <w:t>Actores y escenarios institucionales en los juegos de  poder</w:t>
      </w:r>
    </w:p>
    <w:p>
      <w:pPr>
        <w:pStyle w:val="BodyText"/>
        <w:spacing w:line="362" w:lineRule="auto" w:before="138"/>
        <w:ind w:left="115" w:right="106"/>
        <w:jc w:val="both"/>
        <w:rPr>
          <w:sz w:val="15"/>
        </w:rPr>
      </w:pPr>
      <w:r>
        <w:rPr/>
        <w:t>Los países organizan </w:t>
      </w:r>
      <w:r>
        <w:rPr>
          <w:spacing w:val="2"/>
        </w:rPr>
        <w:t>el </w:t>
      </w:r>
      <w:r>
        <w:rPr/>
        <w:t>poder ejecutivo a lo largo de un continuo entre dos casos opuestos: los sistemas presidencial y parlamentario. Así, </w:t>
      </w:r>
      <w:r>
        <w:rPr>
          <w:spacing w:val="-5"/>
        </w:rPr>
        <w:t>la </w:t>
      </w:r>
      <w:r>
        <w:rPr/>
        <w:t>elección del régimen político entre los sistemas presidencial y parlamentario puede tener consecuencias importantes para </w:t>
      </w:r>
      <w:r>
        <w:rPr>
          <w:spacing w:val="-3"/>
        </w:rPr>
        <w:t>la </w:t>
      </w:r>
      <w:r>
        <w:rPr/>
        <w:t>formulación de políticas porque ejerce influencia sobre el número y </w:t>
      </w:r>
      <w:r>
        <w:rPr>
          <w:spacing w:val="-3"/>
        </w:rPr>
        <w:t>la </w:t>
      </w:r>
      <w:r>
        <w:rPr/>
        <w:t>estabilidad de los agentes encargados de </w:t>
      </w:r>
      <w:r>
        <w:rPr>
          <w:spacing w:val="-4"/>
        </w:rPr>
        <w:t>la </w:t>
      </w:r>
      <w:r>
        <w:rPr/>
        <w:t>formulación de políticas,  los escenarios donde se llevan a cabo los intercambios, el tipo de intercambios políticos que </w:t>
      </w:r>
      <w:r>
        <w:rPr>
          <w:spacing w:val="3"/>
        </w:rPr>
        <w:t>se </w:t>
      </w:r>
      <w:r>
        <w:rPr/>
        <w:t>pueden hacer entre el ejecutivo, el legislativo y los gobiernos estatales o subnacionales y algunas </w:t>
      </w:r>
      <w:r>
        <w:rPr>
          <w:spacing w:val="3"/>
        </w:rPr>
        <w:t>de </w:t>
      </w:r>
      <w:r>
        <w:rPr/>
        <w:t>las prerrogativas </w:t>
      </w:r>
      <w:r>
        <w:rPr>
          <w:spacing w:val="-3"/>
        </w:rPr>
        <w:t>de </w:t>
      </w:r>
      <w:r>
        <w:rPr/>
        <w:t>negociación de cada uno de los actores, </w:t>
      </w:r>
      <w:r>
        <w:rPr>
          <w:spacing w:val="-3"/>
        </w:rPr>
        <w:t>lo </w:t>
      </w:r>
      <w:r>
        <w:rPr/>
        <w:t>cual incluye líderes de partido, dirigentes sindicales o incluso empresarios.</w:t>
      </w:r>
      <w:r>
        <w:rPr>
          <w:position w:val="11"/>
          <w:sz w:val="15"/>
        </w:rPr>
        <w:t>11</w:t>
      </w:r>
    </w:p>
    <w:p>
      <w:pPr>
        <w:pStyle w:val="BodyText"/>
        <w:spacing w:before="7"/>
        <w:rPr>
          <w:sz w:val="33"/>
        </w:rPr>
      </w:pPr>
    </w:p>
    <w:p>
      <w:pPr>
        <w:pStyle w:val="Heading3"/>
        <w:numPr>
          <w:ilvl w:val="1"/>
          <w:numId w:val="9"/>
        </w:numPr>
        <w:tabs>
          <w:tab w:pos="503" w:val="left" w:leader="none"/>
        </w:tabs>
        <w:spacing w:line="240" w:lineRule="auto" w:before="0" w:after="0"/>
        <w:ind w:left="502" w:right="0" w:hanging="386"/>
        <w:jc w:val="both"/>
      </w:pPr>
      <w:bookmarkStart w:name="_TOC_250006" w:id="26"/>
      <w:r>
        <w:rPr/>
        <w:t>El juego político del Poder</w:t>
      </w:r>
      <w:r>
        <w:rPr>
          <w:spacing w:val="51"/>
        </w:rPr>
        <w:t> </w:t>
      </w:r>
      <w:bookmarkEnd w:id="26"/>
      <w:r>
        <w:rPr/>
        <w:t>Ejecutivo</w:t>
      </w:r>
    </w:p>
    <w:p>
      <w:pPr>
        <w:pStyle w:val="BodyText"/>
        <w:spacing w:line="364" w:lineRule="auto" w:before="138"/>
        <w:ind w:left="115" w:right="105"/>
        <w:jc w:val="both"/>
      </w:pPr>
      <w:r>
        <w:rPr/>
        <w:t>El tipo de régimen adoptado en México hace que “el presidente” sea el actor clave en el juego de la formulación de políticas. Por consiguiente,  es  importante  entender sus incentivos y los factores que afectan el comportamiento presidencial. Aunque las cualidades personales, ideología y factores culturales e históricos puedan moldear la forma en que los presidentes gobiernan, las instituciones </w:t>
      </w:r>
      <w:r>
        <w:rPr>
          <w:spacing w:val="-3"/>
        </w:rPr>
        <w:t>que </w:t>
      </w:r>
      <w:r>
        <w:rPr/>
        <w:t>determinan </w:t>
      </w:r>
      <w:r>
        <w:rPr>
          <w:spacing w:val="-4"/>
        </w:rPr>
        <w:t>la  </w:t>
      </w:r>
      <w:r>
        <w:rPr/>
        <w:t>forma en que son elegidos  y su  poder para afectar las    </w:t>
      </w:r>
      <w:r>
        <w:rPr>
          <w:spacing w:val="19"/>
        </w:rPr>
        <w:t> </w:t>
      </w:r>
      <w:r>
        <w:rPr/>
        <w:t>decisiones</w:t>
      </w:r>
    </w:p>
    <w:p>
      <w:pPr>
        <w:pStyle w:val="BodyText"/>
        <w:spacing w:before="2"/>
        <w:rPr>
          <w:sz w:val="21"/>
        </w:rPr>
      </w:pPr>
      <w:r>
        <w:rPr/>
        <w:pict>
          <v:line style="position:absolute;mso-position-horizontal-relative:page;mso-position-vertical-relative:paragraph;z-index:1264;mso-wrap-distance-left:0;mso-wrap-distance-right:0" from="82.799004pt,14.52621pt" to="222.958004pt,14.52621pt" stroked="true" strokeweight=".72pt" strokecolor="#000000">
            <w10:wrap type="topAndBottom"/>
          </v:line>
        </w:pict>
      </w:r>
    </w:p>
    <w:p>
      <w:pPr>
        <w:spacing w:line="247" w:lineRule="auto" w:before="41"/>
        <w:ind w:left="115" w:right="100" w:firstLine="0"/>
        <w:jc w:val="both"/>
        <w:rPr>
          <w:sz w:val="19"/>
        </w:rPr>
      </w:pPr>
      <w:r>
        <w:rPr>
          <w:spacing w:val="-4"/>
          <w:w w:val="105"/>
          <w:position w:val="10"/>
          <w:sz w:val="12"/>
        </w:rPr>
        <w:t>11</w:t>
      </w:r>
      <w:r>
        <w:rPr>
          <w:spacing w:val="5"/>
          <w:w w:val="105"/>
          <w:position w:val="10"/>
          <w:sz w:val="12"/>
        </w:rPr>
        <w:t> </w:t>
      </w:r>
      <w:r>
        <w:rPr>
          <w:w w:val="105"/>
          <w:sz w:val="19"/>
        </w:rPr>
        <w:t>Lijphart</w:t>
      </w:r>
      <w:r>
        <w:rPr>
          <w:spacing w:val="-16"/>
          <w:w w:val="105"/>
          <w:sz w:val="19"/>
        </w:rPr>
        <w:t> </w:t>
      </w:r>
      <w:r>
        <w:rPr>
          <w:w w:val="105"/>
          <w:sz w:val="19"/>
        </w:rPr>
        <w:t>(1999)</w:t>
      </w:r>
      <w:r>
        <w:rPr>
          <w:spacing w:val="-13"/>
          <w:w w:val="105"/>
          <w:sz w:val="19"/>
        </w:rPr>
        <w:t> </w:t>
      </w:r>
      <w:r>
        <w:rPr>
          <w:w w:val="105"/>
          <w:sz w:val="19"/>
        </w:rPr>
        <w:t>identifica</w:t>
      </w:r>
      <w:r>
        <w:rPr>
          <w:spacing w:val="-9"/>
          <w:w w:val="105"/>
          <w:sz w:val="19"/>
        </w:rPr>
        <w:t> </w:t>
      </w:r>
      <w:r>
        <w:rPr>
          <w:w w:val="105"/>
          <w:sz w:val="19"/>
        </w:rPr>
        <w:t>tres</w:t>
      </w:r>
      <w:r>
        <w:rPr>
          <w:spacing w:val="-16"/>
          <w:w w:val="105"/>
          <w:sz w:val="19"/>
        </w:rPr>
        <w:t> </w:t>
      </w:r>
      <w:r>
        <w:rPr>
          <w:w w:val="105"/>
          <w:sz w:val="19"/>
        </w:rPr>
        <w:t>diferencias</w:t>
      </w:r>
      <w:r>
        <w:rPr>
          <w:spacing w:val="-16"/>
          <w:w w:val="105"/>
          <w:sz w:val="19"/>
        </w:rPr>
        <w:t> </w:t>
      </w:r>
      <w:r>
        <w:rPr>
          <w:w w:val="105"/>
          <w:sz w:val="19"/>
        </w:rPr>
        <w:t>básicas</w:t>
      </w:r>
      <w:r>
        <w:rPr>
          <w:spacing w:val="-15"/>
          <w:w w:val="105"/>
          <w:sz w:val="19"/>
        </w:rPr>
        <w:t> </w:t>
      </w:r>
      <w:r>
        <w:rPr>
          <w:w w:val="105"/>
          <w:sz w:val="19"/>
        </w:rPr>
        <w:t>entre</w:t>
      </w:r>
      <w:r>
        <w:rPr>
          <w:spacing w:val="-13"/>
          <w:w w:val="105"/>
          <w:sz w:val="19"/>
        </w:rPr>
        <w:t> </w:t>
      </w:r>
      <w:r>
        <w:rPr>
          <w:w w:val="105"/>
          <w:sz w:val="19"/>
        </w:rPr>
        <w:t>los</w:t>
      </w:r>
      <w:r>
        <w:rPr>
          <w:spacing w:val="-9"/>
          <w:w w:val="105"/>
          <w:sz w:val="19"/>
        </w:rPr>
        <w:t> </w:t>
      </w:r>
      <w:r>
        <w:rPr>
          <w:w w:val="105"/>
          <w:sz w:val="19"/>
        </w:rPr>
        <w:t>sistemas</w:t>
      </w:r>
      <w:r>
        <w:rPr>
          <w:spacing w:val="-13"/>
          <w:w w:val="105"/>
          <w:sz w:val="19"/>
        </w:rPr>
        <w:t> </w:t>
      </w:r>
      <w:r>
        <w:rPr>
          <w:w w:val="105"/>
          <w:sz w:val="19"/>
        </w:rPr>
        <w:t>presidencial</w:t>
      </w:r>
      <w:r>
        <w:rPr>
          <w:spacing w:val="-8"/>
          <w:w w:val="105"/>
          <w:sz w:val="19"/>
        </w:rPr>
        <w:t> </w:t>
      </w:r>
      <w:r>
        <w:rPr>
          <w:w w:val="105"/>
          <w:sz w:val="19"/>
        </w:rPr>
        <w:t>y</w:t>
      </w:r>
      <w:r>
        <w:rPr>
          <w:spacing w:val="-16"/>
          <w:w w:val="105"/>
          <w:sz w:val="19"/>
        </w:rPr>
        <w:t> </w:t>
      </w:r>
      <w:r>
        <w:rPr>
          <w:w w:val="105"/>
          <w:sz w:val="19"/>
        </w:rPr>
        <w:t>parlamentario. Primera,</w:t>
      </w:r>
      <w:r>
        <w:rPr>
          <w:spacing w:val="-22"/>
          <w:w w:val="105"/>
          <w:sz w:val="19"/>
        </w:rPr>
        <w:t> </w:t>
      </w:r>
      <w:r>
        <w:rPr>
          <w:w w:val="105"/>
          <w:sz w:val="19"/>
        </w:rPr>
        <w:t>en</w:t>
      </w:r>
      <w:r>
        <w:rPr>
          <w:spacing w:val="-13"/>
          <w:w w:val="105"/>
          <w:sz w:val="19"/>
        </w:rPr>
        <w:t> </w:t>
      </w:r>
      <w:r>
        <w:rPr>
          <w:w w:val="105"/>
          <w:sz w:val="19"/>
        </w:rPr>
        <w:t>un</w:t>
      </w:r>
      <w:r>
        <w:rPr>
          <w:spacing w:val="-13"/>
          <w:w w:val="105"/>
          <w:sz w:val="19"/>
        </w:rPr>
        <w:t> </w:t>
      </w:r>
      <w:r>
        <w:rPr>
          <w:w w:val="105"/>
          <w:sz w:val="19"/>
        </w:rPr>
        <w:t>sistema</w:t>
      </w:r>
      <w:r>
        <w:rPr>
          <w:spacing w:val="-20"/>
          <w:w w:val="105"/>
          <w:sz w:val="19"/>
        </w:rPr>
        <w:t> </w:t>
      </w:r>
      <w:r>
        <w:rPr>
          <w:w w:val="105"/>
          <w:sz w:val="19"/>
        </w:rPr>
        <w:t>parlamentario</w:t>
      </w:r>
      <w:r>
        <w:rPr>
          <w:spacing w:val="-13"/>
          <w:w w:val="105"/>
          <w:sz w:val="19"/>
        </w:rPr>
        <w:t> </w:t>
      </w:r>
      <w:r>
        <w:rPr>
          <w:w w:val="105"/>
          <w:sz w:val="19"/>
        </w:rPr>
        <w:t>el</w:t>
      </w:r>
      <w:r>
        <w:rPr>
          <w:spacing w:val="-15"/>
          <w:w w:val="105"/>
          <w:sz w:val="19"/>
        </w:rPr>
        <w:t> </w:t>
      </w:r>
      <w:r>
        <w:rPr>
          <w:w w:val="105"/>
          <w:sz w:val="19"/>
        </w:rPr>
        <w:t>ejecutivo</w:t>
      </w:r>
      <w:r>
        <w:rPr>
          <w:spacing w:val="-13"/>
          <w:w w:val="105"/>
          <w:sz w:val="19"/>
        </w:rPr>
        <w:t> </w:t>
      </w:r>
      <w:r>
        <w:rPr>
          <w:w w:val="105"/>
          <w:sz w:val="19"/>
        </w:rPr>
        <w:t>es</w:t>
      </w:r>
      <w:r>
        <w:rPr>
          <w:spacing w:val="-15"/>
          <w:w w:val="105"/>
          <w:sz w:val="19"/>
        </w:rPr>
        <w:t> </w:t>
      </w:r>
      <w:r>
        <w:rPr>
          <w:w w:val="105"/>
          <w:sz w:val="19"/>
        </w:rPr>
        <w:t>responsable</w:t>
      </w:r>
      <w:r>
        <w:rPr>
          <w:spacing w:val="-17"/>
          <w:w w:val="105"/>
          <w:sz w:val="19"/>
        </w:rPr>
        <w:t> </w:t>
      </w:r>
      <w:r>
        <w:rPr>
          <w:w w:val="105"/>
          <w:sz w:val="19"/>
        </w:rPr>
        <w:t>frente</w:t>
      </w:r>
      <w:r>
        <w:rPr>
          <w:spacing w:val="-15"/>
          <w:w w:val="105"/>
          <w:sz w:val="19"/>
        </w:rPr>
        <w:t> </w:t>
      </w:r>
      <w:r>
        <w:rPr>
          <w:w w:val="105"/>
          <w:sz w:val="19"/>
        </w:rPr>
        <w:t>a</w:t>
      </w:r>
      <w:r>
        <w:rPr>
          <w:spacing w:val="-15"/>
          <w:w w:val="105"/>
          <w:sz w:val="19"/>
        </w:rPr>
        <w:t> </w:t>
      </w:r>
      <w:r>
        <w:rPr>
          <w:w w:val="105"/>
          <w:sz w:val="19"/>
        </w:rPr>
        <w:t>la</w:t>
      </w:r>
      <w:r>
        <w:rPr>
          <w:spacing w:val="-15"/>
          <w:w w:val="105"/>
          <w:sz w:val="19"/>
        </w:rPr>
        <w:t> </w:t>
      </w:r>
      <w:r>
        <w:rPr>
          <w:w w:val="105"/>
          <w:sz w:val="19"/>
        </w:rPr>
        <w:t>legislatura</w:t>
      </w:r>
      <w:r>
        <w:rPr>
          <w:spacing w:val="-13"/>
          <w:w w:val="105"/>
          <w:sz w:val="19"/>
        </w:rPr>
        <w:t> </w:t>
      </w:r>
      <w:r>
        <w:rPr>
          <w:w w:val="105"/>
          <w:sz w:val="19"/>
        </w:rPr>
        <w:t>y</w:t>
      </w:r>
      <w:r>
        <w:rPr>
          <w:spacing w:val="-18"/>
          <w:w w:val="105"/>
          <w:sz w:val="19"/>
        </w:rPr>
        <w:t> </w:t>
      </w:r>
      <w:r>
        <w:rPr>
          <w:w w:val="105"/>
          <w:sz w:val="19"/>
        </w:rPr>
        <w:t>puede</w:t>
      </w:r>
      <w:r>
        <w:rPr>
          <w:spacing w:val="-13"/>
          <w:w w:val="105"/>
          <w:sz w:val="19"/>
        </w:rPr>
        <w:t> </w:t>
      </w:r>
      <w:r>
        <w:rPr>
          <w:w w:val="105"/>
          <w:sz w:val="19"/>
        </w:rPr>
        <w:t>ser despedido de su cargo mediante un voto legislativo de censura o no confianza. </w:t>
      </w:r>
      <w:r>
        <w:rPr>
          <w:spacing w:val="-4"/>
          <w:w w:val="105"/>
          <w:sz w:val="19"/>
        </w:rPr>
        <w:t>En </w:t>
      </w:r>
      <w:r>
        <w:rPr>
          <w:w w:val="105"/>
          <w:sz w:val="19"/>
        </w:rPr>
        <w:t>un sistema presidencial, </w:t>
      </w:r>
      <w:r>
        <w:rPr>
          <w:spacing w:val="-4"/>
          <w:w w:val="105"/>
          <w:sz w:val="19"/>
        </w:rPr>
        <w:t>la </w:t>
      </w:r>
      <w:r>
        <w:rPr>
          <w:w w:val="105"/>
          <w:sz w:val="19"/>
        </w:rPr>
        <w:t>cabeza del gobierno es elegida por un periodo prescrito constitucionalmente. Segunda,</w:t>
      </w:r>
      <w:r>
        <w:rPr>
          <w:spacing w:val="-10"/>
          <w:w w:val="105"/>
          <w:sz w:val="19"/>
        </w:rPr>
        <w:t> </w:t>
      </w:r>
      <w:r>
        <w:rPr>
          <w:spacing w:val="2"/>
          <w:w w:val="105"/>
          <w:sz w:val="19"/>
        </w:rPr>
        <w:t>el</w:t>
      </w:r>
      <w:r>
        <w:rPr>
          <w:spacing w:val="-4"/>
          <w:w w:val="105"/>
          <w:sz w:val="19"/>
        </w:rPr>
        <w:t> </w:t>
      </w:r>
      <w:r>
        <w:rPr>
          <w:w w:val="105"/>
          <w:sz w:val="19"/>
        </w:rPr>
        <w:t>encargado</w:t>
      </w:r>
      <w:r>
        <w:rPr>
          <w:spacing w:val="-4"/>
          <w:w w:val="105"/>
          <w:sz w:val="19"/>
        </w:rPr>
        <w:t> </w:t>
      </w:r>
      <w:r>
        <w:rPr>
          <w:w w:val="105"/>
          <w:sz w:val="19"/>
        </w:rPr>
        <w:t>del</w:t>
      </w:r>
      <w:r>
        <w:rPr>
          <w:spacing w:val="-1"/>
          <w:w w:val="105"/>
          <w:sz w:val="19"/>
        </w:rPr>
        <w:t> </w:t>
      </w:r>
      <w:r>
        <w:rPr>
          <w:w w:val="105"/>
          <w:sz w:val="19"/>
        </w:rPr>
        <w:t>ejecutivo –en</w:t>
      </w:r>
      <w:r>
        <w:rPr>
          <w:spacing w:val="-4"/>
          <w:w w:val="105"/>
          <w:sz w:val="19"/>
        </w:rPr>
        <w:t> </w:t>
      </w:r>
      <w:r>
        <w:rPr>
          <w:w w:val="105"/>
          <w:sz w:val="19"/>
        </w:rPr>
        <w:t>general</w:t>
      </w:r>
      <w:r>
        <w:rPr>
          <w:spacing w:val="-1"/>
          <w:w w:val="105"/>
          <w:sz w:val="19"/>
        </w:rPr>
        <w:t> </w:t>
      </w:r>
      <w:r>
        <w:rPr>
          <w:w w:val="105"/>
          <w:sz w:val="19"/>
        </w:rPr>
        <w:t>llamado</w:t>
      </w:r>
      <w:r>
        <w:rPr>
          <w:spacing w:val="-8"/>
          <w:w w:val="105"/>
          <w:sz w:val="19"/>
        </w:rPr>
        <w:t> </w:t>
      </w:r>
      <w:r>
        <w:rPr>
          <w:w w:val="105"/>
          <w:sz w:val="19"/>
        </w:rPr>
        <w:t>primer</w:t>
      </w:r>
      <w:r>
        <w:rPr>
          <w:spacing w:val="-4"/>
          <w:w w:val="105"/>
          <w:sz w:val="19"/>
        </w:rPr>
        <w:t> </w:t>
      </w:r>
      <w:r>
        <w:rPr>
          <w:w w:val="105"/>
          <w:sz w:val="19"/>
        </w:rPr>
        <w:t>ministro–</w:t>
      </w:r>
      <w:r>
        <w:rPr>
          <w:spacing w:val="-4"/>
          <w:w w:val="105"/>
          <w:sz w:val="19"/>
        </w:rPr>
        <w:t> </w:t>
      </w:r>
      <w:r>
        <w:rPr>
          <w:w w:val="105"/>
          <w:sz w:val="19"/>
        </w:rPr>
        <w:t>es</w:t>
      </w:r>
      <w:r>
        <w:rPr>
          <w:spacing w:val="-4"/>
          <w:w w:val="105"/>
          <w:sz w:val="19"/>
        </w:rPr>
        <w:t> </w:t>
      </w:r>
      <w:r>
        <w:rPr>
          <w:w w:val="105"/>
          <w:sz w:val="19"/>
        </w:rPr>
        <w:t>seleccionado</w:t>
      </w:r>
      <w:r>
        <w:rPr>
          <w:spacing w:val="-4"/>
          <w:w w:val="105"/>
          <w:sz w:val="19"/>
        </w:rPr>
        <w:t> </w:t>
      </w:r>
      <w:r>
        <w:rPr>
          <w:w w:val="105"/>
          <w:sz w:val="19"/>
        </w:rPr>
        <w:t>por</w:t>
      </w:r>
      <w:r>
        <w:rPr>
          <w:spacing w:val="-4"/>
          <w:w w:val="105"/>
          <w:sz w:val="19"/>
        </w:rPr>
        <w:t> </w:t>
      </w:r>
      <w:r>
        <w:rPr>
          <w:w w:val="105"/>
          <w:sz w:val="19"/>
        </w:rPr>
        <w:t>la legislatura, mientras que el presidente es elegido por voto popular. Tercera, los sistemas parlamentarios</w:t>
      </w:r>
      <w:r>
        <w:rPr>
          <w:spacing w:val="-15"/>
          <w:w w:val="105"/>
          <w:sz w:val="19"/>
        </w:rPr>
        <w:t> </w:t>
      </w:r>
      <w:r>
        <w:rPr>
          <w:w w:val="105"/>
          <w:sz w:val="19"/>
        </w:rPr>
        <w:t>tienen</w:t>
      </w:r>
      <w:r>
        <w:rPr>
          <w:spacing w:val="-15"/>
          <w:w w:val="105"/>
          <w:sz w:val="19"/>
        </w:rPr>
        <w:t> </w:t>
      </w:r>
      <w:r>
        <w:rPr>
          <w:w w:val="105"/>
          <w:sz w:val="19"/>
        </w:rPr>
        <w:t>ejecutivos</w:t>
      </w:r>
      <w:r>
        <w:rPr>
          <w:spacing w:val="-17"/>
          <w:w w:val="105"/>
          <w:sz w:val="19"/>
        </w:rPr>
        <w:t> </w:t>
      </w:r>
      <w:r>
        <w:rPr>
          <w:w w:val="105"/>
          <w:sz w:val="19"/>
        </w:rPr>
        <w:t>colectivos</w:t>
      </w:r>
      <w:r>
        <w:rPr>
          <w:spacing w:val="-15"/>
          <w:w w:val="105"/>
          <w:sz w:val="19"/>
        </w:rPr>
        <w:t> </w:t>
      </w:r>
      <w:r>
        <w:rPr>
          <w:w w:val="105"/>
          <w:sz w:val="19"/>
        </w:rPr>
        <w:t>o</w:t>
      </w:r>
      <w:r>
        <w:rPr>
          <w:spacing w:val="-15"/>
          <w:w w:val="105"/>
          <w:sz w:val="19"/>
        </w:rPr>
        <w:t> </w:t>
      </w:r>
      <w:r>
        <w:rPr>
          <w:w w:val="105"/>
          <w:sz w:val="19"/>
        </w:rPr>
        <w:t>colegiados,</w:t>
      </w:r>
      <w:r>
        <w:rPr>
          <w:spacing w:val="-19"/>
          <w:w w:val="105"/>
          <w:sz w:val="19"/>
        </w:rPr>
        <w:t> </w:t>
      </w:r>
      <w:r>
        <w:rPr>
          <w:w w:val="105"/>
          <w:sz w:val="19"/>
        </w:rPr>
        <w:t>mientras</w:t>
      </w:r>
      <w:r>
        <w:rPr>
          <w:spacing w:val="-17"/>
          <w:w w:val="105"/>
          <w:sz w:val="19"/>
        </w:rPr>
        <w:t> </w:t>
      </w:r>
      <w:r>
        <w:rPr>
          <w:w w:val="105"/>
          <w:sz w:val="19"/>
        </w:rPr>
        <w:t>que</w:t>
      </w:r>
      <w:r>
        <w:rPr>
          <w:spacing w:val="-15"/>
          <w:w w:val="105"/>
          <w:sz w:val="19"/>
        </w:rPr>
        <w:t> </w:t>
      </w:r>
      <w:r>
        <w:rPr>
          <w:w w:val="105"/>
          <w:sz w:val="19"/>
        </w:rPr>
        <w:t>los</w:t>
      </w:r>
      <w:r>
        <w:rPr>
          <w:spacing w:val="-15"/>
          <w:w w:val="105"/>
          <w:sz w:val="19"/>
        </w:rPr>
        <w:t> </w:t>
      </w:r>
      <w:r>
        <w:rPr>
          <w:w w:val="105"/>
          <w:sz w:val="19"/>
        </w:rPr>
        <w:t>sistemas</w:t>
      </w:r>
      <w:r>
        <w:rPr>
          <w:spacing w:val="-17"/>
          <w:w w:val="105"/>
          <w:sz w:val="19"/>
        </w:rPr>
        <w:t> </w:t>
      </w:r>
      <w:r>
        <w:rPr>
          <w:w w:val="105"/>
          <w:sz w:val="19"/>
        </w:rPr>
        <w:t>presidenciales</w:t>
      </w:r>
    </w:p>
    <w:p>
      <w:pPr>
        <w:spacing w:after="0" w:line="247" w:lineRule="auto"/>
        <w:jc w:val="both"/>
        <w:rPr>
          <w:sz w:val="19"/>
        </w:rPr>
        <w:sectPr>
          <w:footerReference w:type="default" r:id="rId25"/>
          <w:pgSz w:w="11910" w:h="16840"/>
          <w:pgMar w:footer="2060" w:header="0" w:top="1580" w:bottom="2240" w:left="1540" w:right="1540"/>
        </w:sectPr>
      </w:pPr>
    </w:p>
    <w:p>
      <w:pPr>
        <w:pStyle w:val="BodyText"/>
        <w:rPr>
          <w:sz w:val="20"/>
        </w:rPr>
      </w:pPr>
    </w:p>
    <w:p>
      <w:pPr>
        <w:pStyle w:val="BodyText"/>
        <w:spacing w:before="2"/>
        <w:rPr>
          <w:sz w:val="16"/>
        </w:rPr>
      </w:pPr>
    </w:p>
    <w:p>
      <w:pPr>
        <w:pStyle w:val="BodyText"/>
        <w:spacing w:line="338" w:lineRule="auto" w:before="74"/>
        <w:ind w:left="115" w:right="191"/>
        <w:rPr>
          <w:sz w:val="15"/>
        </w:rPr>
      </w:pPr>
      <w:r>
        <w:rPr/>
        <w:t>políticas tienden a ser al menos importantes en la explicación de sus incentivos y comportamiento.</w:t>
      </w:r>
      <w:r>
        <w:rPr>
          <w:position w:val="11"/>
          <w:sz w:val="15"/>
        </w:rPr>
        <w:t>12</w:t>
      </w:r>
    </w:p>
    <w:p>
      <w:pPr>
        <w:pStyle w:val="BodyText"/>
        <w:spacing w:line="364" w:lineRule="auto" w:before="13"/>
        <w:ind w:left="115" w:right="107" w:firstLine="686"/>
        <w:jc w:val="both"/>
      </w:pPr>
      <w:r>
        <w:rPr/>
        <w:t>Los poderes presidenciales determinan las acciones estratégicas que </w:t>
      </w:r>
      <w:r>
        <w:rPr>
          <w:spacing w:val="-3"/>
        </w:rPr>
        <w:t>los </w:t>
      </w:r>
      <w:r>
        <w:rPr/>
        <w:t>presidentes pueden tomar, el tipo de transacciones en que se  pueden  comprometer con </w:t>
      </w:r>
      <w:r>
        <w:rPr>
          <w:spacing w:val="-4"/>
        </w:rPr>
        <w:t>la </w:t>
      </w:r>
      <w:r>
        <w:rPr/>
        <w:t>legislatura, y sus aliados y oponentes políticos. Los poderes presidenciales pueden clasificarse en </w:t>
      </w:r>
      <w:r>
        <w:rPr>
          <w:i/>
        </w:rPr>
        <w:t>poderes constitucionales </w:t>
      </w:r>
      <w:r>
        <w:rPr/>
        <w:t>y </w:t>
      </w:r>
      <w:r>
        <w:rPr>
          <w:i/>
        </w:rPr>
        <w:t>poderes  </w:t>
      </w:r>
      <w:r>
        <w:rPr>
          <w:i/>
        </w:rPr>
        <w:t>partidistas </w:t>
      </w:r>
      <w:r>
        <w:rPr/>
        <w:t>(Shugart y Carey, 1992; Mainwaring y Shugart, </w:t>
      </w:r>
      <w:r>
        <w:rPr>
          <w:spacing w:val="5"/>
        </w:rPr>
        <w:t> </w:t>
      </w:r>
      <w:r>
        <w:rPr/>
        <w:t>1997).</w:t>
      </w:r>
    </w:p>
    <w:p>
      <w:pPr>
        <w:pStyle w:val="BodyText"/>
        <w:spacing w:line="364" w:lineRule="auto" w:before="5"/>
        <w:ind w:left="115" w:right="104" w:firstLine="686"/>
        <w:jc w:val="both"/>
      </w:pPr>
      <w:r>
        <w:rPr>
          <w:i/>
        </w:rPr>
        <w:t>Los poderes constitucionales </w:t>
      </w:r>
      <w:r>
        <w:rPr/>
        <w:t>contribuyen a enmarcar las relaciones entre el ejecutivo y el legislativo. A medida que los poderes constitucionales del presidente son mayores, dado el conjunto de restricciones, mayor es su capacidad de introducir cambios. Así, </w:t>
      </w:r>
      <w:r>
        <w:rPr>
          <w:spacing w:val="-3"/>
        </w:rPr>
        <w:t>la </w:t>
      </w:r>
      <w:r>
        <w:rPr/>
        <w:t>atribución de mayores poderes constitucionales al presidente le facilita tomar acciones decisivas cuando sea  necesario  (como adaptar las políticas económicas a las crisis), pero también cambiar las políticas  por conveniencia, </w:t>
      </w:r>
      <w:r>
        <w:rPr>
          <w:spacing w:val="-5"/>
        </w:rPr>
        <w:t>lo </w:t>
      </w:r>
      <w:r>
        <w:rPr/>
        <w:t>que puede llevar a una alta volatilidad de las políticas (como puede ser el caso de cambios de políticas antes de una elección para obtener </w:t>
      </w:r>
      <w:r>
        <w:rPr>
          <w:spacing w:val="-5"/>
        </w:rPr>
        <w:t>la </w:t>
      </w:r>
      <w:r>
        <w:rPr/>
        <w:t>victoria, o de cambios </w:t>
      </w:r>
      <w:r>
        <w:rPr>
          <w:spacing w:val="3"/>
        </w:rPr>
        <w:t>de </w:t>
      </w:r>
      <w:r>
        <w:rPr>
          <w:spacing w:val="-3"/>
        </w:rPr>
        <w:t>las </w:t>
      </w:r>
      <w:r>
        <w:rPr/>
        <w:t>políticas </w:t>
      </w:r>
      <w:r>
        <w:rPr>
          <w:spacing w:val="-3"/>
        </w:rPr>
        <w:t>de </w:t>
      </w:r>
      <w:r>
        <w:rPr/>
        <w:t>una administración anterior  para  “empezar todo de cero” después de posicionarse). Los poderes </w:t>
      </w:r>
      <w:r>
        <w:rPr>
          <w:i/>
        </w:rPr>
        <w:t>constitucionales </w:t>
      </w:r>
      <w:r>
        <w:rPr/>
        <w:t>pueden dividirse en </w:t>
      </w:r>
      <w:r>
        <w:rPr>
          <w:i/>
        </w:rPr>
        <w:t>poderes legislativos </w:t>
      </w:r>
      <w:r>
        <w:rPr/>
        <w:t>y </w:t>
      </w:r>
      <w:r>
        <w:rPr>
          <w:i/>
        </w:rPr>
        <w:t>no</w:t>
      </w:r>
      <w:r>
        <w:rPr>
          <w:i/>
          <w:spacing w:val="63"/>
        </w:rPr>
        <w:t> </w:t>
      </w:r>
      <w:r>
        <w:rPr>
          <w:i/>
        </w:rPr>
        <w:t>legislativos</w:t>
      </w:r>
      <w:r>
        <w:rPr/>
        <w:t>.</w:t>
      </w:r>
    </w:p>
    <w:p>
      <w:pPr>
        <w:pStyle w:val="BodyText"/>
        <w:spacing w:line="364" w:lineRule="auto" w:before="5"/>
        <w:ind w:left="115" w:right="102" w:firstLine="686"/>
        <w:jc w:val="both"/>
      </w:pPr>
      <w:r>
        <w:rPr/>
        <w:t>Los </w:t>
      </w:r>
      <w:r>
        <w:rPr>
          <w:i/>
        </w:rPr>
        <w:t>poderes legislativos </w:t>
      </w:r>
      <w:r>
        <w:rPr/>
        <w:t>incluyen el poder de veto total, el veto parcial, el poder de aprobar decretos, de declarar “urgente” un proyecto de ley, la iniciativa exclusiva de legislar los poderes presupuestales, y el poder para convocar a un plebiscito o referendo. Estos poderes pueden dividirse asimismo en </w:t>
      </w:r>
      <w:r>
        <w:rPr>
          <w:i/>
        </w:rPr>
        <w:t>proactivos </w:t>
      </w:r>
      <w:r>
        <w:rPr/>
        <w:t>y </w:t>
      </w:r>
      <w:r>
        <w:rPr>
          <w:i/>
        </w:rPr>
        <w:t>reactivos</w:t>
      </w:r>
      <w:r>
        <w:rPr/>
        <w:t>, según si el presidente puede influir en la adopción de políticas que cambien el statu quo o si el presidente puede detener o retrasar la implementación de políticas apoyadas por otros que pudieran modificarlo (Carey y Shugart,  1998).</w:t>
      </w:r>
    </w:p>
    <w:p>
      <w:pPr>
        <w:pStyle w:val="BodyText"/>
        <w:rPr>
          <w:sz w:val="20"/>
        </w:rPr>
      </w:pPr>
    </w:p>
    <w:p>
      <w:pPr>
        <w:pStyle w:val="BodyText"/>
        <w:rPr>
          <w:sz w:val="20"/>
        </w:rPr>
      </w:pPr>
    </w:p>
    <w:p>
      <w:pPr>
        <w:pStyle w:val="BodyText"/>
        <w:spacing w:before="7"/>
        <w:rPr>
          <w:sz w:val="19"/>
        </w:rPr>
      </w:pPr>
    </w:p>
    <w:p>
      <w:pPr>
        <w:spacing w:line="247" w:lineRule="auto" w:before="86"/>
        <w:ind w:left="115" w:right="101" w:firstLine="0"/>
        <w:jc w:val="both"/>
        <w:rPr>
          <w:sz w:val="19"/>
        </w:rPr>
      </w:pPr>
      <w:r>
        <w:rPr>
          <w:spacing w:val="-4"/>
          <w:w w:val="105"/>
          <w:position w:val="10"/>
          <w:sz w:val="12"/>
        </w:rPr>
        <w:t>12</w:t>
      </w:r>
      <w:r>
        <w:rPr>
          <w:spacing w:val="7"/>
          <w:w w:val="105"/>
          <w:position w:val="10"/>
          <w:sz w:val="12"/>
        </w:rPr>
        <w:t> </w:t>
      </w:r>
      <w:r>
        <w:rPr>
          <w:w w:val="105"/>
          <w:sz w:val="19"/>
        </w:rPr>
        <w:t>En</w:t>
      </w:r>
      <w:r>
        <w:rPr>
          <w:spacing w:val="-16"/>
          <w:w w:val="105"/>
          <w:sz w:val="19"/>
        </w:rPr>
        <w:t> </w:t>
      </w:r>
      <w:r>
        <w:rPr>
          <w:w w:val="105"/>
          <w:sz w:val="19"/>
        </w:rPr>
        <w:t>algunos</w:t>
      </w:r>
      <w:r>
        <w:rPr>
          <w:spacing w:val="-13"/>
          <w:w w:val="105"/>
          <w:sz w:val="19"/>
        </w:rPr>
        <w:t> </w:t>
      </w:r>
      <w:r>
        <w:rPr>
          <w:w w:val="105"/>
          <w:sz w:val="19"/>
        </w:rPr>
        <w:t>contextos</w:t>
      </w:r>
      <w:r>
        <w:rPr>
          <w:spacing w:val="-9"/>
          <w:w w:val="105"/>
          <w:sz w:val="19"/>
        </w:rPr>
        <w:t> </w:t>
      </w:r>
      <w:r>
        <w:rPr>
          <w:w w:val="105"/>
          <w:sz w:val="19"/>
        </w:rPr>
        <w:t>institucionales,</w:t>
      </w:r>
      <w:r>
        <w:rPr>
          <w:spacing w:val="-13"/>
          <w:w w:val="105"/>
          <w:sz w:val="19"/>
        </w:rPr>
        <w:t> </w:t>
      </w:r>
      <w:r>
        <w:rPr>
          <w:w w:val="105"/>
          <w:sz w:val="19"/>
        </w:rPr>
        <w:t>los</w:t>
      </w:r>
      <w:r>
        <w:rPr>
          <w:spacing w:val="-13"/>
          <w:w w:val="105"/>
          <w:sz w:val="19"/>
        </w:rPr>
        <w:t> </w:t>
      </w:r>
      <w:r>
        <w:rPr>
          <w:w w:val="105"/>
          <w:sz w:val="19"/>
        </w:rPr>
        <w:t>presidentes</w:t>
      </w:r>
      <w:r>
        <w:rPr>
          <w:spacing w:val="-13"/>
          <w:w w:val="105"/>
          <w:sz w:val="19"/>
        </w:rPr>
        <w:t> </w:t>
      </w:r>
      <w:r>
        <w:rPr>
          <w:w w:val="105"/>
          <w:sz w:val="19"/>
        </w:rPr>
        <w:t>tienden</w:t>
      </w:r>
      <w:r>
        <w:rPr>
          <w:spacing w:val="-13"/>
          <w:w w:val="105"/>
          <w:sz w:val="19"/>
        </w:rPr>
        <w:t> </w:t>
      </w:r>
      <w:r>
        <w:rPr>
          <w:w w:val="105"/>
          <w:sz w:val="19"/>
        </w:rPr>
        <w:t>a</w:t>
      </w:r>
      <w:r>
        <w:rPr>
          <w:spacing w:val="-13"/>
          <w:w w:val="105"/>
          <w:sz w:val="19"/>
        </w:rPr>
        <w:t> </w:t>
      </w:r>
      <w:r>
        <w:rPr>
          <w:w w:val="105"/>
          <w:sz w:val="19"/>
        </w:rPr>
        <w:t>estar</w:t>
      </w:r>
      <w:r>
        <w:rPr>
          <w:spacing w:val="-17"/>
          <w:w w:val="105"/>
          <w:sz w:val="19"/>
        </w:rPr>
        <w:t> </w:t>
      </w:r>
      <w:r>
        <w:rPr>
          <w:w w:val="105"/>
          <w:sz w:val="19"/>
        </w:rPr>
        <w:t>en</w:t>
      </w:r>
      <w:r>
        <w:rPr>
          <w:spacing w:val="-10"/>
          <w:w w:val="105"/>
          <w:sz w:val="19"/>
        </w:rPr>
        <w:t> </w:t>
      </w:r>
      <w:r>
        <w:rPr>
          <w:w w:val="105"/>
          <w:sz w:val="19"/>
        </w:rPr>
        <w:t>el</w:t>
      </w:r>
      <w:r>
        <w:rPr>
          <w:spacing w:val="-13"/>
          <w:w w:val="105"/>
          <w:sz w:val="19"/>
        </w:rPr>
        <w:t> </w:t>
      </w:r>
      <w:r>
        <w:rPr>
          <w:w w:val="105"/>
          <w:sz w:val="19"/>
        </w:rPr>
        <w:t>bien</w:t>
      </w:r>
      <w:r>
        <w:rPr>
          <w:spacing w:val="-13"/>
          <w:w w:val="105"/>
          <w:sz w:val="19"/>
        </w:rPr>
        <w:t> </w:t>
      </w:r>
      <w:r>
        <w:rPr>
          <w:w w:val="105"/>
          <w:sz w:val="19"/>
        </w:rPr>
        <w:t>público</w:t>
      </w:r>
      <w:r>
        <w:rPr>
          <w:spacing w:val="-10"/>
          <w:w w:val="105"/>
          <w:sz w:val="19"/>
        </w:rPr>
        <w:t> </w:t>
      </w:r>
      <w:r>
        <w:rPr>
          <w:w w:val="105"/>
          <w:sz w:val="19"/>
        </w:rPr>
        <w:t>y</w:t>
      </w:r>
      <w:r>
        <w:rPr>
          <w:spacing w:val="-13"/>
          <w:w w:val="105"/>
          <w:sz w:val="19"/>
        </w:rPr>
        <w:t> </w:t>
      </w:r>
      <w:r>
        <w:rPr>
          <w:w w:val="105"/>
          <w:sz w:val="19"/>
        </w:rPr>
        <w:t>en</w:t>
      </w:r>
      <w:r>
        <w:rPr>
          <w:spacing w:val="-10"/>
          <w:w w:val="105"/>
          <w:sz w:val="19"/>
        </w:rPr>
        <w:t> </w:t>
      </w:r>
      <w:r>
        <w:rPr>
          <w:w w:val="105"/>
          <w:sz w:val="19"/>
        </w:rPr>
        <w:t>dise- ñar sus políticas teniendo en cuenta amplios intereses </w:t>
      </w:r>
      <w:r>
        <w:rPr>
          <w:spacing w:val="2"/>
          <w:w w:val="105"/>
          <w:sz w:val="19"/>
        </w:rPr>
        <w:t>de </w:t>
      </w:r>
      <w:r>
        <w:rPr>
          <w:w w:val="105"/>
          <w:sz w:val="19"/>
        </w:rPr>
        <w:t>la sociedad. En otros contextos institucionales,</w:t>
      </w:r>
      <w:r>
        <w:rPr>
          <w:spacing w:val="-15"/>
          <w:w w:val="105"/>
          <w:sz w:val="19"/>
        </w:rPr>
        <w:t> </w:t>
      </w:r>
      <w:r>
        <w:rPr>
          <w:w w:val="105"/>
          <w:sz w:val="19"/>
        </w:rPr>
        <w:t>los</w:t>
      </w:r>
      <w:r>
        <w:rPr>
          <w:spacing w:val="-12"/>
          <w:w w:val="105"/>
          <w:sz w:val="19"/>
        </w:rPr>
        <w:t> </w:t>
      </w:r>
      <w:r>
        <w:rPr>
          <w:w w:val="105"/>
          <w:sz w:val="19"/>
        </w:rPr>
        <w:t>presidentes</w:t>
      </w:r>
      <w:r>
        <w:rPr>
          <w:spacing w:val="-12"/>
          <w:w w:val="105"/>
          <w:sz w:val="19"/>
        </w:rPr>
        <w:t> </w:t>
      </w:r>
      <w:r>
        <w:rPr>
          <w:w w:val="105"/>
          <w:sz w:val="19"/>
        </w:rPr>
        <w:t>tienen</w:t>
      </w:r>
      <w:r>
        <w:rPr>
          <w:spacing w:val="-10"/>
          <w:w w:val="105"/>
          <w:sz w:val="19"/>
        </w:rPr>
        <w:t> </w:t>
      </w:r>
      <w:r>
        <w:rPr>
          <w:w w:val="105"/>
          <w:sz w:val="19"/>
        </w:rPr>
        <w:t>incentivos</w:t>
      </w:r>
      <w:r>
        <w:rPr>
          <w:spacing w:val="-12"/>
          <w:w w:val="105"/>
          <w:sz w:val="19"/>
        </w:rPr>
        <w:t> </w:t>
      </w:r>
      <w:r>
        <w:rPr>
          <w:w w:val="105"/>
          <w:sz w:val="19"/>
        </w:rPr>
        <w:t>“mixtos”</w:t>
      </w:r>
      <w:r>
        <w:rPr>
          <w:spacing w:val="-12"/>
          <w:w w:val="105"/>
          <w:sz w:val="19"/>
        </w:rPr>
        <w:t> </w:t>
      </w:r>
      <w:r>
        <w:rPr>
          <w:w w:val="105"/>
          <w:sz w:val="19"/>
        </w:rPr>
        <w:t>y</w:t>
      </w:r>
      <w:r>
        <w:rPr>
          <w:spacing w:val="-15"/>
          <w:w w:val="105"/>
          <w:sz w:val="19"/>
        </w:rPr>
        <w:t> </w:t>
      </w:r>
      <w:r>
        <w:rPr>
          <w:w w:val="105"/>
          <w:sz w:val="19"/>
        </w:rPr>
        <w:t>están</w:t>
      </w:r>
      <w:r>
        <w:rPr>
          <w:spacing w:val="-12"/>
          <w:w w:val="105"/>
          <w:sz w:val="19"/>
        </w:rPr>
        <w:t> </w:t>
      </w:r>
      <w:r>
        <w:rPr>
          <w:w w:val="105"/>
          <w:sz w:val="19"/>
        </w:rPr>
        <w:t>manejados</w:t>
      </w:r>
      <w:r>
        <w:rPr>
          <w:spacing w:val="-16"/>
          <w:w w:val="105"/>
          <w:sz w:val="19"/>
        </w:rPr>
        <w:t> </w:t>
      </w:r>
      <w:r>
        <w:rPr>
          <w:w w:val="105"/>
          <w:sz w:val="19"/>
        </w:rPr>
        <w:t>por</w:t>
      </w:r>
      <w:r>
        <w:rPr>
          <w:spacing w:val="-16"/>
          <w:w w:val="105"/>
          <w:sz w:val="19"/>
        </w:rPr>
        <w:t> </w:t>
      </w:r>
      <w:r>
        <w:rPr>
          <w:w w:val="105"/>
          <w:sz w:val="19"/>
        </w:rPr>
        <w:t>metas</w:t>
      </w:r>
      <w:r>
        <w:rPr>
          <w:spacing w:val="-12"/>
          <w:w w:val="105"/>
          <w:sz w:val="19"/>
        </w:rPr>
        <w:t> </w:t>
      </w:r>
      <w:r>
        <w:rPr>
          <w:w w:val="105"/>
          <w:sz w:val="19"/>
        </w:rPr>
        <w:t>personales y políticas que pueden interferir con la finalidad </w:t>
      </w:r>
      <w:r>
        <w:rPr>
          <w:spacing w:val="-3"/>
          <w:w w:val="105"/>
          <w:sz w:val="19"/>
        </w:rPr>
        <w:t>de servir </w:t>
      </w:r>
      <w:r>
        <w:rPr>
          <w:spacing w:val="2"/>
          <w:w w:val="105"/>
          <w:sz w:val="19"/>
        </w:rPr>
        <w:t>al </w:t>
      </w:r>
      <w:r>
        <w:rPr>
          <w:w w:val="105"/>
          <w:sz w:val="19"/>
        </w:rPr>
        <w:t>interés público general. Mientras las diferencias</w:t>
      </w:r>
      <w:r>
        <w:rPr>
          <w:spacing w:val="-5"/>
          <w:w w:val="105"/>
          <w:sz w:val="19"/>
        </w:rPr>
        <w:t> </w:t>
      </w:r>
      <w:r>
        <w:rPr>
          <w:w w:val="105"/>
          <w:sz w:val="19"/>
        </w:rPr>
        <w:t>en</w:t>
      </w:r>
      <w:r>
        <w:rPr>
          <w:spacing w:val="-5"/>
          <w:w w:val="105"/>
          <w:sz w:val="19"/>
        </w:rPr>
        <w:t> </w:t>
      </w:r>
      <w:r>
        <w:rPr>
          <w:w w:val="105"/>
          <w:sz w:val="19"/>
        </w:rPr>
        <w:t>los</w:t>
      </w:r>
      <w:r>
        <w:rPr>
          <w:spacing w:val="-5"/>
          <w:w w:val="105"/>
          <w:sz w:val="19"/>
        </w:rPr>
        <w:t> </w:t>
      </w:r>
      <w:r>
        <w:rPr>
          <w:w w:val="105"/>
          <w:sz w:val="19"/>
        </w:rPr>
        <w:t>incentivos</w:t>
      </w:r>
      <w:r>
        <w:rPr>
          <w:spacing w:val="-5"/>
          <w:w w:val="105"/>
          <w:sz w:val="19"/>
        </w:rPr>
        <w:t> </w:t>
      </w:r>
      <w:r>
        <w:rPr>
          <w:w w:val="105"/>
          <w:sz w:val="19"/>
        </w:rPr>
        <w:t>se</w:t>
      </w:r>
      <w:r>
        <w:rPr>
          <w:spacing w:val="-5"/>
          <w:w w:val="105"/>
          <w:sz w:val="19"/>
        </w:rPr>
        <w:t> </w:t>
      </w:r>
      <w:r>
        <w:rPr>
          <w:w w:val="105"/>
          <w:sz w:val="19"/>
        </w:rPr>
        <w:t>explican</w:t>
      </w:r>
      <w:r>
        <w:rPr>
          <w:spacing w:val="-5"/>
          <w:w w:val="105"/>
          <w:sz w:val="19"/>
        </w:rPr>
        <w:t> </w:t>
      </w:r>
      <w:r>
        <w:rPr>
          <w:w w:val="105"/>
          <w:sz w:val="19"/>
        </w:rPr>
        <w:t>en</w:t>
      </w:r>
      <w:r>
        <w:rPr>
          <w:spacing w:val="1"/>
          <w:w w:val="105"/>
          <w:sz w:val="19"/>
        </w:rPr>
        <w:t> </w:t>
      </w:r>
      <w:r>
        <w:rPr>
          <w:spacing w:val="-4"/>
          <w:w w:val="105"/>
          <w:sz w:val="19"/>
        </w:rPr>
        <w:t>su</w:t>
      </w:r>
      <w:r>
        <w:rPr>
          <w:spacing w:val="-8"/>
          <w:w w:val="105"/>
          <w:sz w:val="19"/>
        </w:rPr>
        <w:t> </w:t>
      </w:r>
      <w:r>
        <w:rPr>
          <w:w w:val="105"/>
          <w:sz w:val="19"/>
        </w:rPr>
        <w:t>mayoría</w:t>
      </w:r>
      <w:r>
        <w:rPr>
          <w:spacing w:val="-5"/>
          <w:w w:val="105"/>
          <w:sz w:val="19"/>
        </w:rPr>
        <w:t> </w:t>
      </w:r>
      <w:r>
        <w:rPr>
          <w:w w:val="105"/>
          <w:sz w:val="19"/>
        </w:rPr>
        <w:t>por</w:t>
      </w:r>
      <w:r>
        <w:rPr>
          <w:spacing w:val="-5"/>
          <w:w w:val="105"/>
          <w:sz w:val="19"/>
        </w:rPr>
        <w:t> </w:t>
      </w:r>
      <w:r>
        <w:rPr>
          <w:w w:val="105"/>
          <w:sz w:val="19"/>
        </w:rPr>
        <w:t>las</w:t>
      </w:r>
      <w:r>
        <w:rPr>
          <w:spacing w:val="-5"/>
          <w:w w:val="105"/>
          <w:sz w:val="19"/>
        </w:rPr>
        <w:t> </w:t>
      </w:r>
      <w:r>
        <w:rPr>
          <w:w w:val="105"/>
          <w:sz w:val="19"/>
        </w:rPr>
        <w:t>reglas</w:t>
      </w:r>
      <w:r>
        <w:rPr>
          <w:spacing w:val="-9"/>
          <w:w w:val="105"/>
          <w:sz w:val="19"/>
        </w:rPr>
        <w:t> </w:t>
      </w:r>
      <w:r>
        <w:rPr>
          <w:w w:val="105"/>
          <w:sz w:val="19"/>
        </w:rPr>
        <w:t>electorales,</w:t>
      </w:r>
      <w:r>
        <w:rPr>
          <w:spacing w:val="-5"/>
          <w:w w:val="105"/>
          <w:sz w:val="19"/>
        </w:rPr>
        <w:t> </w:t>
      </w:r>
      <w:r>
        <w:rPr>
          <w:w w:val="105"/>
          <w:sz w:val="19"/>
        </w:rPr>
        <w:t>la</w:t>
      </w:r>
      <w:r>
        <w:rPr>
          <w:spacing w:val="-5"/>
          <w:w w:val="105"/>
          <w:sz w:val="19"/>
        </w:rPr>
        <w:t> </w:t>
      </w:r>
      <w:r>
        <w:rPr>
          <w:w w:val="105"/>
          <w:sz w:val="19"/>
        </w:rPr>
        <w:t>capacidad</w:t>
      </w:r>
      <w:r>
        <w:rPr>
          <w:spacing w:val="-5"/>
          <w:w w:val="105"/>
          <w:sz w:val="19"/>
        </w:rPr>
        <w:t> </w:t>
      </w:r>
      <w:r>
        <w:rPr>
          <w:w w:val="105"/>
          <w:sz w:val="19"/>
        </w:rPr>
        <w:t>de transformar las políticas depende de los poderes otorgados a los presidentes en relación con el poder</w:t>
      </w:r>
      <w:r>
        <w:rPr>
          <w:spacing w:val="-14"/>
          <w:w w:val="105"/>
          <w:sz w:val="19"/>
        </w:rPr>
        <w:t> </w:t>
      </w:r>
      <w:r>
        <w:rPr>
          <w:w w:val="105"/>
          <w:sz w:val="19"/>
        </w:rPr>
        <w:t>legislativo,</w:t>
      </w:r>
      <w:r>
        <w:rPr>
          <w:spacing w:val="-7"/>
          <w:w w:val="105"/>
          <w:sz w:val="19"/>
        </w:rPr>
        <w:t> </w:t>
      </w:r>
      <w:r>
        <w:rPr>
          <w:w w:val="105"/>
          <w:sz w:val="19"/>
        </w:rPr>
        <w:t>los</w:t>
      </w:r>
      <w:r>
        <w:rPr>
          <w:spacing w:val="-10"/>
          <w:w w:val="105"/>
          <w:sz w:val="19"/>
        </w:rPr>
        <w:t> </w:t>
      </w:r>
      <w:r>
        <w:rPr>
          <w:w w:val="105"/>
          <w:sz w:val="19"/>
        </w:rPr>
        <w:t>gobiernos</w:t>
      </w:r>
      <w:r>
        <w:rPr>
          <w:spacing w:val="-10"/>
          <w:w w:val="105"/>
          <w:sz w:val="19"/>
        </w:rPr>
        <w:t> </w:t>
      </w:r>
      <w:r>
        <w:rPr>
          <w:w w:val="105"/>
          <w:sz w:val="19"/>
        </w:rPr>
        <w:t>estatales</w:t>
      </w:r>
      <w:r>
        <w:rPr>
          <w:spacing w:val="-7"/>
          <w:w w:val="105"/>
          <w:sz w:val="19"/>
        </w:rPr>
        <w:t> </w:t>
      </w:r>
      <w:r>
        <w:rPr>
          <w:w w:val="105"/>
          <w:sz w:val="19"/>
        </w:rPr>
        <w:t>y</w:t>
      </w:r>
      <w:r>
        <w:rPr>
          <w:spacing w:val="-13"/>
          <w:w w:val="105"/>
          <w:sz w:val="19"/>
        </w:rPr>
        <w:t> </w:t>
      </w:r>
      <w:r>
        <w:rPr>
          <w:w w:val="105"/>
          <w:sz w:val="19"/>
        </w:rPr>
        <w:t>otros</w:t>
      </w:r>
      <w:r>
        <w:rPr>
          <w:spacing w:val="-12"/>
          <w:w w:val="105"/>
          <w:sz w:val="19"/>
        </w:rPr>
        <w:t> </w:t>
      </w:r>
      <w:r>
        <w:rPr>
          <w:w w:val="105"/>
          <w:sz w:val="19"/>
        </w:rPr>
        <w:t>actores</w:t>
      </w:r>
      <w:r>
        <w:rPr>
          <w:spacing w:val="-10"/>
          <w:w w:val="105"/>
          <w:sz w:val="19"/>
        </w:rPr>
        <w:t> </w:t>
      </w:r>
      <w:r>
        <w:rPr>
          <w:w w:val="105"/>
          <w:sz w:val="19"/>
        </w:rPr>
        <w:t>sociales</w:t>
      </w:r>
      <w:r>
        <w:rPr>
          <w:spacing w:val="-10"/>
          <w:w w:val="105"/>
          <w:sz w:val="19"/>
        </w:rPr>
        <w:t> </w:t>
      </w:r>
      <w:r>
        <w:rPr>
          <w:w w:val="105"/>
          <w:sz w:val="19"/>
        </w:rPr>
        <w:t>significativamente</w:t>
      </w:r>
      <w:r>
        <w:rPr>
          <w:spacing w:val="-7"/>
          <w:w w:val="105"/>
          <w:sz w:val="19"/>
        </w:rPr>
        <w:t> </w:t>
      </w:r>
      <w:r>
        <w:rPr>
          <w:w w:val="105"/>
          <w:sz w:val="19"/>
        </w:rPr>
        <w:t>influyentes</w:t>
      </w:r>
      <w:r>
        <w:rPr>
          <w:spacing w:val="-10"/>
          <w:w w:val="105"/>
          <w:sz w:val="19"/>
        </w:rPr>
        <w:t> </w:t>
      </w:r>
      <w:r>
        <w:rPr>
          <w:w w:val="105"/>
          <w:sz w:val="19"/>
        </w:rPr>
        <w:t>en</w:t>
      </w:r>
    </w:p>
    <w:p>
      <w:pPr>
        <w:spacing w:after="0" w:line="247" w:lineRule="auto"/>
        <w:jc w:val="both"/>
        <w:rPr>
          <w:sz w:val="19"/>
        </w:rPr>
        <w:sectPr>
          <w:footerReference w:type="default" r:id="rId26"/>
          <w:pgSz w:w="11910" w:h="16840"/>
          <w:pgMar w:footer="2060" w:header="0" w:top="1580" w:bottom="2240" w:left="1540" w:right="1540"/>
          <w:pgNumType w:start="91"/>
        </w:sectPr>
      </w:pPr>
    </w:p>
    <w:p>
      <w:pPr>
        <w:pStyle w:val="BodyText"/>
        <w:rPr>
          <w:sz w:val="20"/>
        </w:rPr>
      </w:pPr>
    </w:p>
    <w:p>
      <w:pPr>
        <w:pStyle w:val="BodyText"/>
        <w:spacing w:before="2"/>
        <w:rPr>
          <w:sz w:val="16"/>
        </w:rPr>
      </w:pPr>
    </w:p>
    <w:p>
      <w:pPr>
        <w:pStyle w:val="BodyText"/>
        <w:spacing w:line="364" w:lineRule="auto" w:before="74"/>
        <w:ind w:left="116" w:right="108" w:firstLine="686"/>
        <w:jc w:val="both"/>
      </w:pPr>
      <w:r>
        <w:rPr/>
        <w:t>Si los poderes legislativos del presidente son importantes, las  políticas  serán más cercanas a las preferencias de la rama ejecutiva. Por ejemplo, </w:t>
      </w:r>
      <w:r>
        <w:rPr>
          <w:spacing w:val="2"/>
        </w:rPr>
        <w:t>el </w:t>
      </w:r>
      <w:r>
        <w:rPr/>
        <w:t>presidente puede conseguir políticas afines a sus intereses y disminuir así </w:t>
      </w:r>
      <w:r>
        <w:rPr>
          <w:spacing w:val="-4"/>
        </w:rPr>
        <w:t>la </w:t>
      </w:r>
      <w:r>
        <w:rPr/>
        <w:t>injerencia del legislativo mediante el uso o amenazas de uso de su poder de veto, aprobando decretos, y mediante el uso de sus prerrogativas para consultar a </w:t>
      </w:r>
      <w:r>
        <w:rPr>
          <w:spacing w:val="-3"/>
        </w:rPr>
        <w:t>la </w:t>
      </w:r>
      <w:r>
        <w:rPr/>
        <w:t>ciudadanía a través de referendos en los casos en que asegurarse el  apoyo popular puede beneficiarlo (Mueller,</w:t>
      </w:r>
      <w:r>
        <w:rPr>
          <w:spacing w:val="43"/>
        </w:rPr>
        <w:t> </w:t>
      </w:r>
      <w:r>
        <w:rPr/>
        <w:t>1996).</w:t>
      </w:r>
    </w:p>
    <w:p>
      <w:pPr>
        <w:pStyle w:val="BodyText"/>
        <w:spacing w:line="364" w:lineRule="auto" w:before="5"/>
        <w:ind w:left="116" w:right="105" w:firstLine="686"/>
        <w:jc w:val="both"/>
      </w:pPr>
      <w:r>
        <w:rPr/>
        <w:t>Los poderes </w:t>
      </w:r>
      <w:r>
        <w:rPr>
          <w:i/>
        </w:rPr>
        <w:t>no legislativos </w:t>
      </w:r>
      <w:r>
        <w:rPr/>
        <w:t>del presidente incluyen el poder de nominar, nombrar y despedir funcionarios del gobierno, como ministros y jueces. Dichas reglas determinan su habilidad de manejar ciertas áreas del gobierno, particularmente de los funcionarios bajo su área de incumbencia en el ejecutivo.  Sus poderes </w:t>
      </w:r>
      <w:r>
        <w:rPr>
          <w:spacing w:val="2"/>
        </w:rPr>
        <w:t>no </w:t>
      </w:r>
      <w:r>
        <w:rPr/>
        <w:t>legislativos  afectan también </w:t>
      </w:r>
      <w:r>
        <w:rPr>
          <w:spacing w:val="5"/>
        </w:rPr>
        <w:t>su </w:t>
      </w:r>
      <w:r>
        <w:rPr/>
        <w:t>relación, su grado de influencia y  su habilidad de llevar adelante intercambios con las </w:t>
      </w:r>
      <w:r>
        <w:rPr>
          <w:spacing w:val="-3"/>
        </w:rPr>
        <w:t>otras </w:t>
      </w:r>
      <w:r>
        <w:rPr/>
        <w:t>ramas del </w:t>
      </w:r>
      <w:r>
        <w:rPr>
          <w:spacing w:val="30"/>
        </w:rPr>
        <w:t> </w:t>
      </w:r>
      <w:r>
        <w:rPr/>
        <w:t>gobierno.</w:t>
      </w:r>
    </w:p>
    <w:p>
      <w:pPr>
        <w:pStyle w:val="BodyText"/>
        <w:spacing w:line="364" w:lineRule="auto" w:before="10"/>
        <w:ind w:left="116" w:right="107" w:firstLine="686"/>
        <w:jc w:val="both"/>
      </w:pPr>
      <w:r>
        <w:rPr/>
        <w:t>Los </w:t>
      </w:r>
      <w:r>
        <w:rPr>
          <w:i/>
        </w:rPr>
        <w:t>poderes partidistas </w:t>
      </w:r>
      <w:r>
        <w:rPr/>
        <w:t>se  relacionan con el grado de apoyo al presidente  en el Congreso. Las medidas estándares son el tamaño del contingente legislativo del presidente y </w:t>
      </w:r>
      <w:r>
        <w:rPr>
          <w:spacing w:val="4"/>
        </w:rPr>
        <w:t>el </w:t>
      </w:r>
      <w:r>
        <w:rPr/>
        <w:t>grado de disciplina del partido  (Mainwaring y Shugart, 1997).  Los partidos dominantes capaces de mantenerse alineados (en sistemas presidenciales, presidentes y legislaturas del mismo partido, especialmente </w:t>
      </w:r>
      <w:r>
        <w:rPr>
          <w:spacing w:val="2"/>
        </w:rPr>
        <w:t>si </w:t>
      </w:r>
      <w:r>
        <w:rPr/>
        <w:t>el partido es el “centralizado”) tienen </w:t>
      </w:r>
      <w:r>
        <w:rPr>
          <w:spacing w:val="-4"/>
        </w:rPr>
        <w:t>la </w:t>
      </w:r>
      <w:r>
        <w:rPr/>
        <w:t>mayor capacidad para asegurar el apoyo legislativo para sus programas. Los gobiernos de coalición salen peor  posicionados,  y  los  sistemas  presidenciales  </w:t>
      </w:r>
      <w:r>
        <w:rPr>
          <w:spacing w:val="3"/>
        </w:rPr>
        <w:t>en  </w:t>
      </w:r>
      <w:r>
        <w:rPr/>
        <w:t>los  cuales  el  presidente  y   </w:t>
      </w:r>
      <w:r>
        <w:rPr>
          <w:spacing w:val="57"/>
        </w:rPr>
        <w:t> </w:t>
      </w:r>
      <w:r>
        <w:rPr>
          <w:spacing w:val="-5"/>
        </w:rPr>
        <w:t>la</w:t>
      </w:r>
    </w:p>
    <w:p>
      <w:pPr>
        <w:pStyle w:val="BodyText"/>
        <w:spacing w:line="326" w:lineRule="auto" w:before="10"/>
        <w:ind w:left="116" w:right="191"/>
        <w:rPr>
          <w:sz w:val="15"/>
        </w:rPr>
      </w:pPr>
      <w:r>
        <w:rPr/>
        <w:t>legislatura representan a diferentes partidos tienen el mayor grado de dificultad  para avanzar en su agenda</w:t>
      </w:r>
      <w:r>
        <w:rPr>
          <w:spacing w:val="36"/>
        </w:rPr>
        <w:t> </w:t>
      </w:r>
      <w:r>
        <w:rPr/>
        <w:t>legislativa.</w:t>
      </w:r>
      <w:r>
        <w:rPr>
          <w:position w:val="11"/>
          <w:sz w:val="15"/>
        </w:rPr>
        <w:t>13</w:t>
      </w:r>
    </w:p>
    <w:p>
      <w:pPr>
        <w:pStyle w:val="BodyText"/>
        <w:rPr>
          <w:sz w:val="20"/>
        </w:rPr>
      </w:pPr>
    </w:p>
    <w:p>
      <w:pPr>
        <w:pStyle w:val="BodyText"/>
        <w:rPr>
          <w:sz w:val="20"/>
        </w:rPr>
      </w:pPr>
    </w:p>
    <w:p>
      <w:pPr>
        <w:pStyle w:val="BodyText"/>
        <w:rPr>
          <w:sz w:val="20"/>
        </w:rPr>
      </w:pPr>
    </w:p>
    <w:p>
      <w:pPr>
        <w:pStyle w:val="BodyText"/>
        <w:spacing w:before="9"/>
        <w:rPr>
          <w:sz w:val="25"/>
        </w:rPr>
      </w:pPr>
      <w:r>
        <w:rPr/>
        <w:pict>
          <v:line style="position:absolute;mso-position-horizontal-relative:page;mso-position-vertical-relative:paragraph;z-index:1288;mso-wrap-distance-left:0;mso-wrap-distance-right:0" from="82.799004pt,17.170353pt" to="222.958004pt,17.170353pt" stroked="true" strokeweight=".72pt" strokecolor="#000000">
            <w10:wrap type="topAndBottom"/>
          </v:line>
        </w:pict>
      </w:r>
    </w:p>
    <w:p>
      <w:pPr>
        <w:pStyle w:val="ListParagraph"/>
        <w:numPr>
          <w:ilvl w:val="0"/>
          <w:numId w:val="10"/>
        </w:numPr>
        <w:tabs>
          <w:tab w:pos="380" w:val="left" w:leader="none"/>
        </w:tabs>
        <w:spacing w:line="247" w:lineRule="auto" w:before="41" w:after="0"/>
        <w:ind w:left="116" w:right="104" w:firstLine="0"/>
        <w:jc w:val="both"/>
        <w:rPr>
          <w:sz w:val="19"/>
        </w:rPr>
      </w:pPr>
      <w:r>
        <w:rPr>
          <w:w w:val="105"/>
          <w:sz w:val="19"/>
        </w:rPr>
        <w:t>No siempre los presidentes de gobiernos minoritarios se </w:t>
      </w:r>
      <w:r>
        <w:rPr>
          <w:spacing w:val="-3"/>
          <w:w w:val="105"/>
          <w:sz w:val="19"/>
        </w:rPr>
        <w:t>ven </w:t>
      </w:r>
      <w:r>
        <w:rPr>
          <w:w w:val="105"/>
          <w:sz w:val="19"/>
        </w:rPr>
        <w:t>destinados al fracaso. Algunas veces</w:t>
      </w:r>
      <w:r>
        <w:rPr>
          <w:spacing w:val="-16"/>
          <w:w w:val="105"/>
          <w:sz w:val="19"/>
        </w:rPr>
        <w:t> </w:t>
      </w:r>
      <w:r>
        <w:rPr>
          <w:w w:val="105"/>
          <w:sz w:val="19"/>
        </w:rPr>
        <w:t>pueden</w:t>
      </w:r>
      <w:r>
        <w:rPr>
          <w:spacing w:val="-16"/>
          <w:w w:val="105"/>
          <w:sz w:val="19"/>
        </w:rPr>
        <w:t> </w:t>
      </w:r>
      <w:r>
        <w:rPr>
          <w:w w:val="105"/>
          <w:sz w:val="19"/>
        </w:rPr>
        <w:t>eludir</w:t>
      </w:r>
      <w:r>
        <w:rPr>
          <w:spacing w:val="-16"/>
          <w:w w:val="105"/>
          <w:sz w:val="19"/>
        </w:rPr>
        <w:t> </w:t>
      </w:r>
      <w:r>
        <w:rPr>
          <w:w w:val="105"/>
          <w:sz w:val="19"/>
        </w:rPr>
        <w:t>la</w:t>
      </w:r>
      <w:r>
        <w:rPr>
          <w:spacing w:val="-13"/>
          <w:w w:val="105"/>
          <w:sz w:val="19"/>
        </w:rPr>
        <w:t> </w:t>
      </w:r>
      <w:r>
        <w:rPr>
          <w:w w:val="105"/>
          <w:sz w:val="19"/>
        </w:rPr>
        <w:t>oposición</w:t>
      </w:r>
      <w:r>
        <w:rPr>
          <w:spacing w:val="-13"/>
          <w:w w:val="105"/>
          <w:sz w:val="19"/>
        </w:rPr>
        <w:t> </w:t>
      </w:r>
      <w:r>
        <w:rPr>
          <w:w w:val="105"/>
          <w:sz w:val="19"/>
        </w:rPr>
        <w:t>potencial</w:t>
      </w:r>
      <w:r>
        <w:rPr>
          <w:spacing w:val="-16"/>
          <w:w w:val="105"/>
          <w:sz w:val="19"/>
        </w:rPr>
        <w:t> </w:t>
      </w:r>
      <w:r>
        <w:rPr>
          <w:spacing w:val="2"/>
          <w:w w:val="105"/>
          <w:sz w:val="19"/>
        </w:rPr>
        <w:t>en</w:t>
      </w:r>
      <w:r>
        <w:rPr>
          <w:spacing w:val="-16"/>
          <w:w w:val="105"/>
          <w:sz w:val="19"/>
        </w:rPr>
        <w:t> </w:t>
      </w:r>
      <w:r>
        <w:rPr>
          <w:w w:val="105"/>
          <w:sz w:val="19"/>
        </w:rPr>
        <w:t>la</w:t>
      </w:r>
      <w:r>
        <w:rPr>
          <w:spacing w:val="-16"/>
          <w:w w:val="105"/>
          <w:sz w:val="19"/>
        </w:rPr>
        <w:t> </w:t>
      </w:r>
      <w:r>
        <w:rPr>
          <w:w w:val="105"/>
          <w:sz w:val="19"/>
        </w:rPr>
        <w:t>legislatura</w:t>
      </w:r>
      <w:r>
        <w:rPr>
          <w:spacing w:val="-16"/>
          <w:w w:val="105"/>
          <w:sz w:val="19"/>
        </w:rPr>
        <w:t> </w:t>
      </w:r>
      <w:r>
        <w:rPr>
          <w:w w:val="105"/>
          <w:sz w:val="19"/>
        </w:rPr>
        <w:t>haciendo</w:t>
      </w:r>
      <w:r>
        <w:rPr>
          <w:spacing w:val="-16"/>
          <w:w w:val="105"/>
          <w:sz w:val="19"/>
        </w:rPr>
        <w:t> </w:t>
      </w:r>
      <w:r>
        <w:rPr>
          <w:w w:val="105"/>
          <w:sz w:val="19"/>
        </w:rPr>
        <w:t>uso</w:t>
      </w:r>
      <w:r>
        <w:rPr>
          <w:spacing w:val="-16"/>
          <w:w w:val="105"/>
          <w:sz w:val="19"/>
        </w:rPr>
        <w:t> </w:t>
      </w:r>
      <w:r>
        <w:rPr>
          <w:spacing w:val="3"/>
          <w:w w:val="105"/>
          <w:sz w:val="19"/>
        </w:rPr>
        <w:t>de</w:t>
      </w:r>
      <w:r>
        <w:rPr>
          <w:spacing w:val="-16"/>
          <w:w w:val="105"/>
          <w:sz w:val="19"/>
        </w:rPr>
        <w:t> </w:t>
      </w:r>
      <w:r>
        <w:rPr>
          <w:spacing w:val="-3"/>
          <w:w w:val="105"/>
          <w:sz w:val="19"/>
        </w:rPr>
        <w:t>la</w:t>
      </w:r>
      <w:r>
        <w:rPr>
          <w:spacing w:val="-13"/>
          <w:w w:val="105"/>
          <w:sz w:val="19"/>
        </w:rPr>
        <w:t> </w:t>
      </w:r>
      <w:r>
        <w:rPr>
          <w:w w:val="105"/>
          <w:sz w:val="19"/>
        </w:rPr>
        <w:t>legitimidad</w:t>
      </w:r>
      <w:r>
        <w:rPr>
          <w:spacing w:val="-16"/>
          <w:w w:val="105"/>
          <w:sz w:val="19"/>
        </w:rPr>
        <w:t> </w:t>
      </w:r>
      <w:r>
        <w:rPr>
          <w:w w:val="105"/>
          <w:sz w:val="19"/>
        </w:rPr>
        <w:t>otorgada por un fuerte apoyo popular. </w:t>
      </w:r>
      <w:r>
        <w:rPr>
          <w:spacing w:val="-4"/>
          <w:w w:val="105"/>
          <w:sz w:val="19"/>
        </w:rPr>
        <w:t>En </w:t>
      </w:r>
      <w:r>
        <w:rPr>
          <w:w w:val="105"/>
          <w:sz w:val="19"/>
        </w:rPr>
        <w:t>cierta medida, </w:t>
      </w:r>
      <w:r>
        <w:rPr>
          <w:spacing w:val="2"/>
          <w:w w:val="105"/>
          <w:sz w:val="19"/>
        </w:rPr>
        <w:t>el </w:t>
      </w:r>
      <w:r>
        <w:rPr>
          <w:w w:val="105"/>
          <w:sz w:val="19"/>
        </w:rPr>
        <w:t>grado </w:t>
      </w:r>
      <w:r>
        <w:rPr>
          <w:spacing w:val="2"/>
          <w:w w:val="105"/>
          <w:sz w:val="19"/>
        </w:rPr>
        <w:t>de </w:t>
      </w:r>
      <w:r>
        <w:rPr>
          <w:w w:val="105"/>
          <w:sz w:val="19"/>
        </w:rPr>
        <w:t>apoyo y legitimidad depende del sistema electoral que regula la elección de los presidentes, el sistema electoral que regula la elección</w:t>
      </w:r>
      <w:r>
        <w:rPr>
          <w:spacing w:val="-10"/>
          <w:w w:val="105"/>
          <w:sz w:val="19"/>
        </w:rPr>
        <w:t> </w:t>
      </w:r>
      <w:r>
        <w:rPr>
          <w:w w:val="105"/>
          <w:sz w:val="19"/>
        </w:rPr>
        <w:t>de</w:t>
      </w:r>
      <w:r>
        <w:rPr>
          <w:spacing w:val="-10"/>
          <w:w w:val="105"/>
          <w:sz w:val="19"/>
        </w:rPr>
        <w:t> </w:t>
      </w:r>
      <w:r>
        <w:rPr>
          <w:w w:val="105"/>
          <w:sz w:val="19"/>
        </w:rPr>
        <w:t>los</w:t>
      </w:r>
      <w:r>
        <w:rPr>
          <w:spacing w:val="-10"/>
          <w:w w:val="105"/>
          <w:sz w:val="19"/>
        </w:rPr>
        <w:t> </w:t>
      </w:r>
      <w:r>
        <w:rPr>
          <w:w w:val="105"/>
          <w:sz w:val="19"/>
        </w:rPr>
        <w:t>legisladores</w:t>
      </w:r>
      <w:r>
        <w:rPr>
          <w:spacing w:val="-5"/>
          <w:w w:val="105"/>
          <w:sz w:val="19"/>
        </w:rPr>
        <w:t> </w:t>
      </w:r>
      <w:r>
        <w:rPr>
          <w:w w:val="105"/>
          <w:sz w:val="19"/>
        </w:rPr>
        <w:t>y</w:t>
      </w:r>
      <w:r>
        <w:rPr>
          <w:spacing w:val="-10"/>
          <w:w w:val="105"/>
          <w:sz w:val="19"/>
        </w:rPr>
        <w:t> </w:t>
      </w:r>
      <w:r>
        <w:rPr>
          <w:spacing w:val="-4"/>
          <w:w w:val="105"/>
          <w:sz w:val="19"/>
        </w:rPr>
        <w:t>el</w:t>
      </w:r>
      <w:r>
        <w:rPr>
          <w:spacing w:val="-10"/>
          <w:w w:val="105"/>
          <w:sz w:val="19"/>
        </w:rPr>
        <w:t> </w:t>
      </w:r>
      <w:r>
        <w:rPr>
          <w:w w:val="105"/>
          <w:sz w:val="19"/>
        </w:rPr>
        <w:t>grado</w:t>
      </w:r>
      <w:r>
        <w:rPr>
          <w:spacing w:val="-10"/>
          <w:w w:val="105"/>
          <w:sz w:val="19"/>
        </w:rPr>
        <w:t> </w:t>
      </w:r>
      <w:r>
        <w:rPr>
          <w:w w:val="105"/>
          <w:sz w:val="19"/>
        </w:rPr>
        <w:t>de</w:t>
      </w:r>
      <w:r>
        <w:rPr>
          <w:spacing w:val="-10"/>
          <w:w w:val="105"/>
          <w:sz w:val="19"/>
        </w:rPr>
        <w:t> </w:t>
      </w:r>
      <w:r>
        <w:rPr>
          <w:w w:val="105"/>
          <w:sz w:val="19"/>
        </w:rPr>
        <w:t>concurrencia</w:t>
      </w:r>
      <w:r>
        <w:rPr>
          <w:spacing w:val="-10"/>
          <w:w w:val="105"/>
          <w:sz w:val="19"/>
        </w:rPr>
        <w:t> </w:t>
      </w:r>
      <w:r>
        <w:rPr>
          <w:w w:val="105"/>
          <w:sz w:val="19"/>
        </w:rPr>
        <w:t>de</w:t>
      </w:r>
      <w:r>
        <w:rPr>
          <w:spacing w:val="-6"/>
          <w:w w:val="105"/>
          <w:sz w:val="19"/>
        </w:rPr>
        <w:t> </w:t>
      </w:r>
      <w:r>
        <w:rPr>
          <w:w w:val="105"/>
          <w:sz w:val="19"/>
        </w:rPr>
        <w:t>sus</w:t>
      </w:r>
      <w:r>
        <w:rPr>
          <w:spacing w:val="-10"/>
          <w:w w:val="105"/>
          <w:sz w:val="19"/>
        </w:rPr>
        <w:t> </w:t>
      </w:r>
      <w:r>
        <w:rPr>
          <w:w w:val="105"/>
          <w:sz w:val="19"/>
        </w:rPr>
        <w:t>elecciones.</w:t>
      </w:r>
      <w:r>
        <w:rPr>
          <w:spacing w:val="-16"/>
          <w:w w:val="105"/>
          <w:sz w:val="19"/>
        </w:rPr>
        <w:t> </w:t>
      </w:r>
      <w:r>
        <w:rPr>
          <w:w w:val="105"/>
          <w:sz w:val="19"/>
        </w:rPr>
        <w:t>Los</w:t>
      </w:r>
      <w:r>
        <w:rPr>
          <w:spacing w:val="-10"/>
          <w:w w:val="105"/>
          <w:sz w:val="19"/>
        </w:rPr>
        <w:t> </w:t>
      </w:r>
      <w:r>
        <w:rPr>
          <w:w w:val="105"/>
          <w:sz w:val="19"/>
        </w:rPr>
        <w:t>presidentes</w:t>
      </w:r>
      <w:r>
        <w:rPr>
          <w:spacing w:val="-10"/>
          <w:w w:val="105"/>
          <w:sz w:val="19"/>
        </w:rPr>
        <w:t> </w:t>
      </w:r>
      <w:r>
        <w:rPr>
          <w:spacing w:val="-3"/>
          <w:w w:val="105"/>
          <w:sz w:val="19"/>
        </w:rPr>
        <w:t>pueden </w:t>
      </w:r>
      <w:r>
        <w:rPr>
          <w:w w:val="105"/>
          <w:sz w:val="19"/>
        </w:rPr>
        <w:t>ser</w:t>
      </w:r>
      <w:r>
        <w:rPr>
          <w:spacing w:val="-7"/>
          <w:w w:val="105"/>
          <w:sz w:val="19"/>
        </w:rPr>
        <w:t> </w:t>
      </w:r>
      <w:r>
        <w:rPr>
          <w:w w:val="105"/>
          <w:sz w:val="19"/>
        </w:rPr>
        <w:t>elegidos</w:t>
      </w:r>
      <w:r>
        <w:rPr>
          <w:spacing w:val="-7"/>
          <w:w w:val="105"/>
          <w:sz w:val="19"/>
        </w:rPr>
        <w:t> </w:t>
      </w:r>
      <w:r>
        <w:rPr>
          <w:w w:val="105"/>
          <w:sz w:val="19"/>
        </w:rPr>
        <w:t>directamente</w:t>
      </w:r>
      <w:r>
        <w:rPr>
          <w:spacing w:val="-7"/>
          <w:w w:val="105"/>
          <w:sz w:val="19"/>
        </w:rPr>
        <w:t> </w:t>
      </w:r>
      <w:r>
        <w:rPr>
          <w:w w:val="105"/>
          <w:sz w:val="19"/>
        </w:rPr>
        <w:t>a</w:t>
      </w:r>
      <w:r>
        <w:rPr>
          <w:spacing w:val="-7"/>
          <w:w w:val="105"/>
          <w:sz w:val="19"/>
        </w:rPr>
        <w:t> </w:t>
      </w:r>
      <w:r>
        <w:rPr>
          <w:w w:val="105"/>
          <w:sz w:val="19"/>
        </w:rPr>
        <w:t>través</w:t>
      </w:r>
      <w:r>
        <w:rPr>
          <w:spacing w:val="-7"/>
          <w:w w:val="105"/>
          <w:sz w:val="19"/>
        </w:rPr>
        <w:t> </w:t>
      </w:r>
      <w:r>
        <w:rPr>
          <w:w w:val="105"/>
          <w:sz w:val="19"/>
        </w:rPr>
        <w:t>de</w:t>
      </w:r>
      <w:r>
        <w:rPr>
          <w:spacing w:val="-4"/>
          <w:w w:val="105"/>
          <w:sz w:val="19"/>
        </w:rPr>
        <w:t> </w:t>
      </w:r>
      <w:r>
        <w:rPr>
          <w:w w:val="105"/>
          <w:sz w:val="19"/>
        </w:rPr>
        <w:t>sistemas</w:t>
      </w:r>
      <w:r>
        <w:rPr>
          <w:spacing w:val="-7"/>
          <w:w w:val="105"/>
          <w:sz w:val="19"/>
        </w:rPr>
        <w:t> </w:t>
      </w:r>
      <w:r>
        <w:rPr>
          <w:w w:val="105"/>
          <w:sz w:val="19"/>
        </w:rPr>
        <w:t>electorales</w:t>
      </w:r>
      <w:r>
        <w:rPr>
          <w:spacing w:val="-7"/>
          <w:w w:val="105"/>
          <w:sz w:val="19"/>
        </w:rPr>
        <w:t> </w:t>
      </w:r>
      <w:r>
        <w:rPr>
          <w:w w:val="105"/>
          <w:sz w:val="19"/>
        </w:rPr>
        <w:t>de</w:t>
      </w:r>
      <w:r>
        <w:rPr>
          <w:spacing w:val="-4"/>
          <w:w w:val="105"/>
          <w:sz w:val="19"/>
        </w:rPr>
        <w:t> </w:t>
      </w:r>
      <w:r>
        <w:rPr>
          <w:w w:val="105"/>
          <w:sz w:val="19"/>
        </w:rPr>
        <w:t>pluralidad</w:t>
      </w:r>
      <w:r>
        <w:rPr>
          <w:spacing w:val="-4"/>
          <w:w w:val="105"/>
          <w:sz w:val="19"/>
        </w:rPr>
        <w:t> </w:t>
      </w:r>
      <w:r>
        <w:rPr>
          <w:w w:val="105"/>
          <w:sz w:val="19"/>
        </w:rPr>
        <w:t>o</w:t>
      </w:r>
      <w:r>
        <w:rPr>
          <w:spacing w:val="-7"/>
          <w:w w:val="105"/>
          <w:sz w:val="19"/>
        </w:rPr>
        <w:t> </w:t>
      </w:r>
      <w:r>
        <w:rPr>
          <w:w w:val="105"/>
          <w:sz w:val="19"/>
        </w:rPr>
        <w:t>mediante</w:t>
      </w:r>
      <w:r>
        <w:rPr>
          <w:spacing w:val="-4"/>
          <w:w w:val="105"/>
          <w:sz w:val="19"/>
        </w:rPr>
        <w:t> </w:t>
      </w:r>
      <w:r>
        <w:rPr>
          <w:w w:val="105"/>
          <w:sz w:val="19"/>
        </w:rPr>
        <w:t>una</w:t>
      </w:r>
      <w:r>
        <w:rPr>
          <w:spacing w:val="-4"/>
          <w:w w:val="105"/>
          <w:sz w:val="19"/>
        </w:rPr>
        <w:t> </w:t>
      </w:r>
      <w:r>
        <w:rPr>
          <w:w w:val="105"/>
          <w:sz w:val="19"/>
        </w:rPr>
        <w:t>segunda vuelta electoral, o indirectamente por medio de un colegio electoral o por decisión legislativa un mecanismo</w:t>
      </w:r>
      <w:r>
        <w:rPr>
          <w:spacing w:val="-22"/>
          <w:w w:val="105"/>
          <w:sz w:val="19"/>
        </w:rPr>
        <w:t> </w:t>
      </w:r>
      <w:r>
        <w:rPr>
          <w:w w:val="105"/>
          <w:sz w:val="19"/>
        </w:rPr>
        <w:t>de</w:t>
      </w:r>
      <w:r>
        <w:rPr>
          <w:spacing w:val="-17"/>
          <w:w w:val="105"/>
          <w:sz w:val="19"/>
        </w:rPr>
        <w:t> </w:t>
      </w:r>
      <w:r>
        <w:rPr>
          <w:w w:val="105"/>
          <w:sz w:val="19"/>
        </w:rPr>
        <w:t>“segunda</w:t>
      </w:r>
      <w:r>
        <w:rPr>
          <w:spacing w:val="-17"/>
          <w:w w:val="105"/>
          <w:sz w:val="19"/>
        </w:rPr>
        <w:t> </w:t>
      </w:r>
      <w:r>
        <w:rPr>
          <w:w w:val="105"/>
          <w:sz w:val="19"/>
        </w:rPr>
        <w:t>vuelta”.</w:t>
      </w:r>
      <w:r>
        <w:rPr>
          <w:spacing w:val="-21"/>
          <w:w w:val="105"/>
          <w:sz w:val="19"/>
        </w:rPr>
        <w:t> </w:t>
      </w:r>
      <w:r>
        <w:rPr>
          <w:w w:val="105"/>
          <w:sz w:val="19"/>
        </w:rPr>
        <w:t>El</w:t>
      </w:r>
      <w:r>
        <w:rPr>
          <w:spacing w:val="-18"/>
          <w:w w:val="105"/>
          <w:sz w:val="19"/>
        </w:rPr>
        <w:t> </w:t>
      </w:r>
      <w:r>
        <w:rPr>
          <w:i/>
          <w:w w:val="105"/>
          <w:sz w:val="19"/>
        </w:rPr>
        <w:t>método</w:t>
      </w:r>
      <w:r>
        <w:rPr>
          <w:i/>
          <w:spacing w:val="-15"/>
          <w:w w:val="105"/>
          <w:sz w:val="19"/>
        </w:rPr>
        <w:t> </w:t>
      </w:r>
      <w:r>
        <w:rPr>
          <w:i/>
          <w:w w:val="105"/>
          <w:sz w:val="19"/>
        </w:rPr>
        <w:t>de</w:t>
      </w:r>
      <w:r>
        <w:rPr>
          <w:i/>
          <w:spacing w:val="-19"/>
          <w:w w:val="105"/>
          <w:sz w:val="19"/>
        </w:rPr>
        <w:t> </w:t>
      </w:r>
      <w:r>
        <w:rPr>
          <w:i/>
          <w:w w:val="105"/>
          <w:sz w:val="19"/>
        </w:rPr>
        <w:t>elección</w:t>
      </w:r>
      <w:r>
        <w:rPr>
          <w:i/>
          <w:spacing w:val="-19"/>
          <w:w w:val="105"/>
          <w:sz w:val="19"/>
        </w:rPr>
        <w:t> </w:t>
      </w:r>
      <w:r>
        <w:rPr>
          <w:w w:val="105"/>
          <w:sz w:val="19"/>
        </w:rPr>
        <w:t>del</w:t>
      </w:r>
      <w:r>
        <w:rPr>
          <w:spacing w:val="-18"/>
          <w:w w:val="105"/>
          <w:sz w:val="19"/>
        </w:rPr>
        <w:t> </w:t>
      </w:r>
      <w:r>
        <w:rPr>
          <w:w w:val="105"/>
          <w:sz w:val="19"/>
        </w:rPr>
        <w:t>presidente</w:t>
      </w:r>
      <w:r>
        <w:rPr>
          <w:spacing w:val="-16"/>
          <w:w w:val="105"/>
          <w:sz w:val="19"/>
        </w:rPr>
        <w:t> </w:t>
      </w:r>
      <w:r>
        <w:rPr>
          <w:w w:val="105"/>
          <w:sz w:val="19"/>
        </w:rPr>
        <w:t>es</w:t>
      </w:r>
      <w:r>
        <w:rPr>
          <w:spacing w:val="-21"/>
          <w:w w:val="105"/>
          <w:sz w:val="19"/>
        </w:rPr>
        <w:t> </w:t>
      </w:r>
      <w:r>
        <w:rPr>
          <w:w w:val="105"/>
          <w:sz w:val="19"/>
        </w:rPr>
        <w:t>particularmente</w:t>
      </w:r>
      <w:r>
        <w:rPr>
          <w:spacing w:val="-16"/>
          <w:w w:val="105"/>
          <w:sz w:val="19"/>
        </w:rPr>
        <w:t> </w:t>
      </w:r>
      <w:r>
        <w:rPr>
          <w:w w:val="105"/>
          <w:sz w:val="19"/>
        </w:rPr>
        <w:t>relevante en la medida </w:t>
      </w:r>
      <w:r>
        <w:rPr>
          <w:spacing w:val="-3"/>
          <w:w w:val="105"/>
          <w:sz w:val="19"/>
        </w:rPr>
        <w:t>en </w:t>
      </w:r>
      <w:r>
        <w:rPr>
          <w:w w:val="105"/>
          <w:sz w:val="19"/>
        </w:rPr>
        <w:t>que afecta al grado de apoyo popular del presidente y determina si se requiere formar</w:t>
      </w:r>
      <w:r>
        <w:rPr>
          <w:spacing w:val="-21"/>
          <w:w w:val="105"/>
          <w:sz w:val="19"/>
        </w:rPr>
        <w:t> </w:t>
      </w:r>
      <w:r>
        <w:rPr>
          <w:w w:val="105"/>
          <w:sz w:val="19"/>
        </w:rPr>
        <w:t>una</w:t>
      </w:r>
      <w:r>
        <w:rPr>
          <w:spacing w:val="-21"/>
          <w:w w:val="105"/>
          <w:sz w:val="19"/>
        </w:rPr>
        <w:t> </w:t>
      </w:r>
      <w:r>
        <w:rPr>
          <w:w w:val="105"/>
          <w:sz w:val="19"/>
        </w:rPr>
        <w:t>coalición</w:t>
      </w:r>
      <w:r>
        <w:rPr>
          <w:spacing w:val="-21"/>
          <w:w w:val="105"/>
          <w:sz w:val="19"/>
        </w:rPr>
        <w:t> </w:t>
      </w:r>
      <w:r>
        <w:rPr>
          <w:w w:val="105"/>
          <w:sz w:val="19"/>
        </w:rPr>
        <w:t>para</w:t>
      </w:r>
      <w:r>
        <w:rPr>
          <w:spacing w:val="-21"/>
          <w:w w:val="105"/>
          <w:sz w:val="19"/>
        </w:rPr>
        <w:t> </w:t>
      </w:r>
      <w:r>
        <w:rPr>
          <w:w w:val="105"/>
          <w:sz w:val="19"/>
        </w:rPr>
        <w:t>obtener</w:t>
      </w:r>
      <w:r>
        <w:rPr>
          <w:spacing w:val="-21"/>
          <w:w w:val="105"/>
          <w:sz w:val="19"/>
        </w:rPr>
        <w:t> </w:t>
      </w:r>
      <w:r>
        <w:rPr>
          <w:w w:val="105"/>
          <w:sz w:val="19"/>
        </w:rPr>
        <w:t>la</w:t>
      </w:r>
      <w:r>
        <w:rPr>
          <w:spacing w:val="-21"/>
          <w:w w:val="105"/>
          <w:sz w:val="19"/>
        </w:rPr>
        <w:t> </w:t>
      </w:r>
      <w:r>
        <w:rPr>
          <w:w w:val="105"/>
          <w:sz w:val="19"/>
        </w:rPr>
        <w:t>presidencia.</w:t>
      </w:r>
    </w:p>
    <w:p>
      <w:pPr>
        <w:spacing w:after="0" w:line="247" w:lineRule="auto"/>
        <w:jc w:val="both"/>
        <w:rPr>
          <w:sz w:val="19"/>
        </w:rPr>
        <w:sectPr>
          <w:footerReference w:type="default" r:id="rId27"/>
          <w:pgSz w:w="11910" w:h="16840"/>
          <w:pgMar w:footer="1457" w:header="0" w:top="1580" w:bottom="1640" w:left="1540" w:right="1540"/>
          <w:pgNumType w:start="92"/>
        </w:sectPr>
      </w:pPr>
    </w:p>
    <w:p>
      <w:pPr>
        <w:pStyle w:val="BodyText"/>
        <w:rPr>
          <w:sz w:val="20"/>
        </w:rPr>
      </w:pPr>
    </w:p>
    <w:p>
      <w:pPr>
        <w:pStyle w:val="BodyText"/>
        <w:rPr>
          <w:sz w:val="20"/>
        </w:rPr>
      </w:pPr>
    </w:p>
    <w:p>
      <w:pPr>
        <w:pStyle w:val="BodyText"/>
        <w:rPr>
          <w:sz w:val="20"/>
        </w:rPr>
      </w:pPr>
    </w:p>
    <w:p>
      <w:pPr>
        <w:pStyle w:val="BodyText"/>
        <w:spacing w:before="4"/>
        <w:rPr>
          <w:sz w:val="28"/>
        </w:rPr>
      </w:pPr>
    </w:p>
    <w:p>
      <w:pPr>
        <w:pStyle w:val="ListParagraph"/>
        <w:numPr>
          <w:ilvl w:val="2"/>
          <w:numId w:val="11"/>
        </w:numPr>
        <w:tabs>
          <w:tab w:pos="700" w:val="left" w:leader="none"/>
        </w:tabs>
        <w:spacing w:line="364" w:lineRule="auto" w:before="74" w:after="0"/>
        <w:ind w:left="116" w:right="106" w:firstLine="0"/>
        <w:jc w:val="both"/>
        <w:rPr>
          <w:sz w:val="23"/>
        </w:rPr>
      </w:pPr>
      <w:r>
        <w:rPr>
          <w:b/>
          <w:sz w:val="23"/>
        </w:rPr>
        <w:t>Las facultades presidenciales en el proceso de formulación de políticas </w:t>
      </w:r>
      <w:r>
        <w:rPr>
          <w:sz w:val="23"/>
        </w:rPr>
        <w:t>En el caso de México, el ejecutivo suele controlar en gran medida </w:t>
      </w:r>
      <w:r>
        <w:rPr>
          <w:spacing w:val="-4"/>
          <w:sz w:val="23"/>
        </w:rPr>
        <w:t>la </w:t>
      </w:r>
      <w:r>
        <w:rPr>
          <w:sz w:val="23"/>
        </w:rPr>
        <w:t>agenda legislativa, pues </w:t>
      </w:r>
      <w:r>
        <w:rPr>
          <w:spacing w:val="-5"/>
          <w:sz w:val="23"/>
        </w:rPr>
        <w:t>la </w:t>
      </w:r>
      <w:r>
        <w:rPr>
          <w:sz w:val="23"/>
        </w:rPr>
        <w:t>constitución se lo permite. Así, el presidente tiene el poder para iniciar legislación, de manera que puede presentar proyectos de ley  en  forma directa en las cámaras federal y estatales, según lo establece el artículo 71 </w:t>
      </w:r>
      <w:r>
        <w:rPr>
          <w:spacing w:val="3"/>
          <w:sz w:val="23"/>
        </w:rPr>
        <w:t>de </w:t>
      </w:r>
      <w:r>
        <w:rPr>
          <w:spacing w:val="-6"/>
          <w:sz w:val="23"/>
        </w:rPr>
        <w:t>la </w:t>
      </w:r>
      <w:r>
        <w:rPr>
          <w:sz w:val="23"/>
        </w:rPr>
        <w:t>carta magna. De hecho, </w:t>
      </w:r>
      <w:r>
        <w:rPr>
          <w:spacing w:val="-5"/>
          <w:sz w:val="23"/>
        </w:rPr>
        <w:t>la </w:t>
      </w:r>
      <w:r>
        <w:rPr>
          <w:sz w:val="23"/>
        </w:rPr>
        <w:t>mayor parte de </w:t>
      </w:r>
      <w:r>
        <w:rPr>
          <w:spacing w:val="-5"/>
          <w:sz w:val="23"/>
        </w:rPr>
        <w:t>la  </w:t>
      </w:r>
      <w:r>
        <w:rPr>
          <w:sz w:val="23"/>
        </w:rPr>
        <w:t>legislación crucial en México, desde   </w:t>
      </w:r>
      <w:r>
        <w:rPr>
          <w:spacing w:val="-5"/>
          <w:sz w:val="23"/>
        </w:rPr>
        <w:t>la </w:t>
      </w:r>
      <w:r>
        <w:rPr>
          <w:sz w:val="23"/>
        </w:rPr>
        <w:t>Constitución de 1917, ha surgido de iniciativas presidenciales (Weldon, 2003: 185).</w:t>
      </w:r>
    </w:p>
    <w:p>
      <w:pPr>
        <w:pStyle w:val="BodyText"/>
        <w:spacing w:line="364" w:lineRule="auto" w:before="5"/>
        <w:ind w:left="115" w:right="107" w:firstLine="686"/>
        <w:jc w:val="both"/>
      </w:pPr>
      <w:r>
        <w:rPr/>
        <w:t>El presidente tiene también poder para vetar leyes en parte o en  su  totalidad. </w:t>
      </w:r>
      <w:r>
        <w:rPr>
          <w:spacing w:val="2"/>
        </w:rPr>
        <w:t>El </w:t>
      </w:r>
      <w:r>
        <w:rPr/>
        <w:t>artículo 72 establece </w:t>
      </w:r>
      <w:r>
        <w:rPr>
          <w:spacing w:val="-3"/>
        </w:rPr>
        <w:t>que </w:t>
      </w:r>
      <w:r>
        <w:rPr/>
        <w:t>toda legislación ordinaria aprobada  por ambas cámaras tiene que remitirse luego al presidente. Si éste la aprueba, se convierte en </w:t>
      </w:r>
      <w:r>
        <w:rPr>
          <w:spacing w:val="-3"/>
        </w:rPr>
        <w:t>ley </w:t>
      </w:r>
      <w:r>
        <w:rPr/>
        <w:t>en el momento en que la hace publicar. El presidente puede rechazar toda </w:t>
      </w:r>
      <w:r>
        <w:rPr>
          <w:spacing w:val="-3"/>
        </w:rPr>
        <w:t>ley </w:t>
      </w:r>
      <w:r>
        <w:rPr/>
        <w:t>o partes de </w:t>
      </w:r>
      <w:r>
        <w:rPr>
          <w:spacing w:val="-5"/>
        </w:rPr>
        <w:t>la </w:t>
      </w:r>
      <w:r>
        <w:rPr/>
        <w:t>misma y enviar </w:t>
      </w:r>
      <w:r>
        <w:rPr>
          <w:spacing w:val="-5"/>
        </w:rPr>
        <w:t>la </w:t>
      </w:r>
      <w:r>
        <w:rPr/>
        <w:t>ley junto con sus objeciones de regreso a la cámara de origen. Sin embargo, el presidente sólo puede vetar </w:t>
      </w:r>
      <w:r>
        <w:rPr>
          <w:spacing w:val="-3"/>
        </w:rPr>
        <w:t>leyes </w:t>
      </w:r>
      <w:r>
        <w:rPr/>
        <w:t>que </w:t>
      </w:r>
      <w:r>
        <w:rPr>
          <w:spacing w:val="-3"/>
        </w:rPr>
        <w:t>han </w:t>
      </w:r>
      <w:r>
        <w:rPr/>
        <w:t>sido aprobadas por ambas cámaras; no tiene el derecho de vetar resoluciones que sólo requieren </w:t>
      </w:r>
      <w:r>
        <w:rPr>
          <w:spacing w:val="3"/>
        </w:rPr>
        <w:t>ser </w:t>
      </w:r>
      <w:r>
        <w:rPr/>
        <w:t>aprobadas por una sola cámara. Por otro lado, en </w:t>
      </w:r>
      <w:r>
        <w:rPr>
          <w:spacing w:val="-3"/>
        </w:rPr>
        <w:t>los </w:t>
      </w:r>
      <w:r>
        <w:rPr/>
        <w:t>hechos, el presidente puede vetar todas las leyes porque no entra  en vigencia hasta que es publicada en el </w:t>
      </w:r>
      <w:r>
        <w:rPr>
          <w:i/>
        </w:rPr>
        <w:t>Diario Oficial</w:t>
      </w:r>
      <w:r>
        <w:rPr/>
        <w:t>, según el artículo 89 constitucional, lo cual es responsabilidad del ejecutivo (Weldon, 2003: </w:t>
      </w:r>
      <w:r>
        <w:rPr>
          <w:spacing w:val="19"/>
        </w:rPr>
        <w:t> </w:t>
      </w:r>
      <w:r>
        <w:rPr/>
        <w:t>186-187).</w:t>
      </w:r>
    </w:p>
    <w:p>
      <w:pPr>
        <w:pStyle w:val="BodyText"/>
        <w:spacing w:line="364" w:lineRule="auto" w:before="5"/>
        <w:ind w:left="115" w:right="104" w:firstLine="686"/>
        <w:jc w:val="both"/>
      </w:pPr>
      <w:r>
        <w:rPr/>
        <w:t>Una de las </w:t>
      </w:r>
      <w:r>
        <w:rPr>
          <w:spacing w:val="-3"/>
        </w:rPr>
        <w:t>leyes  </w:t>
      </w:r>
      <w:r>
        <w:rPr/>
        <w:t>fundamentales </w:t>
      </w:r>
      <w:r>
        <w:rPr>
          <w:spacing w:val="-3"/>
        </w:rPr>
        <w:t>en </w:t>
      </w:r>
      <w:r>
        <w:rPr/>
        <w:t>la relación entre diputados y electores,  es </w:t>
      </w:r>
      <w:r>
        <w:rPr>
          <w:spacing w:val="-5"/>
        </w:rPr>
        <w:t>la </w:t>
      </w:r>
      <w:r>
        <w:rPr/>
        <w:t>presupuestal, depende prácticamente del ejecutivo. Según </w:t>
      </w:r>
      <w:r>
        <w:rPr>
          <w:spacing w:val="-5"/>
        </w:rPr>
        <w:t>la </w:t>
      </w:r>
      <w:r>
        <w:rPr/>
        <w:t>fracción IV del artículo 74, cada año el presidente debe enviar a la Cámara de Diputados un presupuesto de todos los gastos gubernamentales y es responsabilidad del presidente, y no de los diputados, recibir los pedidos  de financiamiento  de todos los ministerios y agencias diversas. Aunque los diputados pueden hacer cambios,  en </w:t>
      </w:r>
      <w:r>
        <w:rPr>
          <w:spacing w:val="-5"/>
        </w:rPr>
        <w:t>la </w:t>
      </w:r>
      <w:r>
        <w:rPr/>
        <w:t>práctica éstos han sido</w:t>
      </w:r>
      <w:r>
        <w:rPr>
          <w:spacing w:val="51"/>
        </w:rPr>
        <w:t> </w:t>
      </w:r>
      <w:r>
        <w:rPr/>
        <w:t>mínimos.</w:t>
      </w:r>
    </w:p>
    <w:p>
      <w:pPr>
        <w:pStyle w:val="BodyText"/>
        <w:spacing w:line="364" w:lineRule="auto" w:before="10"/>
        <w:ind w:left="115" w:right="110" w:firstLine="686"/>
        <w:jc w:val="both"/>
      </w:pPr>
      <w:r>
        <w:rPr/>
        <w:t>Asimismo, en materia económica el presidente en México tiene extensos poderes regulatorios, según los artículos 49 y 131 de la constitución. Este último permite al congreso autorizar al presidente a regular el comercio interno y externo, incluyendo   impuestos,   tarifas,   prohibiciones   o   subsidios   para   determinados</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8"/>
        <w:jc w:val="both"/>
      </w:pPr>
      <w:r>
        <w:rPr/>
        <w:t>productos. En este marco, es prácticamente imposible que un grupo de diputados de alguna región o estado del país, pueda oponerse a un  tipo  de  política  comercial de carácter interno o externo. En primer lugar, porque </w:t>
      </w:r>
      <w:r>
        <w:rPr>
          <w:spacing w:val="3"/>
        </w:rPr>
        <w:t>el </w:t>
      </w:r>
      <w:r>
        <w:rPr/>
        <w:t>perjuicio para cierto territorio puede implicar beneficio para otro y, en segundo lugar, porque </w:t>
      </w:r>
      <w:r>
        <w:rPr>
          <w:spacing w:val="-5"/>
        </w:rPr>
        <w:t>la </w:t>
      </w:r>
      <w:r>
        <w:rPr/>
        <w:t>discusión y aprobación de los tratados comerciales depende exclusivamente, </w:t>
      </w:r>
      <w:r>
        <w:rPr>
          <w:spacing w:val="-3"/>
        </w:rPr>
        <w:t>en </w:t>
      </w:r>
      <w:r>
        <w:rPr/>
        <w:t>términos legislativos, </w:t>
      </w:r>
      <w:r>
        <w:rPr>
          <w:spacing w:val="-3"/>
        </w:rPr>
        <w:t>del</w:t>
      </w:r>
      <w:r>
        <w:rPr>
          <w:spacing w:val="45"/>
        </w:rPr>
        <w:t> </w:t>
      </w:r>
      <w:r>
        <w:rPr/>
        <w:t>Senado.</w:t>
      </w:r>
    </w:p>
    <w:p>
      <w:pPr>
        <w:pStyle w:val="BodyText"/>
        <w:spacing w:line="364" w:lineRule="auto" w:before="5"/>
        <w:ind w:left="115" w:right="106" w:firstLine="686"/>
        <w:jc w:val="both"/>
      </w:pPr>
      <w:r>
        <w:rPr/>
        <w:t>Finalmente, hay que señalar que la operación cotidiana de las políticas públicas depende en su totalidad de la burocracia gubernamental, que está subordinada al ejecutivo </w:t>
      </w:r>
      <w:r>
        <w:rPr>
          <w:spacing w:val="-4"/>
        </w:rPr>
        <w:t>y, </w:t>
      </w:r>
      <w:r>
        <w:rPr/>
        <w:t>a diferencia de los regímenes parlamentarios, </w:t>
      </w:r>
      <w:r>
        <w:rPr>
          <w:spacing w:val="-2"/>
        </w:rPr>
        <w:t>los </w:t>
      </w:r>
      <w:r>
        <w:rPr/>
        <w:t>diputados en México </w:t>
      </w:r>
      <w:r>
        <w:rPr>
          <w:spacing w:val="-3"/>
        </w:rPr>
        <w:t>no </w:t>
      </w:r>
      <w:r>
        <w:rPr/>
        <w:t>tienen posibilidad alguna de incidir en </w:t>
      </w:r>
      <w:r>
        <w:rPr>
          <w:spacing w:val="3"/>
        </w:rPr>
        <w:t>el </w:t>
      </w:r>
      <w:r>
        <w:rPr/>
        <w:t>nombramiento o remoción de los secretarios de Estado, ni siquiera los legisladores del partido del presidente. Así, con excepción del procurador general de la República,  el  presidente tiene </w:t>
      </w:r>
      <w:r>
        <w:rPr>
          <w:spacing w:val="3"/>
        </w:rPr>
        <w:t>el </w:t>
      </w:r>
      <w:r>
        <w:rPr/>
        <w:t>derecho constitucional de nombrar y remover a todos los miembros de su gabinete, sin la aprobación de ninguna de las cámaras.  Igualmente, el presidente nombra –frente </w:t>
      </w:r>
      <w:r>
        <w:rPr>
          <w:spacing w:val="2"/>
        </w:rPr>
        <w:t>al </w:t>
      </w:r>
      <w:r>
        <w:rPr/>
        <w:t>posible veto del Senado- a todos </w:t>
      </w:r>
      <w:r>
        <w:rPr>
          <w:spacing w:val="-2"/>
        </w:rPr>
        <w:t>los </w:t>
      </w:r>
      <w:r>
        <w:rPr/>
        <w:t>funcionarios diplomáticos, militares </w:t>
      </w:r>
      <w:r>
        <w:rPr>
          <w:spacing w:val="3"/>
        </w:rPr>
        <w:t>con </w:t>
      </w:r>
      <w:r>
        <w:rPr/>
        <w:t>rango superior a coronel,  del  Banco  Central y a los ministros de la Suprema Corte de Justicia de la Nación </w:t>
      </w:r>
      <w:r>
        <w:rPr>
          <w:spacing w:val="16"/>
        </w:rPr>
        <w:t> </w:t>
      </w:r>
      <w:r>
        <w:rPr/>
        <w:t>(SCJN).</w:t>
      </w:r>
    </w:p>
    <w:p>
      <w:pPr>
        <w:pStyle w:val="BodyText"/>
        <w:spacing w:line="364" w:lineRule="auto" w:before="10"/>
        <w:ind w:left="115" w:right="107" w:firstLine="686"/>
        <w:jc w:val="both"/>
      </w:pPr>
      <w:r>
        <w:rPr/>
        <w:t>La discrecionalidad fue el segundo sello del proceso de formulación de políticas bajo el presidencialismo mexicano. Ni los tribunales ni el Congreso supervisaron al ejecutivo. </w:t>
      </w:r>
      <w:r>
        <w:rPr>
          <w:spacing w:val="-3"/>
        </w:rPr>
        <w:t>Las </w:t>
      </w:r>
      <w:r>
        <w:rPr/>
        <w:t>estaciones </w:t>
      </w:r>
      <w:r>
        <w:rPr>
          <w:spacing w:val="-3"/>
        </w:rPr>
        <w:t>de </w:t>
      </w:r>
      <w:r>
        <w:rPr/>
        <w:t>televisión controladas por el Estado pregonaban los éxitos del régimen, criticaron pocas de sus fallas y discutieron escasamente los asuntos públicos. Dependientes de los ingresos publicitarios pagados por </w:t>
      </w:r>
      <w:r>
        <w:rPr>
          <w:spacing w:val="-3"/>
        </w:rPr>
        <w:t>las </w:t>
      </w:r>
      <w:r>
        <w:rPr/>
        <w:t>agencias estatales, los medios de comunicación impresos no divulgaban análisis críticos de </w:t>
      </w:r>
      <w:r>
        <w:rPr>
          <w:spacing w:val="-3"/>
        </w:rPr>
        <w:t>las </w:t>
      </w:r>
      <w:r>
        <w:rPr/>
        <w:t>políticas del</w:t>
      </w:r>
      <w:r>
        <w:rPr>
          <w:spacing w:val="63"/>
        </w:rPr>
        <w:t> </w:t>
      </w:r>
      <w:r>
        <w:rPr/>
        <w:t>régimen.</w:t>
      </w:r>
    </w:p>
    <w:p>
      <w:pPr>
        <w:pStyle w:val="BodyText"/>
        <w:spacing w:line="364" w:lineRule="auto" w:before="5"/>
        <w:ind w:left="115" w:right="107" w:firstLine="686"/>
        <w:jc w:val="both"/>
      </w:pPr>
      <w:r>
        <w:rPr/>
        <w:t>La realidad de un mandato hegemónico unipartidista significó que el jefe </w:t>
      </w:r>
      <w:r>
        <w:rPr>
          <w:spacing w:val="2"/>
        </w:rPr>
        <w:t>del </w:t>
      </w:r>
      <w:r>
        <w:rPr/>
        <w:t>ejecutivo consultara con sus asesores, miembros del gabinete y líderes corporativistas, antes de enviar cualquier proyecto de ley al Congreso. La aprobación legislativa de la mayoría de sus proyectos de ley fue automática. El proceso de formulación de políticas de corte redistributivo, es decir, las que impondrían costos a algún sector económico</w:t>
      </w:r>
      <w:r>
        <w:rPr>
          <w:spacing w:val="51"/>
        </w:rPr>
        <w:t> </w:t>
      </w:r>
      <w:r>
        <w:rPr/>
        <w:t>organizado.</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6" w:right="103" w:firstLine="686"/>
        <w:jc w:val="both"/>
      </w:pPr>
      <w:r>
        <w:rPr/>
        <w:t>Esto </w:t>
      </w:r>
      <w:r>
        <w:rPr>
          <w:spacing w:val="3"/>
        </w:rPr>
        <w:t>se </w:t>
      </w:r>
      <w:r>
        <w:rPr/>
        <w:t>retroalimentó con los </w:t>
      </w:r>
      <w:r>
        <w:rPr>
          <w:i/>
        </w:rPr>
        <w:t>poderes partidistas </w:t>
      </w:r>
      <w:r>
        <w:rPr/>
        <w:t>del  presidente.  Desde 1934 hasta el año 2000, el presidente en turno, tuvo capacidad para nombrar al candidato del PRI a la presidencia, a los candidatos a los gobiernos estatales y buena parte de los abanderados en las cámaras de Diputados y Senadores. Sobre todo el caso de aquéllos que tenían la tarea de liderar a los grupos parlamentarios del PRI y hacerse cargo </w:t>
      </w:r>
      <w:r>
        <w:rPr>
          <w:spacing w:val="-3"/>
        </w:rPr>
        <w:t>de </w:t>
      </w:r>
      <w:r>
        <w:rPr/>
        <w:t>las comisiones legislativas clave, como </w:t>
      </w:r>
      <w:r>
        <w:rPr>
          <w:spacing w:val="2"/>
        </w:rPr>
        <w:t>son </w:t>
      </w:r>
      <w:r>
        <w:rPr/>
        <w:t>las de Hacienda, Presupuesto, Gobernación y Puntos Constitucionales, Trabajo  y Previsión Social y Justicia. Hasta </w:t>
      </w:r>
      <w:r>
        <w:rPr>
          <w:spacing w:val="-4"/>
        </w:rPr>
        <w:t>la</w:t>
      </w:r>
      <w:r>
        <w:rPr>
          <w:spacing w:val="55"/>
        </w:rPr>
        <w:t> </w:t>
      </w:r>
      <w:r>
        <w:rPr/>
        <w:t>década de 1990, las elecciones no competitivas, los procedimientos centralizados de nominación y </w:t>
      </w:r>
      <w:r>
        <w:rPr>
          <w:spacing w:val="-4"/>
        </w:rPr>
        <w:t>la </w:t>
      </w:r>
      <w:r>
        <w:rPr/>
        <w:t>prohibición de </w:t>
      </w:r>
      <w:r>
        <w:rPr>
          <w:spacing w:val="-5"/>
        </w:rPr>
        <w:t>la </w:t>
      </w:r>
      <w:r>
        <w:rPr/>
        <w:t>reelección legislativa hicieron que los legisladores dependieran del presidente y de </w:t>
      </w:r>
      <w:r>
        <w:rPr>
          <w:spacing w:val="-3"/>
        </w:rPr>
        <w:t>los </w:t>
      </w:r>
      <w:r>
        <w:rPr/>
        <w:t>sectores corporativistas del</w:t>
      </w:r>
      <w:r>
        <w:rPr>
          <w:spacing w:val="50"/>
        </w:rPr>
        <w:t> </w:t>
      </w:r>
      <w:r>
        <w:rPr/>
        <w:t>PRI.</w:t>
      </w:r>
    </w:p>
    <w:p>
      <w:pPr>
        <w:pStyle w:val="BodyText"/>
        <w:spacing w:line="364" w:lineRule="auto" w:before="5"/>
        <w:ind w:left="116" w:right="108" w:firstLine="686"/>
        <w:jc w:val="both"/>
      </w:pPr>
      <w:r>
        <w:rPr/>
        <w:t>Pese a las sucesivas reformas electorales (1977, 1989, 1990, 1991, 1993 y 1996) que han dado lugar a un sistema multipartidista y a un  contexto  de gobiernos divididos y acuerdos federales, </w:t>
      </w:r>
      <w:r>
        <w:rPr>
          <w:spacing w:val="-5"/>
        </w:rPr>
        <w:t>los </w:t>
      </w:r>
      <w:r>
        <w:rPr/>
        <w:t>presidentes mexicanos (incluso Vicente Fox y Felipe Calderón, quienes ganaron bajo las siglas del PAN) continuaron privilegiando los intereses corporativistas, aun cuando gobernadores tienen un papel más activo en la puesta en marcha de las políticas, y en particular de </w:t>
      </w:r>
      <w:r>
        <w:rPr>
          <w:spacing w:val="-4"/>
        </w:rPr>
        <w:t>la  </w:t>
      </w:r>
      <w:r>
        <w:rPr/>
        <w:t>política educativa. Incluso se puede afirmar que la centralidad presidencial   en </w:t>
      </w:r>
      <w:r>
        <w:rPr>
          <w:spacing w:val="-4"/>
        </w:rPr>
        <w:t>la </w:t>
      </w:r>
      <w:r>
        <w:rPr/>
        <w:t>política educativa no se ha alterado pese a </w:t>
      </w:r>
      <w:r>
        <w:rPr>
          <w:spacing w:val="-4"/>
        </w:rPr>
        <w:t>la </w:t>
      </w:r>
      <w:r>
        <w:rPr/>
        <w:t>activación de la Suprema Corte como árbitro de las relaciones entre </w:t>
      </w:r>
      <w:r>
        <w:rPr>
          <w:spacing w:val="-3"/>
        </w:rPr>
        <w:t>los </w:t>
      </w:r>
      <w:r>
        <w:rPr/>
        <w:t>poderes del Estado y como intérprete de una   nueva   y,   hasta   el  momento,   indefinida   negociación   intertemporal</w:t>
      </w:r>
      <w:r>
        <w:rPr>
          <w:spacing w:val="-7"/>
        </w:rPr>
        <w:t> </w:t>
      </w:r>
      <w:r>
        <w:rPr/>
        <w:t>entre</w:t>
      </w:r>
    </w:p>
    <w:p>
      <w:pPr>
        <w:pStyle w:val="BodyText"/>
        <w:spacing w:line="274" w:lineRule="exact"/>
        <w:ind w:left="116" w:right="191"/>
        <w:rPr>
          <w:sz w:val="15"/>
        </w:rPr>
      </w:pPr>
      <w:r>
        <w:rPr/>
        <w:t>formuladores de políticas y líderes de partido.</w:t>
      </w:r>
      <w:r>
        <w:rPr>
          <w:position w:val="11"/>
          <w:sz w:val="15"/>
        </w:rPr>
        <w:t>14</w:t>
      </w:r>
    </w:p>
    <w:p>
      <w:pPr>
        <w:pStyle w:val="BodyText"/>
        <w:spacing w:line="364" w:lineRule="auto" w:before="134"/>
        <w:ind w:left="115" w:right="103" w:firstLine="686"/>
        <w:jc w:val="both"/>
      </w:pPr>
      <w:r>
        <w:rPr/>
        <w:t>Por ello, se puede afirmar que </w:t>
      </w:r>
      <w:r>
        <w:rPr>
          <w:spacing w:val="-5"/>
        </w:rPr>
        <w:t>la </w:t>
      </w:r>
      <w:r>
        <w:rPr/>
        <w:t>principal  característica  del  presidencialismo en México ha sido el reducido número de actores clave involucrados en los juegos </w:t>
      </w:r>
      <w:r>
        <w:rPr>
          <w:spacing w:val="2"/>
        </w:rPr>
        <w:t>de </w:t>
      </w:r>
      <w:r>
        <w:rPr/>
        <w:t>poder al momento de formular políticas. Al  </w:t>
      </w:r>
      <w:r>
        <w:rPr>
          <w:spacing w:val="5"/>
        </w:rPr>
        <w:t> </w:t>
      </w:r>
      <w:r>
        <w:rPr/>
        <w:t>respecto,</w:t>
      </w:r>
    </w:p>
    <w:p>
      <w:pPr>
        <w:pStyle w:val="BodyText"/>
        <w:rPr>
          <w:sz w:val="20"/>
        </w:rPr>
      </w:pPr>
    </w:p>
    <w:p>
      <w:pPr>
        <w:pStyle w:val="BodyText"/>
        <w:rPr>
          <w:sz w:val="12"/>
        </w:rPr>
      </w:pPr>
      <w:r>
        <w:rPr/>
        <w:pict>
          <v:line style="position:absolute;mso-position-horizontal-relative:page;mso-position-vertical-relative:paragraph;z-index:1312;mso-wrap-distance-left:0;mso-wrap-distance-right:0" from="82.799004pt,9.267184pt" to="222.958004pt,9.267184pt" stroked="true" strokeweight=".72pt" strokecolor="#000000">
            <w10:wrap type="topAndBottom"/>
          </v:line>
        </w:pict>
      </w:r>
    </w:p>
    <w:p>
      <w:pPr>
        <w:pStyle w:val="ListParagraph"/>
        <w:numPr>
          <w:ilvl w:val="0"/>
          <w:numId w:val="10"/>
        </w:numPr>
        <w:tabs>
          <w:tab w:pos="385" w:val="left" w:leader="none"/>
        </w:tabs>
        <w:spacing w:line="247" w:lineRule="auto" w:before="41" w:after="0"/>
        <w:ind w:left="116" w:right="99" w:firstLine="0"/>
        <w:jc w:val="both"/>
        <w:rPr>
          <w:rFonts w:ascii="Times New Roman" w:hAnsi="Times New Roman"/>
          <w:sz w:val="19"/>
        </w:rPr>
      </w:pPr>
      <w:r>
        <w:rPr>
          <w:w w:val="105"/>
          <w:sz w:val="19"/>
        </w:rPr>
        <w:t>Cabe señalar que la urbanización creó gradualmente bases electorales en favor del cambio democrático</w:t>
      </w:r>
      <w:r>
        <w:rPr>
          <w:spacing w:val="-4"/>
          <w:w w:val="105"/>
          <w:sz w:val="19"/>
        </w:rPr>
        <w:t> </w:t>
      </w:r>
      <w:r>
        <w:rPr>
          <w:w w:val="105"/>
          <w:sz w:val="19"/>
        </w:rPr>
        <w:t>y</w:t>
      </w:r>
      <w:r>
        <w:rPr>
          <w:spacing w:val="-12"/>
          <w:w w:val="105"/>
          <w:sz w:val="19"/>
        </w:rPr>
        <w:t> </w:t>
      </w:r>
      <w:r>
        <w:rPr>
          <w:w w:val="105"/>
          <w:sz w:val="19"/>
        </w:rPr>
        <w:t>en</w:t>
      </w:r>
      <w:r>
        <w:rPr>
          <w:spacing w:val="-9"/>
          <w:w w:val="105"/>
          <w:sz w:val="19"/>
        </w:rPr>
        <w:t> </w:t>
      </w:r>
      <w:r>
        <w:rPr>
          <w:w w:val="105"/>
          <w:sz w:val="19"/>
        </w:rPr>
        <w:t>favor</w:t>
      </w:r>
      <w:r>
        <w:rPr>
          <w:spacing w:val="-12"/>
          <w:w w:val="105"/>
          <w:sz w:val="19"/>
        </w:rPr>
        <w:t> </w:t>
      </w:r>
      <w:r>
        <w:rPr>
          <w:w w:val="105"/>
          <w:sz w:val="19"/>
        </w:rPr>
        <w:t>de</w:t>
      </w:r>
      <w:r>
        <w:rPr>
          <w:spacing w:val="-9"/>
          <w:w w:val="105"/>
          <w:sz w:val="19"/>
        </w:rPr>
        <w:t> </w:t>
      </w:r>
      <w:r>
        <w:rPr>
          <w:w w:val="105"/>
          <w:sz w:val="19"/>
        </w:rPr>
        <w:t>la</w:t>
      </w:r>
      <w:r>
        <w:rPr>
          <w:spacing w:val="-9"/>
          <w:w w:val="105"/>
          <w:sz w:val="19"/>
        </w:rPr>
        <w:t> </w:t>
      </w:r>
      <w:r>
        <w:rPr>
          <w:w w:val="105"/>
          <w:sz w:val="19"/>
        </w:rPr>
        <w:t>liberalización</w:t>
      </w:r>
      <w:r>
        <w:rPr>
          <w:spacing w:val="-9"/>
          <w:w w:val="105"/>
          <w:sz w:val="19"/>
        </w:rPr>
        <w:t> </w:t>
      </w:r>
      <w:r>
        <w:rPr>
          <w:w w:val="105"/>
          <w:sz w:val="19"/>
        </w:rPr>
        <w:t>económica</w:t>
      </w:r>
      <w:r>
        <w:rPr>
          <w:spacing w:val="-9"/>
          <w:w w:val="105"/>
          <w:sz w:val="19"/>
        </w:rPr>
        <w:t> </w:t>
      </w:r>
      <w:r>
        <w:rPr>
          <w:w w:val="105"/>
          <w:sz w:val="19"/>
        </w:rPr>
        <w:t>(PAN)</w:t>
      </w:r>
      <w:r>
        <w:rPr>
          <w:spacing w:val="-12"/>
          <w:w w:val="105"/>
          <w:sz w:val="19"/>
        </w:rPr>
        <w:t> </w:t>
      </w:r>
      <w:r>
        <w:rPr>
          <w:w w:val="105"/>
          <w:sz w:val="19"/>
        </w:rPr>
        <w:t>o</w:t>
      </w:r>
      <w:r>
        <w:rPr>
          <w:spacing w:val="-5"/>
          <w:w w:val="105"/>
          <w:sz w:val="19"/>
        </w:rPr>
        <w:t> </w:t>
      </w:r>
      <w:r>
        <w:rPr>
          <w:w w:val="105"/>
          <w:sz w:val="19"/>
        </w:rPr>
        <w:t>en</w:t>
      </w:r>
      <w:r>
        <w:rPr>
          <w:spacing w:val="-9"/>
          <w:w w:val="105"/>
          <w:sz w:val="19"/>
        </w:rPr>
        <w:t> </w:t>
      </w:r>
      <w:r>
        <w:rPr>
          <w:w w:val="105"/>
          <w:sz w:val="19"/>
        </w:rPr>
        <w:t>contra</w:t>
      </w:r>
      <w:r>
        <w:rPr>
          <w:spacing w:val="-9"/>
          <w:w w:val="105"/>
          <w:sz w:val="19"/>
        </w:rPr>
        <w:t> </w:t>
      </w:r>
      <w:r>
        <w:rPr>
          <w:spacing w:val="3"/>
          <w:w w:val="105"/>
          <w:sz w:val="19"/>
        </w:rPr>
        <w:t>de</w:t>
      </w:r>
      <w:r>
        <w:rPr>
          <w:spacing w:val="-9"/>
          <w:w w:val="105"/>
          <w:sz w:val="19"/>
        </w:rPr>
        <w:t> </w:t>
      </w:r>
      <w:r>
        <w:rPr>
          <w:spacing w:val="-3"/>
          <w:w w:val="105"/>
          <w:sz w:val="19"/>
        </w:rPr>
        <w:t>esta</w:t>
      </w:r>
      <w:r>
        <w:rPr>
          <w:spacing w:val="-5"/>
          <w:w w:val="105"/>
          <w:sz w:val="19"/>
        </w:rPr>
        <w:t> </w:t>
      </w:r>
      <w:r>
        <w:rPr>
          <w:w w:val="105"/>
          <w:sz w:val="19"/>
        </w:rPr>
        <w:t>(PRD).</w:t>
      </w:r>
      <w:r>
        <w:rPr>
          <w:spacing w:val="-9"/>
          <w:w w:val="105"/>
          <w:sz w:val="19"/>
        </w:rPr>
        <w:t> </w:t>
      </w:r>
      <w:r>
        <w:rPr>
          <w:w w:val="105"/>
          <w:sz w:val="19"/>
        </w:rPr>
        <w:t>Aunque</w:t>
      </w:r>
      <w:r>
        <w:rPr>
          <w:spacing w:val="-9"/>
          <w:w w:val="105"/>
          <w:sz w:val="19"/>
        </w:rPr>
        <w:t> </w:t>
      </w:r>
      <w:r>
        <w:rPr>
          <w:w w:val="105"/>
          <w:sz w:val="19"/>
        </w:rPr>
        <w:t>la proporción de los cargos de elección popular del PRI continúa disminuyendo, pequeñas organizaciones </w:t>
      </w:r>
      <w:r>
        <w:rPr>
          <w:spacing w:val="-4"/>
          <w:w w:val="105"/>
          <w:sz w:val="19"/>
        </w:rPr>
        <w:t>del </w:t>
      </w:r>
      <w:r>
        <w:rPr>
          <w:w w:val="105"/>
          <w:sz w:val="19"/>
        </w:rPr>
        <w:t>sector agrícola han incrementado su participación en las curules del </w:t>
      </w:r>
      <w:r>
        <w:rPr>
          <w:spacing w:val="-3"/>
          <w:w w:val="105"/>
          <w:sz w:val="19"/>
        </w:rPr>
        <w:t>PRI, ya </w:t>
      </w:r>
      <w:r>
        <w:rPr>
          <w:w w:val="105"/>
          <w:sz w:val="19"/>
        </w:rPr>
        <w:t>que</w:t>
      </w:r>
      <w:r>
        <w:rPr>
          <w:spacing w:val="-9"/>
          <w:w w:val="105"/>
          <w:sz w:val="19"/>
        </w:rPr>
        <w:t> </w:t>
      </w:r>
      <w:r>
        <w:rPr>
          <w:w w:val="105"/>
          <w:sz w:val="19"/>
        </w:rPr>
        <w:t>la</w:t>
      </w:r>
      <w:r>
        <w:rPr>
          <w:spacing w:val="-6"/>
          <w:w w:val="105"/>
          <w:sz w:val="19"/>
        </w:rPr>
        <w:t> </w:t>
      </w:r>
      <w:r>
        <w:rPr>
          <w:w w:val="105"/>
          <w:sz w:val="19"/>
        </w:rPr>
        <w:t>fórmula</w:t>
      </w:r>
      <w:r>
        <w:rPr>
          <w:spacing w:val="-9"/>
          <w:w w:val="105"/>
          <w:sz w:val="19"/>
        </w:rPr>
        <w:t> </w:t>
      </w:r>
      <w:r>
        <w:rPr>
          <w:w w:val="105"/>
          <w:sz w:val="19"/>
        </w:rPr>
        <w:t>electoral</w:t>
      </w:r>
      <w:r>
        <w:rPr>
          <w:spacing w:val="-3"/>
          <w:w w:val="105"/>
          <w:sz w:val="19"/>
        </w:rPr>
        <w:t> </w:t>
      </w:r>
      <w:r>
        <w:rPr>
          <w:w w:val="105"/>
          <w:sz w:val="19"/>
        </w:rPr>
        <w:t>y</w:t>
      </w:r>
      <w:r>
        <w:rPr>
          <w:spacing w:val="-9"/>
          <w:w w:val="105"/>
          <w:sz w:val="19"/>
        </w:rPr>
        <w:t> </w:t>
      </w:r>
      <w:r>
        <w:rPr>
          <w:w w:val="105"/>
          <w:sz w:val="19"/>
        </w:rPr>
        <w:t>el</w:t>
      </w:r>
      <w:r>
        <w:rPr>
          <w:spacing w:val="-9"/>
          <w:w w:val="105"/>
          <w:sz w:val="19"/>
        </w:rPr>
        <w:t> </w:t>
      </w:r>
      <w:r>
        <w:rPr>
          <w:w w:val="105"/>
          <w:sz w:val="19"/>
        </w:rPr>
        <w:t>reducido</w:t>
      </w:r>
      <w:r>
        <w:rPr>
          <w:spacing w:val="-5"/>
          <w:w w:val="105"/>
          <w:sz w:val="19"/>
        </w:rPr>
        <w:t> </w:t>
      </w:r>
      <w:r>
        <w:rPr>
          <w:w w:val="105"/>
          <w:sz w:val="19"/>
        </w:rPr>
        <w:t>tamaño</w:t>
      </w:r>
      <w:r>
        <w:rPr>
          <w:spacing w:val="-9"/>
          <w:w w:val="105"/>
          <w:sz w:val="19"/>
        </w:rPr>
        <w:t> </w:t>
      </w:r>
      <w:r>
        <w:rPr>
          <w:w w:val="105"/>
          <w:sz w:val="19"/>
        </w:rPr>
        <w:t>de</w:t>
      </w:r>
      <w:r>
        <w:rPr>
          <w:spacing w:val="-9"/>
          <w:w w:val="105"/>
          <w:sz w:val="19"/>
        </w:rPr>
        <w:t> </w:t>
      </w:r>
      <w:r>
        <w:rPr>
          <w:w w:val="105"/>
          <w:sz w:val="19"/>
        </w:rPr>
        <w:t>los</w:t>
      </w:r>
      <w:r>
        <w:rPr>
          <w:spacing w:val="-13"/>
          <w:w w:val="105"/>
          <w:sz w:val="19"/>
        </w:rPr>
        <w:t> </w:t>
      </w:r>
      <w:r>
        <w:rPr>
          <w:w w:val="105"/>
          <w:sz w:val="19"/>
        </w:rPr>
        <w:t>distritos</w:t>
      </w:r>
      <w:r>
        <w:rPr>
          <w:spacing w:val="-9"/>
          <w:w w:val="105"/>
          <w:sz w:val="19"/>
        </w:rPr>
        <w:t> </w:t>
      </w:r>
      <w:r>
        <w:rPr>
          <w:w w:val="105"/>
          <w:sz w:val="19"/>
        </w:rPr>
        <w:t>electorales</w:t>
      </w:r>
      <w:r>
        <w:rPr>
          <w:spacing w:val="-9"/>
          <w:w w:val="105"/>
          <w:sz w:val="19"/>
        </w:rPr>
        <w:t> </w:t>
      </w:r>
      <w:r>
        <w:rPr>
          <w:w w:val="105"/>
          <w:sz w:val="19"/>
        </w:rPr>
        <w:t>hacen</w:t>
      </w:r>
      <w:r>
        <w:rPr>
          <w:spacing w:val="-9"/>
          <w:w w:val="105"/>
          <w:sz w:val="19"/>
        </w:rPr>
        <w:t> </w:t>
      </w:r>
      <w:r>
        <w:rPr>
          <w:w w:val="105"/>
          <w:sz w:val="19"/>
        </w:rPr>
        <w:t>a</w:t>
      </w:r>
      <w:r>
        <w:rPr>
          <w:spacing w:val="-5"/>
          <w:w w:val="105"/>
          <w:sz w:val="19"/>
        </w:rPr>
        <w:t> </w:t>
      </w:r>
      <w:r>
        <w:rPr>
          <w:w w:val="105"/>
          <w:sz w:val="19"/>
        </w:rPr>
        <w:t>la</w:t>
      </w:r>
      <w:r>
        <w:rPr>
          <w:spacing w:val="-9"/>
          <w:w w:val="105"/>
          <w:sz w:val="19"/>
        </w:rPr>
        <w:t> </w:t>
      </w:r>
      <w:r>
        <w:rPr>
          <w:w w:val="105"/>
          <w:sz w:val="19"/>
        </w:rPr>
        <w:t>legislatura</w:t>
      </w:r>
      <w:r>
        <w:rPr>
          <w:spacing w:val="-13"/>
          <w:w w:val="105"/>
          <w:sz w:val="19"/>
        </w:rPr>
        <w:t> </w:t>
      </w:r>
      <w:r>
        <w:rPr>
          <w:w w:val="105"/>
          <w:sz w:val="19"/>
        </w:rPr>
        <w:t>más sensible</w:t>
      </w:r>
      <w:r>
        <w:rPr>
          <w:spacing w:val="-10"/>
          <w:w w:val="105"/>
          <w:sz w:val="19"/>
        </w:rPr>
        <w:t> </w:t>
      </w:r>
      <w:r>
        <w:rPr>
          <w:w w:val="105"/>
          <w:sz w:val="19"/>
        </w:rPr>
        <w:t>a</w:t>
      </w:r>
      <w:r>
        <w:rPr>
          <w:spacing w:val="-13"/>
          <w:w w:val="105"/>
          <w:sz w:val="19"/>
        </w:rPr>
        <w:t> </w:t>
      </w:r>
      <w:r>
        <w:rPr>
          <w:w w:val="105"/>
          <w:sz w:val="19"/>
        </w:rPr>
        <w:t>los</w:t>
      </w:r>
      <w:r>
        <w:rPr>
          <w:spacing w:val="-14"/>
          <w:w w:val="105"/>
          <w:sz w:val="19"/>
        </w:rPr>
        <w:t> </w:t>
      </w:r>
      <w:r>
        <w:rPr>
          <w:w w:val="105"/>
          <w:sz w:val="19"/>
        </w:rPr>
        <w:t>intereses</w:t>
      </w:r>
      <w:r>
        <w:rPr>
          <w:spacing w:val="-10"/>
          <w:w w:val="105"/>
          <w:sz w:val="19"/>
        </w:rPr>
        <w:t> </w:t>
      </w:r>
      <w:r>
        <w:rPr>
          <w:w w:val="105"/>
          <w:sz w:val="19"/>
        </w:rPr>
        <w:t>rurales</w:t>
      </w:r>
      <w:r>
        <w:rPr>
          <w:spacing w:val="-14"/>
          <w:w w:val="105"/>
          <w:sz w:val="19"/>
        </w:rPr>
        <w:t> </w:t>
      </w:r>
      <w:r>
        <w:rPr>
          <w:w w:val="105"/>
          <w:sz w:val="19"/>
        </w:rPr>
        <w:t>y</w:t>
      </w:r>
      <w:r>
        <w:rPr>
          <w:spacing w:val="-14"/>
          <w:w w:val="105"/>
          <w:sz w:val="19"/>
        </w:rPr>
        <w:t> </w:t>
      </w:r>
      <w:r>
        <w:rPr>
          <w:w w:val="105"/>
          <w:sz w:val="19"/>
        </w:rPr>
        <w:t>regionales.</w:t>
      </w:r>
      <w:r>
        <w:rPr>
          <w:spacing w:val="-14"/>
          <w:w w:val="105"/>
          <w:sz w:val="19"/>
        </w:rPr>
        <w:t> </w:t>
      </w:r>
      <w:r>
        <w:rPr>
          <w:w w:val="105"/>
          <w:sz w:val="19"/>
        </w:rPr>
        <w:t>Por</w:t>
      </w:r>
      <w:r>
        <w:rPr>
          <w:spacing w:val="-14"/>
          <w:w w:val="105"/>
          <w:sz w:val="19"/>
        </w:rPr>
        <w:t> </w:t>
      </w:r>
      <w:r>
        <w:rPr>
          <w:w w:val="105"/>
          <w:sz w:val="19"/>
        </w:rPr>
        <w:t>consiguiente,</w:t>
      </w:r>
      <w:r>
        <w:rPr>
          <w:spacing w:val="-17"/>
          <w:w w:val="105"/>
          <w:sz w:val="19"/>
        </w:rPr>
        <w:t> </w:t>
      </w:r>
      <w:r>
        <w:rPr>
          <w:w w:val="105"/>
          <w:sz w:val="19"/>
        </w:rPr>
        <w:t>el</w:t>
      </w:r>
      <w:r>
        <w:rPr>
          <w:spacing w:val="-10"/>
          <w:w w:val="105"/>
          <w:sz w:val="19"/>
        </w:rPr>
        <w:t> </w:t>
      </w:r>
      <w:r>
        <w:rPr>
          <w:w w:val="105"/>
          <w:sz w:val="19"/>
        </w:rPr>
        <w:t>legislador</w:t>
      </w:r>
      <w:r>
        <w:rPr>
          <w:spacing w:val="-14"/>
          <w:w w:val="105"/>
          <w:sz w:val="19"/>
        </w:rPr>
        <w:t> </w:t>
      </w:r>
      <w:r>
        <w:rPr>
          <w:w w:val="105"/>
          <w:sz w:val="19"/>
        </w:rPr>
        <w:t>medio</w:t>
      </w:r>
      <w:r>
        <w:rPr>
          <w:spacing w:val="-10"/>
          <w:w w:val="105"/>
          <w:sz w:val="19"/>
        </w:rPr>
        <w:t> </w:t>
      </w:r>
      <w:r>
        <w:rPr>
          <w:w w:val="105"/>
          <w:sz w:val="19"/>
        </w:rPr>
        <w:t>estuvo</w:t>
      </w:r>
      <w:r>
        <w:rPr>
          <w:spacing w:val="-10"/>
          <w:w w:val="105"/>
          <w:sz w:val="19"/>
        </w:rPr>
        <w:t> </w:t>
      </w:r>
      <w:r>
        <w:rPr>
          <w:w w:val="105"/>
          <w:sz w:val="19"/>
        </w:rPr>
        <w:t>cada</w:t>
      </w:r>
      <w:r>
        <w:rPr>
          <w:spacing w:val="-7"/>
          <w:w w:val="105"/>
          <w:sz w:val="19"/>
        </w:rPr>
        <w:t> </w:t>
      </w:r>
      <w:r>
        <w:rPr>
          <w:spacing w:val="-3"/>
          <w:w w:val="105"/>
          <w:sz w:val="19"/>
        </w:rPr>
        <w:t>vez </w:t>
      </w:r>
      <w:r>
        <w:rPr>
          <w:w w:val="105"/>
          <w:sz w:val="19"/>
        </w:rPr>
        <w:t>más en desacuerdo con un presidente elegido en una circunscripción electoral nacional, especialmente una que representa los intereses y los puntos de </w:t>
      </w:r>
      <w:r>
        <w:rPr>
          <w:spacing w:val="-3"/>
          <w:w w:val="105"/>
          <w:sz w:val="19"/>
        </w:rPr>
        <w:t>vista </w:t>
      </w:r>
      <w:r>
        <w:rPr>
          <w:w w:val="105"/>
          <w:sz w:val="19"/>
        </w:rPr>
        <w:t>del votante mexicano mediano,</w:t>
      </w:r>
      <w:r>
        <w:rPr>
          <w:spacing w:val="-21"/>
          <w:w w:val="105"/>
          <w:sz w:val="19"/>
        </w:rPr>
        <w:t> </w:t>
      </w:r>
      <w:r>
        <w:rPr>
          <w:w w:val="105"/>
          <w:sz w:val="19"/>
        </w:rPr>
        <w:t>cuya</w:t>
      </w:r>
      <w:r>
        <w:rPr>
          <w:spacing w:val="-21"/>
          <w:w w:val="105"/>
          <w:sz w:val="19"/>
        </w:rPr>
        <w:t> </w:t>
      </w:r>
      <w:r>
        <w:rPr>
          <w:w w:val="105"/>
          <w:sz w:val="19"/>
        </w:rPr>
        <w:t>base</w:t>
      </w:r>
      <w:r>
        <w:rPr>
          <w:spacing w:val="-21"/>
          <w:w w:val="105"/>
          <w:sz w:val="19"/>
        </w:rPr>
        <w:t> </w:t>
      </w:r>
      <w:r>
        <w:rPr>
          <w:w w:val="105"/>
          <w:sz w:val="19"/>
        </w:rPr>
        <w:t>es</w:t>
      </w:r>
      <w:r>
        <w:rPr>
          <w:spacing w:val="-21"/>
          <w:w w:val="105"/>
          <w:sz w:val="19"/>
        </w:rPr>
        <w:t> </w:t>
      </w:r>
      <w:r>
        <w:rPr>
          <w:w w:val="105"/>
          <w:sz w:val="19"/>
        </w:rPr>
        <w:t>relativamente</w:t>
      </w:r>
      <w:r>
        <w:rPr>
          <w:spacing w:val="-21"/>
          <w:w w:val="105"/>
          <w:sz w:val="19"/>
        </w:rPr>
        <w:t> </w:t>
      </w:r>
      <w:r>
        <w:rPr>
          <w:w w:val="105"/>
          <w:sz w:val="19"/>
        </w:rPr>
        <w:t>más</w:t>
      </w:r>
      <w:r>
        <w:rPr>
          <w:spacing w:val="-21"/>
          <w:w w:val="105"/>
          <w:sz w:val="19"/>
        </w:rPr>
        <w:t> </w:t>
      </w:r>
      <w:r>
        <w:rPr>
          <w:w w:val="105"/>
          <w:sz w:val="19"/>
        </w:rPr>
        <w:t>urbana</w:t>
      </w:r>
      <w:r>
        <w:rPr>
          <w:rFonts w:ascii="Times New Roman" w:hAnsi="Times New Roman"/>
          <w:w w:val="105"/>
          <w:sz w:val="19"/>
        </w:rPr>
        <w:t>.</w:t>
      </w:r>
    </w:p>
    <w:p>
      <w:pPr>
        <w:spacing w:after="0" w:line="247" w:lineRule="auto"/>
        <w:jc w:val="both"/>
        <w:rPr>
          <w:rFonts w:ascii="Times New Roman" w:hAnsi="Times New Roman"/>
          <w:sz w:val="19"/>
        </w:rPr>
        <w:sectPr>
          <w:pgSz w:w="11910" w:h="16840"/>
          <w:pgMar w:header="0" w:footer="1457" w:top="1580" w:bottom="1640" w:left="1540" w:right="1540"/>
        </w:sectPr>
      </w:pPr>
    </w:p>
    <w:p>
      <w:pPr>
        <w:pStyle w:val="BodyText"/>
        <w:rPr>
          <w:rFonts w:ascii="Times New Roman"/>
          <w:sz w:val="20"/>
        </w:rPr>
      </w:pPr>
    </w:p>
    <w:p>
      <w:pPr>
        <w:pStyle w:val="BodyText"/>
        <w:spacing w:before="2"/>
        <w:rPr>
          <w:rFonts w:ascii="Times New Roman"/>
          <w:sz w:val="16"/>
        </w:rPr>
      </w:pPr>
    </w:p>
    <w:p>
      <w:pPr>
        <w:pStyle w:val="BodyText"/>
        <w:spacing w:line="357" w:lineRule="auto" w:before="74"/>
        <w:ind w:left="115" w:right="112"/>
        <w:jc w:val="both"/>
        <w:rPr>
          <w:sz w:val="15"/>
        </w:rPr>
      </w:pPr>
      <w:r>
        <w:rPr/>
        <w:t>se puede ubicar, además del Presidente, </w:t>
      </w:r>
      <w:r>
        <w:rPr>
          <w:spacing w:val="3"/>
        </w:rPr>
        <w:t>su </w:t>
      </w:r>
      <w:r>
        <w:rPr/>
        <w:t>gabinete, sus asesores y </w:t>
      </w:r>
      <w:r>
        <w:rPr>
          <w:spacing w:val="-3"/>
        </w:rPr>
        <w:t>los </w:t>
      </w:r>
      <w:r>
        <w:rPr/>
        <w:t>líderes corporativistas. Los miembros más importantes del gabinete fueron  el secretario  de Hacienda y el secretario de Gobernación. </w:t>
      </w:r>
      <w:r>
        <w:rPr>
          <w:spacing w:val="-3"/>
        </w:rPr>
        <w:t>Claro </w:t>
      </w:r>
      <w:r>
        <w:rPr/>
        <w:t>está, en el ámbito de </w:t>
      </w:r>
      <w:r>
        <w:rPr>
          <w:spacing w:val="-5"/>
        </w:rPr>
        <w:t>la </w:t>
      </w:r>
      <w:r>
        <w:rPr/>
        <w:t>administración del sistema educativo, el funcionario clave, fue el  titular  de  </w:t>
      </w:r>
      <w:r>
        <w:rPr>
          <w:spacing w:val="-5"/>
        </w:rPr>
        <w:t>la  </w:t>
      </w:r>
      <w:r>
        <w:rPr/>
        <w:t>SEP.</w:t>
      </w:r>
      <w:r>
        <w:rPr>
          <w:position w:val="11"/>
          <w:sz w:val="15"/>
        </w:rPr>
        <w:t>15</w:t>
      </w:r>
    </w:p>
    <w:p>
      <w:pPr>
        <w:pStyle w:val="BodyText"/>
        <w:spacing w:before="6"/>
        <w:rPr>
          <w:sz w:val="34"/>
        </w:rPr>
      </w:pPr>
    </w:p>
    <w:p>
      <w:pPr>
        <w:pStyle w:val="Heading3"/>
        <w:numPr>
          <w:ilvl w:val="2"/>
          <w:numId w:val="11"/>
        </w:numPr>
        <w:tabs>
          <w:tab w:pos="699" w:val="left" w:leader="none"/>
        </w:tabs>
        <w:spacing w:line="240" w:lineRule="auto" w:before="0" w:after="0"/>
        <w:ind w:left="698" w:right="0" w:hanging="582"/>
        <w:jc w:val="both"/>
      </w:pPr>
      <w:bookmarkStart w:name="_TOC_250005" w:id="27"/>
      <w:r>
        <w:rPr/>
        <w:t>El presidente, los maestros y el sindicato</w:t>
      </w:r>
      <w:r>
        <w:rPr>
          <w:spacing w:val="62"/>
        </w:rPr>
        <w:t> </w:t>
      </w:r>
      <w:bookmarkEnd w:id="27"/>
      <w:r>
        <w:rPr/>
        <w:t>magisterial</w:t>
      </w:r>
    </w:p>
    <w:p>
      <w:pPr>
        <w:pStyle w:val="BodyText"/>
        <w:spacing w:line="357" w:lineRule="auto" w:before="138"/>
        <w:ind w:left="115" w:right="105"/>
        <w:jc w:val="both"/>
      </w:pPr>
      <w:r>
        <w:rPr/>
        <w:t>Los líderes de </w:t>
      </w:r>
      <w:r>
        <w:rPr>
          <w:spacing w:val="-3"/>
        </w:rPr>
        <w:t>los </w:t>
      </w:r>
      <w:r>
        <w:rPr/>
        <w:t>sectores corporativistas, cuyos representantes se ubicaron en el Congreso y en las agencias y los departamentos del ejecutivo, </w:t>
      </w:r>
      <w:r>
        <w:rPr>
          <w:spacing w:val="-2"/>
        </w:rPr>
        <w:t>fueron </w:t>
      </w:r>
      <w:r>
        <w:rPr/>
        <w:t>también jugadores clave durante el auge del presidencialismo.</w:t>
      </w:r>
      <w:r>
        <w:rPr>
          <w:position w:val="11"/>
          <w:sz w:val="15"/>
        </w:rPr>
        <w:t>16 </w:t>
      </w:r>
      <w:r>
        <w:rPr/>
        <w:t>En este marco, </w:t>
      </w:r>
      <w:r>
        <w:rPr>
          <w:spacing w:val="-3"/>
        </w:rPr>
        <w:t>es </w:t>
      </w:r>
      <w:r>
        <w:rPr/>
        <w:t>donde aparece el liderazgo del Sindicato Nacional de Trabajadores de </w:t>
      </w:r>
      <w:r>
        <w:rPr>
          <w:spacing w:val="-4"/>
        </w:rPr>
        <w:t>la </w:t>
      </w:r>
      <w:r>
        <w:rPr/>
        <w:t>Educación (SNTE). ¿Bajo qué esquema de relación</w:t>
      </w:r>
      <w:r>
        <w:rPr>
          <w:spacing w:val="56"/>
        </w:rPr>
        <w:t> </w:t>
      </w:r>
      <w:r>
        <w:rPr/>
        <w:t>política?</w:t>
      </w:r>
    </w:p>
    <w:p>
      <w:pPr>
        <w:pStyle w:val="BodyText"/>
        <w:spacing w:line="364" w:lineRule="auto" w:before="8"/>
        <w:ind w:left="116" w:right="105" w:firstLine="686"/>
        <w:jc w:val="both"/>
      </w:pPr>
      <w:r>
        <w:rPr/>
        <w:t>El presidente, como máximo representante del poder político, con el apoyo del titular de </w:t>
      </w:r>
      <w:r>
        <w:rPr>
          <w:spacing w:val="-4"/>
        </w:rPr>
        <w:t>la </w:t>
      </w:r>
      <w:r>
        <w:rPr/>
        <w:t>SEP, podía decidir </w:t>
      </w:r>
      <w:r>
        <w:rPr>
          <w:spacing w:val="-4"/>
        </w:rPr>
        <w:t>la </w:t>
      </w:r>
      <w:r>
        <w:rPr/>
        <w:t>continuidad del líder del SNTE. En particular porque los trabajadores de </w:t>
      </w:r>
      <w:r>
        <w:rPr>
          <w:spacing w:val="-5"/>
        </w:rPr>
        <w:t>la </w:t>
      </w:r>
      <w:r>
        <w:rPr/>
        <w:t>educación son empleados del Poder Ejecutivo  Federal y de los gobiernos de </w:t>
      </w:r>
      <w:r>
        <w:rPr>
          <w:spacing w:val="-4"/>
        </w:rPr>
        <w:t>los </w:t>
      </w:r>
      <w:r>
        <w:rPr/>
        <w:t>estados. Pero quien define el presupuesto educativo y los planes y programas </w:t>
      </w:r>
      <w:r>
        <w:rPr>
          <w:spacing w:val="2"/>
        </w:rPr>
        <w:t>de </w:t>
      </w:r>
      <w:r>
        <w:rPr/>
        <w:t>estudio, así como los  términos  de  operación </w:t>
      </w:r>
      <w:r>
        <w:rPr>
          <w:spacing w:val="3"/>
        </w:rPr>
        <w:t>de </w:t>
      </w:r>
      <w:r>
        <w:rPr/>
        <w:t>la actividad educativa, </w:t>
      </w:r>
      <w:r>
        <w:rPr>
          <w:spacing w:val="-3"/>
        </w:rPr>
        <w:t>es </w:t>
      </w:r>
      <w:r>
        <w:rPr/>
        <w:t>el Presidente, a través de </w:t>
      </w:r>
      <w:r>
        <w:rPr>
          <w:spacing w:val="-6"/>
        </w:rPr>
        <w:t>la </w:t>
      </w:r>
      <w:r>
        <w:rPr/>
        <w:t>SEP. También porque el Ejecutivo, a través del Tribunal de Conciliación y Arbitraje, que depende de </w:t>
      </w:r>
      <w:r>
        <w:rPr>
          <w:spacing w:val="-3"/>
        </w:rPr>
        <w:t>la </w:t>
      </w:r>
      <w:r>
        <w:rPr/>
        <w:t>Secretaría de Gobernación, tiene </w:t>
      </w:r>
      <w:r>
        <w:rPr>
          <w:spacing w:val="-3"/>
        </w:rPr>
        <w:t>la  </w:t>
      </w:r>
      <w:r>
        <w:rPr/>
        <w:t>prerrogativa de reconocer a los líderes  de este</w:t>
      </w:r>
      <w:r>
        <w:rPr>
          <w:spacing w:val="12"/>
        </w:rPr>
        <w:t> </w:t>
      </w:r>
      <w:r>
        <w:rPr/>
        <w:t>gremio.</w:t>
      </w:r>
    </w:p>
    <w:p>
      <w:pPr>
        <w:pStyle w:val="BodyText"/>
        <w:rPr>
          <w:sz w:val="20"/>
        </w:rPr>
      </w:pPr>
    </w:p>
    <w:p>
      <w:pPr>
        <w:pStyle w:val="BodyText"/>
        <w:rPr>
          <w:sz w:val="20"/>
        </w:rPr>
      </w:pPr>
    </w:p>
    <w:p>
      <w:pPr>
        <w:pStyle w:val="BodyText"/>
        <w:spacing w:before="7"/>
        <w:rPr>
          <w:sz w:val="19"/>
        </w:rPr>
      </w:pPr>
      <w:r>
        <w:rPr/>
        <w:pict>
          <v:line style="position:absolute;mso-position-horizontal-relative:page;mso-position-vertical-relative:paragraph;z-index:1336;mso-wrap-distance-left:0;mso-wrap-distance-right:0" from="82.799004pt,13.607154pt" to="222.958004pt,13.607154pt" stroked="true" strokeweight=".72pt" strokecolor="#000000">
            <w10:wrap type="topAndBottom"/>
          </v:line>
        </w:pict>
      </w:r>
    </w:p>
    <w:p>
      <w:pPr>
        <w:spacing w:line="244" w:lineRule="auto" w:before="46"/>
        <w:ind w:left="115" w:right="102" w:firstLine="0"/>
        <w:jc w:val="both"/>
        <w:rPr>
          <w:sz w:val="19"/>
        </w:rPr>
      </w:pPr>
      <w:r>
        <w:rPr>
          <w:spacing w:val="-4"/>
          <w:w w:val="105"/>
          <w:position w:val="10"/>
          <w:sz w:val="12"/>
        </w:rPr>
        <w:t>15 </w:t>
      </w:r>
      <w:r>
        <w:rPr>
          <w:w w:val="105"/>
          <w:sz w:val="19"/>
        </w:rPr>
        <w:t>El secretario </w:t>
      </w:r>
      <w:r>
        <w:rPr>
          <w:spacing w:val="-3"/>
          <w:w w:val="105"/>
          <w:sz w:val="19"/>
        </w:rPr>
        <w:t>de </w:t>
      </w:r>
      <w:r>
        <w:rPr>
          <w:w w:val="105"/>
          <w:sz w:val="19"/>
        </w:rPr>
        <w:t>Gobernación </w:t>
      </w:r>
      <w:r>
        <w:rPr>
          <w:spacing w:val="-2"/>
          <w:w w:val="105"/>
          <w:sz w:val="19"/>
        </w:rPr>
        <w:t>fue </w:t>
      </w:r>
      <w:r>
        <w:rPr>
          <w:w w:val="105"/>
          <w:sz w:val="19"/>
        </w:rPr>
        <w:t>responsable de la administración política interna y lideró las agencias de inteligencia, que controlaban </w:t>
      </w:r>
      <w:r>
        <w:rPr>
          <w:spacing w:val="-3"/>
          <w:w w:val="105"/>
          <w:sz w:val="19"/>
        </w:rPr>
        <w:t>tanto </w:t>
      </w:r>
      <w:r>
        <w:rPr>
          <w:w w:val="105"/>
          <w:sz w:val="19"/>
        </w:rPr>
        <w:t>a oponentes como a miembros del régimen. El secretario de Gobernación supervisó los gobiernos estatal y municipal y orquestó la implementación de recursos que permitieron al PRI poseer el control </w:t>
      </w:r>
      <w:r>
        <w:rPr>
          <w:spacing w:val="-3"/>
          <w:w w:val="105"/>
          <w:sz w:val="19"/>
        </w:rPr>
        <w:t>de </w:t>
      </w:r>
      <w:r>
        <w:rPr>
          <w:w w:val="105"/>
          <w:sz w:val="19"/>
        </w:rPr>
        <w:t>la gran mayoría </w:t>
      </w:r>
      <w:r>
        <w:rPr>
          <w:spacing w:val="-3"/>
          <w:w w:val="105"/>
          <w:sz w:val="19"/>
        </w:rPr>
        <w:t>de </w:t>
      </w:r>
      <w:r>
        <w:rPr>
          <w:w w:val="105"/>
          <w:sz w:val="19"/>
        </w:rPr>
        <w:t>los puestos</w:t>
      </w:r>
      <w:r>
        <w:rPr>
          <w:spacing w:val="-9"/>
          <w:w w:val="105"/>
          <w:sz w:val="19"/>
        </w:rPr>
        <w:t> </w:t>
      </w:r>
      <w:r>
        <w:rPr>
          <w:w w:val="105"/>
          <w:sz w:val="19"/>
        </w:rPr>
        <w:t>de</w:t>
      </w:r>
      <w:r>
        <w:rPr>
          <w:spacing w:val="-9"/>
          <w:w w:val="105"/>
          <w:sz w:val="19"/>
        </w:rPr>
        <w:t> </w:t>
      </w:r>
      <w:r>
        <w:rPr>
          <w:w w:val="105"/>
          <w:sz w:val="19"/>
        </w:rPr>
        <w:t>elección</w:t>
      </w:r>
      <w:r>
        <w:rPr>
          <w:spacing w:val="-9"/>
          <w:w w:val="105"/>
          <w:sz w:val="19"/>
        </w:rPr>
        <w:t> </w:t>
      </w:r>
      <w:r>
        <w:rPr>
          <w:w w:val="105"/>
          <w:sz w:val="19"/>
        </w:rPr>
        <w:t>en</w:t>
      </w:r>
      <w:r>
        <w:rPr>
          <w:spacing w:val="-9"/>
          <w:w w:val="105"/>
          <w:sz w:val="19"/>
        </w:rPr>
        <w:t> </w:t>
      </w:r>
      <w:r>
        <w:rPr>
          <w:w w:val="105"/>
          <w:sz w:val="19"/>
        </w:rPr>
        <w:t>el</w:t>
      </w:r>
      <w:r>
        <w:rPr>
          <w:spacing w:val="-6"/>
          <w:w w:val="105"/>
          <w:sz w:val="19"/>
        </w:rPr>
        <w:t> </w:t>
      </w:r>
      <w:r>
        <w:rPr>
          <w:w w:val="105"/>
          <w:sz w:val="19"/>
        </w:rPr>
        <w:t>país</w:t>
      </w:r>
      <w:r>
        <w:rPr>
          <w:spacing w:val="-9"/>
          <w:w w:val="105"/>
          <w:sz w:val="19"/>
        </w:rPr>
        <w:t> </w:t>
      </w:r>
      <w:r>
        <w:rPr>
          <w:w w:val="105"/>
          <w:sz w:val="19"/>
        </w:rPr>
        <w:t>hasta</w:t>
      </w:r>
      <w:r>
        <w:rPr>
          <w:spacing w:val="-9"/>
          <w:w w:val="105"/>
          <w:sz w:val="19"/>
        </w:rPr>
        <w:t> </w:t>
      </w:r>
      <w:r>
        <w:rPr>
          <w:spacing w:val="2"/>
          <w:w w:val="105"/>
          <w:sz w:val="19"/>
        </w:rPr>
        <w:t>la</w:t>
      </w:r>
      <w:r>
        <w:rPr>
          <w:spacing w:val="-12"/>
          <w:w w:val="105"/>
          <w:sz w:val="19"/>
        </w:rPr>
        <w:t> </w:t>
      </w:r>
      <w:r>
        <w:rPr>
          <w:w w:val="105"/>
          <w:sz w:val="19"/>
        </w:rPr>
        <w:t>década</w:t>
      </w:r>
      <w:r>
        <w:rPr>
          <w:spacing w:val="-9"/>
          <w:w w:val="105"/>
          <w:sz w:val="19"/>
        </w:rPr>
        <w:t> </w:t>
      </w:r>
      <w:r>
        <w:rPr>
          <w:w w:val="105"/>
          <w:sz w:val="19"/>
        </w:rPr>
        <w:t>de</w:t>
      </w:r>
      <w:r>
        <w:rPr>
          <w:spacing w:val="-9"/>
          <w:w w:val="105"/>
          <w:sz w:val="19"/>
        </w:rPr>
        <w:t> </w:t>
      </w:r>
      <w:r>
        <w:rPr>
          <w:w w:val="105"/>
          <w:sz w:val="19"/>
        </w:rPr>
        <w:t>1990</w:t>
      </w:r>
      <w:r>
        <w:rPr>
          <w:spacing w:val="-5"/>
          <w:w w:val="105"/>
          <w:sz w:val="19"/>
        </w:rPr>
        <w:t> </w:t>
      </w:r>
      <w:r>
        <w:rPr>
          <w:w w:val="105"/>
          <w:sz w:val="19"/>
        </w:rPr>
        <w:t>(Molinar</w:t>
      </w:r>
      <w:r>
        <w:rPr>
          <w:spacing w:val="-12"/>
          <w:w w:val="105"/>
          <w:sz w:val="19"/>
        </w:rPr>
        <w:t> </w:t>
      </w:r>
      <w:r>
        <w:rPr>
          <w:w w:val="105"/>
          <w:sz w:val="19"/>
        </w:rPr>
        <w:t>Horcasitas,</w:t>
      </w:r>
      <w:r>
        <w:rPr>
          <w:spacing w:val="-9"/>
          <w:w w:val="105"/>
          <w:sz w:val="19"/>
        </w:rPr>
        <w:t> </w:t>
      </w:r>
      <w:r>
        <w:rPr>
          <w:w w:val="105"/>
          <w:sz w:val="19"/>
        </w:rPr>
        <w:t>1991).</w:t>
      </w:r>
      <w:r>
        <w:rPr>
          <w:spacing w:val="-9"/>
          <w:w w:val="105"/>
          <w:sz w:val="19"/>
        </w:rPr>
        <w:t> </w:t>
      </w:r>
      <w:r>
        <w:rPr>
          <w:w w:val="105"/>
          <w:sz w:val="19"/>
        </w:rPr>
        <w:t>Por</w:t>
      </w:r>
      <w:r>
        <w:rPr>
          <w:spacing w:val="-9"/>
          <w:w w:val="105"/>
          <w:sz w:val="19"/>
        </w:rPr>
        <w:t> </w:t>
      </w:r>
      <w:r>
        <w:rPr>
          <w:spacing w:val="-3"/>
          <w:w w:val="105"/>
          <w:sz w:val="19"/>
        </w:rPr>
        <w:t>su</w:t>
      </w:r>
      <w:r>
        <w:rPr>
          <w:spacing w:val="-9"/>
          <w:w w:val="105"/>
          <w:sz w:val="19"/>
        </w:rPr>
        <w:t> </w:t>
      </w:r>
      <w:r>
        <w:rPr>
          <w:w w:val="105"/>
          <w:sz w:val="19"/>
        </w:rPr>
        <w:t>parte</w:t>
      </w:r>
      <w:r>
        <w:rPr>
          <w:spacing w:val="-9"/>
          <w:w w:val="105"/>
          <w:sz w:val="19"/>
        </w:rPr>
        <w:t> </w:t>
      </w:r>
      <w:r>
        <w:rPr>
          <w:w w:val="105"/>
          <w:sz w:val="19"/>
        </w:rPr>
        <w:t>el titular de la SEP, coordinado con los dos primeros, orientó la política educativa en función de la agenda</w:t>
      </w:r>
      <w:r>
        <w:rPr>
          <w:spacing w:val="-19"/>
          <w:w w:val="105"/>
          <w:sz w:val="19"/>
        </w:rPr>
        <w:t> </w:t>
      </w:r>
      <w:r>
        <w:rPr>
          <w:w w:val="105"/>
          <w:sz w:val="19"/>
        </w:rPr>
        <w:t>política</w:t>
      </w:r>
      <w:r>
        <w:rPr>
          <w:spacing w:val="-19"/>
          <w:w w:val="105"/>
          <w:sz w:val="19"/>
        </w:rPr>
        <w:t> </w:t>
      </w:r>
      <w:r>
        <w:rPr>
          <w:w w:val="105"/>
          <w:sz w:val="19"/>
        </w:rPr>
        <w:t>y</w:t>
      </w:r>
      <w:r>
        <w:rPr>
          <w:spacing w:val="-23"/>
          <w:w w:val="105"/>
          <w:sz w:val="19"/>
        </w:rPr>
        <w:t> </w:t>
      </w:r>
      <w:r>
        <w:rPr>
          <w:w w:val="105"/>
          <w:sz w:val="19"/>
        </w:rPr>
        <w:t>administrativa</w:t>
      </w:r>
      <w:r>
        <w:rPr>
          <w:spacing w:val="-19"/>
          <w:w w:val="105"/>
          <w:sz w:val="19"/>
        </w:rPr>
        <w:t> </w:t>
      </w:r>
      <w:r>
        <w:rPr>
          <w:w w:val="105"/>
          <w:sz w:val="19"/>
        </w:rPr>
        <w:t>del</w:t>
      </w:r>
      <w:r>
        <w:rPr>
          <w:spacing w:val="-19"/>
          <w:w w:val="105"/>
          <w:sz w:val="19"/>
        </w:rPr>
        <w:t> </w:t>
      </w:r>
      <w:r>
        <w:rPr>
          <w:w w:val="105"/>
          <w:sz w:val="19"/>
        </w:rPr>
        <w:t>gobierno</w:t>
      </w:r>
      <w:r>
        <w:rPr>
          <w:spacing w:val="-19"/>
          <w:w w:val="105"/>
          <w:sz w:val="19"/>
        </w:rPr>
        <w:t> </w:t>
      </w:r>
      <w:r>
        <w:rPr>
          <w:w w:val="105"/>
          <w:sz w:val="19"/>
        </w:rPr>
        <w:t>en</w:t>
      </w:r>
      <w:r>
        <w:rPr>
          <w:spacing w:val="-19"/>
          <w:w w:val="105"/>
          <w:sz w:val="19"/>
        </w:rPr>
        <w:t> </w:t>
      </w:r>
      <w:r>
        <w:rPr>
          <w:w w:val="105"/>
          <w:sz w:val="19"/>
        </w:rPr>
        <w:t>turno.</w:t>
      </w:r>
    </w:p>
    <w:p>
      <w:pPr>
        <w:spacing w:line="226" w:lineRule="exact" w:before="0"/>
        <w:ind w:left="115" w:right="100" w:firstLine="0"/>
        <w:jc w:val="both"/>
        <w:rPr>
          <w:sz w:val="19"/>
        </w:rPr>
      </w:pPr>
      <w:r>
        <w:rPr>
          <w:w w:val="105"/>
          <w:position w:val="10"/>
          <w:sz w:val="12"/>
        </w:rPr>
        <w:t>16 </w:t>
      </w:r>
      <w:r>
        <w:rPr>
          <w:w w:val="105"/>
          <w:sz w:val="19"/>
        </w:rPr>
        <w:t>A partir del gobierno de Lázaro Cárdenas (1934-40) la membresía del partido se basó en la afiliación de campesinos, obreros y del sector popular. Los campesinos beneficiados con apoyos</w:t>
      </w:r>
    </w:p>
    <w:p>
      <w:pPr>
        <w:spacing w:line="244" w:lineRule="auto" w:before="2"/>
        <w:ind w:left="115" w:right="100" w:firstLine="0"/>
        <w:jc w:val="both"/>
        <w:rPr>
          <w:sz w:val="19"/>
        </w:rPr>
      </w:pPr>
      <w:r>
        <w:rPr>
          <w:w w:val="105"/>
          <w:sz w:val="19"/>
        </w:rPr>
        <w:t>económicos o reparto agrario, se les afiliaba a la Confederación Nacional Campesina (CNC). Los obreros industriales y </w:t>
      </w:r>
      <w:r>
        <w:rPr>
          <w:spacing w:val="3"/>
          <w:w w:val="105"/>
          <w:sz w:val="19"/>
        </w:rPr>
        <w:t>los </w:t>
      </w:r>
      <w:r>
        <w:rPr>
          <w:w w:val="105"/>
          <w:sz w:val="19"/>
        </w:rPr>
        <w:t>artesanos urbanos </w:t>
      </w:r>
      <w:r>
        <w:rPr>
          <w:spacing w:val="-4"/>
          <w:w w:val="105"/>
          <w:sz w:val="19"/>
        </w:rPr>
        <w:t>se </w:t>
      </w:r>
      <w:r>
        <w:rPr>
          <w:w w:val="105"/>
          <w:sz w:val="19"/>
        </w:rPr>
        <w:t>volvían miembros del “sector obrero”, que estaba conformado por las principales centrales de trabajadores (CTM, CROM, CROC). </w:t>
      </w:r>
      <w:r>
        <w:rPr>
          <w:spacing w:val="-3"/>
          <w:w w:val="105"/>
          <w:sz w:val="19"/>
        </w:rPr>
        <w:t>Por </w:t>
      </w:r>
      <w:r>
        <w:rPr>
          <w:w w:val="105"/>
          <w:sz w:val="19"/>
        </w:rPr>
        <w:t>su parte,</w:t>
      </w:r>
      <w:r>
        <w:rPr>
          <w:spacing w:val="-37"/>
          <w:w w:val="105"/>
          <w:sz w:val="19"/>
        </w:rPr>
        <w:t> </w:t>
      </w:r>
      <w:r>
        <w:rPr>
          <w:w w:val="105"/>
          <w:sz w:val="19"/>
        </w:rPr>
        <w:t>los empleados del sector público, los profesionales de clase media y cualquier </w:t>
      </w:r>
      <w:r>
        <w:rPr>
          <w:spacing w:val="-3"/>
          <w:w w:val="105"/>
          <w:sz w:val="19"/>
        </w:rPr>
        <w:t>otro </w:t>
      </w:r>
      <w:r>
        <w:rPr>
          <w:w w:val="105"/>
          <w:sz w:val="19"/>
        </w:rPr>
        <w:t>empleado no perteneciente</w:t>
      </w:r>
      <w:r>
        <w:rPr>
          <w:spacing w:val="-2"/>
          <w:w w:val="105"/>
          <w:sz w:val="19"/>
        </w:rPr>
        <w:t> </w:t>
      </w:r>
      <w:r>
        <w:rPr>
          <w:w w:val="105"/>
          <w:sz w:val="19"/>
        </w:rPr>
        <w:t>a</w:t>
      </w:r>
      <w:r>
        <w:rPr>
          <w:spacing w:val="-7"/>
          <w:w w:val="105"/>
          <w:sz w:val="19"/>
        </w:rPr>
        <w:t> </w:t>
      </w:r>
      <w:r>
        <w:rPr>
          <w:w w:val="105"/>
          <w:sz w:val="19"/>
        </w:rPr>
        <w:t>alguno</w:t>
      </w:r>
      <w:r>
        <w:rPr>
          <w:spacing w:val="-7"/>
          <w:w w:val="105"/>
          <w:sz w:val="19"/>
        </w:rPr>
        <w:t> </w:t>
      </w:r>
      <w:r>
        <w:rPr>
          <w:w w:val="105"/>
          <w:sz w:val="19"/>
        </w:rPr>
        <w:t>de</w:t>
      </w:r>
      <w:r>
        <w:rPr>
          <w:spacing w:val="-7"/>
          <w:w w:val="105"/>
          <w:sz w:val="19"/>
        </w:rPr>
        <w:t> </w:t>
      </w:r>
      <w:r>
        <w:rPr>
          <w:w w:val="105"/>
          <w:sz w:val="19"/>
        </w:rPr>
        <w:t>los</w:t>
      </w:r>
      <w:r>
        <w:rPr>
          <w:spacing w:val="-7"/>
          <w:w w:val="105"/>
          <w:sz w:val="19"/>
        </w:rPr>
        <w:t> </w:t>
      </w:r>
      <w:r>
        <w:rPr>
          <w:w w:val="105"/>
          <w:sz w:val="19"/>
        </w:rPr>
        <w:t>grupos</w:t>
      </w:r>
      <w:r>
        <w:rPr>
          <w:spacing w:val="-5"/>
          <w:w w:val="105"/>
          <w:sz w:val="19"/>
        </w:rPr>
        <w:t> </w:t>
      </w:r>
      <w:r>
        <w:rPr>
          <w:spacing w:val="-4"/>
          <w:w w:val="105"/>
          <w:sz w:val="19"/>
        </w:rPr>
        <w:t>ya</w:t>
      </w:r>
      <w:r>
        <w:rPr>
          <w:spacing w:val="-9"/>
          <w:w w:val="105"/>
          <w:sz w:val="19"/>
        </w:rPr>
        <w:t> </w:t>
      </w:r>
      <w:r>
        <w:rPr>
          <w:w w:val="105"/>
          <w:sz w:val="19"/>
        </w:rPr>
        <w:t>mencionados,</w:t>
      </w:r>
      <w:r>
        <w:rPr>
          <w:spacing w:val="-7"/>
          <w:w w:val="105"/>
          <w:sz w:val="19"/>
        </w:rPr>
        <w:t> </w:t>
      </w:r>
      <w:r>
        <w:rPr>
          <w:w w:val="105"/>
          <w:sz w:val="19"/>
        </w:rPr>
        <w:t>se</w:t>
      </w:r>
      <w:r>
        <w:rPr>
          <w:spacing w:val="-7"/>
          <w:w w:val="105"/>
          <w:sz w:val="19"/>
        </w:rPr>
        <w:t> </w:t>
      </w:r>
      <w:r>
        <w:rPr>
          <w:w w:val="105"/>
          <w:sz w:val="19"/>
        </w:rPr>
        <w:t>unieron</w:t>
      </w:r>
      <w:r>
        <w:rPr>
          <w:spacing w:val="-7"/>
          <w:w w:val="105"/>
          <w:sz w:val="19"/>
        </w:rPr>
        <w:t> </w:t>
      </w:r>
      <w:r>
        <w:rPr>
          <w:w w:val="105"/>
          <w:sz w:val="19"/>
        </w:rPr>
        <w:t>a</w:t>
      </w:r>
      <w:r>
        <w:rPr>
          <w:spacing w:val="-5"/>
          <w:w w:val="105"/>
          <w:sz w:val="19"/>
        </w:rPr>
        <w:t> </w:t>
      </w:r>
      <w:r>
        <w:rPr>
          <w:w w:val="105"/>
          <w:sz w:val="19"/>
        </w:rPr>
        <w:t>la</w:t>
      </w:r>
      <w:r>
        <w:rPr>
          <w:spacing w:val="-7"/>
          <w:w w:val="105"/>
          <w:sz w:val="19"/>
        </w:rPr>
        <w:t> </w:t>
      </w:r>
      <w:r>
        <w:rPr>
          <w:w w:val="105"/>
          <w:sz w:val="19"/>
        </w:rPr>
        <w:t>Confederación</w:t>
      </w:r>
      <w:r>
        <w:rPr>
          <w:spacing w:val="-9"/>
          <w:w w:val="105"/>
          <w:sz w:val="19"/>
        </w:rPr>
        <w:t> </w:t>
      </w:r>
      <w:r>
        <w:rPr>
          <w:w w:val="105"/>
          <w:sz w:val="19"/>
        </w:rPr>
        <w:t>Nacional</w:t>
      </w:r>
      <w:r>
        <w:rPr>
          <w:spacing w:val="-4"/>
          <w:w w:val="105"/>
          <w:sz w:val="19"/>
        </w:rPr>
        <w:t> </w:t>
      </w:r>
      <w:r>
        <w:rPr>
          <w:w w:val="105"/>
          <w:sz w:val="19"/>
        </w:rPr>
        <w:t>de </w:t>
      </w:r>
      <w:r>
        <w:rPr>
          <w:sz w:val="19"/>
        </w:rPr>
        <w:t>Organizaciones  Populares</w:t>
      </w:r>
      <w:r>
        <w:rPr>
          <w:spacing w:val="10"/>
          <w:sz w:val="19"/>
        </w:rPr>
        <w:t> </w:t>
      </w:r>
      <w:r>
        <w:rPr>
          <w:sz w:val="19"/>
        </w:rPr>
        <w:t>(CNOP).</w:t>
      </w:r>
    </w:p>
    <w:p>
      <w:pPr>
        <w:spacing w:after="0" w:line="244" w:lineRule="auto"/>
        <w:jc w:val="both"/>
        <w:rPr>
          <w:sz w:val="19"/>
        </w:rPr>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6" w:right="105" w:firstLine="686"/>
        <w:jc w:val="both"/>
      </w:pPr>
      <w:r>
        <w:rPr/>
        <w:t>El SNTE, aunque siempre ha tenido facultades genuinas de negociación y para tomar posiciones beligerantes relacionadas con </w:t>
      </w:r>
      <w:r>
        <w:rPr>
          <w:spacing w:val="-3"/>
        </w:rPr>
        <w:t>las </w:t>
      </w:r>
      <w:r>
        <w:rPr/>
        <w:t>demandas laborales  de  los trabajadores de </w:t>
      </w:r>
      <w:r>
        <w:rPr>
          <w:spacing w:val="-3"/>
        </w:rPr>
        <w:t>la </w:t>
      </w:r>
      <w:r>
        <w:rPr/>
        <w:t>educación (administrativos y docentes), en momentos específicos, tiene </w:t>
      </w:r>
      <w:r>
        <w:rPr>
          <w:spacing w:val="-3"/>
        </w:rPr>
        <w:t>la </w:t>
      </w:r>
      <w:r>
        <w:rPr/>
        <w:t>función </w:t>
      </w:r>
      <w:r>
        <w:rPr>
          <w:spacing w:val="-3"/>
        </w:rPr>
        <w:t>de </w:t>
      </w:r>
      <w:r>
        <w:rPr/>
        <w:t>contener </w:t>
      </w:r>
      <w:r>
        <w:rPr>
          <w:spacing w:val="-3"/>
        </w:rPr>
        <w:t>las </w:t>
      </w:r>
      <w:r>
        <w:rPr/>
        <w:t>protestas de grupos disidentes de maestros que se oponen a las políticas educativas, de movilizar a sus integrantes para  apoyar  campañas  electorales  del  PRI  en  los  niveles  municipal,  estatal </w:t>
      </w:r>
      <w:r>
        <w:rPr>
          <w:spacing w:val="39"/>
        </w:rPr>
        <w:t> </w:t>
      </w:r>
      <w:r>
        <w:rPr/>
        <w:t>y</w:t>
      </w:r>
    </w:p>
    <w:p>
      <w:pPr>
        <w:pStyle w:val="BodyText"/>
        <w:spacing w:line="333" w:lineRule="auto" w:before="5"/>
        <w:ind w:left="116" w:right="191"/>
        <w:rPr>
          <w:sz w:val="15"/>
        </w:rPr>
      </w:pPr>
      <w:r>
        <w:rPr/>
        <w:t>federal. A cambio de ello, el sindicato recibió un número significativo de prerrogativas político-administrativas.</w:t>
      </w:r>
      <w:r>
        <w:rPr>
          <w:position w:val="11"/>
          <w:sz w:val="15"/>
        </w:rPr>
        <w:t>17</w:t>
      </w:r>
    </w:p>
    <w:p>
      <w:pPr>
        <w:pStyle w:val="BodyText"/>
        <w:spacing w:line="357" w:lineRule="auto" w:before="24"/>
        <w:ind w:left="115" w:right="105" w:firstLine="686"/>
        <w:jc w:val="both"/>
      </w:pPr>
      <w:r>
        <w:rPr/>
        <w:t>La fuerza corporativa del SNTE </w:t>
      </w:r>
      <w:r>
        <w:rPr>
          <w:spacing w:val="3"/>
        </w:rPr>
        <w:t>se </w:t>
      </w:r>
      <w:r>
        <w:rPr/>
        <w:t>asentó en el hecho de que la legislación laboral que regula </w:t>
      </w:r>
      <w:r>
        <w:rPr>
          <w:spacing w:val="-3"/>
        </w:rPr>
        <w:t>las </w:t>
      </w:r>
      <w:r>
        <w:rPr/>
        <w:t>actividades sindicales </w:t>
      </w:r>
      <w:r>
        <w:rPr>
          <w:spacing w:val="-3"/>
        </w:rPr>
        <w:t>de </w:t>
      </w:r>
      <w:r>
        <w:rPr/>
        <w:t>los empleados públicos </w:t>
      </w:r>
      <w:r>
        <w:rPr>
          <w:spacing w:val="-3"/>
        </w:rPr>
        <w:t>en </w:t>
      </w:r>
      <w:r>
        <w:rPr/>
        <w:t>México, establece que no puede haber otro sindicato al interior de </w:t>
      </w:r>
      <w:r>
        <w:rPr>
          <w:spacing w:val="-5"/>
        </w:rPr>
        <w:t>la </w:t>
      </w:r>
      <w:r>
        <w:rPr/>
        <w:t>SEP</w:t>
      </w:r>
      <w:r>
        <w:rPr>
          <w:position w:val="11"/>
          <w:sz w:val="15"/>
        </w:rPr>
        <w:t>18</w:t>
      </w:r>
      <w:r>
        <w:rPr/>
        <w:t>, por tanto el SNTE no ha competido con otras organizaciones laborales por la representación   del  gremio  magisterial  ni  a  nivel  nacional  ni  en  las  </w:t>
      </w:r>
      <w:r>
        <w:rPr>
          <w:spacing w:val="3"/>
        </w:rPr>
        <w:t>32  </w:t>
      </w:r>
      <w:r>
        <w:rPr/>
        <w:t>entidades  del  país. </w:t>
      </w:r>
      <w:r>
        <w:rPr>
          <w:spacing w:val="12"/>
        </w:rPr>
        <w:t> </w:t>
      </w:r>
      <w:r>
        <w:rPr/>
        <w:t>Al</w:t>
      </w:r>
    </w:p>
    <w:p>
      <w:pPr>
        <w:pStyle w:val="BodyText"/>
        <w:spacing w:line="364" w:lineRule="auto" w:before="17"/>
        <w:ind w:left="115" w:right="191"/>
      </w:pPr>
      <w:r>
        <w:rPr/>
        <w:t>ingresar a la SEP, los trabajadores quedaban afiliados automáticamente al sindicato, salvo los de</w:t>
      </w:r>
      <w:r>
        <w:rPr>
          <w:spacing w:val="29"/>
        </w:rPr>
        <w:t> </w:t>
      </w:r>
      <w:r>
        <w:rPr/>
        <w:t>confianza.</w:t>
      </w:r>
    </w:p>
    <w:p>
      <w:pPr>
        <w:pStyle w:val="BodyText"/>
        <w:spacing w:line="364" w:lineRule="auto"/>
        <w:ind w:left="115" w:right="103" w:firstLine="686"/>
        <w:jc w:val="both"/>
      </w:pPr>
      <w:r>
        <w:rPr/>
        <w:t>El SNTE está compuesto por 56 secciones </w:t>
      </w:r>
      <w:r>
        <w:rPr>
          <w:spacing w:val="-3"/>
        </w:rPr>
        <w:t>que </w:t>
      </w:r>
      <w:r>
        <w:rPr/>
        <w:t>están distribuidas a lo largo de todo el territorio nacional y </w:t>
      </w:r>
      <w:r>
        <w:rPr>
          <w:spacing w:val="3"/>
        </w:rPr>
        <w:t>se </w:t>
      </w:r>
      <w:r>
        <w:rPr/>
        <w:t>dividen en siete mil delegaciones. Hasta </w:t>
      </w:r>
      <w:r>
        <w:rPr>
          <w:spacing w:val="-3"/>
        </w:rPr>
        <w:t>mayo </w:t>
      </w:r>
      <w:r>
        <w:rPr/>
        <w:t>de 1992, antes de </w:t>
      </w:r>
      <w:r>
        <w:rPr>
          <w:spacing w:val="-5"/>
        </w:rPr>
        <w:t>la </w:t>
      </w:r>
      <w:r>
        <w:rPr/>
        <w:t>federalización de la educación básica, las secciones estaban dividas en federales, únicas, estatales y una </w:t>
      </w:r>
      <w:r>
        <w:rPr>
          <w:spacing w:val="-3"/>
        </w:rPr>
        <w:t>de </w:t>
      </w:r>
      <w:r>
        <w:rPr/>
        <w:t>escuelas  particulares.  </w:t>
      </w:r>
      <w:r>
        <w:rPr>
          <w:spacing w:val="-3"/>
        </w:rPr>
        <w:t>Las  </w:t>
      </w:r>
      <w:r>
        <w:rPr/>
        <w:t>primeras estaban integradas por los trabajadores </w:t>
      </w:r>
      <w:r>
        <w:rPr>
          <w:spacing w:val="2"/>
        </w:rPr>
        <w:t>de </w:t>
      </w:r>
      <w:r>
        <w:rPr>
          <w:spacing w:val="-3"/>
        </w:rPr>
        <w:t>la </w:t>
      </w:r>
      <w:r>
        <w:rPr/>
        <w:t>educación que prestaban  sus servicios en instituciones que dependían laboral y financieramente  del  gobierno federal. Las segundas, correspondía a los empleados que tenían como contraparte patronal a los gobiernos de los estados. </w:t>
      </w:r>
      <w:r>
        <w:rPr>
          <w:spacing w:val="-3"/>
        </w:rPr>
        <w:t>Las </w:t>
      </w:r>
      <w:r>
        <w:rPr/>
        <w:t>secciones únicas agrupaban por lo regular dentro de una misma entidad federativa a los empleados dependientes del presupuesto federal y estatal (Benavides y Velasco, </w:t>
      </w:r>
      <w:r>
        <w:rPr>
          <w:spacing w:val="18"/>
        </w:rPr>
        <w:t> </w:t>
      </w:r>
      <w:r>
        <w:rPr/>
        <w:t>1992).</w:t>
      </w:r>
    </w:p>
    <w:p>
      <w:pPr>
        <w:pStyle w:val="BodyText"/>
        <w:rPr>
          <w:sz w:val="17"/>
        </w:rPr>
      </w:pPr>
      <w:r>
        <w:rPr/>
        <w:pict>
          <v:line style="position:absolute;mso-position-horizontal-relative:page;mso-position-vertical-relative:paragraph;z-index:1360;mso-wrap-distance-left:0;mso-wrap-distance-right:0" from="82.799004pt,12.127206pt" to="222.958004pt,12.127206pt" stroked="true" strokeweight=".72pt" strokecolor="#000000">
            <w10:wrap type="topAndBottom"/>
          </v:line>
        </w:pict>
      </w:r>
    </w:p>
    <w:p>
      <w:pPr>
        <w:spacing w:line="247" w:lineRule="auto" w:before="46"/>
        <w:ind w:left="115" w:right="103" w:firstLine="0"/>
        <w:jc w:val="both"/>
        <w:rPr>
          <w:sz w:val="19"/>
        </w:rPr>
      </w:pPr>
      <w:r>
        <w:rPr>
          <w:spacing w:val="-4"/>
          <w:w w:val="105"/>
          <w:position w:val="10"/>
          <w:sz w:val="12"/>
        </w:rPr>
        <w:t>17 </w:t>
      </w:r>
      <w:r>
        <w:rPr>
          <w:w w:val="105"/>
          <w:sz w:val="19"/>
        </w:rPr>
        <w:t>Este </w:t>
      </w:r>
      <w:r>
        <w:rPr>
          <w:spacing w:val="-2"/>
          <w:w w:val="105"/>
          <w:sz w:val="19"/>
        </w:rPr>
        <w:t>sindicato </w:t>
      </w:r>
      <w:r>
        <w:rPr>
          <w:w w:val="105"/>
          <w:sz w:val="19"/>
        </w:rPr>
        <w:t>fue creado en 1944 por auspicio del gobierno mexicano, el cual convocó a la unificación de las organizaciones magisteriales entonces existentes para que conformaran una organización de carácter "nacional" que agrupara a los trabajadores de educación básica y secundaria</w:t>
      </w:r>
      <w:r>
        <w:rPr>
          <w:spacing w:val="-10"/>
          <w:w w:val="105"/>
          <w:sz w:val="19"/>
        </w:rPr>
        <w:t> </w:t>
      </w:r>
      <w:r>
        <w:rPr>
          <w:w w:val="105"/>
          <w:sz w:val="19"/>
        </w:rPr>
        <w:t>de</w:t>
      </w:r>
      <w:r>
        <w:rPr>
          <w:spacing w:val="-13"/>
          <w:w w:val="105"/>
          <w:sz w:val="19"/>
        </w:rPr>
        <w:t> </w:t>
      </w:r>
      <w:r>
        <w:rPr>
          <w:w w:val="105"/>
          <w:sz w:val="19"/>
        </w:rPr>
        <w:t>cada</w:t>
      </w:r>
      <w:r>
        <w:rPr>
          <w:spacing w:val="-10"/>
          <w:w w:val="105"/>
          <w:sz w:val="19"/>
        </w:rPr>
        <w:t> </w:t>
      </w:r>
      <w:r>
        <w:rPr>
          <w:spacing w:val="-3"/>
          <w:w w:val="105"/>
          <w:sz w:val="19"/>
        </w:rPr>
        <w:t>uno</w:t>
      </w:r>
      <w:r>
        <w:rPr>
          <w:spacing w:val="-13"/>
          <w:w w:val="105"/>
          <w:sz w:val="19"/>
        </w:rPr>
        <w:t> </w:t>
      </w:r>
      <w:r>
        <w:rPr>
          <w:w w:val="105"/>
          <w:sz w:val="19"/>
        </w:rPr>
        <w:t>de</w:t>
      </w:r>
      <w:r>
        <w:rPr>
          <w:spacing w:val="-13"/>
          <w:w w:val="105"/>
          <w:sz w:val="19"/>
        </w:rPr>
        <w:t> </w:t>
      </w:r>
      <w:r>
        <w:rPr>
          <w:w w:val="105"/>
          <w:sz w:val="19"/>
        </w:rPr>
        <w:t>los</w:t>
      </w:r>
      <w:r>
        <w:rPr>
          <w:spacing w:val="-16"/>
          <w:w w:val="105"/>
          <w:sz w:val="19"/>
        </w:rPr>
        <w:t> </w:t>
      </w:r>
      <w:r>
        <w:rPr>
          <w:w w:val="105"/>
          <w:sz w:val="19"/>
        </w:rPr>
        <w:t>estados</w:t>
      </w:r>
      <w:r>
        <w:rPr>
          <w:spacing w:val="-13"/>
          <w:w w:val="105"/>
          <w:sz w:val="19"/>
        </w:rPr>
        <w:t> </w:t>
      </w:r>
      <w:r>
        <w:rPr>
          <w:w w:val="105"/>
          <w:sz w:val="19"/>
        </w:rPr>
        <w:t>y</w:t>
      </w:r>
      <w:r>
        <w:rPr>
          <w:spacing w:val="-20"/>
          <w:w w:val="105"/>
          <w:sz w:val="19"/>
        </w:rPr>
        <w:t> </w:t>
      </w:r>
      <w:r>
        <w:rPr>
          <w:w w:val="105"/>
          <w:sz w:val="19"/>
        </w:rPr>
        <w:t>municipios.</w:t>
      </w:r>
      <w:r>
        <w:rPr>
          <w:spacing w:val="-13"/>
          <w:w w:val="105"/>
          <w:sz w:val="19"/>
        </w:rPr>
        <w:t> </w:t>
      </w:r>
      <w:r>
        <w:rPr>
          <w:w w:val="105"/>
          <w:sz w:val="19"/>
        </w:rPr>
        <w:t>Así,</w:t>
      </w:r>
      <w:r>
        <w:rPr>
          <w:spacing w:val="-17"/>
          <w:w w:val="105"/>
          <w:sz w:val="19"/>
        </w:rPr>
        <w:t> </w:t>
      </w:r>
      <w:r>
        <w:rPr>
          <w:w w:val="105"/>
          <w:sz w:val="19"/>
        </w:rPr>
        <w:t>el</w:t>
      </w:r>
      <w:r>
        <w:rPr>
          <w:spacing w:val="-8"/>
          <w:w w:val="105"/>
          <w:sz w:val="19"/>
        </w:rPr>
        <w:t> </w:t>
      </w:r>
      <w:r>
        <w:rPr>
          <w:w w:val="105"/>
          <w:sz w:val="19"/>
        </w:rPr>
        <w:t>SNTE</w:t>
      </w:r>
      <w:r>
        <w:rPr>
          <w:spacing w:val="-16"/>
          <w:w w:val="105"/>
          <w:sz w:val="19"/>
        </w:rPr>
        <w:t> </w:t>
      </w:r>
      <w:r>
        <w:rPr>
          <w:spacing w:val="2"/>
          <w:w w:val="105"/>
          <w:sz w:val="19"/>
        </w:rPr>
        <w:t>es</w:t>
      </w:r>
      <w:r>
        <w:rPr>
          <w:spacing w:val="-16"/>
          <w:w w:val="105"/>
          <w:sz w:val="19"/>
        </w:rPr>
        <w:t> </w:t>
      </w:r>
      <w:r>
        <w:rPr>
          <w:w w:val="105"/>
          <w:sz w:val="19"/>
        </w:rPr>
        <w:t>la</w:t>
      </w:r>
      <w:r>
        <w:rPr>
          <w:spacing w:val="-13"/>
          <w:w w:val="105"/>
          <w:sz w:val="19"/>
        </w:rPr>
        <w:t> </w:t>
      </w:r>
      <w:r>
        <w:rPr>
          <w:w w:val="105"/>
          <w:sz w:val="19"/>
        </w:rPr>
        <w:t>única</w:t>
      </w:r>
      <w:r>
        <w:rPr>
          <w:spacing w:val="-13"/>
          <w:w w:val="105"/>
          <w:sz w:val="19"/>
        </w:rPr>
        <w:t> </w:t>
      </w:r>
      <w:r>
        <w:rPr>
          <w:w w:val="105"/>
          <w:sz w:val="19"/>
        </w:rPr>
        <w:t>organización</w:t>
      </w:r>
      <w:r>
        <w:rPr>
          <w:spacing w:val="-13"/>
          <w:w w:val="105"/>
          <w:sz w:val="19"/>
        </w:rPr>
        <w:t> </w:t>
      </w:r>
      <w:r>
        <w:rPr>
          <w:w w:val="105"/>
          <w:sz w:val="19"/>
        </w:rPr>
        <w:t>gremial que</w:t>
      </w:r>
      <w:r>
        <w:rPr>
          <w:spacing w:val="-14"/>
          <w:w w:val="105"/>
          <w:sz w:val="19"/>
        </w:rPr>
        <w:t> </w:t>
      </w:r>
      <w:r>
        <w:rPr>
          <w:w w:val="105"/>
          <w:sz w:val="19"/>
        </w:rPr>
        <w:t>representa</w:t>
      </w:r>
      <w:r>
        <w:rPr>
          <w:spacing w:val="-14"/>
          <w:w w:val="105"/>
          <w:sz w:val="19"/>
        </w:rPr>
        <w:t> </w:t>
      </w:r>
      <w:r>
        <w:rPr>
          <w:w w:val="105"/>
          <w:sz w:val="19"/>
        </w:rPr>
        <w:t>a</w:t>
      </w:r>
      <w:r>
        <w:rPr>
          <w:spacing w:val="-14"/>
          <w:w w:val="105"/>
          <w:sz w:val="19"/>
        </w:rPr>
        <w:t> </w:t>
      </w:r>
      <w:r>
        <w:rPr>
          <w:w w:val="105"/>
          <w:sz w:val="19"/>
        </w:rPr>
        <w:t>los</w:t>
      </w:r>
      <w:r>
        <w:rPr>
          <w:spacing w:val="-14"/>
          <w:w w:val="105"/>
          <w:sz w:val="19"/>
        </w:rPr>
        <w:t> </w:t>
      </w:r>
      <w:r>
        <w:rPr>
          <w:w w:val="105"/>
          <w:sz w:val="19"/>
        </w:rPr>
        <w:t>trabajadores</w:t>
      </w:r>
      <w:r>
        <w:rPr>
          <w:spacing w:val="-14"/>
          <w:w w:val="105"/>
          <w:sz w:val="19"/>
        </w:rPr>
        <w:t> </w:t>
      </w:r>
      <w:r>
        <w:rPr>
          <w:spacing w:val="-3"/>
          <w:w w:val="105"/>
          <w:sz w:val="19"/>
        </w:rPr>
        <w:t>de</w:t>
      </w:r>
      <w:r>
        <w:rPr>
          <w:spacing w:val="-14"/>
          <w:w w:val="105"/>
          <w:sz w:val="19"/>
        </w:rPr>
        <w:t> </w:t>
      </w:r>
      <w:r>
        <w:rPr>
          <w:w w:val="105"/>
          <w:sz w:val="19"/>
        </w:rPr>
        <w:t>la</w:t>
      </w:r>
      <w:r>
        <w:rPr>
          <w:spacing w:val="-14"/>
          <w:w w:val="105"/>
          <w:sz w:val="19"/>
        </w:rPr>
        <w:t> </w:t>
      </w:r>
      <w:r>
        <w:rPr>
          <w:w w:val="105"/>
          <w:sz w:val="19"/>
        </w:rPr>
        <w:t>educación</w:t>
      </w:r>
      <w:r>
        <w:rPr>
          <w:spacing w:val="-14"/>
          <w:w w:val="105"/>
          <w:sz w:val="19"/>
        </w:rPr>
        <w:t> </w:t>
      </w:r>
      <w:r>
        <w:rPr>
          <w:w w:val="105"/>
          <w:sz w:val="19"/>
        </w:rPr>
        <w:t>pública</w:t>
      </w:r>
      <w:r>
        <w:rPr>
          <w:spacing w:val="27"/>
          <w:w w:val="105"/>
          <w:sz w:val="19"/>
        </w:rPr>
        <w:t> </w:t>
      </w:r>
      <w:r>
        <w:rPr>
          <w:w w:val="105"/>
          <w:sz w:val="19"/>
        </w:rPr>
        <w:t>a</w:t>
      </w:r>
      <w:r>
        <w:rPr>
          <w:spacing w:val="-12"/>
          <w:w w:val="105"/>
          <w:sz w:val="19"/>
        </w:rPr>
        <w:t> </w:t>
      </w:r>
      <w:r>
        <w:rPr>
          <w:spacing w:val="-3"/>
          <w:w w:val="105"/>
          <w:sz w:val="19"/>
        </w:rPr>
        <w:t>nivel</w:t>
      </w:r>
      <w:r>
        <w:rPr>
          <w:spacing w:val="-11"/>
          <w:w w:val="105"/>
          <w:sz w:val="19"/>
        </w:rPr>
        <w:t> </w:t>
      </w:r>
      <w:r>
        <w:rPr>
          <w:w w:val="105"/>
          <w:sz w:val="19"/>
        </w:rPr>
        <w:t>nacional</w:t>
      </w:r>
      <w:r>
        <w:rPr>
          <w:spacing w:val="-14"/>
          <w:w w:val="105"/>
          <w:sz w:val="19"/>
        </w:rPr>
        <w:t> </w:t>
      </w:r>
      <w:r>
        <w:rPr>
          <w:w w:val="105"/>
          <w:sz w:val="19"/>
        </w:rPr>
        <w:t>y</w:t>
      </w:r>
      <w:r>
        <w:rPr>
          <w:spacing w:val="-16"/>
          <w:w w:val="105"/>
          <w:sz w:val="19"/>
        </w:rPr>
        <w:t> </w:t>
      </w:r>
      <w:r>
        <w:rPr>
          <w:w w:val="105"/>
          <w:sz w:val="19"/>
        </w:rPr>
        <w:t>estatal.</w:t>
      </w:r>
    </w:p>
    <w:p>
      <w:pPr>
        <w:spacing w:line="214" w:lineRule="exact" w:before="0"/>
        <w:ind w:left="115" w:right="0" w:firstLine="0"/>
        <w:jc w:val="both"/>
        <w:rPr>
          <w:sz w:val="19"/>
        </w:rPr>
      </w:pPr>
      <w:r>
        <w:rPr>
          <w:w w:val="105"/>
          <w:position w:val="10"/>
          <w:sz w:val="12"/>
        </w:rPr>
        <w:t>18  </w:t>
      </w:r>
      <w:r>
        <w:rPr>
          <w:w w:val="105"/>
          <w:sz w:val="19"/>
        </w:rPr>
        <w:t>Hay secciones (como los trabajadores del INAH, INBA e institutos tecnológicos que  funcionan</w:t>
      </w:r>
    </w:p>
    <w:p>
      <w:pPr>
        <w:spacing w:line="247" w:lineRule="auto" w:before="7"/>
        <w:ind w:left="115" w:right="101" w:firstLine="0"/>
        <w:jc w:val="both"/>
        <w:rPr>
          <w:sz w:val="19"/>
        </w:rPr>
      </w:pPr>
      <w:r>
        <w:rPr>
          <w:w w:val="105"/>
          <w:sz w:val="19"/>
        </w:rPr>
        <w:t>como sindicatos independientes del SNTE, pues tienen una relación directa con las autoridades educativas y cuentan </w:t>
      </w:r>
      <w:r>
        <w:rPr>
          <w:spacing w:val="-3"/>
          <w:w w:val="105"/>
          <w:sz w:val="19"/>
        </w:rPr>
        <w:t>con </w:t>
      </w:r>
      <w:r>
        <w:rPr>
          <w:w w:val="105"/>
          <w:sz w:val="19"/>
        </w:rPr>
        <w:t>un reglamento laboral </w:t>
      </w:r>
      <w:r>
        <w:rPr>
          <w:i/>
          <w:w w:val="105"/>
          <w:sz w:val="19"/>
        </w:rPr>
        <w:t>ad hoc </w:t>
      </w:r>
      <w:r>
        <w:rPr>
          <w:w w:val="105"/>
          <w:sz w:val="19"/>
        </w:rPr>
        <w:t>para su operación. </w:t>
      </w:r>
      <w:r>
        <w:rPr>
          <w:spacing w:val="-3"/>
          <w:w w:val="105"/>
          <w:sz w:val="19"/>
        </w:rPr>
        <w:t>Sin </w:t>
      </w:r>
      <w:r>
        <w:rPr>
          <w:w w:val="105"/>
          <w:sz w:val="19"/>
        </w:rPr>
        <w:t>embargo, esto no ha</w:t>
      </w:r>
      <w:r>
        <w:rPr>
          <w:spacing w:val="-1"/>
          <w:w w:val="105"/>
          <w:sz w:val="19"/>
        </w:rPr>
        <w:t> </w:t>
      </w:r>
      <w:r>
        <w:rPr>
          <w:w w:val="105"/>
          <w:sz w:val="19"/>
        </w:rPr>
        <w:t>significado</w:t>
      </w:r>
      <w:r>
        <w:rPr>
          <w:spacing w:val="-4"/>
          <w:w w:val="105"/>
          <w:sz w:val="19"/>
        </w:rPr>
        <w:t> </w:t>
      </w:r>
      <w:r>
        <w:rPr>
          <w:w w:val="105"/>
          <w:sz w:val="19"/>
        </w:rPr>
        <w:t>que</w:t>
      </w:r>
      <w:r>
        <w:rPr>
          <w:spacing w:val="-4"/>
          <w:w w:val="105"/>
          <w:sz w:val="19"/>
        </w:rPr>
        <w:t> </w:t>
      </w:r>
      <w:r>
        <w:rPr>
          <w:w w:val="105"/>
          <w:sz w:val="19"/>
        </w:rPr>
        <w:t>la</w:t>
      </w:r>
      <w:r>
        <w:rPr>
          <w:spacing w:val="-4"/>
          <w:w w:val="105"/>
          <w:sz w:val="19"/>
        </w:rPr>
        <w:t> </w:t>
      </w:r>
      <w:r>
        <w:rPr>
          <w:w w:val="105"/>
          <w:sz w:val="19"/>
        </w:rPr>
        <w:t>dirección</w:t>
      </w:r>
      <w:r>
        <w:rPr>
          <w:spacing w:val="-4"/>
          <w:w w:val="105"/>
          <w:sz w:val="19"/>
        </w:rPr>
        <w:t> </w:t>
      </w:r>
      <w:r>
        <w:rPr>
          <w:w w:val="105"/>
          <w:sz w:val="19"/>
        </w:rPr>
        <w:t>nacional</w:t>
      </w:r>
      <w:r>
        <w:rPr>
          <w:spacing w:val="-4"/>
          <w:w w:val="105"/>
          <w:sz w:val="19"/>
        </w:rPr>
        <w:t> </w:t>
      </w:r>
      <w:r>
        <w:rPr>
          <w:w w:val="105"/>
          <w:sz w:val="19"/>
        </w:rPr>
        <w:t>del </w:t>
      </w:r>
      <w:r>
        <w:rPr>
          <w:spacing w:val="-3"/>
          <w:w w:val="105"/>
          <w:sz w:val="19"/>
        </w:rPr>
        <w:t>SNTE</w:t>
      </w:r>
      <w:r>
        <w:rPr>
          <w:spacing w:val="-8"/>
          <w:w w:val="105"/>
          <w:sz w:val="19"/>
        </w:rPr>
        <w:t> </w:t>
      </w:r>
      <w:r>
        <w:rPr>
          <w:w w:val="105"/>
          <w:sz w:val="19"/>
        </w:rPr>
        <w:t>no</w:t>
      </w:r>
      <w:r>
        <w:rPr>
          <w:spacing w:val="-4"/>
          <w:w w:val="105"/>
          <w:sz w:val="19"/>
        </w:rPr>
        <w:t> </w:t>
      </w:r>
      <w:r>
        <w:rPr>
          <w:w w:val="105"/>
          <w:sz w:val="19"/>
        </w:rPr>
        <w:t>pueda</w:t>
      </w:r>
      <w:r>
        <w:rPr>
          <w:spacing w:val="-1"/>
          <w:w w:val="105"/>
          <w:sz w:val="19"/>
        </w:rPr>
        <w:t> </w:t>
      </w:r>
      <w:r>
        <w:rPr>
          <w:w w:val="105"/>
          <w:sz w:val="19"/>
        </w:rPr>
        <w:t>intervenir</w:t>
      </w:r>
      <w:r>
        <w:rPr>
          <w:spacing w:val="-4"/>
          <w:w w:val="105"/>
          <w:sz w:val="19"/>
        </w:rPr>
        <w:t> </w:t>
      </w:r>
      <w:r>
        <w:rPr>
          <w:spacing w:val="3"/>
          <w:w w:val="105"/>
          <w:sz w:val="19"/>
        </w:rPr>
        <w:t>en</w:t>
      </w:r>
      <w:r>
        <w:rPr>
          <w:spacing w:val="-4"/>
          <w:w w:val="105"/>
          <w:sz w:val="19"/>
        </w:rPr>
        <w:t> </w:t>
      </w:r>
      <w:r>
        <w:rPr>
          <w:w w:val="105"/>
          <w:sz w:val="19"/>
        </w:rPr>
        <w:t>los</w:t>
      </w:r>
      <w:r>
        <w:rPr>
          <w:spacing w:val="-9"/>
          <w:w w:val="105"/>
          <w:sz w:val="19"/>
        </w:rPr>
        <w:t> </w:t>
      </w:r>
      <w:r>
        <w:rPr>
          <w:w w:val="105"/>
          <w:sz w:val="19"/>
        </w:rPr>
        <w:t>procesos</w:t>
      </w:r>
      <w:r>
        <w:rPr>
          <w:spacing w:val="-4"/>
          <w:w w:val="105"/>
          <w:sz w:val="19"/>
        </w:rPr>
        <w:t> </w:t>
      </w:r>
      <w:r>
        <w:rPr>
          <w:w w:val="105"/>
          <w:sz w:val="19"/>
        </w:rPr>
        <w:t>internos</w:t>
      </w:r>
      <w:r>
        <w:rPr>
          <w:spacing w:val="-8"/>
          <w:w w:val="105"/>
          <w:sz w:val="19"/>
        </w:rPr>
        <w:t> </w:t>
      </w:r>
      <w:r>
        <w:rPr>
          <w:w w:val="105"/>
          <w:sz w:val="19"/>
        </w:rPr>
        <w:t>de selección</w:t>
      </w:r>
      <w:r>
        <w:rPr>
          <w:spacing w:val="-18"/>
          <w:w w:val="105"/>
          <w:sz w:val="19"/>
        </w:rPr>
        <w:t> </w:t>
      </w:r>
      <w:r>
        <w:rPr>
          <w:w w:val="105"/>
          <w:sz w:val="19"/>
        </w:rPr>
        <w:t>de</w:t>
      </w:r>
      <w:r>
        <w:rPr>
          <w:spacing w:val="-18"/>
          <w:w w:val="105"/>
          <w:sz w:val="19"/>
        </w:rPr>
        <w:t> </w:t>
      </w:r>
      <w:r>
        <w:rPr>
          <w:w w:val="105"/>
          <w:sz w:val="19"/>
        </w:rPr>
        <w:t>liderazgo</w:t>
      </w:r>
      <w:r>
        <w:rPr>
          <w:spacing w:val="-15"/>
          <w:w w:val="105"/>
          <w:sz w:val="19"/>
        </w:rPr>
        <w:t> </w:t>
      </w:r>
      <w:r>
        <w:rPr>
          <w:w w:val="105"/>
          <w:sz w:val="19"/>
        </w:rPr>
        <w:t>y</w:t>
      </w:r>
      <w:r>
        <w:rPr>
          <w:spacing w:val="-21"/>
          <w:w w:val="105"/>
          <w:sz w:val="19"/>
        </w:rPr>
        <w:t> </w:t>
      </w:r>
      <w:r>
        <w:rPr>
          <w:w w:val="105"/>
          <w:sz w:val="19"/>
        </w:rPr>
        <w:t>aún</w:t>
      </w:r>
      <w:r>
        <w:rPr>
          <w:spacing w:val="-18"/>
          <w:w w:val="105"/>
          <w:sz w:val="19"/>
        </w:rPr>
        <w:t> </w:t>
      </w:r>
      <w:r>
        <w:rPr>
          <w:spacing w:val="2"/>
          <w:w w:val="105"/>
          <w:sz w:val="19"/>
        </w:rPr>
        <w:t>en</w:t>
      </w:r>
      <w:r>
        <w:rPr>
          <w:spacing w:val="-18"/>
          <w:w w:val="105"/>
          <w:sz w:val="19"/>
        </w:rPr>
        <w:t> </w:t>
      </w:r>
      <w:r>
        <w:rPr>
          <w:w w:val="105"/>
          <w:sz w:val="19"/>
        </w:rPr>
        <w:t>la</w:t>
      </w:r>
      <w:r>
        <w:rPr>
          <w:spacing w:val="-18"/>
          <w:w w:val="105"/>
          <w:sz w:val="19"/>
        </w:rPr>
        <w:t> </w:t>
      </w:r>
      <w:r>
        <w:rPr>
          <w:w w:val="105"/>
          <w:sz w:val="19"/>
        </w:rPr>
        <w:t>negociación</w:t>
      </w:r>
      <w:r>
        <w:rPr>
          <w:spacing w:val="-18"/>
          <w:w w:val="105"/>
          <w:sz w:val="19"/>
        </w:rPr>
        <w:t> </w:t>
      </w:r>
      <w:r>
        <w:rPr>
          <w:w w:val="105"/>
          <w:sz w:val="19"/>
        </w:rPr>
        <w:t>de</w:t>
      </w:r>
      <w:r>
        <w:rPr>
          <w:spacing w:val="-16"/>
          <w:w w:val="105"/>
          <w:sz w:val="19"/>
        </w:rPr>
        <w:t> </w:t>
      </w:r>
      <w:r>
        <w:rPr>
          <w:w w:val="105"/>
          <w:sz w:val="19"/>
        </w:rPr>
        <w:t>salarios</w:t>
      </w:r>
      <w:r>
        <w:rPr>
          <w:spacing w:val="-15"/>
          <w:w w:val="105"/>
          <w:sz w:val="19"/>
        </w:rPr>
        <w:t> </w:t>
      </w:r>
      <w:r>
        <w:rPr>
          <w:w w:val="105"/>
          <w:sz w:val="19"/>
        </w:rPr>
        <w:t>y</w:t>
      </w:r>
      <w:r>
        <w:rPr>
          <w:spacing w:val="-21"/>
          <w:w w:val="105"/>
          <w:sz w:val="19"/>
        </w:rPr>
        <w:t> </w:t>
      </w:r>
      <w:r>
        <w:rPr>
          <w:w w:val="105"/>
          <w:sz w:val="19"/>
        </w:rPr>
        <w:t>prestaciones.</w:t>
      </w:r>
    </w:p>
    <w:p>
      <w:pPr>
        <w:spacing w:after="0" w:line="247" w:lineRule="auto"/>
        <w:jc w:val="both"/>
        <w:rPr>
          <w:sz w:val="19"/>
        </w:rPr>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57" w:lineRule="auto" w:before="74"/>
        <w:ind w:left="115" w:right="110" w:firstLine="686"/>
        <w:jc w:val="both"/>
      </w:pPr>
      <w:r>
        <w:rPr/>
        <w:t>De acuerdo a la teoría de la organización, el magisterio es una organización </w:t>
      </w:r>
      <w:r>
        <w:rPr>
          <w:i/>
        </w:rPr>
        <w:t>semiprofesional</w:t>
      </w:r>
      <w:r>
        <w:rPr>
          <w:i/>
          <w:position w:val="11"/>
          <w:sz w:val="15"/>
        </w:rPr>
        <w:t>19 </w:t>
      </w:r>
      <w:r>
        <w:rPr/>
        <w:t>porque no </w:t>
      </w:r>
      <w:r>
        <w:rPr>
          <w:spacing w:val="3"/>
        </w:rPr>
        <w:t>se </w:t>
      </w:r>
      <w:r>
        <w:rPr/>
        <w:t>puede ignorar a los maestros y a sus  representantes sindicales en el diseño y puesta en marcha de una política pública en las escuelas. Incluso se puede señalar que sin el apoyo y acuerdo del  magisterio, es muy probable que una decisión de política educativa </w:t>
      </w:r>
      <w:r>
        <w:rPr>
          <w:spacing w:val="13"/>
        </w:rPr>
        <w:t> </w:t>
      </w:r>
      <w:r>
        <w:rPr/>
        <w:t>fracase.</w:t>
      </w:r>
    </w:p>
    <w:p>
      <w:pPr>
        <w:pStyle w:val="BodyText"/>
        <w:spacing w:line="364" w:lineRule="auto" w:before="13"/>
        <w:ind w:left="115" w:right="107" w:firstLine="686"/>
        <w:jc w:val="both"/>
      </w:pPr>
      <w:r>
        <w:rPr/>
        <w:t>Este esquema funciona así por la naturaleza organizativa del trabajo magisterial, en el sentido que sus miembros están plenamente involucrados  con  los objetivos de </w:t>
      </w:r>
      <w:r>
        <w:rPr>
          <w:spacing w:val="-3"/>
        </w:rPr>
        <w:t>los </w:t>
      </w:r>
      <w:r>
        <w:rPr/>
        <w:t>centros escolares, a diferencia de otros profesionistas que prestan su labor en la administración pública. Si bien la en la </w:t>
      </w:r>
      <w:r>
        <w:rPr>
          <w:spacing w:val="2"/>
        </w:rPr>
        <w:t>SEP </w:t>
      </w:r>
      <w:r>
        <w:rPr>
          <w:spacing w:val="3"/>
        </w:rPr>
        <w:t>se </w:t>
      </w:r>
      <w:r>
        <w:rPr/>
        <w:t>deciden los objetivos </w:t>
      </w:r>
      <w:r>
        <w:rPr>
          <w:spacing w:val="-3"/>
        </w:rPr>
        <w:t>de </w:t>
      </w:r>
      <w:r>
        <w:rPr/>
        <w:t>las escuelas, no se puede dejar de consultar a los representantes sindicales o incluso a </w:t>
      </w:r>
      <w:r>
        <w:rPr>
          <w:spacing w:val="-3"/>
        </w:rPr>
        <w:t>los </w:t>
      </w:r>
      <w:r>
        <w:rPr/>
        <w:t>maestros porque son éstos quienes </w:t>
      </w:r>
      <w:r>
        <w:rPr>
          <w:i/>
        </w:rPr>
        <w:t>implementan </w:t>
      </w:r>
      <w:r>
        <w:rPr>
          <w:spacing w:val="-2"/>
        </w:rPr>
        <w:t>las </w:t>
      </w:r>
      <w:r>
        <w:rPr/>
        <w:t>decisiones.</w:t>
      </w:r>
    </w:p>
    <w:p>
      <w:pPr>
        <w:pStyle w:val="BodyText"/>
        <w:spacing w:line="364" w:lineRule="auto"/>
        <w:ind w:left="115" w:right="105" w:firstLine="686"/>
        <w:jc w:val="both"/>
      </w:pPr>
      <w:r>
        <w:rPr/>
        <w:t>En estos términos, aunque el SNTE </w:t>
      </w:r>
      <w:r>
        <w:rPr>
          <w:spacing w:val="-3"/>
        </w:rPr>
        <w:t>es </w:t>
      </w:r>
      <w:r>
        <w:rPr/>
        <w:t>un mecanismo  institucional  de  </w:t>
      </w:r>
      <w:r>
        <w:rPr>
          <w:i/>
        </w:rPr>
        <w:t>control </w:t>
      </w:r>
      <w:r>
        <w:rPr/>
        <w:t>para efectos de </w:t>
      </w:r>
      <w:r>
        <w:rPr>
          <w:spacing w:val="-3"/>
        </w:rPr>
        <w:t>la </w:t>
      </w:r>
      <w:r>
        <w:rPr/>
        <w:t>movilización política,  para  </w:t>
      </w:r>
      <w:r>
        <w:rPr>
          <w:spacing w:val="-3"/>
        </w:rPr>
        <w:t>la  </w:t>
      </w:r>
      <w:r>
        <w:rPr/>
        <w:t>subordinación  en cuestiones laborales y para guardar </w:t>
      </w:r>
      <w:r>
        <w:rPr>
          <w:spacing w:val="-4"/>
        </w:rPr>
        <w:t>la </w:t>
      </w:r>
      <w:r>
        <w:rPr/>
        <w:t>línea ideológico-política de los planes y programas de estudios, </w:t>
      </w:r>
      <w:r>
        <w:rPr>
          <w:spacing w:val="-3"/>
        </w:rPr>
        <w:t>en </w:t>
      </w:r>
      <w:r>
        <w:rPr/>
        <w:t>materia de cuestiones profesionales, los dirigentes del magisterio y aún sus miembros siempre han mostrado </w:t>
      </w:r>
      <w:r>
        <w:rPr>
          <w:spacing w:val="1"/>
        </w:rPr>
        <w:t> </w:t>
      </w:r>
      <w:r>
        <w:rPr/>
        <w:t>beligerancia.</w:t>
      </w:r>
    </w:p>
    <w:p>
      <w:pPr>
        <w:pStyle w:val="BodyText"/>
        <w:spacing w:line="364" w:lineRule="auto" w:before="10"/>
        <w:ind w:left="115" w:right="105" w:firstLine="686"/>
        <w:jc w:val="both"/>
      </w:pPr>
      <w:r>
        <w:rPr/>
        <w:t>Así, pese a que los líderes del SNTE han sido fieles representantes de </w:t>
      </w:r>
      <w:r>
        <w:rPr>
          <w:spacing w:val="-2"/>
        </w:rPr>
        <w:t>los </w:t>
      </w:r>
      <w:r>
        <w:rPr/>
        <w:t>objetivos corporativos de </w:t>
      </w:r>
      <w:r>
        <w:rPr>
          <w:i/>
        </w:rPr>
        <w:t>control</w:t>
      </w:r>
      <w:r>
        <w:rPr/>
        <w:t>, no se han sustraído del hecho de  que  </w:t>
      </w:r>
      <w:r>
        <w:rPr>
          <w:spacing w:val="-5"/>
        </w:rPr>
        <w:t>la  </w:t>
      </w:r>
      <w:r>
        <w:rPr/>
        <w:t>docencia requiere un cierto margen de libertad para quienes la ejercen y que </w:t>
      </w:r>
      <w:r>
        <w:rPr>
          <w:spacing w:val="3"/>
        </w:rPr>
        <w:t>el </w:t>
      </w:r>
      <w:r>
        <w:rPr/>
        <w:t>personal docente constituye un grupo profesional que cuenta con </w:t>
      </w:r>
      <w:r>
        <w:rPr>
          <w:spacing w:val="-3"/>
        </w:rPr>
        <w:t>sus </w:t>
      </w:r>
      <w:r>
        <w:rPr/>
        <w:t>propias normas. De hecho, las más antiguas demandas del magisterio son: 1) mayor participación en </w:t>
      </w:r>
      <w:r>
        <w:rPr>
          <w:spacing w:val="-5"/>
        </w:rPr>
        <w:t>la </w:t>
      </w:r>
      <w:r>
        <w:rPr/>
        <w:t>dirección educativa y en la definición de planes, programas y textos escolares; y 2) mayor margen de autonomía en el desempeño de su  actividad profesional (Arnaut, 1996:</w:t>
      </w:r>
      <w:r>
        <w:rPr>
          <w:spacing w:val="45"/>
        </w:rPr>
        <w:t> </w:t>
      </w:r>
      <w:r>
        <w:rPr/>
        <w:t>208-210).</w:t>
      </w:r>
    </w:p>
    <w:p>
      <w:pPr>
        <w:pStyle w:val="BodyText"/>
        <w:spacing w:line="367" w:lineRule="auto"/>
        <w:ind w:left="115" w:right="105" w:firstLine="686"/>
        <w:jc w:val="both"/>
      </w:pPr>
      <w:r>
        <w:rPr/>
        <w:t>También, es importante el </w:t>
      </w:r>
      <w:r>
        <w:rPr>
          <w:i/>
        </w:rPr>
        <w:t>control </w:t>
      </w:r>
      <w:r>
        <w:rPr/>
        <w:t>para el gobierno porque el SNTE  se integró desde su fundación por algunos grupos que por razones ideológicas o laborales, generalmente han asumido una actitud de beligerancia o confrontación con  los  dirigentes  nacionales  y  seccionales.  En  este  sentido,  “las    corrientes”</w:t>
      </w:r>
    </w:p>
    <w:p>
      <w:pPr>
        <w:pStyle w:val="BodyText"/>
        <w:spacing w:before="2"/>
        <w:rPr>
          <w:sz w:val="12"/>
        </w:rPr>
      </w:pPr>
      <w:r>
        <w:rPr/>
        <w:pict>
          <v:line style="position:absolute;mso-position-horizontal-relative:page;mso-position-vertical-relative:paragraph;z-index:1384;mso-wrap-distance-left:0;mso-wrap-distance-right:0" from="82.799004pt,9.359731pt" to="222.958004pt,9.359731pt" stroked="true" strokeweight=".72pt" strokecolor="#000000">
            <w10:wrap type="topAndBottom"/>
          </v:line>
        </w:pict>
      </w:r>
    </w:p>
    <w:p>
      <w:pPr>
        <w:spacing w:line="244" w:lineRule="auto" w:before="51"/>
        <w:ind w:left="115" w:right="106" w:firstLine="0"/>
        <w:jc w:val="both"/>
        <w:rPr>
          <w:sz w:val="19"/>
        </w:rPr>
      </w:pPr>
      <w:r>
        <w:rPr>
          <w:w w:val="105"/>
          <w:position w:val="10"/>
          <w:sz w:val="12"/>
        </w:rPr>
        <w:t>19 </w:t>
      </w:r>
      <w:r>
        <w:rPr>
          <w:w w:val="105"/>
          <w:sz w:val="19"/>
        </w:rPr>
        <w:t>La clasificación de las organizaciones en profesionales, semiprofesionales y no profesionales, donde la diferencia es el grado de vinculación con los fines de la organización, es del sociólogo estadounidense Amitai Etzioni. Citado por Arnaut (1996: 209).</w:t>
      </w:r>
    </w:p>
    <w:p>
      <w:pPr>
        <w:spacing w:after="0" w:line="244" w:lineRule="auto"/>
        <w:jc w:val="both"/>
        <w:rPr>
          <w:sz w:val="19"/>
        </w:rPr>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8"/>
        <w:jc w:val="both"/>
      </w:pPr>
      <w:r>
        <w:rPr/>
        <w:t>opositoras, desde </w:t>
      </w:r>
      <w:r>
        <w:rPr>
          <w:spacing w:val="-3"/>
        </w:rPr>
        <w:t>la </w:t>
      </w:r>
      <w:r>
        <w:rPr/>
        <w:t>fundación del sindicato han defendido diversas causas que desde </w:t>
      </w:r>
      <w:r>
        <w:rPr>
          <w:spacing w:val="2"/>
        </w:rPr>
        <w:t>su </w:t>
      </w:r>
      <w:r>
        <w:rPr/>
        <w:t>perspectiva, la dirigencia nacional no considera en las negociaciones anuales con la SEP y </w:t>
      </w:r>
      <w:r>
        <w:rPr>
          <w:spacing w:val="-3"/>
        </w:rPr>
        <w:t>los </w:t>
      </w:r>
      <w:r>
        <w:rPr/>
        <w:t>gobiernos</w:t>
      </w:r>
      <w:r>
        <w:rPr>
          <w:spacing w:val="53"/>
        </w:rPr>
        <w:t> </w:t>
      </w:r>
      <w:r>
        <w:rPr/>
        <w:t>estatales.</w:t>
      </w:r>
    </w:p>
    <w:p>
      <w:pPr>
        <w:pStyle w:val="BodyText"/>
        <w:spacing w:line="364" w:lineRule="auto" w:before="5"/>
        <w:ind w:left="115" w:right="106" w:firstLine="686"/>
        <w:jc w:val="both"/>
      </w:pPr>
      <w:r>
        <w:rPr/>
        <w:t>La demanda central de </w:t>
      </w:r>
      <w:r>
        <w:rPr>
          <w:spacing w:val="-3"/>
        </w:rPr>
        <w:t>los </w:t>
      </w:r>
      <w:r>
        <w:rPr/>
        <w:t>grupos disidentes ha sido las mejoras en  el  </w:t>
      </w:r>
      <w:r>
        <w:rPr>
          <w:spacing w:val="-3"/>
        </w:rPr>
        <w:t>salario </w:t>
      </w:r>
      <w:r>
        <w:rPr/>
        <w:t>y las prestaciones. Esto no puede considerarse una simple fachada, pues  los maestros disidentes, salvo </w:t>
      </w:r>
      <w:r>
        <w:rPr>
          <w:spacing w:val="-3"/>
        </w:rPr>
        <w:t>la </w:t>
      </w:r>
      <w:r>
        <w:rPr/>
        <w:t>excepción de los del Estado de México </w:t>
      </w:r>
      <w:r>
        <w:rPr>
          <w:spacing w:val="-3"/>
        </w:rPr>
        <w:t>(los </w:t>
      </w:r>
      <w:r>
        <w:rPr/>
        <w:t>integrantes de </w:t>
      </w:r>
      <w:r>
        <w:rPr>
          <w:spacing w:val="-6"/>
        </w:rPr>
        <w:t>la </w:t>
      </w:r>
      <w:r>
        <w:rPr/>
        <w:t>sección 36) y el Distrito Federal (los miembros de </w:t>
      </w:r>
      <w:r>
        <w:rPr>
          <w:spacing w:val="-3"/>
        </w:rPr>
        <w:t>las </w:t>
      </w:r>
      <w:r>
        <w:rPr/>
        <w:t>secciones 9   y 10) a finales de </w:t>
      </w:r>
      <w:r>
        <w:rPr>
          <w:spacing w:val="-4"/>
        </w:rPr>
        <w:t>la </w:t>
      </w:r>
      <w:r>
        <w:rPr/>
        <w:t>década de los ochenta, históricamente </w:t>
      </w:r>
      <w:r>
        <w:rPr>
          <w:spacing w:val="2"/>
        </w:rPr>
        <w:t>se </w:t>
      </w:r>
      <w:r>
        <w:rPr/>
        <w:t>han ubicado en </w:t>
      </w:r>
      <w:r>
        <w:rPr>
          <w:spacing w:val="-2"/>
        </w:rPr>
        <w:t>las </w:t>
      </w:r>
      <w:r>
        <w:rPr/>
        <w:t>regiones geográficas y económicas de alta marginación. Al respecto, destacan </w:t>
      </w:r>
      <w:r>
        <w:rPr>
          <w:spacing w:val="-4"/>
        </w:rPr>
        <w:t>la </w:t>
      </w:r>
      <w:r>
        <w:rPr/>
        <w:t>sección  22  de  Oaxaca,  la  7  y  40  de  Chiapas,  </w:t>
      </w:r>
      <w:r>
        <w:rPr>
          <w:spacing w:val="-3"/>
        </w:rPr>
        <w:t>la  </w:t>
      </w:r>
      <w:r>
        <w:rPr/>
        <w:t>14  de  Guerrero  y  la  18</w:t>
      </w:r>
      <w:r>
        <w:rPr>
          <w:spacing w:val="47"/>
        </w:rPr>
        <w:t> </w:t>
      </w:r>
      <w:r>
        <w:rPr/>
        <w:t>de</w:t>
      </w:r>
    </w:p>
    <w:p>
      <w:pPr>
        <w:pStyle w:val="BodyText"/>
        <w:spacing w:line="270" w:lineRule="exact"/>
        <w:ind w:left="115"/>
        <w:jc w:val="both"/>
        <w:rPr>
          <w:sz w:val="15"/>
        </w:rPr>
      </w:pPr>
      <w:r>
        <w:rPr/>
        <w:t>Michoacán.</w:t>
      </w:r>
      <w:r>
        <w:rPr>
          <w:position w:val="11"/>
          <w:sz w:val="15"/>
        </w:rPr>
        <w:t>20</w:t>
      </w:r>
    </w:p>
    <w:p>
      <w:pPr>
        <w:pStyle w:val="BodyText"/>
        <w:spacing w:line="364" w:lineRule="auto" w:before="138"/>
        <w:ind w:left="115" w:right="104" w:firstLine="686"/>
        <w:jc w:val="both"/>
      </w:pPr>
      <w:r>
        <w:rPr/>
        <w:t>El </w:t>
      </w:r>
      <w:r>
        <w:rPr>
          <w:i/>
        </w:rPr>
        <w:t>control </w:t>
      </w:r>
      <w:r>
        <w:rPr/>
        <w:t>corporativo se ha canjeado por canonjías profesionales,  pero sobre todo por el monopolio de la administración de las escuelas y de la misma profesión docente. Por tanto, desde </w:t>
      </w:r>
      <w:r>
        <w:rPr>
          <w:spacing w:val="3"/>
        </w:rPr>
        <w:t>su </w:t>
      </w:r>
      <w:r>
        <w:rPr/>
        <w:t>creación, la dirigencia del sindicato magisterial ha presionado a las autoridades educativas para que acepten que en parte de las áreas donde se distribuyen </w:t>
      </w:r>
      <w:r>
        <w:rPr>
          <w:spacing w:val="-4"/>
        </w:rPr>
        <w:t>los</w:t>
      </w:r>
      <w:r>
        <w:rPr>
          <w:spacing w:val="55"/>
        </w:rPr>
        <w:t> </w:t>
      </w:r>
      <w:r>
        <w:rPr/>
        <w:t>principales recursos del sector  educativo se ubiquen cuadros</w:t>
      </w:r>
      <w:r>
        <w:rPr>
          <w:spacing w:val="43"/>
        </w:rPr>
        <w:t> </w:t>
      </w:r>
      <w:r>
        <w:rPr/>
        <w:t>sindicales.</w:t>
      </w:r>
    </w:p>
    <w:p>
      <w:pPr>
        <w:pStyle w:val="BodyText"/>
        <w:spacing w:line="364" w:lineRule="auto" w:before="10"/>
        <w:ind w:left="115" w:right="108" w:firstLine="686"/>
        <w:jc w:val="both"/>
      </w:pPr>
      <w:r>
        <w:rPr/>
        <w:t>Dichas áreas son los puestos directivos  que tienen que </w:t>
      </w:r>
      <w:r>
        <w:rPr>
          <w:spacing w:val="2"/>
        </w:rPr>
        <w:t>ver </w:t>
      </w:r>
      <w:r>
        <w:rPr/>
        <w:t>con el manejo  de las escuelas públicas; los centros de reclutamiento, es decir las escuelas normales; las comisiones de escalafón; y las oficinas donde se decide la creación    y asignación de nuevos puestos de trabajo, así como </w:t>
      </w:r>
      <w:r>
        <w:rPr>
          <w:spacing w:val="-5"/>
        </w:rPr>
        <w:t>la </w:t>
      </w:r>
      <w:r>
        <w:rPr/>
        <w:t>aplicación de castigos u otorgamiento de estímulos diversos; en este último caso </w:t>
      </w:r>
      <w:r>
        <w:rPr>
          <w:spacing w:val="2"/>
        </w:rPr>
        <w:t>se </w:t>
      </w:r>
      <w:r>
        <w:rPr/>
        <w:t>trata de toda una pirámide burocrática dentro de </w:t>
      </w:r>
      <w:r>
        <w:rPr>
          <w:spacing w:val="-3"/>
        </w:rPr>
        <w:t>la </w:t>
      </w:r>
      <w:r>
        <w:rPr/>
        <w:t>SEP o </w:t>
      </w:r>
      <w:r>
        <w:rPr>
          <w:spacing w:val="3"/>
        </w:rPr>
        <w:t>de </w:t>
      </w:r>
      <w:r>
        <w:rPr/>
        <w:t>las dependencias educativas de </w:t>
      </w:r>
      <w:r>
        <w:rPr>
          <w:spacing w:val="-3"/>
        </w:rPr>
        <w:t>los </w:t>
      </w:r>
      <w:r>
        <w:rPr/>
        <w:t>estados: dirección de escuela, supervisor, inspector, jefe de departamento y  director de área. Dada esta relación, algunos estudiosos de </w:t>
      </w:r>
      <w:r>
        <w:rPr>
          <w:spacing w:val="-4"/>
        </w:rPr>
        <w:t>la </w:t>
      </w:r>
      <w:r>
        <w:rPr/>
        <w:t>relación  </w:t>
      </w:r>
      <w:r>
        <w:rPr>
          <w:spacing w:val="41"/>
        </w:rPr>
        <w:t> </w:t>
      </w:r>
      <w:r>
        <w:rPr/>
        <w:t>SEP-SNTE</w:t>
      </w:r>
    </w:p>
    <w:p>
      <w:pPr>
        <w:pStyle w:val="BodyText"/>
        <w:rPr>
          <w:sz w:val="20"/>
        </w:rPr>
      </w:pPr>
    </w:p>
    <w:p>
      <w:pPr>
        <w:pStyle w:val="BodyText"/>
        <w:rPr>
          <w:sz w:val="20"/>
        </w:rPr>
      </w:pPr>
    </w:p>
    <w:p>
      <w:pPr>
        <w:pStyle w:val="BodyText"/>
        <w:spacing w:before="10"/>
        <w:rPr>
          <w:sz w:val="15"/>
        </w:rPr>
      </w:pPr>
      <w:r>
        <w:rPr/>
        <w:pict>
          <v:line style="position:absolute;mso-position-horizontal-relative:page;mso-position-vertical-relative:paragraph;z-index:1408;mso-wrap-distance-left:0;mso-wrap-distance-right:0" from="82.799004pt,11.449153pt" to="222.958004pt,11.449153pt" stroked="true" strokeweight=".72pt" strokecolor="#000000">
            <w10:wrap type="topAndBottom"/>
          </v:line>
        </w:pict>
      </w:r>
    </w:p>
    <w:p>
      <w:pPr>
        <w:spacing w:line="247" w:lineRule="auto" w:before="41"/>
        <w:ind w:left="115" w:right="101" w:firstLine="0"/>
        <w:jc w:val="both"/>
        <w:rPr>
          <w:sz w:val="19"/>
        </w:rPr>
      </w:pPr>
      <w:r>
        <w:rPr>
          <w:spacing w:val="-4"/>
          <w:w w:val="105"/>
          <w:position w:val="10"/>
          <w:sz w:val="12"/>
        </w:rPr>
        <w:t>20</w:t>
      </w:r>
      <w:r>
        <w:rPr>
          <w:spacing w:val="7"/>
          <w:w w:val="105"/>
          <w:position w:val="10"/>
          <w:sz w:val="12"/>
        </w:rPr>
        <w:t> </w:t>
      </w:r>
      <w:r>
        <w:rPr>
          <w:w w:val="105"/>
          <w:sz w:val="19"/>
        </w:rPr>
        <w:t>Las</w:t>
      </w:r>
      <w:r>
        <w:rPr>
          <w:spacing w:val="-17"/>
          <w:w w:val="105"/>
          <w:sz w:val="19"/>
        </w:rPr>
        <w:t> </w:t>
      </w:r>
      <w:r>
        <w:rPr>
          <w:w w:val="105"/>
          <w:sz w:val="19"/>
        </w:rPr>
        <w:t>mejoras</w:t>
      </w:r>
      <w:r>
        <w:rPr>
          <w:spacing w:val="-13"/>
          <w:w w:val="105"/>
          <w:sz w:val="19"/>
        </w:rPr>
        <w:t> </w:t>
      </w:r>
      <w:r>
        <w:rPr>
          <w:w w:val="105"/>
          <w:sz w:val="19"/>
        </w:rPr>
        <w:t>en</w:t>
      </w:r>
      <w:r>
        <w:rPr>
          <w:spacing w:val="-10"/>
          <w:w w:val="105"/>
          <w:sz w:val="19"/>
        </w:rPr>
        <w:t> </w:t>
      </w:r>
      <w:r>
        <w:rPr>
          <w:w w:val="105"/>
          <w:sz w:val="19"/>
        </w:rPr>
        <w:t>el</w:t>
      </w:r>
      <w:r>
        <w:rPr>
          <w:spacing w:val="-13"/>
          <w:w w:val="105"/>
          <w:sz w:val="19"/>
        </w:rPr>
        <w:t> </w:t>
      </w:r>
      <w:r>
        <w:rPr>
          <w:w w:val="105"/>
          <w:sz w:val="19"/>
        </w:rPr>
        <w:t>salario</w:t>
      </w:r>
      <w:r>
        <w:rPr>
          <w:spacing w:val="-10"/>
          <w:w w:val="105"/>
          <w:sz w:val="19"/>
        </w:rPr>
        <w:t> </w:t>
      </w:r>
      <w:r>
        <w:rPr>
          <w:w w:val="105"/>
          <w:sz w:val="19"/>
        </w:rPr>
        <w:t>y</w:t>
      </w:r>
      <w:r>
        <w:rPr>
          <w:spacing w:val="-17"/>
          <w:w w:val="105"/>
          <w:sz w:val="19"/>
        </w:rPr>
        <w:t> </w:t>
      </w:r>
      <w:r>
        <w:rPr>
          <w:w w:val="105"/>
          <w:sz w:val="19"/>
        </w:rPr>
        <w:t>prestaciones</w:t>
      </w:r>
      <w:r>
        <w:rPr>
          <w:spacing w:val="-13"/>
          <w:w w:val="105"/>
          <w:sz w:val="19"/>
        </w:rPr>
        <w:t> </w:t>
      </w:r>
      <w:r>
        <w:rPr>
          <w:w w:val="105"/>
          <w:sz w:val="19"/>
        </w:rPr>
        <w:t>generalmente</w:t>
      </w:r>
      <w:r>
        <w:rPr>
          <w:spacing w:val="-10"/>
          <w:w w:val="105"/>
          <w:sz w:val="19"/>
        </w:rPr>
        <w:t> </w:t>
      </w:r>
      <w:r>
        <w:rPr>
          <w:w w:val="105"/>
          <w:sz w:val="19"/>
        </w:rPr>
        <w:t>se</w:t>
      </w:r>
      <w:r>
        <w:rPr>
          <w:spacing w:val="-13"/>
          <w:w w:val="105"/>
          <w:sz w:val="19"/>
        </w:rPr>
        <w:t> </w:t>
      </w:r>
      <w:r>
        <w:rPr>
          <w:w w:val="105"/>
          <w:sz w:val="19"/>
        </w:rPr>
        <w:t>presentan</w:t>
      </w:r>
      <w:r>
        <w:rPr>
          <w:spacing w:val="-13"/>
          <w:w w:val="105"/>
          <w:sz w:val="19"/>
        </w:rPr>
        <w:t> </w:t>
      </w:r>
      <w:r>
        <w:rPr>
          <w:w w:val="105"/>
          <w:sz w:val="19"/>
        </w:rPr>
        <w:t>como</w:t>
      </w:r>
      <w:r>
        <w:rPr>
          <w:spacing w:val="-13"/>
          <w:w w:val="105"/>
          <w:sz w:val="19"/>
        </w:rPr>
        <w:t> </w:t>
      </w:r>
      <w:r>
        <w:rPr>
          <w:w w:val="105"/>
          <w:sz w:val="19"/>
        </w:rPr>
        <w:t>un</w:t>
      </w:r>
      <w:r>
        <w:rPr>
          <w:spacing w:val="-10"/>
          <w:w w:val="105"/>
          <w:sz w:val="19"/>
        </w:rPr>
        <w:t> </w:t>
      </w:r>
      <w:r>
        <w:rPr>
          <w:w w:val="105"/>
          <w:sz w:val="19"/>
        </w:rPr>
        <w:t>aumento</w:t>
      </w:r>
      <w:r>
        <w:rPr>
          <w:spacing w:val="-13"/>
          <w:w w:val="105"/>
          <w:sz w:val="19"/>
        </w:rPr>
        <w:t> </w:t>
      </w:r>
      <w:r>
        <w:rPr>
          <w:w w:val="105"/>
          <w:sz w:val="19"/>
        </w:rPr>
        <w:t>directo</w:t>
      </w:r>
      <w:r>
        <w:rPr>
          <w:spacing w:val="-13"/>
          <w:w w:val="105"/>
          <w:sz w:val="19"/>
        </w:rPr>
        <w:t> </w:t>
      </w:r>
      <w:r>
        <w:rPr>
          <w:spacing w:val="2"/>
          <w:w w:val="105"/>
          <w:sz w:val="19"/>
        </w:rPr>
        <w:t>al </w:t>
      </w:r>
      <w:r>
        <w:rPr>
          <w:w w:val="105"/>
          <w:sz w:val="19"/>
        </w:rPr>
        <w:t>salario, aumento en el pago de los días de aguinaldo, rezonificación, es decir, demanda para que las</w:t>
      </w:r>
      <w:r>
        <w:rPr>
          <w:spacing w:val="-11"/>
          <w:w w:val="105"/>
          <w:sz w:val="19"/>
        </w:rPr>
        <w:t> </w:t>
      </w:r>
      <w:r>
        <w:rPr>
          <w:w w:val="105"/>
          <w:sz w:val="19"/>
        </w:rPr>
        <w:t>zonas</w:t>
      </w:r>
      <w:r>
        <w:rPr>
          <w:spacing w:val="-11"/>
          <w:w w:val="105"/>
          <w:sz w:val="19"/>
        </w:rPr>
        <w:t> </w:t>
      </w:r>
      <w:r>
        <w:rPr>
          <w:w w:val="105"/>
          <w:sz w:val="19"/>
        </w:rPr>
        <w:t>geográficas</w:t>
      </w:r>
      <w:r>
        <w:rPr>
          <w:spacing w:val="-8"/>
          <w:w w:val="105"/>
          <w:sz w:val="19"/>
        </w:rPr>
        <w:t> </w:t>
      </w:r>
      <w:r>
        <w:rPr>
          <w:w w:val="105"/>
          <w:sz w:val="19"/>
        </w:rPr>
        <w:t>donde</w:t>
      </w:r>
      <w:r>
        <w:rPr>
          <w:spacing w:val="-8"/>
          <w:w w:val="105"/>
          <w:sz w:val="19"/>
        </w:rPr>
        <w:t> </w:t>
      </w:r>
      <w:r>
        <w:rPr>
          <w:w w:val="105"/>
          <w:sz w:val="19"/>
        </w:rPr>
        <w:t>laboran</w:t>
      </w:r>
      <w:r>
        <w:rPr>
          <w:spacing w:val="-5"/>
          <w:w w:val="105"/>
          <w:sz w:val="19"/>
        </w:rPr>
        <w:t> </w:t>
      </w:r>
      <w:r>
        <w:rPr>
          <w:spacing w:val="-3"/>
          <w:w w:val="105"/>
          <w:sz w:val="19"/>
        </w:rPr>
        <w:t>sean</w:t>
      </w:r>
      <w:r>
        <w:rPr>
          <w:spacing w:val="-8"/>
          <w:w w:val="105"/>
          <w:sz w:val="19"/>
        </w:rPr>
        <w:t> </w:t>
      </w:r>
      <w:r>
        <w:rPr>
          <w:w w:val="105"/>
          <w:sz w:val="19"/>
        </w:rPr>
        <w:t>consideradas</w:t>
      </w:r>
      <w:r>
        <w:rPr>
          <w:spacing w:val="-11"/>
          <w:w w:val="105"/>
          <w:sz w:val="19"/>
        </w:rPr>
        <w:t> </w:t>
      </w:r>
      <w:r>
        <w:rPr>
          <w:w w:val="105"/>
          <w:sz w:val="19"/>
        </w:rPr>
        <w:t>como</w:t>
      </w:r>
      <w:r>
        <w:rPr>
          <w:spacing w:val="-12"/>
          <w:w w:val="105"/>
          <w:sz w:val="19"/>
        </w:rPr>
        <w:t> </w:t>
      </w:r>
      <w:r>
        <w:rPr>
          <w:w w:val="105"/>
          <w:sz w:val="19"/>
        </w:rPr>
        <w:t>zonas</w:t>
      </w:r>
      <w:r>
        <w:rPr>
          <w:spacing w:val="-11"/>
          <w:w w:val="105"/>
          <w:sz w:val="19"/>
        </w:rPr>
        <w:t> </w:t>
      </w:r>
      <w:r>
        <w:rPr>
          <w:w w:val="105"/>
          <w:sz w:val="19"/>
        </w:rPr>
        <w:t>urbanas,</w:t>
      </w:r>
      <w:r>
        <w:rPr>
          <w:spacing w:val="-8"/>
          <w:w w:val="105"/>
          <w:sz w:val="19"/>
        </w:rPr>
        <w:t> </w:t>
      </w:r>
      <w:r>
        <w:rPr>
          <w:w w:val="105"/>
          <w:sz w:val="19"/>
        </w:rPr>
        <w:t>asimismo,</w:t>
      </w:r>
      <w:r>
        <w:rPr>
          <w:spacing w:val="-8"/>
          <w:w w:val="105"/>
          <w:sz w:val="19"/>
        </w:rPr>
        <w:t> </w:t>
      </w:r>
      <w:r>
        <w:rPr>
          <w:w w:val="105"/>
          <w:sz w:val="19"/>
        </w:rPr>
        <w:t>solicitan apoyos</w:t>
      </w:r>
      <w:r>
        <w:rPr>
          <w:spacing w:val="-5"/>
          <w:w w:val="105"/>
          <w:sz w:val="19"/>
        </w:rPr>
        <w:t> </w:t>
      </w:r>
      <w:r>
        <w:rPr>
          <w:spacing w:val="-3"/>
          <w:w w:val="105"/>
          <w:sz w:val="19"/>
        </w:rPr>
        <w:t>para</w:t>
      </w:r>
      <w:r>
        <w:rPr>
          <w:spacing w:val="-5"/>
          <w:w w:val="105"/>
          <w:sz w:val="19"/>
        </w:rPr>
        <w:t> </w:t>
      </w:r>
      <w:r>
        <w:rPr>
          <w:w w:val="105"/>
          <w:sz w:val="19"/>
        </w:rPr>
        <w:t>que</w:t>
      </w:r>
      <w:r>
        <w:rPr>
          <w:spacing w:val="-5"/>
          <w:w w:val="105"/>
          <w:sz w:val="19"/>
        </w:rPr>
        <w:t> </w:t>
      </w:r>
      <w:r>
        <w:rPr>
          <w:w w:val="105"/>
          <w:sz w:val="19"/>
        </w:rPr>
        <w:t>los</w:t>
      </w:r>
      <w:r>
        <w:rPr>
          <w:spacing w:val="-12"/>
          <w:w w:val="105"/>
          <w:sz w:val="19"/>
        </w:rPr>
        <w:t> </w:t>
      </w:r>
      <w:r>
        <w:rPr>
          <w:w w:val="105"/>
          <w:sz w:val="19"/>
        </w:rPr>
        <w:t>maestros</w:t>
      </w:r>
      <w:r>
        <w:rPr>
          <w:spacing w:val="-5"/>
          <w:w w:val="105"/>
          <w:sz w:val="19"/>
        </w:rPr>
        <w:t> </w:t>
      </w:r>
      <w:r>
        <w:rPr>
          <w:w w:val="105"/>
          <w:sz w:val="19"/>
        </w:rPr>
        <w:t>rurales</w:t>
      </w:r>
      <w:r>
        <w:rPr>
          <w:spacing w:val="-9"/>
          <w:w w:val="105"/>
          <w:sz w:val="19"/>
        </w:rPr>
        <w:t> </w:t>
      </w:r>
      <w:r>
        <w:rPr>
          <w:w w:val="105"/>
          <w:sz w:val="19"/>
        </w:rPr>
        <w:t>tengan</w:t>
      </w:r>
      <w:r>
        <w:rPr>
          <w:spacing w:val="-8"/>
          <w:w w:val="105"/>
          <w:sz w:val="19"/>
        </w:rPr>
        <w:t> </w:t>
      </w:r>
      <w:r>
        <w:rPr>
          <w:w w:val="105"/>
          <w:sz w:val="19"/>
        </w:rPr>
        <w:t>mejores</w:t>
      </w:r>
      <w:r>
        <w:rPr>
          <w:spacing w:val="-11"/>
          <w:w w:val="105"/>
          <w:sz w:val="19"/>
        </w:rPr>
        <w:t> </w:t>
      </w:r>
      <w:r>
        <w:rPr>
          <w:w w:val="105"/>
          <w:sz w:val="19"/>
        </w:rPr>
        <w:t>condiciones</w:t>
      </w:r>
      <w:r>
        <w:rPr>
          <w:spacing w:val="-5"/>
          <w:w w:val="105"/>
          <w:sz w:val="19"/>
        </w:rPr>
        <w:t> </w:t>
      </w:r>
      <w:r>
        <w:rPr>
          <w:spacing w:val="-4"/>
          <w:w w:val="105"/>
          <w:sz w:val="19"/>
        </w:rPr>
        <w:t>de</w:t>
      </w:r>
      <w:r>
        <w:rPr>
          <w:spacing w:val="-5"/>
          <w:w w:val="105"/>
          <w:sz w:val="19"/>
        </w:rPr>
        <w:t> </w:t>
      </w:r>
      <w:r>
        <w:rPr>
          <w:w w:val="105"/>
          <w:sz w:val="19"/>
        </w:rPr>
        <w:t>residencia</w:t>
      </w:r>
      <w:r>
        <w:rPr>
          <w:spacing w:val="-5"/>
          <w:w w:val="105"/>
          <w:sz w:val="19"/>
        </w:rPr>
        <w:t> </w:t>
      </w:r>
      <w:r>
        <w:rPr>
          <w:w w:val="105"/>
          <w:sz w:val="19"/>
        </w:rPr>
        <w:t>en</w:t>
      </w:r>
      <w:r>
        <w:rPr>
          <w:spacing w:val="-5"/>
          <w:w w:val="105"/>
          <w:sz w:val="19"/>
        </w:rPr>
        <w:t> </w:t>
      </w:r>
      <w:r>
        <w:rPr>
          <w:w w:val="105"/>
          <w:sz w:val="19"/>
        </w:rPr>
        <w:t>las</w:t>
      </w:r>
      <w:r>
        <w:rPr>
          <w:spacing w:val="-5"/>
          <w:w w:val="105"/>
          <w:sz w:val="19"/>
        </w:rPr>
        <w:t> </w:t>
      </w:r>
      <w:r>
        <w:rPr>
          <w:w w:val="105"/>
          <w:sz w:val="19"/>
        </w:rPr>
        <w:t>regiones</w:t>
      </w:r>
      <w:r>
        <w:rPr>
          <w:spacing w:val="-5"/>
          <w:w w:val="105"/>
          <w:sz w:val="19"/>
        </w:rPr>
        <w:t> </w:t>
      </w:r>
      <w:r>
        <w:rPr>
          <w:w w:val="105"/>
          <w:sz w:val="19"/>
        </w:rPr>
        <w:t>y comunidades aisladas. </w:t>
      </w:r>
      <w:r>
        <w:rPr>
          <w:spacing w:val="-3"/>
          <w:w w:val="105"/>
          <w:sz w:val="19"/>
        </w:rPr>
        <w:t>En </w:t>
      </w:r>
      <w:r>
        <w:rPr>
          <w:w w:val="105"/>
          <w:sz w:val="19"/>
        </w:rPr>
        <w:t>materia de seguridad social generalmente presionan por una mayor calidad </w:t>
      </w:r>
      <w:r>
        <w:rPr>
          <w:spacing w:val="-3"/>
          <w:w w:val="105"/>
          <w:sz w:val="19"/>
        </w:rPr>
        <w:t>en </w:t>
      </w:r>
      <w:r>
        <w:rPr>
          <w:w w:val="105"/>
          <w:sz w:val="19"/>
        </w:rPr>
        <w:t>los servicios de atención médica y hospitalaria, incremento en el monto y número </w:t>
      </w:r>
      <w:r>
        <w:rPr>
          <w:spacing w:val="-3"/>
          <w:w w:val="105"/>
          <w:sz w:val="19"/>
        </w:rPr>
        <w:t>de </w:t>
      </w:r>
      <w:r>
        <w:rPr>
          <w:w w:val="105"/>
          <w:sz w:val="19"/>
        </w:rPr>
        <w:t>créditos</w:t>
      </w:r>
      <w:r>
        <w:rPr>
          <w:spacing w:val="-14"/>
          <w:w w:val="105"/>
          <w:sz w:val="19"/>
        </w:rPr>
        <w:t> </w:t>
      </w:r>
      <w:r>
        <w:rPr>
          <w:w w:val="105"/>
          <w:sz w:val="19"/>
        </w:rPr>
        <w:t>para</w:t>
      </w:r>
      <w:r>
        <w:rPr>
          <w:spacing w:val="-11"/>
          <w:w w:val="105"/>
          <w:sz w:val="19"/>
        </w:rPr>
        <w:t> </w:t>
      </w:r>
      <w:r>
        <w:rPr>
          <w:w w:val="105"/>
          <w:sz w:val="19"/>
        </w:rPr>
        <w:t>vivienda,</w:t>
      </w:r>
      <w:r>
        <w:rPr>
          <w:spacing w:val="-17"/>
          <w:w w:val="105"/>
          <w:sz w:val="19"/>
        </w:rPr>
        <w:t> </w:t>
      </w:r>
      <w:r>
        <w:rPr>
          <w:w w:val="105"/>
          <w:sz w:val="19"/>
        </w:rPr>
        <w:t>así</w:t>
      </w:r>
      <w:r>
        <w:rPr>
          <w:spacing w:val="-17"/>
          <w:w w:val="105"/>
          <w:sz w:val="19"/>
        </w:rPr>
        <w:t> </w:t>
      </w:r>
      <w:r>
        <w:rPr>
          <w:w w:val="105"/>
          <w:sz w:val="19"/>
        </w:rPr>
        <w:t>como</w:t>
      </w:r>
      <w:r>
        <w:rPr>
          <w:spacing w:val="-18"/>
          <w:w w:val="105"/>
          <w:sz w:val="19"/>
        </w:rPr>
        <w:t> </w:t>
      </w:r>
      <w:r>
        <w:rPr>
          <w:w w:val="105"/>
          <w:sz w:val="19"/>
        </w:rPr>
        <w:t>aumento</w:t>
      </w:r>
      <w:r>
        <w:rPr>
          <w:spacing w:val="-11"/>
          <w:w w:val="105"/>
          <w:sz w:val="19"/>
        </w:rPr>
        <w:t> </w:t>
      </w:r>
      <w:r>
        <w:rPr>
          <w:spacing w:val="-3"/>
          <w:w w:val="105"/>
          <w:sz w:val="19"/>
        </w:rPr>
        <w:t>sustantivo</w:t>
      </w:r>
      <w:r>
        <w:rPr>
          <w:spacing w:val="-11"/>
          <w:w w:val="105"/>
          <w:sz w:val="19"/>
        </w:rPr>
        <w:t> </w:t>
      </w:r>
      <w:r>
        <w:rPr>
          <w:w w:val="105"/>
          <w:sz w:val="19"/>
        </w:rPr>
        <w:t>en</w:t>
      </w:r>
      <w:r>
        <w:rPr>
          <w:spacing w:val="-14"/>
          <w:w w:val="105"/>
          <w:sz w:val="19"/>
        </w:rPr>
        <w:t> </w:t>
      </w:r>
      <w:r>
        <w:rPr>
          <w:w w:val="105"/>
          <w:sz w:val="19"/>
        </w:rPr>
        <w:t>las</w:t>
      </w:r>
      <w:r>
        <w:rPr>
          <w:spacing w:val="-19"/>
          <w:w w:val="105"/>
          <w:sz w:val="19"/>
        </w:rPr>
        <w:t> </w:t>
      </w:r>
      <w:r>
        <w:rPr>
          <w:w w:val="105"/>
          <w:sz w:val="19"/>
        </w:rPr>
        <w:t>pensiones</w:t>
      </w:r>
      <w:r>
        <w:rPr>
          <w:spacing w:val="-18"/>
          <w:w w:val="105"/>
          <w:sz w:val="19"/>
        </w:rPr>
        <w:t> </w:t>
      </w:r>
      <w:r>
        <w:rPr>
          <w:w w:val="105"/>
          <w:sz w:val="19"/>
        </w:rPr>
        <w:t>de</w:t>
      </w:r>
      <w:r>
        <w:rPr>
          <w:spacing w:val="-11"/>
          <w:w w:val="105"/>
          <w:sz w:val="19"/>
        </w:rPr>
        <w:t> </w:t>
      </w:r>
      <w:r>
        <w:rPr>
          <w:w w:val="105"/>
          <w:sz w:val="19"/>
        </w:rPr>
        <w:t>los</w:t>
      </w:r>
      <w:r>
        <w:rPr>
          <w:spacing w:val="-14"/>
          <w:w w:val="105"/>
          <w:sz w:val="19"/>
        </w:rPr>
        <w:t> </w:t>
      </w:r>
      <w:r>
        <w:rPr>
          <w:w w:val="105"/>
          <w:sz w:val="19"/>
        </w:rPr>
        <w:t>trabajadores</w:t>
      </w:r>
      <w:r>
        <w:rPr>
          <w:spacing w:val="-18"/>
          <w:w w:val="105"/>
          <w:sz w:val="19"/>
        </w:rPr>
        <w:t> </w:t>
      </w:r>
      <w:r>
        <w:rPr>
          <w:w w:val="105"/>
          <w:sz w:val="19"/>
        </w:rPr>
        <w:t>jubilados y</w:t>
      </w:r>
      <w:r>
        <w:rPr>
          <w:spacing w:val="-37"/>
          <w:w w:val="105"/>
          <w:sz w:val="19"/>
        </w:rPr>
        <w:t> </w:t>
      </w:r>
      <w:r>
        <w:rPr>
          <w:w w:val="105"/>
          <w:sz w:val="19"/>
        </w:rPr>
        <w:t>pensionados.</w:t>
      </w:r>
    </w:p>
    <w:p>
      <w:pPr>
        <w:spacing w:after="0" w:line="247" w:lineRule="auto"/>
        <w:jc w:val="both"/>
        <w:rPr>
          <w:sz w:val="19"/>
        </w:rPr>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9" w:lineRule="auto" w:before="74"/>
        <w:ind w:left="115" w:right="191"/>
      </w:pPr>
      <w:r>
        <w:rPr/>
        <w:t>hablan incluso de “colonización” e “imbricación” por parte del sindicato sobre el quehacer educativo de la administración pública (Street, 1992; Arnaut,  1996).</w:t>
      </w:r>
    </w:p>
    <w:p>
      <w:pPr>
        <w:pStyle w:val="BodyText"/>
        <w:spacing w:line="364" w:lineRule="auto"/>
        <w:ind w:left="115" w:right="103" w:firstLine="686"/>
        <w:jc w:val="both"/>
      </w:pPr>
      <w:r>
        <w:rPr/>
        <w:t>En esta lógica, las líneas  de autoridad  </w:t>
      </w:r>
      <w:r>
        <w:rPr>
          <w:spacing w:val="2"/>
        </w:rPr>
        <w:t>se </w:t>
      </w:r>
      <w:r>
        <w:rPr/>
        <w:t>conectan de </w:t>
      </w:r>
      <w:r>
        <w:rPr>
          <w:spacing w:val="-4"/>
        </w:rPr>
        <w:t>la </w:t>
      </w:r>
      <w:r>
        <w:rPr/>
        <w:t>siguiente forma:  los directores de escuela con supervisores e inspectores de zona y éstos con los directores de área en los estados de las modalidades educativas de primaria y secundaria. El poder sindical incluso llega a confundirse con </w:t>
      </w:r>
      <w:r>
        <w:rPr>
          <w:spacing w:val="3"/>
        </w:rPr>
        <w:t>el </w:t>
      </w:r>
      <w:r>
        <w:rPr/>
        <w:t>de la burocracia de </w:t>
      </w:r>
      <w:r>
        <w:rPr>
          <w:spacing w:val="-5"/>
        </w:rPr>
        <w:t>la  </w:t>
      </w:r>
      <w:r>
        <w:rPr/>
        <w:t>SEP, por ese </w:t>
      </w:r>
      <w:r>
        <w:rPr>
          <w:spacing w:val="-3"/>
        </w:rPr>
        <w:t>alto </w:t>
      </w:r>
      <w:r>
        <w:rPr/>
        <w:t>grado de “imbricación” (Arnaut, 1996: 211) entre los puestos  de confianza y los cargos sindicales. Por ejemplo, los supervisores de zona, cuya función es vigilar </w:t>
      </w:r>
      <w:r>
        <w:rPr>
          <w:spacing w:val="-3"/>
        </w:rPr>
        <w:t>la </w:t>
      </w:r>
      <w:r>
        <w:rPr/>
        <w:t>labor magisterial y en </w:t>
      </w:r>
      <w:r>
        <w:rPr>
          <w:spacing w:val="2"/>
        </w:rPr>
        <w:t>su </w:t>
      </w:r>
      <w:r>
        <w:rPr/>
        <w:t>caso, reportar las anomalías, son al mismo tiempo líderes sindicales adscritos a la línea de los comités seccionales o   de </w:t>
      </w:r>
      <w:r>
        <w:rPr>
          <w:spacing w:val="-3"/>
        </w:rPr>
        <w:t>la </w:t>
      </w:r>
      <w:r>
        <w:rPr/>
        <w:t>dirigencia nacional. De este modo, así como presiden asambleas gremiales, deciden ascensos y traslados de los trabajadores. Aunque el puesto de supervisor es de confianza es un cargo que está dentro del escalafón sindical, lo cual lo sitúa en </w:t>
      </w:r>
      <w:r>
        <w:rPr>
          <w:spacing w:val="-3"/>
        </w:rPr>
        <w:t>la </w:t>
      </w:r>
      <w:r>
        <w:rPr/>
        <w:t>controversia de </w:t>
      </w:r>
      <w:r>
        <w:rPr>
          <w:spacing w:val="-5"/>
        </w:rPr>
        <w:t>la </w:t>
      </w:r>
      <w:r>
        <w:rPr/>
        <w:t>interacción de las dos entidades a las que pertenece (Arnaut, 1996:</w:t>
      </w:r>
      <w:r>
        <w:rPr>
          <w:spacing w:val="22"/>
        </w:rPr>
        <w:t> </w:t>
      </w:r>
      <w:r>
        <w:rPr/>
        <w:t>213-214).</w:t>
      </w:r>
    </w:p>
    <w:p>
      <w:pPr>
        <w:pStyle w:val="BodyText"/>
        <w:spacing w:line="364" w:lineRule="auto"/>
        <w:ind w:left="115" w:right="107" w:firstLine="686"/>
        <w:jc w:val="both"/>
      </w:pPr>
      <w:r>
        <w:rPr/>
        <w:t>Esta imbricación o colonización, aunque se  puede  considerar  “histórica”, está institucionalizada en la </w:t>
      </w:r>
      <w:r>
        <w:rPr>
          <w:i/>
          <w:spacing w:val="-3"/>
        </w:rPr>
        <w:t>Ley </w:t>
      </w:r>
      <w:r>
        <w:rPr>
          <w:i/>
        </w:rPr>
        <w:t>General de Educación </w:t>
      </w:r>
      <w:r>
        <w:rPr/>
        <w:t>(DOF, 9 de </w:t>
      </w:r>
      <w:r>
        <w:rPr>
          <w:spacing w:val="-3"/>
        </w:rPr>
        <w:t>julio </w:t>
      </w:r>
      <w:r>
        <w:rPr/>
        <w:t>de 1993),   </w:t>
      </w:r>
      <w:r>
        <w:rPr>
          <w:spacing w:val="-4"/>
        </w:rPr>
        <w:t>ya </w:t>
      </w:r>
      <w:r>
        <w:rPr/>
        <w:t>que establece que las autoridades </w:t>
      </w:r>
      <w:r>
        <w:rPr>
          <w:spacing w:val="-3"/>
        </w:rPr>
        <w:t>“se </w:t>
      </w:r>
      <w:r>
        <w:rPr/>
        <w:t>obligan a reconocer la titularidad de </w:t>
      </w:r>
      <w:r>
        <w:rPr>
          <w:spacing w:val="-2"/>
        </w:rPr>
        <w:t>las </w:t>
      </w:r>
      <w:r>
        <w:rPr/>
        <w:t>relaciones laborales colectivas de su organización sindical en los términos de su registro vigente”. Asimismo, no obstante que ahora los estados administran </w:t>
      </w:r>
      <w:r>
        <w:rPr>
          <w:spacing w:val="-3"/>
        </w:rPr>
        <w:t>las </w:t>
      </w:r>
      <w:r>
        <w:rPr/>
        <w:t>relaciones laborales del magisterio en cada entidad, las Condiciones Generales de Trabajo de </w:t>
      </w:r>
      <w:r>
        <w:rPr>
          <w:spacing w:val="-5"/>
        </w:rPr>
        <w:t>la </w:t>
      </w:r>
      <w:r>
        <w:rPr/>
        <w:t>SEP son otro referente normativo de dicha imbricación, sobre todo porque amparan una relación de “usos y costumbres” en la que los denominados puestos  “de  confianza”,  como  </w:t>
      </w:r>
      <w:r>
        <w:rPr>
          <w:spacing w:val="-3"/>
        </w:rPr>
        <w:t>los   </w:t>
      </w:r>
      <w:r>
        <w:rPr/>
        <w:t>subsecretarios,   directores  y    </w:t>
      </w:r>
      <w:r>
        <w:rPr>
          <w:spacing w:val="47"/>
        </w:rPr>
        <w:t> </w:t>
      </w:r>
      <w:r>
        <w:rPr/>
        <w:t>subdirectores</w:t>
      </w:r>
    </w:p>
    <w:p>
      <w:pPr>
        <w:pStyle w:val="BodyText"/>
        <w:spacing w:line="270" w:lineRule="exact"/>
        <w:ind w:left="115" w:right="110"/>
      </w:pPr>
      <w:r>
        <w:rPr/>
        <w:t>generales y directores de escuelas normales</w:t>
      </w:r>
      <w:r>
        <w:rPr>
          <w:position w:val="11"/>
          <w:sz w:val="15"/>
        </w:rPr>
        <w:t>21</w:t>
      </w:r>
      <w:r>
        <w:rPr/>
        <w:t>, han sido propuestos   generalmente</w:t>
      </w:r>
    </w:p>
    <w:p>
      <w:pPr>
        <w:pStyle w:val="BodyText"/>
        <w:spacing w:line="369" w:lineRule="auto" w:before="134"/>
        <w:ind w:left="115" w:right="191"/>
      </w:pPr>
      <w:r>
        <w:rPr/>
        <w:t>por </w:t>
      </w:r>
      <w:r>
        <w:rPr>
          <w:spacing w:val="-3"/>
        </w:rPr>
        <w:t>los </w:t>
      </w:r>
      <w:r>
        <w:rPr/>
        <w:t>líderes del SNTE. Se puede señalar que una situación similar se da en </w:t>
      </w:r>
      <w:r>
        <w:rPr>
          <w:spacing w:val="-2"/>
        </w:rPr>
        <w:t>los</w:t>
      </w:r>
      <w:r>
        <w:rPr>
          <w:spacing w:val="59"/>
        </w:rPr>
        <w:t> </w:t>
      </w:r>
      <w:r>
        <w:rPr/>
        <w:t>31 sistemas educativos descentralizados en los</w:t>
      </w:r>
      <w:r>
        <w:rPr>
          <w:spacing w:val="57"/>
        </w:rPr>
        <w:t> </w:t>
      </w:r>
      <w:r>
        <w:rPr/>
        <w:t>estados.</w:t>
      </w:r>
    </w:p>
    <w:p>
      <w:pPr>
        <w:pStyle w:val="BodyText"/>
        <w:spacing w:line="364" w:lineRule="auto"/>
        <w:ind w:left="115" w:right="106" w:firstLine="686"/>
        <w:jc w:val="both"/>
      </w:pPr>
      <w:r>
        <w:rPr/>
        <w:t>Esta unilateralidad de facto también se da </w:t>
      </w:r>
      <w:r>
        <w:rPr>
          <w:spacing w:val="-3"/>
        </w:rPr>
        <w:t>en </w:t>
      </w:r>
      <w:r>
        <w:rPr/>
        <w:t>el </w:t>
      </w:r>
      <w:r>
        <w:rPr>
          <w:i/>
        </w:rPr>
        <w:t>Reglamento </w:t>
      </w:r>
      <w:r>
        <w:rPr>
          <w:i/>
          <w:spacing w:val="-3"/>
        </w:rPr>
        <w:t>de </w:t>
      </w:r>
      <w:r>
        <w:rPr>
          <w:i/>
        </w:rPr>
        <w:t>Escalafón</w:t>
      </w:r>
      <w:r>
        <w:rPr/>
        <w:t>, cuya operatividad  está a cargo de </w:t>
      </w:r>
      <w:r>
        <w:rPr>
          <w:spacing w:val="-3"/>
        </w:rPr>
        <w:t>la  </w:t>
      </w:r>
      <w:r>
        <w:rPr/>
        <w:t>Comisión  Nacional Mixta </w:t>
      </w:r>
      <w:r>
        <w:rPr>
          <w:spacing w:val="2"/>
        </w:rPr>
        <w:t>de </w:t>
      </w:r>
      <w:r>
        <w:rPr/>
        <w:t>Escalafón  </w:t>
      </w:r>
      <w:r>
        <w:rPr>
          <w:spacing w:val="51"/>
        </w:rPr>
        <w:t> </w:t>
      </w:r>
      <w:r>
        <w:rPr/>
        <w:t>que,</w:t>
      </w:r>
    </w:p>
    <w:p>
      <w:pPr>
        <w:pStyle w:val="BodyText"/>
        <w:rPr>
          <w:sz w:val="20"/>
        </w:rPr>
      </w:pPr>
    </w:p>
    <w:p>
      <w:pPr>
        <w:pStyle w:val="BodyText"/>
        <w:rPr>
          <w:sz w:val="12"/>
        </w:rPr>
      </w:pPr>
      <w:r>
        <w:rPr/>
        <w:pict>
          <v:line style="position:absolute;mso-position-horizontal-relative:page;mso-position-vertical-relative:paragraph;z-index:1432;mso-wrap-distance-left:0;mso-wrap-distance-right:0" from="82.799004pt,9.268185pt" to="222.958004pt,9.268185pt" stroked="true" strokeweight=".72pt" strokecolor="#000000">
            <w10:wrap type="topAndBottom"/>
          </v:line>
        </w:pict>
      </w:r>
    </w:p>
    <w:p>
      <w:pPr>
        <w:spacing w:line="252" w:lineRule="auto" w:before="41"/>
        <w:ind w:left="115" w:right="191" w:firstLine="0"/>
        <w:jc w:val="left"/>
        <w:rPr>
          <w:sz w:val="19"/>
        </w:rPr>
      </w:pPr>
      <w:r>
        <w:rPr>
          <w:spacing w:val="-4"/>
          <w:w w:val="105"/>
          <w:position w:val="10"/>
          <w:sz w:val="12"/>
        </w:rPr>
        <w:t>21</w:t>
      </w:r>
      <w:r>
        <w:rPr>
          <w:spacing w:val="3"/>
          <w:w w:val="105"/>
          <w:position w:val="10"/>
          <w:sz w:val="12"/>
        </w:rPr>
        <w:t> </w:t>
      </w:r>
      <w:r>
        <w:rPr>
          <w:w w:val="105"/>
          <w:sz w:val="19"/>
        </w:rPr>
        <w:t>Sobre</w:t>
      </w:r>
      <w:r>
        <w:rPr>
          <w:spacing w:val="-14"/>
          <w:w w:val="105"/>
          <w:sz w:val="19"/>
        </w:rPr>
        <w:t> </w:t>
      </w:r>
      <w:r>
        <w:rPr>
          <w:w w:val="105"/>
          <w:sz w:val="19"/>
        </w:rPr>
        <w:t>este</w:t>
      </w:r>
      <w:r>
        <w:rPr>
          <w:spacing w:val="-14"/>
          <w:w w:val="105"/>
          <w:sz w:val="19"/>
        </w:rPr>
        <w:t> </w:t>
      </w:r>
      <w:r>
        <w:rPr>
          <w:w w:val="105"/>
          <w:sz w:val="19"/>
        </w:rPr>
        <w:t>punto</w:t>
      </w:r>
      <w:r>
        <w:rPr>
          <w:spacing w:val="-14"/>
          <w:w w:val="105"/>
          <w:sz w:val="19"/>
        </w:rPr>
        <w:t> </w:t>
      </w:r>
      <w:r>
        <w:rPr>
          <w:spacing w:val="-3"/>
          <w:w w:val="105"/>
          <w:sz w:val="19"/>
        </w:rPr>
        <w:t>se</w:t>
      </w:r>
      <w:r>
        <w:rPr>
          <w:spacing w:val="-14"/>
          <w:w w:val="105"/>
          <w:sz w:val="19"/>
        </w:rPr>
        <w:t> </w:t>
      </w:r>
      <w:r>
        <w:rPr>
          <w:w w:val="105"/>
          <w:sz w:val="19"/>
        </w:rPr>
        <w:t>puede</w:t>
      </w:r>
      <w:r>
        <w:rPr>
          <w:spacing w:val="-14"/>
          <w:w w:val="105"/>
          <w:sz w:val="19"/>
        </w:rPr>
        <w:t> </w:t>
      </w:r>
      <w:r>
        <w:rPr>
          <w:w w:val="105"/>
          <w:sz w:val="19"/>
        </w:rPr>
        <w:t>ver</w:t>
      </w:r>
      <w:r>
        <w:rPr>
          <w:spacing w:val="-14"/>
          <w:w w:val="105"/>
          <w:sz w:val="19"/>
        </w:rPr>
        <w:t> </w:t>
      </w:r>
      <w:r>
        <w:rPr>
          <w:w w:val="105"/>
          <w:sz w:val="19"/>
        </w:rPr>
        <w:t>las</w:t>
      </w:r>
      <w:r>
        <w:rPr>
          <w:spacing w:val="-15"/>
          <w:w w:val="105"/>
          <w:sz w:val="19"/>
        </w:rPr>
        <w:t> </w:t>
      </w:r>
      <w:r>
        <w:rPr>
          <w:i/>
          <w:w w:val="105"/>
          <w:sz w:val="19"/>
        </w:rPr>
        <w:t>Condiciones</w:t>
      </w:r>
      <w:r>
        <w:rPr>
          <w:i/>
          <w:spacing w:val="-12"/>
          <w:w w:val="105"/>
          <w:sz w:val="19"/>
        </w:rPr>
        <w:t> </w:t>
      </w:r>
      <w:r>
        <w:rPr>
          <w:i/>
          <w:w w:val="105"/>
          <w:sz w:val="19"/>
        </w:rPr>
        <w:t>Generales</w:t>
      </w:r>
      <w:r>
        <w:rPr>
          <w:i/>
          <w:spacing w:val="-15"/>
          <w:w w:val="105"/>
          <w:sz w:val="19"/>
        </w:rPr>
        <w:t> </w:t>
      </w:r>
      <w:r>
        <w:rPr>
          <w:i/>
          <w:w w:val="105"/>
          <w:sz w:val="19"/>
        </w:rPr>
        <w:t>de</w:t>
      </w:r>
      <w:r>
        <w:rPr>
          <w:i/>
          <w:spacing w:val="-13"/>
          <w:w w:val="105"/>
          <w:sz w:val="19"/>
        </w:rPr>
        <w:t> </w:t>
      </w:r>
      <w:r>
        <w:rPr>
          <w:i/>
          <w:w w:val="105"/>
          <w:sz w:val="19"/>
        </w:rPr>
        <w:t>Trabajo</w:t>
      </w:r>
      <w:r>
        <w:rPr>
          <w:i/>
          <w:spacing w:val="-13"/>
          <w:w w:val="105"/>
          <w:sz w:val="19"/>
        </w:rPr>
        <w:t> </w:t>
      </w:r>
      <w:r>
        <w:rPr>
          <w:w w:val="105"/>
          <w:sz w:val="19"/>
        </w:rPr>
        <w:t>de</w:t>
      </w:r>
      <w:r>
        <w:rPr>
          <w:spacing w:val="-13"/>
          <w:w w:val="105"/>
          <w:sz w:val="19"/>
        </w:rPr>
        <w:t> </w:t>
      </w:r>
      <w:r>
        <w:rPr>
          <w:w w:val="105"/>
          <w:sz w:val="19"/>
        </w:rPr>
        <w:t>la</w:t>
      </w:r>
      <w:r>
        <w:rPr>
          <w:spacing w:val="-12"/>
          <w:w w:val="105"/>
          <w:sz w:val="19"/>
        </w:rPr>
        <w:t> </w:t>
      </w:r>
      <w:r>
        <w:rPr>
          <w:w w:val="105"/>
          <w:sz w:val="19"/>
        </w:rPr>
        <w:t>SEP,</w:t>
      </w:r>
      <w:r>
        <w:rPr>
          <w:spacing w:val="-17"/>
          <w:w w:val="105"/>
          <w:sz w:val="19"/>
        </w:rPr>
        <w:t> </w:t>
      </w:r>
      <w:r>
        <w:rPr>
          <w:w w:val="105"/>
          <w:sz w:val="19"/>
        </w:rPr>
        <w:t>capítulo</w:t>
      </w:r>
      <w:r>
        <w:rPr>
          <w:spacing w:val="-12"/>
          <w:w w:val="105"/>
          <w:sz w:val="19"/>
        </w:rPr>
        <w:t> </w:t>
      </w:r>
      <w:r>
        <w:rPr>
          <w:spacing w:val="-3"/>
          <w:w w:val="105"/>
          <w:sz w:val="19"/>
        </w:rPr>
        <w:t>II, </w:t>
      </w:r>
      <w:r>
        <w:rPr>
          <w:w w:val="105"/>
          <w:sz w:val="19"/>
        </w:rPr>
        <w:t>artículo</w:t>
      </w:r>
      <w:r>
        <w:rPr>
          <w:spacing w:val="-24"/>
          <w:w w:val="105"/>
          <w:sz w:val="19"/>
        </w:rPr>
        <w:t> </w:t>
      </w:r>
      <w:r>
        <w:rPr>
          <w:w w:val="105"/>
          <w:sz w:val="19"/>
        </w:rPr>
        <w:t>4</w:t>
      </w:r>
    </w:p>
    <w:p>
      <w:pPr>
        <w:spacing w:after="0" w:line="252" w:lineRule="auto"/>
        <w:jc w:val="left"/>
        <w:rPr>
          <w:sz w:val="19"/>
        </w:rPr>
        <w:sectPr>
          <w:footerReference w:type="default" r:id="rId28"/>
          <w:pgSz w:w="11910" w:h="16840"/>
          <w:pgMar w:footer="1457" w:header="0"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8"/>
        <w:jc w:val="both"/>
      </w:pPr>
      <w:r>
        <w:rPr/>
        <w:t>según la norma, </w:t>
      </w:r>
      <w:r>
        <w:rPr>
          <w:spacing w:val="3"/>
        </w:rPr>
        <w:t>se </w:t>
      </w:r>
      <w:r>
        <w:rPr/>
        <w:t>integra por </w:t>
      </w:r>
      <w:r>
        <w:rPr>
          <w:spacing w:val="-3"/>
        </w:rPr>
        <w:t>dos </w:t>
      </w:r>
      <w:r>
        <w:rPr/>
        <w:t>representantes </w:t>
      </w:r>
      <w:r>
        <w:rPr>
          <w:spacing w:val="-3"/>
        </w:rPr>
        <w:t>de </w:t>
      </w:r>
      <w:r>
        <w:rPr/>
        <w:t>la SEP, dos del SNTE un quinto miembro denominado “Presidente Arbitro” que es designado en común acuerdo por las partes involucradas. Dicha comisión tiene como tareas “proveer </w:t>
      </w:r>
      <w:r>
        <w:rPr>
          <w:spacing w:val="-5"/>
        </w:rPr>
        <w:t>lo </w:t>
      </w:r>
      <w:r>
        <w:rPr/>
        <w:t>necesario para </w:t>
      </w:r>
      <w:r>
        <w:rPr>
          <w:spacing w:val="4"/>
        </w:rPr>
        <w:t>el </w:t>
      </w:r>
      <w:r>
        <w:rPr/>
        <w:t>ejercicio de los derechos escalafonarios y de permuta”; convocar a concursos para cubrir plazas vacantes, definitivas o provisionales; resolver ascensos, resolver solicitudes de permuta y las inconformidades de los  trabajadores con respecto a su situación</w:t>
      </w:r>
      <w:r>
        <w:rPr>
          <w:spacing w:val="44"/>
        </w:rPr>
        <w:t> </w:t>
      </w:r>
      <w:r>
        <w:rPr/>
        <w:t>escalafonaria.</w:t>
      </w:r>
    </w:p>
    <w:p>
      <w:pPr>
        <w:pStyle w:val="BodyText"/>
        <w:spacing w:line="364" w:lineRule="auto" w:before="5"/>
        <w:ind w:left="115" w:right="107" w:firstLine="686"/>
        <w:jc w:val="both"/>
      </w:pPr>
      <w:r>
        <w:rPr/>
        <w:t>Más aún, según el </w:t>
      </w:r>
      <w:r>
        <w:rPr>
          <w:spacing w:val="-2"/>
        </w:rPr>
        <w:t>propio </w:t>
      </w:r>
      <w:r>
        <w:rPr/>
        <w:t>Reglamento de Escalafón, la Comisión Nacional Mixta “es una institución autónoma en sus decisiones, cuyas resoluciones no pueden ser invalidadas por autoridades administrativas u órganos del gobierno sindical, sino únicamente por los tribunales competentes. Otro aspecto señalado  por el Reglamento de Escalafón es que </w:t>
      </w:r>
      <w:r>
        <w:rPr>
          <w:spacing w:val="-4"/>
        </w:rPr>
        <w:t>la </w:t>
      </w:r>
      <w:r>
        <w:rPr/>
        <w:t>atención del personal quedó dividida en cuatro grupos, según su adscripción institucional, </w:t>
      </w:r>
      <w:r>
        <w:rPr>
          <w:spacing w:val="2"/>
        </w:rPr>
        <w:t>de </w:t>
      </w:r>
      <w:r>
        <w:rPr/>
        <w:t>los cuales  </w:t>
      </w:r>
      <w:r>
        <w:rPr>
          <w:spacing w:val="-3"/>
        </w:rPr>
        <w:t>dos  </w:t>
      </w:r>
      <w:r>
        <w:rPr/>
        <w:t>administraba  el SNTE y dos </w:t>
      </w:r>
      <w:r>
        <w:rPr>
          <w:spacing w:val="-6"/>
        </w:rPr>
        <w:t>la</w:t>
      </w:r>
      <w:r>
        <w:rPr>
          <w:spacing w:val="44"/>
        </w:rPr>
        <w:t> </w:t>
      </w:r>
      <w:r>
        <w:rPr/>
        <w:t>SEP.</w:t>
      </w:r>
    </w:p>
    <w:p>
      <w:pPr>
        <w:pStyle w:val="BodyText"/>
        <w:spacing w:line="364" w:lineRule="auto" w:before="5"/>
        <w:ind w:left="115" w:right="107" w:firstLine="686"/>
        <w:jc w:val="both"/>
      </w:pPr>
      <w:r>
        <w:rPr/>
        <w:t>Pese a que el Reglamento diferencia claramente las tareas de </w:t>
      </w:r>
      <w:r>
        <w:rPr>
          <w:spacing w:val="-3"/>
        </w:rPr>
        <w:t>los </w:t>
      </w:r>
      <w:r>
        <w:rPr/>
        <w:t>representantes del SNTE y de la SEP en la Comisión Nacional Mixta de Escalafón, así como </w:t>
      </w:r>
      <w:r>
        <w:rPr>
          <w:spacing w:val="-3"/>
        </w:rPr>
        <w:t>sus </w:t>
      </w:r>
      <w:r>
        <w:rPr/>
        <w:t>respectivas competencias en cada grupo, es claro que el sindicato </w:t>
      </w:r>
      <w:r>
        <w:rPr>
          <w:spacing w:val="-3"/>
        </w:rPr>
        <w:t>amplió </w:t>
      </w:r>
      <w:r>
        <w:rPr>
          <w:spacing w:val="5"/>
        </w:rPr>
        <w:t>su </w:t>
      </w:r>
      <w:r>
        <w:rPr/>
        <w:t>esfera de influencia, porque como señala Arnaut (1996: 210) </w:t>
      </w:r>
      <w:r>
        <w:rPr>
          <w:spacing w:val="-3"/>
        </w:rPr>
        <w:t>“lo </w:t>
      </w:r>
      <w:r>
        <w:rPr/>
        <w:t>que </w:t>
      </w:r>
      <w:r>
        <w:rPr>
          <w:spacing w:val="-3"/>
        </w:rPr>
        <w:t>es </w:t>
      </w:r>
      <w:r>
        <w:rPr/>
        <w:t>controlado  por  </w:t>
      </w:r>
      <w:r>
        <w:rPr>
          <w:spacing w:val="-3"/>
        </w:rPr>
        <w:t>la  </w:t>
      </w:r>
      <w:r>
        <w:rPr/>
        <w:t>SEP,  </w:t>
      </w:r>
      <w:r>
        <w:rPr>
          <w:spacing w:val="-3"/>
        </w:rPr>
        <w:t>es  factible  </w:t>
      </w:r>
      <w:r>
        <w:rPr/>
        <w:t>de  ser  controlado  por  el  SNTE,  debido  a </w:t>
      </w:r>
      <w:r>
        <w:rPr>
          <w:spacing w:val="-3"/>
        </w:rPr>
        <w:t>la</w:t>
      </w:r>
    </w:p>
    <w:p>
      <w:pPr>
        <w:pStyle w:val="BodyText"/>
        <w:spacing w:line="265" w:lineRule="exact"/>
        <w:ind w:left="115"/>
        <w:jc w:val="both"/>
      </w:pPr>
      <w:r>
        <w:rPr/>
        <w:t>presencia  que  ha  alcanzado  desde  sus  orígenes  frente  y  dentro  de aquella”</w:t>
      </w:r>
      <w:r>
        <w:rPr>
          <w:position w:val="11"/>
          <w:sz w:val="15"/>
        </w:rPr>
        <w:t>22</w:t>
      </w:r>
      <w:r>
        <w:rPr/>
        <w:t>.</w:t>
      </w:r>
    </w:p>
    <w:p>
      <w:pPr>
        <w:pStyle w:val="BodyText"/>
        <w:spacing w:line="364" w:lineRule="auto" w:before="138"/>
        <w:ind w:left="115" w:right="107"/>
        <w:jc w:val="both"/>
      </w:pPr>
      <w:r>
        <w:rPr/>
        <w:t>Ahora bien, en términos laborales, el poder del SNTE es evidente, ya que para </w:t>
      </w:r>
      <w:r>
        <w:rPr>
          <w:spacing w:val="-2"/>
        </w:rPr>
        <w:t>los </w:t>
      </w:r>
      <w:r>
        <w:rPr/>
        <w:t>asuntos </w:t>
      </w:r>
      <w:r>
        <w:rPr>
          <w:spacing w:val="3"/>
        </w:rPr>
        <w:t>de </w:t>
      </w:r>
      <w:r>
        <w:rPr/>
        <w:t>permutas y ascensos, los trabajadores de </w:t>
      </w:r>
      <w:r>
        <w:rPr>
          <w:spacing w:val="-4"/>
        </w:rPr>
        <w:t>la </w:t>
      </w:r>
      <w:r>
        <w:rPr/>
        <w:t>educación deben acudir, además de </w:t>
      </w:r>
      <w:r>
        <w:rPr>
          <w:spacing w:val="-3"/>
        </w:rPr>
        <w:t>las </w:t>
      </w:r>
      <w:r>
        <w:rPr/>
        <w:t>oficinas administrativas del sistema educativo, a los Colegiados de Asuntos Laborales tanto a nivel nacional como en  las secciones. Incluso  en el  caso </w:t>
      </w:r>
      <w:r>
        <w:rPr>
          <w:spacing w:val="2"/>
        </w:rPr>
        <w:t>de </w:t>
      </w:r>
      <w:r>
        <w:rPr/>
        <w:t>Carrera Magisterial, que según </w:t>
      </w:r>
      <w:r>
        <w:rPr>
          <w:spacing w:val="-3"/>
        </w:rPr>
        <w:t>la </w:t>
      </w:r>
      <w:r>
        <w:rPr/>
        <w:t>norma es un tipo de escalafón </w:t>
      </w:r>
      <w:r>
        <w:rPr>
          <w:spacing w:val="-3"/>
        </w:rPr>
        <w:t>que </w:t>
      </w:r>
      <w:r>
        <w:rPr/>
        <w:t>se gestiona  individualmente  y  su  valoración  depende  de  méritos  individuales </w:t>
      </w:r>
      <w:r>
        <w:rPr>
          <w:spacing w:val="44"/>
        </w:rPr>
        <w:t> </w:t>
      </w:r>
      <w:r>
        <w:rPr/>
        <w:t>que</w:t>
      </w:r>
    </w:p>
    <w:p>
      <w:pPr>
        <w:pStyle w:val="BodyText"/>
        <w:rPr>
          <w:sz w:val="20"/>
        </w:rPr>
      </w:pPr>
    </w:p>
    <w:p>
      <w:pPr>
        <w:pStyle w:val="BodyText"/>
        <w:spacing w:before="9"/>
        <w:rPr>
          <w:sz w:val="20"/>
        </w:rPr>
      </w:pPr>
      <w:r>
        <w:rPr/>
        <w:pict>
          <v:line style="position:absolute;mso-position-horizontal-relative:page;mso-position-vertical-relative:paragraph;z-index:1456;mso-wrap-distance-left:0;mso-wrap-distance-right:0" from="82.799004pt,14.188178pt" to="222.958004pt,14.188178pt" stroked="true" strokeweight=".48pt" strokecolor="#000000">
            <w10:wrap type="topAndBottom"/>
          </v:line>
        </w:pict>
      </w:r>
    </w:p>
    <w:p>
      <w:pPr>
        <w:spacing w:line="247" w:lineRule="auto" w:before="46"/>
        <w:ind w:left="115" w:right="99" w:firstLine="0"/>
        <w:jc w:val="both"/>
        <w:rPr>
          <w:sz w:val="19"/>
        </w:rPr>
      </w:pPr>
      <w:r>
        <w:rPr>
          <w:spacing w:val="-4"/>
          <w:w w:val="105"/>
          <w:position w:val="10"/>
          <w:sz w:val="12"/>
        </w:rPr>
        <w:t>22 </w:t>
      </w:r>
      <w:r>
        <w:rPr>
          <w:w w:val="105"/>
          <w:sz w:val="19"/>
        </w:rPr>
        <w:t>Un aspecto fundamental </w:t>
      </w:r>
      <w:r>
        <w:rPr>
          <w:spacing w:val="-3"/>
          <w:w w:val="105"/>
          <w:sz w:val="19"/>
        </w:rPr>
        <w:t>de </w:t>
      </w:r>
      <w:r>
        <w:rPr>
          <w:w w:val="105"/>
          <w:sz w:val="19"/>
        </w:rPr>
        <w:t>las Condiciones Generales de Trabajo y del Reglamento de Escalafón </w:t>
      </w:r>
      <w:r>
        <w:rPr>
          <w:spacing w:val="3"/>
          <w:w w:val="105"/>
          <w:sz w:val="19"/>
        </w:rPr>
        <w:t>es </w:t>
      </w:r>
      <w:r>
        <w:rPr>
          <w:w w:val="105"/>
          <w:sz w:val="19"/>
        </w:rPr>
        <w:t>que garantizan la inamovilidad de los empleados de base de </w:t>
      </w:r>
      <w:r>
        <w:rPr>
          <w:spacing w:val="-3"/>
          <w:w w:val="105"/>
          <w:sz w:val="19"/>
        </w:rPr>
        <w:t>la </w:t>
      </w:r>
      <w:r>
        <w:rPr>
          <w:w w:val="105"/>
          <w:sz w:val="19"/>
        </w:rPr>
        <w:t>SEP, los cuales llegan</w:t>
      </w:r>
      <w:r>
        <w:rPr>
          <w:spacing w:val="-9"/>
          <w:w w:val="105"/>
          <w:sz w:val="19"/>
        </w:rPr>
        <w:t> </w:t>
      </w:r>
      <w:r>
        <w:rPr>
          <w:w w:val="105"/>
          <w:sz w:val="19"/>
        </w:rPr>
        <w:t>a</w:t>
      </w:r>
      <w:r>
        <w:rPr>
          <w:spacing w:val="-9"/>
          <w:w w:val="105"/>
          <w:sz w:val="19"/>
        </w:rPr>
        <w:t> </w:t>
      </w:r>
      <w:r>
        <w:rPr>
          <w:w w:val="105"/>
          <w:sz w:val="19"/>
        </w:rPr>
        <w:t>casi</w:t>
      </w:r>
      <w:r>
        <w:rPr>
          <w:spacing w:val="38"/>
          <w:w w:val="105"/>
          <w:sz w:val="19"/>
        </w:rPr>
        <w:t> </w:t>
      </w:r>
      <w:r>
        <w:rPr>
          <w:w w:val="105"/>
          <w:sz w:val="19"/>
        </w:rPr>
        <w:t>el</w:t>
      </w:r>
      <w:r>
        <w:rPr>
          <w:spacing w:val="-9"/>
          <w:w w:val="105"/>
          <w:sz w:val="19"/>
        </w:rPr>
        <w:t> </w:t>
      </w:r>
      <w:r>
        <w:rPr>
          <w:w w:val="105"/>
          <w:sz w:val="19"/>
        </w:rPr>
        <w:t>100%</w:t>
      </w:r>
      <w:r>
        <w:rPr>
          <w:spacing w:val="-9"/>
          <w:w w:val="105"/>
          <w:sz w:val="19"/>
        </w:rPr>
        <w:t> </w:t>
      </w:r>
      <w:r>
        <w:rPr>
          <w:w w:val="105"/>
          <w:sz w:val="19"/>
        </w:rPr>
        <w:t>del</w:t>
      </w:r>
      <w:r>
        <w:rPr>
          <w:spacing w:val="-9"/>
          <w:w w:val="105"/>
          <w:sz w:val="19"/>
        </w:rPr>
        <w:t> </w:t>
      </w:r>
      <w:r>
        <w:rPr>
          <w:w w:val="105"/>
          <w:sz w:val="19"/>
        </w:rPr>
        <w:t>personal.</w:t>
      </w:r>
      <w:r>
        <w:rPr>
          <w:spacing w:val="-9"/>
          <w:w w:val="105"/>
          <w:sz w:val="19"/>
        </w:rPr>
        <w:t> </w:t>
      </w:r>
      <w:r>
        <w:rPr>
          <w:w w:val="105"/>
          <w:sz w:val="19"/>
        </w:rPr>
        <w:t>Esta</w:t>
      </w:r>
      <w:r>
        <w:rPr>
          <w:spacing w:val="-9"/>
          <w:w w:val="105"/>
          <w:sz w:val="19"/>
        </w:rPr>
        <w:t> </w:t>
      </w:r>
      <w:r>
        <w:rPr>
          <w:w w:val="105"/>
          <w:sz w:val="19"/>
        </w:rPr>
        <w:t>normatividad</w:t>
      </w:r>
      <w:r>
        <w:rPr>
          <w:spacing w:val="-9"/>
          <w:w w:val="105"/>
          <w:sz w:val="19"/>
        </w:rPr>
        <w:t> </w:t>
      </w:r>
      <w:r>
        <w:rPr>
          <w:w w:val="105"/>
          <w:sz w:val="19"/>
        </w:rPr>
        <w:t>también</w:t>
      </w:r>
      <w:r>
        <w:rPr>
          <w:spacing w:val="-5"/>
          <w:w w:val="105"/>
          <w:sz w:val="19"/>
        </w:rPr>
        <w:t> </w:t>
      </w:r>
      <w:r>
        <w:rPr>
          <w:w w:val="105"/>
          <w:sz w:val="19"/>
        </w:rPr>
        <w:t>le</w:t>
      </w:r>
      <w:r>
        <w:rPr>
          <w:spacing w:val="-9"/>
          <w:w w:val="105"/>
          <w:sz w:val="19"/>
        </w:rPr>
        <w:t> </w:t>
      </w:r>
      <w:r>
        <w:rPr>
          <w:w w:val="105"/>
          <w:sz w:val="19"/>
        </w:rPr>
        <w:t>garantiza</w:t>
      </w:r>
      <w:r>
        <w:rPr>
          <w:spacing w:val="-9"/>
          <w:w w:val="105"/>
          <w:sz w:val="19"/>
        </w:rPr>
        <w:t> </w:t>
      </w:r>
      <w:r>
        <w:rPr>
          <w:w w:val="105"/>
          <w:sz w:val="19"/>
        </w:rPr>
        <w:t>a</w:t>
      </w:r>
      <w:r>
        <w:rPr>
          <w:spacing w:val="-4"/>
          <w:w w:val="105"/>
          <w:sz w:val="19"/>
        </w:rPr>
        <w:t> </w:t>
      </w:r>
      <w:r>
        <w:rPr>
          <w:w w:val="105"/>
          <w:sz w:val="19"/>
        </w:rPr>
        <w:t>los</w:t>
      </w:r>
      <w:r>
        <w:rPr>
          <w:spacing w:val="-12"/>
          <w:w w:val="105"/>
          <w:sz w:val="19"/>
        </w:rPr>
        <w:t> </w:t>
      </w:r>
      <w:r>
        <w:rPr>
          <w:w w:val="105"/>
          <w:sz w:val="19"/>
        </w:rPr>
        <w:t>líderes</w:t>
      </w:r>
      <w:r>
        <w:rPr>
          <w:spacing w:val="-11"/>
          <w:w w:val="105"/>
          <w:sz w:val="19"/>
        </w:rPr>
        <w:t> </w:t>
      </w:r>
      <w:r>
        <w:rPr>
          <w:w w:val="105"/>
          <w:sz w:val="19"/>
        </w:rPr>
        <w:t>sindicales una “fuerte injerencia en el reclutamiento, permanencia y movilidad dentro del servicio”. Un factor adicional de </w:t>
      </w:r>
      <w:r>
        <w:rPr>
          <w:spacing w:val="-3"/>
          <w:w w:val="105"/>
          <w:sz w:val="19"/>
        </w:rPr>
        <w:t>esta </w:t>
      </w:r>
      <w:r>
        <w:rPr>
          <w:w w:val="105"/>
          <w:sz w:val="19"/>
        </w:rPr>
        <w:t>normatividad es que las plazas </w:t>
      </w:r>
      <w:r>
        <w:rPr>
          <w:spacing w:val="-4"/>
          <w:w w:val="105"/>
          <w:sz w:val="19"/>
        </w:rPr>
        <w:t>son </w:t>
      </w:r>
      <w:r>
        <w:rPr>
          <w:w w:val="105"/>
          <w:sz w:val="19"/>
        </w:rPr>
        <w:t>propiedad, en términos jurídicos, de sus titulares,</w:t>
      </w:r>
      <w:r>
        <w:rPr>
          <w:spacing w:val="-11"/>
          <w:w w:val="105"/>
          <w:sz w:val="19"/>
        </w:rPr>
        <w:t> </w:t>
      </w:r>
      <w:r>
        <w:rPr>
          <w:spacing w:val="-3"/>
          <w:w w:val="105"/>
          <w:sz w:val="19"/>
        </w:rPr>
        <w:t>pero</w:t>
      </w:r>
      <w:r>
        <w:rPr>
          <w:spacing w:val="-9"/>
          <w:w w:val="105"/>
          <w:sz w:val="19"/>
        </w:rPr>
        <w:t> </w:t>
      </w:r>
      <w:r>
        <w:rPr>
          <w:w w:val="105"/>
          <w:sz w:val="19"/>
        </w:rPr>
        <w:t>antes</w:t>
      </w:r>
      <w:r>
        <w:rPr>
          <w:spacing w:val="-15"/>
          <w:w w:val="105"/>
          <w:sz w:val="19"/>
        </w:rPr>
        <w:t> </w:t>
      </w:r>
      <w:r>
        <w:rPr>
          <w:w w:val="105"/>
          <w:sz w:val="19"/>
        </w:rPr>
        <w:t>del</w:t>
      </w:r>
      <w:r>
        <w:rPr>
          <w:spacing w:val="-6"/>
          <w:w w:val="105"/>
          <w:sz w:val="19"/>
        </w:rPr>
        <w:t> </w:t>
      </w:r>
      <w:r>
        <w:rPr>
          <w:w w:val="105"/>
          <w:sz w:val="19"/>
        </w:rPr>
        <w:t>SNTE,</w:t>
      </w:r>
      <w:r>
        <w:rPr>
          <w:spacing w:val="-11"/>
          <w:w w:val="105"/>
          <w:sz w:val="19"/>
        </w:rPr>
        <w:t> </w:t>
      </w:r>
      <w:r>
        <w:rPr>
          <w:w w:val="105"/>
          <w:sz w:val="19"/>
        </w:rPr>
        <w:t>que</w:t>
      </w:r>
      <w:r>
        <w:rPr>
          <w:spacing w:val="-11"/>
          <w:w w:val="105"/>
          <w:sz w:val="19"/>
        </w:rPr>
        <w:t> </w:t>
      </w:r>
      <w:r>
        <w:rPr>
          <w:w w:val="105"/>
          <w:sz w:val="19"/>
        </w:rPr>
        <w:t>es</w:t>
      </w:r>
      <w:r>
        <w:rPr>
          <w:spacing w:val="-11"/>
          <w:w w:val="105"/>
          <w:sz w:val="19"/>
        </w:rPr>
        <w:t> </w:t>
      </w:r>
      <w:r>
        <w:rPr>
          <w:w w:val="105"/>
          <w:sz w:val="19"/>
        </w:rPr>
        <w:t>la</w:t>
      </w:r>
      <w:r>
        <w:rPr>
          <w:spacing w:val="-11"/>
          <w:w w:val="105"/>
          <w:sz w:val="19"/>
        </w:rPr>
        <w:t> </w:t>
      </w:r>
      <w:r>
        <w:rPr>
          <w:w w:val="105"/>
          <w:sz w:val="19"/>
        </w:rPr>
        <w:t>instancia</w:t>
      </w:r>
      <w:r>
        <w:rPr>
          <w:spacing w:val="-5"/>
          <w:w w:val="105"/>
          <w:sz w:val="19"/>
        </w:rPr>
        <w:t> </w:t>
      </w:r>
      <w:r>
        <w:rPr>
          <w:w w:val="105"/>
          <w:sz w:val="19"/>
        </w:rPr>
        <w:t>obligada</w:t>
      </w:r>
      <w:r>
        <w:rPr>
          <w:spacing w:val="-11"/>
          <w:w w:val="105"/>
          <w:sz w:val="19"/>
        </w:rPr>
        <w:t> </w:t>
      </w:r>
      <w:r>
        <w:rPr>
          <w:w w:val="105"/>
          <w:sz w:val="19"/>
        </w:rPr>
        <w:t>para</w:t>
      </w:r>
      <w:r>
        <w:rPr>
          <w:spacing w:val="-11"/>
          <w:w w:val="105"/>
          <w:sz w:val="19"/>
        </w:rPr>
        <w:t> </w:t>
      </w:r>
      <w:r>
        <w:rPr>
          <w:w w:val="105"/>
          <w:sz w:val="19"/>
        </w:rPr>
        <w:t>que</w:t>
      </w:r>
      <w:r>
        <w:rPr>
          <w:spacing w:val="-11"/>
          <w:w w:val="105"/>
          <w:sz w:val="19"/>
        </w:rPr>
        <w:t> </w:t>
      </w:r>
      <w:r>
        <w:rPr>
          <w:w w:val="105"/>
          <w:sz w:val="19"/>
        </w:rPr>
        <w:t>las</w:t>
      </w:r>
      <w:r>
        <w:rPr>
          <w:spacing w:val="-11"/>
          <w:w w:val="105"/>
          <w:sz w:val="19"/>
        </w:rPr>
        <w:t> </w:t>
      </w:r>
      <w:r>
        <w:rPr>
          <w:w w:val="105"/>
          <w:sz w:val="19"/>
        </w:rPr>
        <w:t>plazas</w:t>
      </w:r>
      <w:r>
        <w:rPr>
          <w:spacing w:val="-11"/>
          <w:w w:val="105"/>
          <w:sz w:val="19"/>
        </w:rPr>
        <w:t> </w:t>
      </w:r>
      <w:r>
        <w:rPr>
          <w:spacing w:val="-2"/>
          <w:w w:val="105"/>
          <w:sz w:val="19"/>
        </w:rPr>
        <w:t>tengan</w:t>
      </w:r>
      <w:r>
        <w:rPr>
          <w:spacing w:val="-11"/>
          <w:w w:val="105"/>
          <w:sz w:val="19"/>
        </w:rPr>
        <w:t> </w:t>
      </w:r>
      <w:r>
        <w:rPr>
          <w:w w:val="105"/>
          <w:sz w:val="19"/>
        </w:rPr>
        <w:t>más</w:t>
      </w:r>
      <w:r>
        <w:rPr>
          <w:spacing w:val="-10"/>
          <w:w w:val="105"/>
          <w:sz w:val="19"/>
        </w:rPr>
        <w:t> </w:t>
      </w:r>
      <w:r>
        <w:rPr>
          <w:w w:val="105"/>
          <w:sz w:val="19"/>
        </w:rPr>
        <w:t>valor</w:t>
      </w:r>
      <w:r>
        <w:rPr>
          <w:spacing w:val="-11"/>
          <w:w w:val="105"/>
          <w:sz w:val="19"/>
        </w:rPr>
        <w:t> </w:t>
      </w:r>
      <w:r>
        <w:rPr>
          <w:w w:val="105"/>
          <w:sz w:val="19"/>
        </w:rPr>
        <w:t>a través</w:t>
      </w:r>
      <w:r>
        <w:rPr>
          <w:spacing w:val="-23"/>
          <w:w w:val="105"/>
          <w:sz w:val="19"/>
        </w:rPr>
        <w:t> </w:t>
      </w:r>
      <w:r>
        <w:rPr>
          <w:w w:val="105"/>
          <w:sz w:val="19"/>
        </w:rPr>
        <w:t>de</w:t>
      </w:r>
      <w:r>
        <w:rPr>
          <w:spacing w:val="-18"/>
          <w:w w:val="105"/>
          <w:sz w:val="19"/>
        </w:rPr>
        <w:t> </w:t>
      </w:r>
      <w:r>
        <w:rPr>
          <w:w w:val="105"/>
          <w:sz w:val="19"/>
        </w:rPr>
        <w:t>las</w:t>
      </w:r>
      <w:r>
        <w:rPr>
          <w:spacing w:val="-20"/>
          <w:w w:val="105"/>
          <w:sz w:val="19"/>
        </w:rPr>
        <w:t> </w:t>
      </w:r>
      <w:r>
        <w:rPr>
          <w:w w:val="105"/>
          <w:sz w:val="19"/>
        </w:rPr>
        <w:t>promociones</w:t>
      </w:r>
      <w:r>
        <w:rPr>
          <w:spacing w:val="-20"/>
          <w:w w:val="105"/>
          <w:sz w:val="19"/>
        </w:rPr>
        <w:t> </w:t>
      </w:r>
      <w:r>
        <w:rPr>
          <w:w w:val="105"/>
          <w:sz w:val="19"/>
        </w:rPr>
        <w:t>y</w:t>
      </w:r>
      <w:r>
        <w:rPr>
          <w:spacing w:val="-24"/>
          <w:w w:val="105"/>
          <w:sz w:val="19"/>
        </w:rPr>
        <w:t> </w:t>
      </w:r>
      <w:r>
        <w:rPr>
          <w:w w:val="105"/>
          <w:sz w:val="19"/>
        </w:rPr>
        <w:t>ascensos</w:t>
      </w:r>
      <w:r>
        <w:rPr>
          <w:spacing w:val="-20"/>
          <w:w w:val="105"/>
          <w:sz w:val="19"/>
        </w:rPr>
        <w:t> </w:t>
      </w:r>
      <w:r>
        <w:rPr>
          <w:w w:val="105"/>
          <w:sz w:val="19"/>
        </w:rPr>
        <w:t>escalafonarios.</w:t>
      </w:r>
      <w:r>
        <w:rPr>
          <w:spacing w:val="-20"/>
          <w:w w:val="105"/>
          <w:sz w:val="19"/>
        </w:rPr>
        <w:t> </w:t>
      </w:r>
      <w:r>
        <w:rPr>
          <w:w w:val="105"/>
          <w:sz w:val="19"/>
        </w:rPr>
        <w:t>(Arnaut,</w:t>
      </w:r>
      <w:r>
        <w:rPr>
          <w:spacing w:val="-24"/>
          <w:w w:val="105"/>
          <w:sz w:val="19"/>
        </w:rPr>
        <w:t> </w:t>
      </w:r>
      <w:r>
        <w:rPr>
          <w:w w:val="105"/>
          <w:sz w:val="19"/>
        </w:rPr>
        <w:t>1996:</w:t>
      </w:r>
      <w:r>
        <w:rPr>
          <w:spacing w:val="-24"/>
          <w:w w:val="105"/>
          <w:sz w:val="19"/>
        </w:rPr>
        <w:t> </w:t>
      </w:r>
      <w:r>
        <w:rPr>
          <w:w w:val="105"/>
          <w:sz w:val="19"/>
        </w:rPr>
        <w:t>210).</w:t>
      </w:r>
    </w:p>
    <w:p>
      <w:pPr>
        <w:spacing w:after="0" w:line="247" w:lineRule="auto"/>
        <w:jc w:val="both"/>
        <w:rPr>
          <w:sz w:val="19"/>
        </w:rPr>
        <w:sectPr>
          <w:footerReference w:type="default" r:id="rId29"/>
          <w:pgSz w:w="11910" w:h="16840"/>
          <w:pgMar w:footer="1457" w:header="0" w:top="1580" w:bottom="1640" w:left="1540" w:right="1540"/>
          <w:pgNumType w:start="101"/>
        </w:sectPr>
      </w:pPr>
    </w:p>
    <w:p>
      <w:pPr>
        <w:pStyle w:val="BodyText"/>
        <w:rPr>
          <w:sz w:val="20"/>
        </w:rPr>
      </w:pPr>
    </w:p>
    <w:p>
      <w:pPr>
        <w:pStyle w:val="BodyText"/>
        <w:spacing w:before="2"/>
        <w:rPr>
          <w:sz w:val="16"/>
        </w:rPr>
      </w:pPr>
    </w:p>
    <w:p>
      <w:pPr>
        <w:pStyle w:val="BodyText"/>
        <w:spacing w:line="338" w:lineRule="auto" w:before="74"/>
        <w:ind w:left="115" w:right="191"/>
      </w:pPr>
      <w:r>
        <w:rPr/>
        <w:t>evalúa una Comisión Nacional Mixta, en la realidad, el ingreso </w:t>
      </w:r>
      <w:r>
        <w:rPr>
          <w:spacing w:val="-3"/>
        </w:rPr>
        <w:t>lo  </w:t>
      </w:r>
      <w:r>
        <w:rPr/>
        <w:t>decide  el  SNTE</w:t>
      </w:r>
      <w:r>
        <w:rPr>
          <w:position w:val="11"/>
          <w:sz w:val="15"/>
        </w:rPr>
        <w:t>23</w:t>
      </w:r>
      <w:r>
        <w:rPr/>
        <w:t>.</w:t>
      </w:r>
    </w:p>
    <w:p>
      <w:pPr>
        <w:pStyle w:val="BodyText"/>
        <w:spacing w:line="364" w:lineRule="auto" w:before="13"/>
        <w:ind w:left="115" w:right="107" w:firstLine="686"/>
        <w:jc w:val="both"/>
      </w:pPr>
      <w:r>
        <w:rPr/>
        <w:t>En las áreas enunciadas con anterioridad el SNTE interviene porque son </w:t>
      </w:r>
      <w:r>
        <w:rPr>
          <w:spacing w:val="-2"/>
        </w:rPr>
        <w:t>los </w:t>
      </w:r>
      <w:r>
        <w:rPr/>
        <w:t>pilares de la reproducción permanente de </w:t>
      </w:r>
      <w:r>
        <w:rPr>
          <w:spacing w:val="3"/>
        </w:rPr>
        <w:t>su </w:t>
      </w:r>
      <w:r>
        <w:rPr/>
        <w:t>fuerza cualitativa y cuantitativa, pero en algunos de esos espacios y otros de la SEP, el sindicato trata de participar porque </w:t>
      </w:r>
      <w:r>
        <w:rPr>
          <w:spacing w:val="-3"/>
        </w:rPr>
        <w:t>lo </w:t>
      </w:r>
      <w:r>
        <w:rPr/>
        <w:t>considera como un “derecho profesional” del magisterio. Ante  ello,  cuando las autoridades educativas </w:t>
      </w:r>
      <w:r>
        <w:rPr>
          <w:spacing w:val="5"/>
        </w:rPr>
        <w:t>se </w:t>
      </w:r>
      <w:r>
        <w:rPr/>
        <w:t>proponen reformar parcial o totalmente algunas de estas áreas,  están obligadas a discutirlo con el sindicato que siempre  se ha mostrado renuente a </w:t>
      </w:r>
      <w:r>
        <w:rPr>
          <w:spacing w:val="-3"/>
        </w:rPr>
        <w:t>que </w:t>
      </w:r>
      <w:r>
        <w:rPr/>
        <w:t>se realicen cambios sin su participación </w:t>
      </w:r>
      <w:r>
        <w:rPr>
          <w:spacing w:val="-4"/>
        </w:rPr>
        <w:t>y, </w:t>
      </w:r>
      <w:r>
        <w:rPr/>
        <w:t>en ocasiones, sin su consentimiento (Arnaut,</w:t>
      </w:r>
      <w:r>
        <w:rPr>
          <w:spacing w:val="46"/>
        </w:rPr>
        <w:t> </w:t>
      </w:r>
      <w:r>
        <w:rPr/>
        <w:t>1996).</w:t>
      </w:r>
    </w:p>
    <w:p>
      <w:pPr>
        <w:pStyle w:val="BodyText"/>
        <w:spacing w:line="364" w:lineRule="auto" w:before="5"/>
        <w:ind w:left="115" w:right="103" w:firstLine="686"/>
        <w:jc w:val="both"/>
      </w:pPr>
      <w:r>
        <w:rPr/>
        <w:t>Otro importante beneficio político para el SNTE por encargarse del </w:t>
      </w:r>
      <w:r>
        <w:rPr>
          <w:i/>
        </w:rPr>
        <w:t>control </w:t>
      </w:r>
      <w:r>
        <w:rPr/>
        <w:t>magisterial ha sido la posibilidad de administrar los gremios sin contrapesos y sin vigilancia de los agremiados. Esto </w:t>
      </w:r>
      <w:r>
        <w:rPr>
          <w:spacing w:val="-3"/>
        </w:rPr>
        <w:t>es así </w:t>
      </w:r>
      <w:r>
        <w:rPr/>
        <w:t>porque no existen normas de legislación relacionadas con el </w:t>
      </w:r>
      <w:r>
        <w:rPr>
          <w:spacing w:val="-2"/>
        </w:rPr>
        <w:t>manejo </w:t>
      </w:r>
      <w:r>
        <w:rPr/>
        <w:t>interno de los asuntos sindicales, tales como el cobro  de cuotas y </w:t>
      </w:r>
      <w:r>
        <w:rPr>
          <w:spacing w:val="-4"/>
        </w:rPr>
        <w:t>la </w:t>
      </w:r>
      <w:r>
        <w:rPr/>
        <w:t>forma de emplearlas, lo cual ha generado una significativa fragilidad en materia de </w:t>
      </w:r>
      <w:r>
        <w:rPr>
          <w:i/>
        </w:rPr>
        <w:t>rendición de cuentas </w:t>
      </w:r>
      <w:r>
        <w:rPr/>
        <w:t>de los líderes hacia los trabajadores y por </w:t>
      </w:r>
      <w:r>
        <w:rPr>
          <w:spacing w:val="-5"/>
        </w:rPr>
        <w:t>la </w:t>
      </w:r>
      <w:r>
        <w:rPr/>
        <w:t>inercia </w:t>
      </w:r>
      <w:r>
        <w:rPr>
          <w:spacing w:val="2"/>
        </w:rPr>
        <w:t>del </w:t>
      </w:r>
      <w:r>
        <w:rPr/>
        <w:t>tiempo y la función política de </w:t>
      </w:r>
      <w:r>
        <w:rPr>
          <w:i/>
        </w:rPr>
        <w:t>control</w:t>
      </w:r>
      <w:r>
        <w:rPr/>
        <w:t>, ha dado lugar a </w:t>
      </w:r>
      <w:r>
        <w:rPr>
          <w:spacing w:val="-5"/>
        </w:rPr>
        <w:t>la </w:t>
      </w:r>
      <w:r>
        <w:rPr/>
        <w:t>imposibilidad  de establecer una reglamentación mínima en lo que respecta al eventual funcionamiento democrático de los órganos de gobierno sindical (Bensusán, 2000: 418).</w:t>
      </w:r>
    </w:p>
    <w:p>
      <w:pPr>
        <w:pStyle w:val="BodyText"/>
        <w:spacing w:line="364" w:lineRule="auto" w:before="5"/>
        <w:ind w:left="115" w:right="105" w:firstLine="686"/>
        <w:jc w:val="both"/>
      </w:pPr>
      <w:r>
        <w:rPr/>
        <w:t>La presencia de los maestros en todo el país, a través de </w:t>
      </w:r>
      <w:r>
        <w:rPr>
          <w:spacing w:val="-3"/>
        </w:rPr>
        <w:t>las </w:t>
      </w:r>
      <w:r>
        <w:rPr/>
        <w:t>escuelas y grado de disciplina sindical y política a </w:t>
      </w:r>
      <w:r>
        <w:rPr>
          <w:spacing w:val="-3"/>
        </w:rPr>
        <w:t>los </w:t>
      </w:r>
      <w:r>
        <w:rPr/>
        <w:t>liderazgos seccionales y nacional, ha dado lugar a para que sean atractivos para las diferentes fuerzas políticas del país para hacerse presentes en las diferentes localidades de México. La labor política que tradicionalmente hacen </w:t>
      </w:r>
      <w:r>
        <w:rPr>
          <w:spacing w:val="-4"/>
        </w:rPr>
        <w:t>los</w:t>
      </w:r>
      <w:r>
        <w:rPr>
          <w:spacing w:val="55"/>
        </w:rPr>
        <w:t> </w:t>
      </w:r>
      <w:r>
        <w:rPr/>
        <w:t>miembros del SNTE por los partidos en las comunidades son tales como acciones de proselitismo, representación ante los órganos electorales, coordinación de campañas políticas, ser candidatos o </w:t>
      </w:r>
      <w:r>
        <w:rPr>
          <w:spacing w:val="-3"/>
        </w:rPr>
        <w:t>incluso </w:t>
      </w:r>
      <w:r>
        <w:rPr/>
        <w:t>líderes  del  partido.  En  la  medida  que  desde  1929  a  1988, el único partido que</w:t>
      </w:r>
    </w:p>
    <w:p>
      <w:pPr>
        <w:pStyle w:val="BodyText"/>
        <w:spacing w:before="3"/>
        <w:rPr>
          <w:sz w:val="13"/>
        </w:rPr>
      </w:pPr>
      <w:r>
        <w:rPr/>
        <w:pict>
          <v:line style="position:absolute;mso-position-horizontal-relative:page;mso-position-vertical-relative:paragraph;z-index:1480;mso-wrap-distance-left:0;mso-wrap-distance-right:0" from="82.799004pt,9.968211pt" to="222.958004pt,9.968211pt" stroked="true" strokeweight=".72pt" strokecolor="#000000">
            <w10:wrap type="topAndBottom"/>
          </v:line>
        </w:pict>
      </w:r>
    </w:p>
    <w:p>
      <w:pPr>
        <w:spacing w:line="247" w:lineRule="auto" w:before="41"/>
        <w:ind w:left="115" w:right="106" w:firstLine="0"/>
        <w:jc w:val="both"/>
        <w:rPr>
          <w:sz w:val="19"/>
        </w:rPr>
      </w:pPr>
      <w:r>
        <w:rPr>
          <w:w w:val="105"/>
          <w:position w:val="10"/>
          <w:sz w:val="12"/>
        </w:rPr>
        <w:t>23 </w:t>
      </w:r>
      <w:r>
        <w:rPr>
          <w:w w:val="105"/>
          <w:sz w:val="19"/>
        </w:rPr>
        <w:t>Estos factores jurídicos y administrativos hacen posible que los trabajadores se conduzcan con lealtad y obediencia al sindicato porque de éste depende su ingreso, su permanencia, su estabilidad laboral, su ascenso, sus condiciones de trabajo, sus expectativas de promoción, sus prestaciones, el pago de sus sueldos y el trámite de jubilación.</w:t>
      </w:r>
    </w:p>
    <w:p>
      <w:pPr>
        <w:spacing w:after="0" w:line="247" w:lineRule="auto"/>
        <w:jc w:val="both"/>
        <w:rPr>
          <w:sz w:val="19"/>
        </w:rPr>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11"/>
        <w:jc w:val="both"/>
      </w:pPr>
      <w:r>
        <w:rPr/>
        <w:t>podía ganar elecciones en el ámbito regional, fue </w:t>
      </w:r>
      <w:r>
        <w:rPr>
          <w:spacing w:val="2"/>
        </w:rPr>
        <w:t>el </w:t>
      </w:r>
      <w:r>
        <w:rPr/>
        <w:t>PRI, prácticamente todos los apoyos del magisterio </w:t>
      </w:r>
      <w:r>
        <w:rPr>
          <w:spacing w:val="2"/>
        </w:rPr>
        <w:t>se </w:t>
      </w:r>
      <w:r>
        <w:rPr/>
        <w:t>dirigieron a este partido y de manera muy marginal al resto de </w:t>
      </w:r>
      <w:r>
        <w:rPr>
          <w:spacing w:val="-4"/>
        </w:rPr>
        <w:t>las </w:t>
      </w:r>
      <w:r>
        <w:rPr/>
        <w:t>fuerzas</w:t>
      </w:r>
      <w:r>
        <w:rPr>
          <w:spacing w:val="47"/>
        </w:rPr>
        <w:t> </w:t>
      </w:r>
      <w:r>
        <w:rPr/>
        <w:t>políticas.</w:t>
      </w:r>
    </w:p>
    <w:p>
      <w:pPr>
        <w:pStyle w:val="BodyText"/>
        <w:spacing w:line="364" w:lineRule="auto" w:before="5"/>
        <w:ind w:left="115" w:right="103" w:firstLine="686"/>
        <w:jc w:val="both"/>
      </w:pPr>
      <w:r>
        <w:rPr/>
        <w:t>Los maestros simpatizantes de otros partidos tuvieron escasas  oportunidades </w:t>
      </w:r>
      <w:r>
        <w:rPr>
          <w:spacing w:val="3"/>
        </w:rPr>
        <w:t>de </w:t>
      </w:r>
      <w:r>
        <w:rPr/>
        <w:t>adhesión, bien porque hubo intimidación y represión,  bien  porque los partidos opositores no tenían presencia nacional. En este escenario, el PRI tuvo por décadas en el SNTE una importante base de movilización  y  promoción en favor de sus candidatos y programas en tiempos electorales. El sindicato apoyó con sus recursos tanto humanos como financieros las campañas políticas del PRI (Muñoz, 2005: 61-63; Muñoz, 2006: </w:t>
      </w:r>
      <w:r>
        <w:rPr>
          <w:spacing w:val="1"/>
        </w:rPr>
        <w:t> </w:t>
      </w:r>
      <w:r>
        <w:rPr/>
        <w:t>327-338).</w:t>
      </w:r>
    </w:p>
    <w:p>
      <w:pPr>
        <w:pStyle w:val="BodyText"/>
        <w:spacing w:line="364" w:lineRule="auto" w:before="5"/>
        <w:ind w:left="115" w:right="111" w:firstLine="686"/>
        <w:jc w:val="both"/>
      </w:pPr>
      <w:r>
        <w:rPr/>
        <w:t>Esta colaboración, le permitió al sindicato tener representantes en municipios, en congresos locales y especialmente en el Congreso federal.  De hecho, por sus características de tipo corporativo: membresía permanente y en aumento, dependencia de los líderes para gestionar ascensos, licencias, cambios de adscripción, préstamos, acceso a los programas de formación y superación, entre otros, la presencia de los líderes del SNTE fue notoria en la Cámara de Diputados </w:t>
      </w:r>
      <w:r>
        <w:rPr>
          <w:spacing w:val="-3"/>
        </w:rPr>
        <w:t>por </w:t>
      </w:r>
      <w:r>
        <w:rPr/>
        <w:t>parte del PRI hasta que la dirigencia nacional de  este  gremio  rompió </w:t>
      </w:r>
      <w:r>
        <w:rPr>
          <w:spacing w:val="3"/>
        </w:rPr>
        <w:t>con </w:t>
      </w:r>
      <w:r>
        <w:rPr/>
        <w:t>esta fuerza política en el año</w:t>
      </w:r>
      <w:r>
        <w:rPr>
          <w:spacing w:val="36"/>
        </w:rPr>
        <w:t> </w:t>
      </w:r>
      <w:r>
        <w:rPr/>
        <w:t>2006.</w:t>
      </w:r>
    </w:p>
    <w:p>
      <w:pPr>
        <w:pStyle w:val="BodyText"/>
        <w:spacing w:line="364" w:lineRule="auto" w:before="5"/>
        <w:ind w:left="115" w:right="110" w:firstLine="686"/>
        <w:jc w:val="both"/>
      </w:pPr>
      <w:r>
        <w:rPr/>
        <w:t>A </w:t>
      </w:r>
      <w:r>
        <w:rPr>
          <w:spacing w:val="3"/>
        </w:rPr>
        <w:t>su </w:t>
      </w:r>
      <w:r>
        <w:rPr/>
        <w:t>vez, desde las cámaras de Diputados y Senadores, los congresistas  del SNTE han podido intervenir como miembros o presidentes </w:t>
      </w:r>
      <w:r>
        <w:rPr>
          <w:spacing w:val="3"/>
        </w:rPr>
        <w:t>de </w:t>
      </w:r>
      <w:r>
        <w:rPr>
          <w:spacing w:val="-4"/>
        </w:rPr>
        <w:t>las  </w:t>
      </w:r>
      <w:r>
        <w:rPr/>
        <w:t>comisiones  de Educación sobre </w:t>
      </w:r>
      <w:r>
        <w:rPr>
          <w:spacing w:val="-3"/>
        </w:rPr>
        <w:t>todas </w:t>
      </w:r>
      <w:r>
        <w:rPr/>
        <w:t>las cuestiones relativas al proceso legislativo  de  </w:t>
      </w:r>
      <w:r>
        <w:rPr>
          <w:spacing w:val="-3"/>
        </w:rPr>
        <w:t>las </w:t>
      </w:r>
      <w:r>
        <w:rPr/>
        <w:t>leyes y reglamentos de la educación pública. Igualmente, desde estos cargos </w:t>
      </w:r>
      <w:r>
        <w:rPr>
          <w:spacing w:val="-2"/>
        </w:rPr>
        <w:t>los </w:t>
      </w:r>
      <w:r>
        <w:rPr/>
        <w:t>cuadros del sindicato magisterial han podido participar en las discusiones sobre  </w:t>
      </w:r>
      <w:r>
        <w:rPr>
          <w:spacing w:val="61"/>
        </w:rPr>
        <w:t> </w:t>
      </w:r>
      <w:r>
        <w:rPr>
          <w:spacing w:val="-4"/>
        </w:rPr>
        <w:t>la</w:t>
      </w:r>
    </w:p>
    <w:p>
      <w:pPr>
        <w:pStyle w:val="BodyText"/>
        <w:spacing w:line="270" w:lineRule="exact"/>
        <w:ind w:left="115"/>
        <w:jc w:val="both"/>
      </w:pPr>
      <w:r>
        <w:rPr/>
        <w:t>asignación del presupuesto al rubro administrativo de su  competencia</w:t>
      </w:r>
      <w:r>
        <w:rPr>
          <w:position w:val="11"/>
          <w:sz w:val="15"/>
        </w:rPr>
        <w:t>24</w:t>
      </w:r>
      <w:r>
        <w:rPr/>
        <w:t>.</w:t>
      </w:r>
    </w:p>
    <w:p>
      <w:pPr>
        <w:pStyle w:val="BodyText"/>
        <w:spacing w:line="364" w:lineRule="auto" w:before="138"/>
        <w:ind w:left="115" w:right="107" w:firstLine="686"/>
        <w:jc w:val="both"/>
      </w:pPr>
      <w:r>
        <w:rPr/>
        <w:t>Bajo esta lógica, el SNTE hasta el año 2005, se constituyó dentro del PRI como un tipo de fracción partidista y sus líderes nacionales conformaron parte de    </w:t>
      </w:r>
      <w:r>
        <w:rPr>
          <w:spacing w:val="-5"/>
        </w:rPr>
        <w:t>lo </w:t>
      </w:r>
      <w:r>
        <w:rPr/>
        <w:t>que Panebianco denomina </w:t>
      </w:r>
      <w:r>
        <w:rPr>
          <w:spacing w:val="-3"/>
        </w:rPr>
        <w:t>la </w:t>
      </w:r>
      <w:r>
        <w:rPr>
          <w:i/>
        </w:rPr>
        <w:t>coalición dominante </w:t>
      </w:r>
      <w:r>
        <w:rPr/>
        <w:t>(1982: 89-90). </w:t>
      </w:r>
      <w:r>
        <w:rPr>
          <w:spacing w:val="2"/>
        </w:rPr>
        <w:t>La </w:t>
      </w:r>
      <w:r>
        <w:rPr/>
        <w:t>labor </w:t>
      </w:r>
      <w:r>
        <w:rPr>
          <w:spacing w:val="-3"/>
        </w:rPr>
        <w:t>más </w:t>
      </w:r>
      <w:r>
        <w:rPr/>
        <w:t>importante del SNTE desde su fundación hasta las elecciones de 1991, fue </w:t>
      </w:r>
      <w:r>
        <w:rPr>
          <w:spacing w:val="-3"/>
        </w:rPr>
        <w:t>la </w:t>
      </w:r>
      <w:r>
        <w:rPr/>
        <w:t>“organización” interna del partido, es </w:t>
      </w:r>
      <w:r>
        <w:rPr>
          <w:spacing w:val="-3"/>
        </w:rPr>
        <w:t>decir, </w:t>
      </w:r>
      <w:r>
        <w:rPr>
          <w:spacing w:val="-5"/>
        </w:rPr>
        <w:t>la </w:t>
      </w:r>
      <w:r>
        <w:rPr/>
        <w:t>conexión entre los comités   </w:t>
      </w:r>
      <w:r>
        <w:rPr>
          <w:spacing w:val="20"/>
        </w:rPr>
        <w:t> </w:t>
      </w:r>
      <w:r>
        <w:rPr/>
        <w:t>estatales</w:t>
      </w:r>
    </w:p>
    <w:p>
      <w:pPr>
        <w:pStyle w:val="BodyText"/>
        <w:spacing w:before="5"/>
        <w:rPr>
          <w:sz w:val="12"/>
        </w:rPr>
      </w:pPr>
      <w:r>
        <w:rPr/>
        <w:pict>
          <v:line style="position:absolute;mso-position-horizontal-relative:page;mso-position-vertical-relative:paragraph;z-index:1504;mso-wrap-distance-left:0;mso-wrap-distance-right:0" from="82.799004pt,9.488208pt" to="222.958004pt,9.488208pt" stroked="true" strokeweight=".72pt" strokecolor="#000000">
            <w10:wrap type="topAndBottom"/>
          </v:line>
        </w:pict>
      </w:r>
    </w:p>
    <w:p>
      <w:pPr>
        <w:spacing w:line="244" w:lineRule="auto" w:before="51"/>
        <w:ind w:left="115" w:right="109" w:firstLine="0"/>
        <w:jc w:val="both"/>
        <w:rPr>
          <w:sz w:val="19"/>
        </w:rPr>
      </w:pPr>
      <w:r>
        <w:rPr>
          <w:spacing w:val="-4"/>
          <w:w w:val="105"/>
          <w:position w:val="10"/>
          <w:sz w:val="12"/>
        </w:rPr>
        <w:t>24 </w:t>
      </w:r>
      <w:r>
        <w:rPr>
          <w:w w:val="105"/>
          <w:sz w:val="19"/>
        </w:rPr>
        <w:t>Esta situación </w:t>
      </w:r>
      <w:r>
        <w:rPr>
          <w:spacing w:val="-4"/>
          <w:w w:val="105"/>
          <w:sz w:val="19"/>
        </w:rPr>
        <w:t>se </w:t>
      </w:r>
      <w:r>
        <w:rPr>
          <w:w w:val="105"/>
          <w:sz w:val="19"/>
        </w:rPr>
        <w:t>reproduce en las 31 entidades federativas donde, como a nivel federal, los cuadros</w:t>
      </w:r>
      <w:r>
        <w:rPr>
          <w:spacing w:val="-10"/>
          <w:w w:val="105"/>
          <w:sz w:val="19"/>
        </w:rPr>
        <w:t> </w:t>
      </w:r>
      <w:r>
        <w:rPr>
          <w:w w:val="105"/>
          <w:sz w:val="19"/>
        </w:rPr>
        <w:t>del</w:t>
      </w:r>
      <w:r>
        <w:rPr>
          <w:spacing w:val="-5"/>
          <w:w w:val="105"/>
          <w:sz w:val="19"/>
        </w:rPr>
        <w:t> </w:t>
      </w:r>
      <w:r>
        <w:rPr>
          <w:w w:val="105"/>
          <w:sz w:val="19"/>
        </w:rPr>
        <w:t>SNTE</w:t>
      </w:r>
      <w:r>
        <w:rPr>
          <w:spacing w:val="-8"/>
          <w:w w:val="105"/>
          <w:sz w:val="19"/>
        </w:rPr>
        <w:t> </w:t>
      </w:r>
      <w:r>
        <w:rPr>
          <w:w w:val="105"/>
          <w:sz w:val="19"/>
        </w:rPr>
        <w:t>tienen</w:t>
      </w:r>
      <w:r>
        <w:rPr>
          <w:spacing w:val="-4"/>
          <w:w w:val="105"/>
          <w:sz w:val="19"/>
        </w:rPr>
        <w:t> </w:t>
      </w:r>
      <w:r>
        <w:rPr>
          <w:w w:val="105"/>
          <w:sz w:val="19"/>
        </w:rPr>
        <w:t>al</w:t>
      </w:r>
      <w:r>
        <w:rPr>
          <w:spacing w:val="-5"/>
          <w:w w:val="105"/>
          <w:sz w:val="19"/>
        </w:rPr>
        <w:t> </w:t>
      </w:r>
      <w:r>
        <w:rPr>
          <w:w w:val="105"/>
          <w:sz w:val="19"/>
        </w:rPr>
        <w:t>menos</w:t>
      </w:r>
      <w:r>
        <w:rPr>
          <w:spacing w:val="-10"/>
          <w:w w:val="105"/>
          <w:sz w:val="19"/>
        </w:rPr>
        <w:t> </w:t>
      </w:r>
      <w:r>
        <w:rPr>
          <w:w w:val="105"/>
          <w:sz w:val="19"/>
        </w:rPr>
        <w:t>un</w:t>
      </w:r>
      <w:r>
        <w:rPr>
          <w:spacing w:val="-4"/>
          <w:w w:val="105"/>
          <w:sz w:val="19"/>
        </w:rPr>
        <w:t> </w:t>
      </w:r>
      <w:r>
        <w:rPr>
          <w:w w:val="105"/>
          <w:sz w:val="19"/>
        </w:rPr>
        <w:t>legislador</w:t>
      </w:r>
      <w:r>
        <w:rPr>
          <w:spacing w:val="-12"/>
          <w:w w:val="105"/>
          <w:sz w:val="19"/>
        </w:rPr>
        <w:t> </w:t>
      </w:r>
      <w:r>
        <w:rPr>
          <w:w w:val="105"/>
          <w:sz w:val="19"/>
        </w:rPr>
        <w:t>en</w:t>
      </w:r>
      <w:r>
        <w:rPr>
          <w:spacing w:val="-8"/>
          <w:w w:val="105"/>
          <w:sz w:val="19"/>
        </w:rPr>
        <w:t> </w:t>
      </w:r>
      <w:r>
        <w:rPr>
          <w:spacing w:val="-3"/>
          <w:w w:val="105"/>
          <w:sz w:val="19"/>
        </w:rPr>
        <w:t>la</w:t>
      </w:r>
      <w:r>
        <w:rPr>
          <w:spacing w:val="-8"/>
          <w:w w:val="105"/>
          <w:sz w:val="19"/>
        </w:rPr>
        <w:t> </w:t>
      </w:r>
      <w:r>
        <w:rPr>
          <w:w w:val="105"/>
          <w:sz w:val="19"/>
        </w:rPr>
        <w:t>cámara</w:t>
      </w:r>
      <w:r>
        <w:rPr>
          <w:spacing w:val="-8"/>
          <w:w w:val="105"/>
          <w:sz w:val="19"/>
        </w:rPr>
        <w:t> </w:t>
      </w:r>
      <w:r>
        <w:rPr>
          <w:w w:val="105"/>
          <w:sz w:val="19"/>
        </w:rPr>
        <w:t>local</w:t>
      </w:r>
      <w:r>
        <w:rPr>
          <w:spacing w:val="-1"/>
          <w:w w:val="105"/>
          <w:sz w:val="19"/>
        </w:rPr>
        <w:t> </w:t>
      </w:r>
      <w:r>
        <w:rPr>
          <w:spacing w:val="-3"/>
          <w:w w:val="105"/>
          <w:sz w:val="19"/>
        </w:rPr>
        <w:t>respectiva</w:t>
      </w:r>
      <w:r>
        <w:rPr>
          <w:spacing w:val="-4"/>
          <w:w w:val="105"/>
          <w:sz w:val="19"/>
        </w:rPr>
        <w:t> </w:t>
      </w:r>
      <w:r>
        <w:rPr>
          <w:w w:val="105"/>
          <w:sz w:val="19"/>
        </w:rPr>
        <w:t>que</w:t>
      </w:r>
      <w:r>
        <w:rPr>
          <w:spacing w:val="-4"/>
          <w:w w:val="105"/>
          <w:sz w:val="19"/>
        </w:rPr>
        <w:t> </w:t>
      </w:r>
      <w:r>
        <w:rPr>
          <w:w w:val="105"/>
          <w:sz w:val="19"/>
        </w:rPr>
        <w:t>suele</w:t>
      </w:r>
      <w:r>
        <w:rPr>
          <w:spacing w:val="-8"/>
          <w:w w:val="105"/>
          <w:sz w:val="19"/>
        </w:rPr>
        <w:t> </w:t>
      </w:r>
      <w:r>
        <w:rPr>
          <w:w w:val="105"/>
          <w:sz w:val="19"/>
        </w:rPr>
        <w:t>ocupar</w:t>
      </w:r>
      <w:r>
        <w:rPr>
          <w:spacing w:val="-11"/>
          <w:w w:val="105"/>
          <w:sz w:val="19"/>
        </w:rPr>
        <w:t> </w:t>
      </w:r>
      <w:r>
        <w:rPr>
          <w:w w:val="105"/>
          <w:sz w:val="19"/>
        </w:rPr>
        <w:t>el cargo</w:t>
      </w:r>
      <w:r>
        <w:rPr>
          <w:spacing w:val="-15"/>
          <w:w w:val="105"/>
          <w:sz w:val="19"/>
        </w:rPr>
        <w:t> </w:t>
      </w:r>
      <w:r>
        <w:rPr>
          <w:w w:val="105"/>
          <w:sz w:val="19"/>
        </w:rPr>
        <w:t>de</w:t>
      </w:r>
      <w:r>
        <w:rPr>
          <w:spacing w:val="-19"/>
          <w:w w:val="105"/>
          <w:sz w:val="19"/>
        </w:rPr>
        <w:t> </w:t>
      </w:r>
      <w:r>
        <w:rPr>
          <w:w w:val="105"/>
          <w:sz w:val="19"/>
        </w:rPr>
        <w:t>presidente</w:t>
      </w:r>
      <w:r>
        <w:rPr>
          <w:spacing w:val="-19"/>
          <w:w w:val="105"/>
          <w:sz w:val="19"/>
        </w:rPr>
        <w:t> </w:t>
      </w:r>
      <w:r>
        <w:rPr>
          <w:w w:val="105"/>
          <w:sz w:val="19"/>
        </w:rPr>
        <w:t>de</w:t>
      </w:r>
      <w:r>
        <w:rPr>
          <w:spacing w:val="-19"/>
          <w:w w:val="105"/>
          <w:sz w:val="19"/>
        </w:rPr>
        <w:t> </w:t>
      </w:r>
      <w:r>
        <w:rPr>
          <w:w w:val="105"/>
          <w:sz w:val="19"/>
        </w:rPr>
        <w:t>la</w:t>
      </w:r>
      <w:r>
        <w:rPr>
          <w:spacing w:val="-19"/>
          <w:w w:val="105"/>
          <w:sz w:val="19"/>
        </w:rPr>
        <w:t> </w:t>
      </w:r>
      <w:r>
        <w:rPr>
          <w:w w:val="105"/>
          <w:sz w:val="19"/>
        </w:rPr>
        <w:t>Comisión</w:t>
      </w:r>
      <w:r>
        <w:rPr>
          <w:spacing w:val="-19"/>
          <w:w w:val="105"/>
          <w:sz w:val="19"/>
        </w:rPr>
        <w:t> </w:t>
      </w:r>
      <w:r>
        <w:rPr>
          <w:w w:val="105"/>
          <w:sz w:val="19"/>
        </w:rPr>
        <w:t>de</w:t>
      </w:r>
      <w:r>
        <w:rPr>
          <w:spacing w:val="-19"/>
          <w:w w:val="105"/>
          <w:sz w:val="19"/>
        </w:rPr>
        <w:t> </w:t>
      </w:r>
      <w:r>
        <w:rPr>
          <w:w w:val="105"/>
          <w:sz w:val="19"/>
        </w:rPr>
        <w:t>Educación.</w:t>
      </w:r>
    </w:p>
    <w:p>
      <w:pPr>
        <w:spacing w:after="0" w:line="244" w:lineRule="auto"/>
        <w:jc w:val="both"/>
        <w:rPr>
          <w:sz w:val="19"/>
        </w:rPr>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5"/>
        <w:jc w:val="both"/>
      </w:pPr>
      <w:r>
        <w:rPr/>
        <w:t>entre sí y con el comité nacional, así como </w:t>
      </w:r>
      <w:r>
        <w:rPr>
          <w:spacing w:val="-5"/>
        </w:rPr>
        <w:t>la </w:t>
      </w:r>
      <w:r>
        <w:rPr/>
        <w:t>promoción del voto. Si bien en 1989,  el SNTE </w:t>
      </w:r>
      <w:r>
        <w:rPr>
          <w:spacing w:val="4"/>
        </w:rPr>
        <w:t>se </w:t>
      </w:r>
      <w:r>
        <w:rPr/>
        <w:t>desafilió </w:t>
      </w:r>
      <w:r>
        <w:rPr>
          <w:spacing w:val="3"/>
        </w:rPr>
        <w:t>del </w:t>
      </w:r>
      <w:r>
        <w:rPr/>
        <w:t>PRI, siguió cumpliendo las mismas funciones hasta el año 2003, pero en forma descentralizada, es decir, las secciones estatales se hicieron cargo de </w:t>
      </w:r>
      <w:r>
        <w:rPr>
          <w:spacing w:val="-3"/>
        </w:rPr>
        <w:t>las </w:t>
      </w:r>
      <w:r>
        <w:rPr/>
        <w:t>conexiones y de </w:t>
      </w:r>
      <w:r>
        <w:rPr>
          <w:spacing w:val="-5"/>
        </w:rPr>
        <w:t>la </w:t>
      </w:r>
      <w:r>
        <w:rPr/>
        <w:t>movilización electoral a cambio de “legitimidad política” para el sindicato y de medidas legislativas</w:t>
      </w:r>
      <w:r>
        <w:rPr>
          <w:spacing w:val="61"/>
        </w:rPr>
        <w:t> </w:t>
      </w:r>
      <w:r>
        <w:rPr/>
        <w:t>favorables.</w:t>
      </w:r>
    </w:p>
    <w:p>
      <w:pPr>
        <w:pStyle w:val="BodyText"/>
        <w:spacing w:line="364" w:lineRule="auto" w:before="5"/>
        <w:ind w:left="115" w:right="107" w:firstLine="686"/>
        <w:jc w:val="both"/>
      </w:pPr>
      <w:r>
        <w:rPr/>
        <w:t>El SNTE apoyó incondicionalmente </w:t>
      </w:r>
      <w:r>
        <w:rPr>
          <w:spacing w:val="2"/>
        </w:rPr>
        <w:t>al </w:t>
      </w:r>
      <w:r>
        <w:rPr/>
        <w:t>PRI porque las instituciones  electorales garantizaban el triunfo del “partido oficial”, pero también porque los principales partidos de oposición, PAN y PRD no han contado con una estructura organizativa que favorezca </w:t>
      </w:r>
      <w:r>
        <w:rPr>
          <w:spacing w:val="-4"/>
        </w:rPr>
        <w:t>la </w:t>
      </w:r>
      <w:r>
        <w:rPr/>
        <w:t>inclusión de la agenda sindical, con  mecanismos  para </w:t>
      </w:r>
      <w:r>
        <w:rPr>
          <w:spacing w:val="-4"/>
        </w:rPr>
        <w:t>la </w:t>
      </w:r>
      <w:r>
        <w:rPr/>
        <w:t>inserción de los dirigentes del magisterio en el ámbito de </w:t>
      </w:r>
      <w:r>
        <w:rPr>
          <w:spacing w:val="-5"/>
        </w:rPr>
        <w:t>la </w:t>
      </w:r>
      <w:r>
        <w:rPr/>
        <w:t>dirección partidista y mucho menos para que ocupen cargos de elección popular en  los niveles nacional y local. Asimismo, porque sus planteamientos programáticos son ajenos, si no, contrarios al ideario sindical del SNTE (Muñoz, 2006: </w:t>
      </w:r>
      <w:r>
        <w:rPr>
          <w:spacing w:val="14"/>
        </w:rPr>
        <w:t> </w:t>
      </w:r>
      <w:r>
        <w:rPr/>
        <w:t>135-142).</w:t>
      </w:r>
    </w:p>
    <w:p>
      <w:pPr>
        <w:pStyle w:val="BodyText"/>
        <w:spacing w:line="364" w:lineRule="auto" w:before="10"/>
        <w:ind w:left="115" w:right="105" w:firstLine="686"/>
        <w:jc w:val="both"/>
      </w:pPr>
      <w:r>
        <w:rPr/>
        <w:t>El eje del monopolio corporativo en lo que supone el arbitraje y el curso de acción de los apoyos y la subordinación hacia el gobierno por  parte  de  </w:t>
      </w:r>
      <w:r>
        <w:rPr>
          <w:spacing w:val="-5"/>
        </w:rPr>
        <w:t>la  </w:t>
      </w:r>
      <w:r>
        <w:rPr/>
        <w:t>dirigencia del SNTE, </w:t>
      </w:r>
      <w:r>
        <w:rPr>
          <w:spacing w:val="-3"/>
        </w:rPr>
        <w:t>es </w:t>
      </w:r>
      <w:r>
        <w:rPr/>
        <w:t>la institución presidencial. El </w:t>
      </w:r>
      <w:r>
        <w:rPr>
          <w:spacing w:val="-3"/>
        </w:rPr>
        <w:t>jefe </w:t>
      </w:r>
      <w:r>
        <w:rPr/>
        <w:t>del ejecutivo, por mediación </w:t>
      </w:r>
      <w:r>
        <w:rPr>
          <w:spacing w:val="3"/>
        </w:rPr>
        <w:t>del </w:t>
      </w:r>
      <w:r>
        <w:rPr/>
        <w:t>PRI, generalmente fue la fuente principal de las iniciativas políticas que afectaron los intereses </w:t>
      </w:r>
      <w:r>
        <w:rPr>
          <w:spacing w:val="-3"/>
        </w:rPr>
        <w:t>de </w:t>
      </w:r>
      <w:r>
        <w:rPr/>
        <w:t>las corporaciones. Su inclinación para favorecer a una u otra agrupación, bien mediante el otorgamiento de  posiciones  dentro  del PRI, cargos públicos o de elección popular o bien mediante políticas particulares, estuvo asociada a  los términos de su proyecto sexenal o por la coyuntura (como  un repentino estallido social o el fortalecimiento </w:t>
      </w:r>
      <w:r>
        <w:rPr>
          <w:spacing w:val="2"/>
        </w:rPr>
        <w:t>de </w:t>
      </w:r>
      <w:r>
        <w:rPr/>
        <w:t>un grupo disidente dentro del partido</w:t>
      </w:r>
      <w:r>
        <w:rPr>
          <w:spacing w:val="4"/>
        </w:rPr>
        <w:t> </w:t>
      </w:r>
      <w:r>
        <w:rPr/>
        <w:t>oficial).</w:t>
      </w:r>
    </w:p>
    <w:p>
      <w:pPr>
        <w:pStyle w:val="BodyText"/>
        <w:spacing w:line="364" w:lineRule="auto" w:before="5"/>
        <w:ind w:left="115" w:right="107" w:firstLine="686"/>
        <w:jc w:val="both"/>
      </w:pPr>
      <w:r>
        <w:rPr/>
        <w:t>Por ello, conviene considerar que no obstante que en los hechos el poder “corporativo” reconocido a </w:t>
      </w:r>
      <w:r>
        <w:rPr>
          <w:spacing w:val="-3"/>
        </w:rPr>
        <w:t>los </w:t>
      </w:r>
      <w:r>
        <w:rPr/>
        <w:t>dirigentes del SNTE tiene un carácter jurídico, su </w:t>
      </w:r>
      <w:r>
        <w:rPr>
          <w:i/>
        </w:rPr>
        <w:t>operatividad </w:t>
      </w:r>
      <w:r>
        <w:rPr/>
        <w:t>tiene un carácter político que implica el reconocimiento o no por parte de </w:t>
      </w:r>
      <w:r>
        <w:rPr>
          <w:spacing w:val="-3"/>
        </w:rPr>
        <w:t>la </w:t>
      </w:r>
      <w:r>
        <w:rPr/>
        <w:t>Presidencia de </w:t>
      </w:r>
      <w:r>
        <w:rPr>
          <w:spacing w:val="-5"/>
        </w:rPr>
        <w:t>la </w:t>
      </w:r>
      <w:r>
        <w:rPr/>
        <w:t>República. Es </w:t>
      </w:r>
      <w:r>
        <w:rPr>
          <w:spacing w:val="-2"/>
        </w:rPr>
        <w:t>decir, </w:t>
      </w:r>
      <w:r>
        <w:rPr>
          <w:spacing w:val="3"/>
        </w:rPr>
        <w:t>el </w:t>
      </w:r>
      <w:r>
        <w:rPr/>
        <w:t>SNTE como otros sindicatos estratégicos, está sujeto a los mecanismos que contrapesan el “poder legal” reconocido a </w:t>
      </w:r>
      <w:r>
        <w:rPr>
          <w:spacing w:val="-4"/>
        </w:rPr>
        <w:t>las</w:t>
      </w:r>
      <w:r>
        <w:rPr>
          <w:spacing w:val="55"/>
        </w:rPr>
        <w:t> </w:t>
      </w:r>
      <w:r>
        <w:rPr/>
        <w:t>organizaciones sindicales. Dichos mecanismos  tienen  en  principio un carácter jurídico, pero fueron diseñados para restringir  la autonomía  de  la  representación  colectiva  frente  al  Estado  </w:t>
      </w:r>
      <w:r>
        <w:rPr>
          <w:spacing w:val="-3"/>
        </w:rPr>
        <w:t>y/o  </w:t>
      </w:r>
      <w:r>
        <w:rPr/>
        <w:t>los  empleadores  porque</w:t>
      </w:r>
      <w:r>
        <w:rPr>
          <w:spacing w:val="6"/>
        </w:rPr>
        <w:t> </w:t>
      </w:r>
      <w:r>
        <w:rPr>
          <w:spacing w:val="2"/>
        </w:rPr>
        <w:t>su</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9" w:lineRule="auto" w:before="74"/>
        <w:ind w:left="115" w:right="118"/>
        <w:jc w:val="both"/>
      </w:pPr>
      <w:r>
        <w:rPr/>
        <w:t>formalidad oculta la discrecionalidad presidencial para reconocer o desconocer la representatividad de una organización sindical o de sus  dirigentes.</w:t>
      </w:r>
    </w:p>
    <w:p>
      <w:pPr>
        <w:pStyle w:val="BodyText"/>
        <w:spacing w:line="364" w:lineRule="auto"/>
        <w:ind w:left="115" w:right="104" w:firstLine="686"/>
        <w:jc w:val="both"/>
      </w:pPr>
      <w:r>
        <w:rPr/>
        <w:t>El más importante de estos mecanismos de contrapeso es la exigencia </w:t>
      </w:r>
      <w:r>
        <w:rPr>
          <w:spacing w:val="3"/>
        </w:rPr>
        <w:t>del </w:t>
      </w:r>
      <w:r>
        <w:rPr/>
        <w:t>“registro sindical” de cualquier organización y del de las dirigencias gremiales ante  </w:t>
      </w:r>
      <w:r>
        <w:rPr>
          <w:spacing w:val="-5"/>
        </w:rPr>
        <w:t>la </w:t>
      </w:r>
      <w:r>
        <w:rPr/>
        <w:t>autoridad laboral, a través </w:t>
      </w:r>
      <w:r>
        <w:rPr>
          <w:spacing w:val="3"/>
        </w:rPr>
        <w:t>de </w:t>
      </w:r>
      <w:r>
        <w:rPr>
          <w:spacing w:val="-3"/>
        </w:rPr>
        <w:t>lo </w:t>
      </w:r>
      <w:r>
        <w:rPr/>
        <w:t>que se conoce como la “toma de nota”, bien por conducto de </w:t>
      </w:r>
      <w:r>
        <w:rPr>
          <w:spacing w:val="-3"/>
        </w:rPr>
        <w:t>la </w:t>
      </w:r>
      <w:r>
        <w:rPr/>
        <w:t>Junta Federal de Conciliación y Arbitraje o por el Tribunal Federal   de Conciliación y Arbitraje. Gracias a estas facultades, el gobierno ha podido seleccionar a las dirigencias favorables  a sus políticas y han podido incidir en el  </w:t>
      </w:r>
      <w:r>
        <w:rPr>
          <w:spacing w:val="-3"/>
        </w:rPr>
        <w:t>tipo </w:t>
      </w:r>
      <w:r>
        <w:rPr/>
        <w:t>de interlocutores sindicales que son afines a sus intereses. Esto  le  ha  permitido </w:t>
      </w:r>
      <w:r>
        <w:rPr>
          <w:spacing w:val="2"/>
        </w:rPr>
        <w:t>al </w:t>
      </w:r>
      <w:r>
        <w:rPr/>
        <w:t>gobierno controlar políticamente a los liderazgos  en el SNTE  y con  </w:t>
      </w:r>
      <w:r>
        <w:rPr>
          <w:spacing w:val="-3"/>
        </w:rPr>
        <w:t>ello  </w:t>
      </w:r>
      <w:r>
        <w:rPr/>
        <w:t>garantizar  el  voto  corporativo  </w:t>
      </w:r>
      <w:r>
        <w:rPr>
          <w:spacing w:val="3"/>
        </w:rPr>
        <w:t>de  </w:t>
      </w:r>
      <w:r>
        <w:rPr/>
        <w:t>los  trabajadores  hacia  el  partido  en    </w:t>
      </w:r>
      <w:r>
        <w:rPr>
          <w:spacing w:val="5"/>
        </w:rPr>
        <w:t> </w:t>
      </w:r>
      <w:r>
        <w:rPr/>
        <w:t>el</w:t>
      </w:r>
    </w:p>
    <w:p>
      <w:pPr>
        <w:pStyle w:val="BodyText"/>
        <w:spacing w:line="270" w:lineRule="exact"/>
        <w:ind w:left="115"/>
        <w:jc w:val="both"/>
        <w:rPr>
          <w:sz w:val="15"/>
        </w:rPr>
      </w:pPr>
      <w:r>
        <w:rPr/>
        <w:t>gobierno por lo menos hasta 1988 (Muñoz 1999:  38-39).</w:t>
      </w:r>
      <w:r>
        <w:rPr>
          <w:position w:val="11"/>
          <w:sz w:val="15"/>
        </w:rPr>
        <w:t>25</w:t>
      </w:r>
    </w:p>
    <w:p>
      <w:pPr>
        <w:pStyle w:val="BodyText"/>
        <w:rPr>
          <w:sz w:val="28"/>
        </w:rPr>
      </w:pPr>
    </w:p>
    <w:p>
      <w:pPr>
        <w:pStyle w:val="Heading3"/>
        <w:numPr>
          <w:ilvl w:val="2"/>
          <w:numId w:val="11"/>
        </w:numPr>
        <w:tabs>
          <w:tab w:pos="702" w:val="left" w:leader="none"/>
        </w:tabs>
        <w:spacing w:line="240" w:lineRule="auto" w:before="220" w:after="0"/>
        <w:ind w:left="701" w:right="0" w:hanging="585"/>
        <w:jc w:val="both"/>
      </w:pPr>
      <w:bookmarkStart w:name="_TOC_250004" w:id="28"/>
      <w:r>
        <w:rPr/>
        <w:t>Burocracias autónomas y sindicato</w:t>
      </w:r>
      <w:r>
        <w:rPr>
          <w:spacing w:val="57"/>
        </w:rPr>
        <w:t> </w:t>
      </w:r>
      <w:bookmarkEnd w:id="28"/>
      <w:r>
        <w:rPr/>
        <w:t>magisterial</w:t>
      </w:r>
    </w:p>
    <w:p>
      <w:pPr>
        <w:pStyle w:val="BodyText"/>
        <w:spacing w:line="364" w:lineRule="auto" w:before="138"/>
        <w:ind w:left="115" w:right="108"/>
        <w:jc w:val="both"/>
      </w:pPr>
      <w:r>
        <w:rPr/>
        <w:t>Bajo estas características político-administrativas, </w:t>
      </w:r>
      <w:r>
        <w:rPr>
          <w:spacing w:val="-3"/>
        </w:rPr>
        <w:t>la </w:t>
      </w:r>
      <w:r>
        <w:rPr/>
        <w:t>“burocracia” magisterial y </w:t>
      </w:r>
      <w:r>
        <w:rPr>
          <w:spacing w:val="-5"/>
        </w:rPr>
        <w:t>la </w:t>
      </w:r>
      <w:r>
        <w:rPr/>
        <w:t>administrativa, no se pudieron constituir como una estructura autónoma y meritocrática. </w:t>
      </w:r>
      <w:r>
        <w:rPr>
          <w:spacing w:val="2"/>
        </w:rPr>
        <w:t>En </w:t>
      </w:r>
      <w:r>
        <w:rPr/>
        <w:t>este sentido, es preciso resaltar que dos características en particular ayudan a explicar los diferentes tipos </w:t>
      </w:r>
      <w:r>
        <w:rPr>
          <w:spacing w:val="3"/>
        </w:rPr>
        <w:t>de </w:t>
      </w:r>
      <w:r>
        <w:rPr/>
        <w:t>burocracias: el grado de autonomía </w:t>
      </w:r>
      <w:r>
        <w:rPr>
          <w:spacing w:val="-4"/>
        </w:rPr>
        <w:t>(la </w:t>
      </w:r>
      <w:r>
        <w:rPr/>
        <w:t>medida en la cual existen garantías efectivas de profesionalismo en  el servicio civil y el grado en el cual </w:t>
      </w:r>
      <w:r>
        <w:rPr>
          <w:spacing w:val="-3"/>
        </w:rPr>
        <w:t>los </w:t>
      </w:r>
      <w:r>
        <w:rPr/>
        <w:t>servidores civiles están protegidos de </w:t>
      </w:r>
      <w:r>
        <w:rPr>
          <w:spacing w:val="-4"/>
        </w:rPr>
        <w:t>la </w:t>
      </w:r>
      <w:r>
        <w:rPr/>
        <w:t>arbitrariedad y la politización) y las capacidades técnicas de las burocracias (el grado al cual la burocracia tiene compensación de salario y sistemas de  evaluación).</w:t>
      </w:r>
    </w:p>
    <w:p>
      <w:pPr>
        <w:pStyle w:val="BodyText"/>
        <w:spacing w:line="364" w:lineRule="auto" w:before="5"/>
        <w:ind w:left="115" w:right="106" w:firstLine="686"/>
        <w:jc w:val="both"/>
      </w:pPr>
      <w:r>
        <w:rPr/>
        <w:t>Las burocracias meritocráticas se caracterizan por altos niveles de  autonomía y capacidad. En contraste, las burocracias clientelistas carecen de ambos atributos y por esa razón funcionan principalmente como  una  fuente  privada de empleo gestionada por los partidos políticos gobernantes. Entre estos dos  extremos,  las  burocracias  administrativas  disfrutan  </w:t>
      </w:r>
      <w:r>
        <w:rPr>
          <w:spacing w:val="2"/>
        </w:rPr>
        <w:t>de  </w:t>
      </w:r>
      <w:r>
        <w:rPr>
          <w:spacing w:val="-3"/>
        </w:rPr>
        <w:t>la  </w:t>
      </w:r>
      <w:r>
        <w:rPr/>
        <w:t>autonomía   </w:t>
      </w:r>
      <w:r>
        <w:rPr>
          <w:spacing w:val="24"/>
        </w:rPr>
        <w:t> </w:t>
      </w:r>
      <w:r>
        <w:rPr/>
        <w:t>pero</w:t>
      </w:r>
    </w:p>
    <w:p>
      <w:pPr>
        <w:pStyle w:val="BodyText"/>
        <w:spacing w:before="6"/>
        <w:rPr>
          <w:sz w:val="24"/>
        </w:rPr>
      </w:pPr>
      <w:r>
        <w:rPr/>
        <w:pict>
          <v:line style="position:absolute;mso-position-horizontal-relative:page;mso-position-vertical-relative:paragraph;z-index:1528;mso-wrap-distance-left:0;mso-wrap-distance-right:0" from="82.799004pt,16.445713pt" to="222.958004pt,16.445713pt" stroked="true" strokeweight=".719pt" strokecolor="#000000">
            <w10:wrap type="topAndBottom"/>
          </v:line>
        </w:pict>
      </w:r>
    </w:p>
    <w:p>
      <w:pPr>
        <w:spacing w:line="252" w:lineRule="auto" w:before="37"/>
        <w:ind w:left="115" w:right="105" w:firstLine="0"/>
        <w:jc w:val="both"/>
        <w:rPr>
          <w:sz w:val="19"/>
        </w:rPr>
      </w:pPr>
      <w:r>
        <w:rPr>
          <w:spacing w:val="-3"/>
          <w:w w:val="105"/>
          <w:position w:val="11"/>
          <w:sz w:val="15"/>
        </w:rPr>
        <w:t>25</w:t>
      </w:r>
      <w:r>
        <w:rPr>
          <w:spacing w:val="7"/>
          <w:w w:val="105"/>
          <w:position w:val="11"/>
          <w:sz w:val="15"/>
        </w:rPr>
        <w:t> </w:t>
      </w:r>
      <w:r>
        <w:rPr>
          <w:w w:val="105"/>
          <w:sz w:val="19"/>
        </w:rPr>
        <w:t>En</w:t>
      </w:r>
      <w:r>
        <w:rPr>
          <w:spacing w:val="-6"/>
          <w:w w:val="105"/>
          <w:sz w:val="19"/>
        </w:rPr>
        <w:t> </w:t>
      </w:r>
      <w:r>
        <w:rPr>
          <w:spacing w:val="-3"/>
          <w:w w:val="105"/>
          <w:sz w:val="19"/>
        </w:rPr>
        <w:t>este</w:t>
      </w:r>
      <w:r>
        <w:rPr>
          <w:spacing w:val="-10"/>
          <w:w w:val="105"/>
          <w:sz w:val="19"/>
        </w:rPr>
        <w:t> </w:t>
      </w:r>
      <w:r>
        <w:rPr>
          <w:w w:val="105"/>
          <w:sz w:val="19"/>
        </w:rPr>
        <w:t>sentido,</w:t>
      </w:r>
      <w:r>
        <w:rPr>
          <w:spacing w:val="-18"/>
          <w:w w:val="105"/>
          <w:sz w:val="19"/>
        </w:rPr>
        <w:t> </w:t>
      </w:r>
      <w:r>
        <w:rPr>
          <w:w w:val="105"/>
          <w:sz w:val="19"/>
        </w:rPr>
        <w:t>conviene</w:t>
      </w:r>
      <w:r>
        <w:rPr>
          <w:spacing w:val="-10"/>
          <w:w w:val="105"/>
          <w:sz w:val="19"/>
        </w:rPr>
        <w:t> </w:t>
      </w:r>
      <w:r>
        <w:rPr>
          <w:w w:val="105"/>
          <w:sz w:val="19"/>
        </w:rPr>
        <w:t>recordar</w:t>
      </w:r>
      <w:r>
        <w:rPr>
          <w:spacing w:val="-14"/>
          <w:w w:val="105"/>
          <w:sz w:val="19"/>
        </w:rPr>
        <w:t> </w:t>
      </w:r>
      <w:r>
        <w:rPr>
          <w:spacing w:val="-3"/>
          <w:w w:val="105"/>
          <w:sz w:val="19"/>
        </w:rPr>
        <w:t>que</w:t>
      </w:r>
      <w:r>
        <w:rPr>
          <w:spacing w:val="-10"/>
          <w:w w:val="105"/>
          <w:sz w:val="19"/>
        </w:rPr>
        <w:t> </w:t>
      </w:r>
      <w:r>
        <w:rPr>
          <w:w w:val="105"/>
          <w:sz w:val="19"/>
        </w:rPr>
        <w:t>de</w:t>
      </w:r>
      <w:r>
        <w:rPr>
          <w:spacing w:val="-10"/>
          <w:w w:val="105"/>
          <w:sz w:val="19"/>
        </w:rPr>
        <w:t> </w:t>
      </w:r>
      <w:r>
        <w:rPr>
          <w:w w:val="105"/>
          <w:sz w:val="19"/>
        </w:rPr>
        <w:t>1972</w:t>
      </w:r>
      <w:r>
        <w:rPr>
          <w:spacing w:val="-10"/>
          <w:w w:val="105"/>
          <w:sz w:val="19"/>
        </w:rPr>
        <w:t> </w:t>
      </w:r>
      <w:r>
        <w:rPr>
          <w:w w:val="105"/>
          <w:sz w:val="19"/>
        </w:rPr>
        <w:t>a</w:t>
      </w:r>
      <w:r>
        <w:rPr>
          <w:spacing w:val="-10"/>
          <w:w w:val="105"/>
          <w:sz w:val="19"/>
        </w:rPr>
        <w:t> </w:t>
      </w:r>
      <w:r>
        <w:rPr>
          <w:w w:val="105"/>
          <w:sz w:val="19"/>
        </w:rPr>
        <w:t>la</w:t>
      </w:r>
      <w:r>
        <w:rPr>
          <w:spacing w:val="-10"/>
          <w:w w:val="105"/>
          <w:sz w:val="19"/>
        </w:rPr>
        <w:t> </w:t>
      </w:r>
      <w:r>
        <w:rPr>
          <w:w w:val="105"/>
          <w:sz w:val="19"/>
        </w:rPr>
        <w:t>fecha,</w:t>
      </w:r>
      <w:r>
        <w:rPr>
          <w:spacing w:val="-10"/>
          <w:w w:val="105"/>
          <w:sz w:val="19"/>
        </w:rPr>
        <w:t> </w:t>
      </w:r>
      <w:r>
        <w:rPr>
          <w:w w:val="105"/>
          <w:sz w:val="19"/>
        </w:rPr>
        <w:t>los</w:t>
      </w:r>
      <w:r>
        <w:rPr>
          <w:spacing w:val="-10"/>
          <w:w w:val="105"/>
          <w:sz w:val="19"/>
        </w:rPr>
        <w:t> </w:t>
      </w:r>
      <w:r>
        <w:rPr>
          <w:w w:val="105"/>
          <w:sz w:val="19"/>
        </w:rPr>
        <w:t>últimos</w:t>
      </w:r>
      <w:r>
        <w:rPr>
          <w:spacing w:val="-10"/>
          <w:w w:val="105"/>
          <w:sz w:val="19"/>
        </w:rPr>
        <w:t> </w:t>
      </w:r>
      <w:r>
        <w:rPr>
          <w:w w:val="105"/>
          <w:sz w:val="19"/>
        </w:rPr>
        <w:t>dos</w:t>
      </w:r>
      <w:r>
        <w:rPr>
          <w:spacing w:val="-15"/>
          <w:w w:val="105"/>
          <w:sz w:val="19"/>
        </w:rPr>
        <w:t> </w:t>
      </w:r>
      <w:r>
        <w:rPr>
          <w:w w:val="105"/>
          <w:sz w:val="19"/>
        </w:rPr>
        <w:t>dirigentes</w:t>
      </w:r>
      <w:r>
        <w:rPr>
          <w:spacing w:val="-10"/>
          <w:w w:val="105"/>
          <w:sz w:val="19"/>
        </w:rPr>
        <w:t> </w:t>
      </w:r>
      <w:r>
        <w:rPr>
          <w:w w:val="105"/>
          <w:sz w:val="19"/>
        </w:rPr>
        <w:t>nacionales del</w:t>
      </w:r>
      <w:r>
        <w:rPr>
          <w:spacing w:val="-4"/>
          <w:w w:val="105"/>
          <w:sz w:val="19"/>
        </w:rPr>
        <w:t> </w:t>
      </w:r>
      <w:r>
        <w:rPr>
          <w:w w:val="105"/>
          <w:sz w:val="19"/>
        </w:rPr>
        <w:t>SNTE,</w:t>
      </w:r>
      <w:r>
        <w:rPr>
          <w:spacing w:val="-14"/>
          <w:w w:val="105"/>
          <w:sz w:val="19"/>
        </w:rPr>
        <w:t> </w:t>
      </w:r>
      <w:r>
        <w:rPr>
          <w:w w:val="105"/>
          <w:sz w:val="19"/>
        </w:rPr>
        <w:t>Carlos</w:t>
      </w:r>
      <w:r>
        <w:rPr>
          <w:spacing w:val="-10"/>
          <w:w w:val="105"/>
          <w:sz w:val="19"/>
        </w:rPr>
        <w:t> </w:t>
      </w:r>
      <w:r>
        <w:rPr>
          <w:w w:val="105"/>
          <w:sz w:val="19"/>
        </w:rPr>
        <w:t>Jonguitud</w:t>
      </w:r>
      <w:r>
        <w:rPr>
          <w:spacing w:val="-4"/>
          <w:w w:val="105"/>
          <w:sz w:val="19"/>
        </w:rPr>
        <w:t> </w:t>
      </w:r>
      <w:r>
        <w:rPr>
          <w:w w:val="105"/>
          <w:sz w:val="19"/>
        </w:rPr>
        <w:t>Barrios</w:t>
      </w:r>
      <w:r>
        <w:rPr>
          <w:spacing w:val="-4"/>
          <w:w w:val="105"/>
          <w:sz w:val="19"/>
        </w:rPr>
        <w:t> </w:t>
      </w:r>
      <w:r>
        <w:rPr>
          <w:w w:val="105"/>
          <w:sz w:val="19"/>
        </w:rPr>
        <w:t>y</w:t>
      </w:r>
      <w:r>
        <w:rPr>
          <w:spacing w:val="-4"/>
          <w:w w:val="105"/>
          <w:sz w:val="19"/>
        </w:rPr>
        <w:t> </w:t>
      </w:r>
      <w:r>
        <w:rPr>
          <w:w w:val="105"/>
          <w:sz w:val="19"/>
        </w:rPr>
        <w:t>Elba</w:t>
      </w:r>
      <w:r>
        <w:rPr>
          <w:spacing w:val="-4"/>
          <w:w w:val="105"/>
          <w:sz w:val="19"/>
        </w:rPr>
        <w:t> </w:t>
      </w:r>
      <w:r>
        <w:rPr>
          <w:w w:val="105"/>
          <w:sz w:val="19"/>
        </w:rPr>
        <w:t>Esther</w:t>
      </w:r>
      <w:r>
        <w:rPr>
          <w:spacing w:val="-9"/>
          <w:w w:val="105"/>
          <w:sz w:val="19"/>
        </w:rPr>
        <w:t> </w:t>
      </w:r>
      <w:r>
        <w:rPr>
          <w:w w:val="105"/>
          <w:sz w:val="19"/>
        </w:rPr>
        <w:t>Gordillo,</w:t>
      </w:r>
      <w:r>
        <w:rPr>
          <w:spacing w:val="-8"/>
          <w:w w:val="105"/>
          <w:sz w:val="19"/>
        </w:rPr>
        <w:t> </w:t>
      </w:r>
      <w:r>
        <w:rPr>
          <w:spacing w:val="-2"/>
          <w:w w:val="105"/>
          <w:sz w:val="19"/>
        </w:rPr>
        <w:t>fueron </w:t>
      </w:r>
      <w:r>
        <w:rPr>
          <w:w w:val="105"/>
          <w:sz w:val="19"/>
        </w:rPr>
        <w:t>impuestos</w:t>
      </w:r>
      <w:r>
        <w:rPr>
          <w:spacing w:val="-10"/>
          <w:w w:val="105"/>
          <w:sz w:val="19"/>
        </w:rPr>
        <w:t> </w:t>
      </w:r>
      <w:r>
        <w:rPr>
          <w:w w:val="105"/>
          <w:sz w:val="19"/>
        </w:rPr>
        <w:t>por</w:t>
      </w:r>
      <w:r>
        <w:rPr>
          <w:spacing w:val="-13"/>
          <w:w w:val="105"/>
          <w:sz w:val="19"/>
        </w:rPr>
        <w:t> </w:t>
      </w:r>
      <w:r>
        <w:rPr>
          <w:w w:val="105"/>
          <w:sz w:val="19"/>
        </w:rPr>
        <w:t>la</w:t>
      </w:r>
      <w:r>
        <w:rPr>
          <w:spacing w:val="-9"/>
          <w:w w:val="105"/>
          <w:sz w:val="19"/>
        </w:rPr>
        <w:t> </w:t>
      </w:r>
      <w:r>
        <w:rPr>
          <w:w w:val="105"/>
          <w:sz w:val="19"/>
        </w:rPr>
        <w:t>presidencia</w:t>
      </w:r>
      <w:r>
        <w:rPr>
          <w:spacing w:val="-4"/>
          <w:w w:val="105"/>
          <w:sz w:val="19"/>
        </w:rPr>
        <w:t> </w:t>
      </w:r>
      <w:r>
        <w:rPr>
          <w:spacing w:val="-3"/>
          <w:w w:val="105"/>
          <w:sz w:val="19"/>
        </w:rPr>
        <w:t>de la </w:t>
      </w:r>
      <w:r>
        <w:rPr>
          <w:w w:val="105"/>
          <w:sz w:val="19"/>
        </w:rPr>
        <w:t>República,</w:t>
      </w:r>
      <w:r>
        <w:rPr>
          <w:spacing w:val="-3"/>
          <w:w w:val="105"/>
          <w:sz w:val="19"/>
        </w:rPr>
        <w:t> </w:t>
      </w:r>
      <w:r>
        <w:rPr>
          <w:w w:val="105"/>
          <w:sz w:val="19"/>
        </w:rPr>
        <w:t>es</w:t>
      </w:r>
      <w:r>
        <w:rPr>
          <w:spacing w:val="-9"/>
          <w:w w:val="105"/>
          <w:sz w:val="19"/>
        </w:rPr>
        <w:t> </w:t>
      </w:r>
      <w:r>
        <w:rPr>
          <w:w w:val="105"/>
          <w:sz w:val="19"/>
        </w:rPr>
        <w:t>decir,</w:t>
      </w:r>
      <w:r>
        <w:rPr>
          <w:spacing w:val="-3"/>
          <w:w w:val="105"/>
          <w:sz w:val="19"/>
        </w:rPr>
        <w:t> </w:t>
      </w:r>
      <w:r>
        <w:rPr>
          <w:w w:val="105"/>
          <w:sz w:val="19"/>
        </w:rPr>
        <w:t>sin</w:t>
      </w:r>
      <w:r>
        <w:rPr>
          <w:spacing w:val="1"/>
          <w:w w:val="105"/>
          <w:sz w:val="19"/>
        </w:rPr>
        <w:t> </w:t>
      </w:r>
      <w:r>
        <w:rPr>
          <w:w w:val="105"/>
          <w:sz w:val="19"/>
        </w:rPr>
        <w:t>requerir,</w:t>
      </w:r>
      <w:r>
        <w:rPr>
          <w:spacing w:val="-3"/>
          <w:w w:val="105"/>
          <w:sz w:val="19"/>
        </w:rPr>
        <w:t> </w:t>
      </w:r>
      <w:r>
        <w:rPr>
          <w:w w:val="105"/>
          <w:sz w:val="19"/>
        </w:rPr>
        <w:t>de</w:t>
      </w:r>
      <w:r>
        <w:rPr>
          <w:spacing w:val="-5"/>
          <w:w w:val="105"/>
          <w:sz w:val="19"/>
        </w:rPr>
        <w:t> </w:t>
      </w:r>
      <w:r>
        <w:rPr>
          <w:w w:val="105"/>
          <w:sz w:val="19"/>
        </w:rPr>
        <w:t>inicio,</w:t>
      </w:r>
      <w:r>
        <w:rPr>
          <w:spacing w:val="-6"/>
          <w:w w:val="105"/>
          <w:sz w:val="19"/>
        </w:rPr>
        <w:t> </w:t>
      </w:r>
      <w:r>
        <w:rPr>
          <w:w w:val="105"/>
          <w:sz w:val="19"/>
        </w:rPr>
        <w:t>la</w:t>
      </w:r>
      <w:r>
        <w:rPr>
          <w:spacing w:val="-3"/>
          <w:w w:val="105"/>
          <w:sz w:val="19"/>
        </w:rPr>
        <w:t> </w:t>
      </w:r>
      <w:r>
        <w:rPr>
          <w:w w:val="105"/>
          <w:sz w:val="19"/>
        </w:rPr>
        <w:t>legitimidad</w:t>
      </w:r>
      <w:r>
        <w:rPr>
          <w:spacing w:val="-7"/>
          <w:w w:val="105"/>
          <w:sz w:val="19"/>
        </w:rPr>
        <w:t> </w:t>
      </w:r>
      <w:r>
        <w:rPr>
          <w:w w:val="105"/>
          <w:sz w:val="19"/>
        </w:rPr>
        <w:t>de</w:t>
      </w:r>
      <w:r>
        <w:rPr>
          <w:spacing w:val="-3"/>
          <w:w w:val="105"/>
          <w:sz w:val="19"/>
        </w:rPr>
        <w:t> </w:t>
      </w:r>
      <w:r>
        <w:rPr>
          <w:w w:val="105"/>
          <w:sz w:val="19"/>
        </w:rPr>
        <w:t>un</w:t>
      </w:r>
      <w:r>
        <w:rPr>
          <w:spacing w:val="-3"/>
          <w:w w:val="105"/>
          <w:sz w:val="19"/>
        </w:rPr>
        <w:t> </w:t>
      </w:r>
      <w:r>
        <w:rPr>
          <w:w w:val="105"/>
          <w:sz w:val="19"/>
        </w:rPr>
        <w:t>proceso</w:t>
      </w:r>
      <w:r>
        <w:rPr>
          <w:spacing w:val="-3"/>
          <w:w w:val="105"/>
          <w:sz w:val="19"/>
        </w:rPr>
        <w:t> de </w:t>
      </w:r>
      <w:r>
        <w:rPr>
          <w:w w:val="105"/>
          <w:sz w:val="19"/>
        </w:rPr>
        <w:t>elección</w:t>
      </w:r>
      <w:r>
        <w:rPr>
          <w:spacing w:val="-7"/>
          <w:w w:val="105"/>
          <w:sz w:val="19"/>
        </w:rPr>
        <w:t> </w:t>
      </w:r>
      <w:r>
        <w:rPr>
          <w:w w:val="105"/>
          <w:sz w:val="19"/>
        </w:rPr>
        <w:t>por</w:t>
      </w:r>
      <w:r>
        <w:rPr>
          <w:spacing w:val="-3"/>
          <w:w w:val="105"/>
          <w:sz w:val="19"/>
        </w:rPr>
        <w:t> </w:t>
      </w:r>
      <w:r>
        <w:rPr>
          <w:w w:val="105"/>
          <w:sz w:val="19"/>
        </w:rPr>
        <w:t>parte</w:t>
      </w:r>
      <w:r>
        <w:rPr>
          <w:spacing w:val="-3"/>
          <w:w w:val="105"/>
          <w:sz w:val="19"/>
        </w:rPr>
        <w:t> </w:t>
      </w:r>
      <w:r>
        <w:rPr>
          <w:spacing w:val="-4"/>
          <w:w w:val="105"/>
          <w:sz w:val="19"/>
        </w:rPr>
        <w:t>de </w:t>
      </w:r>
      <w:r>
        <w:rPr>
          <w:w w:val="105"/>
          <w:sz w:val="19"/>
        </w:rPr>
        <w:t>los</w:t>
      </w:r>
      <w:r>
        <w:rPr>
          <w:spacing w:val="-35"/>
          <w:w w:val="105"/>
          <w:sz w:val="19"/>
        </w:rPr>
        <w:t> </w:t>
      </w:r>
      <w:r>
        <w:rPr>
          <w:w w:val="105"/>
          <w:sz w:val="19"/>
        </w:rPr>
        <w:t>agremiados.</w:t>
      </w:r>
    </w:p>
    <w:p>
      <w:pPr>
        <w:spacing w:after="0" w:line="252" w:lineRule="auto"/>
        <w:jc w:val="both"/>
        <w:rPr>
          <w:sz w:val="19"/>
        </w:rPr>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9" w:lineRule="auto" w:before="74"/>
        <w:ind w:left="115" w:right="111"/>
        <w:jc w:val="both"/>
      </w:pPr>
      <w:r>
        <w:rPr/>
        <w:t>carecen de un alto grado de capacidad, mientras que las burocracias paralelas se caracterizan por altos grados de capacidad y baja</w:t>
      </w:r>
      <w:r>
        <w:rPr>
          <w:spacing w:val="63"/>
        </w:rPr>
        <w:t> </w:t>
      </w:r>
      <w:r>
        <w:rPr/>
        <w:t>autonomía.</w:t>
      </w:r>
    </w:p>
    <w:p>
      <w:pPr>
        <w:pStyle w:val="BodyText"/>
        <w:spacing w:line="364" w:lineRule="auto"/>
        <w:ind w:left="115" w:right="106" w:firstLine="686"/>
        <w:jc w:val="both"/>
      </w:pPr>
      <w:r>
        <w:rPr/>
        <w:t>Las ventajas de </w:t>
      </w:r>
      <w:r>
        <w:rPr>
          <w:spacing w:val="-4"/>
        </w:rPr>
        <w:t>las</w:t>
      </w:r>
      <w:r>
        <w:rPr>
          <w:spacing w:val="55"/>
        </w:rPr>
        <w:t> </w:t>
      </w:r>
      <w:r>
        <w:rPr/>
        <w:t>burocracias meritocráticas para </w:t>
      </w:r>
      <w:r>
        <w:rPr>
          <w:spacing w:val="-4"/>
        </w:rPr>
        <w:t>la</w:t>
      </w:r>
      <w:r>
        <w:rPr>
          <w:spacing w:val="55"/>
        </w:rPr>
        <w:t> </w:t>
      </w:r>
      <w:r>
        <w:rPr/>
        <w:t>formulación de políticas son numerosas. Primero, un servicio civil organizado puede ayudar a </w:t>
      </w:r>
      <w:r>
        <w:rPr>
          <w:spacing w:val="-2"/>
        </w:rPr>
        <w:t>los </w:t>
      </w:r>
      <w:r>
        <w:rPr/>
        <w:t>políticos a fortificar su compromiso, delegar autoridad en la toma de decisiones a instituciones autónomas y reducir la capacidad de revertir sus decisiones en respuesta a consideraciones de corto plazo. Debido a que la efectividad de las políticas depende de </w:t>
      </w:r>
      <w:r>
        <w:rPr>
          <w:spacing w:val="-3"/>
        </w:rPr>
        <w:t>la </w:t>
      </w:r>
      <w:r>
        <w:rPr/>
        <w:t>creencia de que se mantendrán en el tiempo,  </w:t>
      </w:r>
      <w:r>
        <w:rPr>
          <w:spacing w:val="-2"/>
        </w:rPr>
        <w:t>las </w:t>
      </w:r>
      <w:r>
        <w:rPr/>
        <w:t>burocracias meritocráticas, caracterizadas por la independencia y la estabilidad en  el cargo de los empleados públicos, son una parte importante del conjunto de </w:t>
      </w:r>
      <w:r>
        <w:rPr>
          <w:spacing w:val="-2"/>
        </w:rPr>
        <w:t>las </w:t>
      </w:r>
      <w:r>
        <w:rPr/>
        <w:t>instituciones políticas </w:t>
      </w:r>
      <w:r>
        <w:rPr>
          <w:spacing w:val="-3"/>
        </w:rPr>
        <w:t>que </w:t>
      </w:r>
      <w:r>
        <w:rPr/>
        <w:t>conducen a buenos resultados </w:t>
      </w:r>
      <w:r>
        <w:rPr>
          <w:spacing w:val="-3"/>
        </w:rPr>
        <w:t>de </w:t>
      </w:r>
      <w:r>
        <w:rPr/>
        <w:t>las políticas. </w:t>
      </w:r>
      <w:r>
        <w:rPr>
          <w:spacing w:val="-3"/>
        </w:rPr>
        <w:t>La </w:t>
      </w:r>
      <w:r>
        <w:rPr/>
        <w:t>evidencia parece indicar que </w:t>
      </w:r>
      <w:r>
        <w:rPr>
          <w:spacing w:val="-3"/>
        </w:rPr>
        <w:t>los </w:t>
      </w:r>
      <w:r>
        <w:rPr/>
        <w:t>países que poseen un servicio civil autónomo, profesional y competente tienden a evidenciar políticas públicas con mejores características.</w:t>
      </w:r>
    </w:p>
    <w:p>
      <w:pPr>
        <w:pStyle w:val="BodyText"/>
        <w:rPr>
          <w:sz w:val="22"/>
        </w:rPr>
      </w:pPr>
    </w:p>
    <w:p>
      <w:pPr>
        <w:pStyle w:val="Heading3"/>
        <w:spacing w:before="150"/>
      </w:pPr>
      <w:bookmarkStart w:name="_TOC_250003" w:id="29"/>
      <w:bookmarkEnd w:id="29"/>
      <w:r>
        <w:rPr/>
        <w:t>2.3 El poder legislativo como actor en los juegos de  poder</w:t>
      </w:r>
    </w:p>
    <w:p>
      <w:pPr>
        <w:pStyle w:val="BodyText"/>
        <w:spacing w:line="364" w:lineRule="auto" w:before="138"/>
        <w:ind w:left="115" w:right="107"/>
        <w:jc w:val="both"/>
      </w:pPr>
      <w:r>
        <w:rPr/>
        <w:t>Tradicionalmente se han atribuido dos funciones a </w:t>
      </w:r>
      <w:r>
        <w:rPr>
          <w:spacing w:val="-3"/>
        </w:rPr>
        <w:t>la  </w:t>
      </w:r>
      <w:r>
        <w:rPr/>
        <w:t>legislatura:  legislar y servir  de control </w:t>
      </w:r>
      <w:r>
        <w:rPr>
          <w:spacing w:val="2"/>
        </w:rPr>
        <w:t>del </w:t>
      </w:r>
      <w:r>
        <w:rPr/>
        <w:t>poder ejecutivo. Para efectos de esta discusión importa la legislatura como una institución que ayuda a reducir la volatilidad de las políticas y a representar mejor las preferencias </w:t>
      </w:r>
      <w:r>
        <w:rPr>
          <w:spacing w:val="-3"/>
        </w:rPr>
        <w:t>de </w:t>
      </w:r>
      <w:r>
        <w:rPr>
          <w:spacing w:val="-4"/>
        </w:rPr>
        <w:t>la </w:t>
      </w:r>
      <w:r>
        <w:rPr/>
        <w:t>población. La efectividad de la legislatura depende entonces de las instituciones que determinan </w:t>
      </w:r>
      <w:r>
        <w:rPr>
          <w:spacing w:val="-4"/>
        </w:rPr>
        <w:t>las</w:t>
      </w:r>
      <w:r>
        <w:rPr>
          <w:spacing w:val="55"/>
        </w:rPr>
        <w:t> </w:t>
      </w:r>
      <w:r>
        <w:rPr/>
        <w:t>prerrogativas del ejecutivo y de las instituciones </w:t>
      </w:r>
      <w:r>
        <w:rPr>
          <w:spacing w:val="2"/>
        </w:rPr>
        <w:t>de </w:t>
      </w:r>
      <w:r>
        <w:rPr/>
        <w:t>la legislatura. Las instituciones legislativas (ampliamente definidas) pueden tener consecuencias importantes en cómo se deciden e implementan las políticas y en la posibilidad de obtener compromisos </w:t>
      </w:r>
      <w:r>
        <w:rPr>
          <w:spacing w:val="-3"/>
        </w:rPr>
        <w:t>de </w:t>
      </w:r>
      <w:r>
        <w:rPr/>
        <w:t>cooperación</w:t>
      </w:r>
      <w:r>
        <w:rPr>
          <w:spacing w:val="19"/>
        </w:rPr>
        <w:t> </w:t>
      </w:r>
      <w:r>
        <w:rPr/>
        <w:t>intertemporal.</w:t>
      </w:r>
    </w:p>
    <w:p>
      <w:pPr>
        <w:pStyle w:val="BodyText"/>
        <w:spacing w:line="367" w:lineRule="auto"/>
        <w:ind w:left="115" w:right="106" w:firstLine="686"/>
        <w:jc w:val="both"/>
      </w:pPr>
      <w:r>
        <w:rPr/>
        <w:t>Como en el caso del poder ejecutivo, el </w:t>
      </w:r>
      <w:r>
        <w:rPr>
          <w:i/>
        </w:rPr>
        <w:t>método </w:t>
      </w:r>
      <w:r>
        <w:rPr>
          <w:i/>
          <w:spacing w:val="-3"/>
        </w:rPr>
        <w:t>de </w:t>
      </w:r>
      <w:r>
        <w:rPr>
          <w:i/>
        </w:rPr>
        <w:t>elección </w:t>
      </w:r>
      <w:r>
        <w:rPr>
          <w:spacing w:val="-3"/>
        </w:rPr>
        <w:t>de </w:t>
      </w:r>
      <w:r>
        <w:rPr>
          <w:spacing w:val="-2"/>
        </w:rPr>
        <w:t>los </w:t>
      </w:r>
      <w:r>
        <w:rPr/>
        <w:t>representantes es uno de los determinantes fundamentales del número de actores   y sus incentivos. Por tanto, en parte, la literatura tradicional se ha concentrado en estudiar    </w:t>
      </w:r>
      <w:r>
        <w:rPr>
          <w:spacing w:val="4"/>
        </w:rPr>
        <w:t>el    </w:t>
      </w:r>
      <w:r>
        <w:rPr/>
        <w:t>impacto    que    distintas    reglas    electorales    tienen    sobre    </w:t>
      </w:r>
      <w:r>
        <w:rPr>
          <w:spacing w:val="26"/>
        </w:rPr>
        <w:t> </w:t>
      </w:r>
      <w:r>
        <w:rPr>
          <w:spacing w:val="-4"/>
        </w:rPr>
        <w:t>la</w:t>
      </w:r>
    </w:p>
    <w:p>
      <w:pPr>
        <w:spacing w:after="0" w:line="367"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38" w:lineRule="auto" w:before="74"/>
        <w:ind w:left="115" w:right="191"/>
        <w:rPr>
          <w:sz w:val="15"/>
        </w:rPr>
      </w:pPr>
      <w:r>
        <w:rPr/>
        <w:t>representatividad, la efectividad y la participación, para poder entender así cómo afectan al juego político.</w:t>
      </w:r>
      <w:r>
        <w:rPr>
          <w:position w:val="11"/>
          <w:sz w:val="15"/>
        </w:rPr>
        <w:t>26</w:t>
      </w:r>
    </w:p>
    <w:p>
      <w:pPr>
        <w:pStyle w:val="BodyText"/>
        <w:spacing w:line="364" w:lineRule="auto" w:before="13"/>
        <w:ind w:left="116" w:right="107" w:firstLine="686"/>
        <w:jc w:val="both"/>
      </w:pPr>
      <w:r>
        <w:rPr/>
        <w:t>La primera característica para analizar </w:t>
      </w:r>
      <w:r>
        <w:rPr>
          <w:spacing w:val="3"/>
        </w:rPr>
        <w:t>el </w:t>
      </w:r>
      <w:r>
        <w:rPr/>
        <w:t>método de elección es </w:t>
      </w:r>
      <w:r>
        <w:rPr>
          <w:spacing w:val="2"/>
        </w:rPr>
        <w:t>si </w:t>
      </w:r>
      <w:r>
        <w:rPr>
          <w:spacing w:val="-2"/>
        </w:rPr>
        <w:t>los </w:t>
      </w:r>
      <w:r>
        <w:rPr/>
        <w:t>congresistas son elegidos por </w:t>
      </w:r>
      <w:r>
        <w:rPr>
          <w:spacing w:val="-3"/>
        </w:rPr>
        <w:t>los </w:t>
      </w:r>
      <w:r>
        <w:rPr/>
        <w:t>ciudadanos o nombrados directa o  indirectamente por otros actores políticos. Estas opciones influyen en el número    de jugadores relevantes. Como uno de los principales objetivos </w:t>
      </w:r>
      <w:r>
        <w:rPr>
          <w:spacing w:val="-3"/>
        </w:rPr>
        <w:t>de </w:t>
      </w:r>
      <w:r>
        <w:rPr>
          <w:spacing w:val="-2"/>
        </w:rPr>
        <w:t>los </w:t>
      </w:r>
      <w:r>
        <w:rPr/>
        <w:t>representantes </w:t>
      </w:r>
      <w:r>
        <w:rPr>
          <w:spacing w:val="-3"/>
        </w:rPr>
        <w:t>es </w:t>
      </w:r>
      <w:r>
        <w:rPr/>
        <w:t>maximizar los rendimientos de sus carreras políticas, por </w:t>
      </w:r>
      <w:r>
        <w:rPr>
          <w:spacing w:val="-6"/>
        </w:rPr>
        <w:t>lo </w:t>
      </w:r>
      <w:r>
        <w:rPr/>
        <w:t>general intentarán satisfacer a quienes puedan darles mayores beneficios, lo que puede diferir de acuerdo con el método de selección de</w:t>
      </w:r>
      <w:r>
        <w:rPr>
          <w:spacing w:val="62"/>
        </w:rPr>
        <w:t> </w:t>
      </w:r>
      <w:r>
        <w:rPr/>
        <w:t>legisladores.</w:t>
      </w:r>
    </w:p>
    <w:p>
      <w:pPr>
        <w:pStyle w:val="BodyText"/>
        <w:spacing w:line="364" w:lineRule="auto" w:before="5"/>
        <w:ind w:left="116" w:right="105" w:firstLine="686"/>
        <w:jc w:val="both"/>
      </w:pPr>
      <w:r>
        <w:rPr/>
        <w:t>Por ejemplo, si los legisladores son nombrados por el poder ejecutivo, difícilmente opondrán resistencia a las iniciativas de la rama ejecutiva, lo  cual reduce el número de actores relevantes: menor cantidad de vetos. Si los legisladores son seleccionados por las legislaturas subnacionales, ellos podrían convertirse   en   jugadores   altamente   relevantes   cuando   traten   algún  asunto</w:t>
      </w:r>
    </w:p>
    <w:p>
      <w:pPr>
        <w:pStyle w:val="BodyText"/>
        <w:spacing w:line="328" w:lineRule="auto" w:before="5"/>
        <w:ind w:left="116" w:right="191"/>
        <w:rPr>
          <w:sz w:val="15"/>
        </w:rPr>
      </w:pPr>
      <w:r>
        <w:rPr/>
        <w:t>relacionado, como las transferencias intergubernamentales; esto incrementa el número de jugadores al menos con relación a estos</w:t>
      </w:r>
      <w:r>
        <w:rPr>
          <w:spacing w:val="58"/>
        </w:rPr>
        <w:t> </w:t>
      </w:r>
      <w:r>
        <w:rPr/>
        <w:t>asuntos.</w:t>
      </w:r>
      <w:r>
        <w:rPr>
          <w:position w:val="11"/>
          <w:sz w:val="15"/>
        </w:rPr>
        <w:t>27</w:t>
      </w:r>
    </w:p>
    <w:p>
      <w:pPr>
        <w:pStyle w:val="BodyText"/>
        <w:spacing w:line="364" w:lineRule="auto" w:before="29"/>
        <w:ind w:left="116" w:right="106" w:firstLine="686"/>
        <w:jc w:val="both"/>
      </w:pPr>
      <w:r>
        <w:rPr/>
        <w:t>Si </w:t>
      </w:r>
      <w:r>
        <w:rPr>
          <w:spacing w:val="-4"/>
        </w:rPr>
        <w:t>la </w:t>
      </w:r>
      <w:r>
        <w:rPr/>
        <w:t>distribución fuese perfectamente proporcional, los partidos políticos  y  los candidatos recibirían </w:t>
      </w:r>
      <w:r>
        <w:rPr>
          <w:spacing w:val="2"/>
        </w:rPr>
        <w:t>un </w:t>
      </w:r>
      <w:r>
        <w:rPr/>
        <w:t>número de bancas proporcional al número de votos recibidos. Sin embargo, </w:t>
      </w:r>
      <w:r>
        <w:rPr>
          <w:spacing w:val="-5"/>
        </w:rPr>
        <w:t>la </w:t>
      </w:r>
      <w:r>
        <w:rPr/>
        <w:t>fórmula electoral más el tamaño del distrito (cuántos legisladores </w:t>
      </w:r>
      <w:r>
        <w:rPr>
          <w:spacing w:val="2"/>
        </w:rPr>
        <w:t>son </w:t>
      </w:r>
      <w:r>
        <w:rPr/>
        <w:t>elegidos por cada distrito) y los umbrales </w:t>
      </w:r>
      <w:r>
        <w:rPr>
          <w:spacing w:val="3"/>
        </w:rPr>
        <w:t>de </w:t>
      </w:r>
      <w:r>
        <w:rPr/>
        <w:t>representación (el porcentaje mínimo de votos que un </w:t>
      </w:r>
      <w:r>
        <w:rPr>
          <w:spacing w:val="-3"/>
        </w:rPr>
        <w:t>partido </w:t>
      </w:r>
      <w:r>
        <w:rPr/>
        <w:t>debe alcanzar para ganar </w:t>
      </w:r>
      <w:r>
        <w:rPr>
          <w:spacing w:val="-5"/>
        </w:rPr>
        <w:t>la </w:t>
      </w:r>
      <w:r>
        <w:rPr/>
        <w:t>representación) usualmente generan desproporcionalidad y de esta  manera afectan el grado de influencia de diferentes actores y sectores </w:t>
      </w:r>
      <w:r>
        <w:rPr>
          <w:spacing w:val="-3"/>
        </w:rPr>
        <w:t>en </w:t>
      </w:r>
      <w:r>
        <w:rPr>
          <w:spacing w:val="-4"/>
        </w:rPr>
        <w:t>la </w:t>
      </w:r>
      <w:r>
        <w:rPr>
          <w:spacing w:val="41"/>
        </w:rPr>
        <w:t> </w:t>
      </w:r>
      <w:r>
        <w:rPr/>
        <w:t>sociedad.</w:t>
      </w:r>
    </w:p>
    <w:p>
      <w:pPr>
        <w:pStyle w:val="BodyText"/>
        <w:rPr>
          <w:sz w:val="20"/>
        </w:rPr>
      </w:pPr>
    </w:p>
    <w:p>
      <w:pPr>
        <w:pStyle w:val="BodyText"/>
        <w:spacing w:before="10"/>
        <w:rPr>
          <w:sz w:val="27"/>
        </w:rPr>
      </w:pPr>
      <w:r>
        <w:rPr/>
        <w:pict>
          <v:line style="position:absolute;mso-position-horizontal-relative:page;mso-position-vertical-relative:paragraph;z-index:1552;mso-wrap-distance-left:0;mso-wrap-distance-right:0" from="82.799004pt,18.387177pt" to="222.958004pt,18.387177pt" stroked="true" strokeweight=".72pt" strokecolor="#000000">
            <w10:wrap type="topAndBottom"/>
          </v:line>
        </w:pict>
      </w:r>
    </w:p>
    <w:p>
      <w:pPr>
        <w:spacing w:line="244" w:lineRule="auto" w:before="46"/>
        <w:ind w:left="115" w:right="99" w:firstLine="0"/>
        <w:jc w:val="both"/>
        <w:rPr>
          <w:sz w:val="19"/>
        </w:rPr>
      </w:pPr>
      <w:r>
        <w:rPr>
          <w:spacing w:val="-4"/>
          <w:w w:val="105"/>
          <w:position w:val="10"/>
          <w:sz w:val="12"/>
        </w:rPr>
        <w:t>26</w:t>
      </w:r>
      <w:r>
        <w:rPr>
          <w:spacing w:val="4"/>
          <w:w w:val="105"/>
          <w:position w:val="10"/>
          <w:sz w:val="12"/>
        </w:rPr>
        <w:t> </w:t>
      </w:r>
      <w:r>
        <w:rPr>
          <w:w w:val="105"/>
          <w:sz w:val="19"/>
        </w:rPr>
        <w:t>Un</w:t>
      </w:r>
      <w:r>
        <w:rPr>
          <w:spacing w:val="-14"/>
          <w:w w:val="105"/>
          <w:sz w:val="19"/>
        </w:rPr>
        <w:t> </w:t>
      </w:r>
      <w:r>
        <w:rPr>
          <w:w w:val="105"/>
          <w:sz w:val="19"/>
        </w:rPr>
        <w:t>sistema</w:t>
      </w:r>
      <w:r>
        <w:rPr>
          <w:spacing w:val="-16"/>
          <w:w w:val="105"/>
          <w:sz w:val="19"/>
        </w:rPr>
        <w:t> </w:t>
      </w:r>
      <w:r>
        <w:rPr>
          <w:w w:val="105"/>
          <w:sz w:val="19"/>
        </w:rPr>
        <w:t>electoral</w:t>
      </w:r>
      <w:r>
        <w:rPr>
          <w:spacing w:val="-18"/>
          <w:w w:val="105"/>
          <w:sz w:val="19"/>
        </w:rPr>
        <w:t> </w:t>
      </w:r>
      <w:r>
        <w:rPr>
          <w:w w:val="105"/>
          <w:sz w:val="19"/>
        </w:rPr>
        <w:t>que</w:t>
      </w:r>
      <w:r>
        <w:rPr>
          <w:spacing w:val="-14"/>
          <w:w w:val="105"/>
          <w:sz w:val="19"/>
        </w:rPr>
        <w:t> </w:t>
      </w:r>
      <w:r>
        <w:rPr>
          <w:w w:val="105"/>
          <w:sz w:val="19"/>
        </w:rPr>
        <w:t>fomenta</w:t>
      </w:r>
      <w:r>
        <w:rPr>
          <w:spacing w:val="-16"/>
          <w:w w:val="105"/>
          <w:sz w:val="19"/>
        </w:rPr>
        <w:t> </w:t>
      </w:r>
      <w:r>
        <w:rPr>
          <w:spacing w:val="-4"/>
          <w:w w:val="105"/>
          <w:sz w:val="19"/>
        </w:rPr>
        <w:t>la</w:t>
      </w:r>
      <w:r>
        <w:rPr>
          <w:spacing w:val="-14"/>
          <w:w w:val="105"/>
          <w:sz w:val="19"/>
        </w:rPr>
        <w:t> </w:t>
      </w:r>
      <w:r>
        <w:rPr>
          <w:w w:val="105"/>
          <w:sz w:val="19"/>
        </w:rPr>
        <w:t>representatividad,</w:t>
      </w:r>
      <w:r>
        <w:rPr>
          <w:spacing w:val="-23"/>
          <w:w w:val="105"/>
          <w:sz w:val="19"/>
        </w:rPr>
        <w:t> </w:t>
      </w:r>
      <w:r>
        <w:rPr>
          <w:w w:val="105"/>
          <w:sz w:val="19"/>
        </w:rPr>
        <w:t>la</w:t>
      </w:r>
      <w:r>
        <w:rPr>
          <w:spacing w:val="-18"/>
          <w:w w:val="105"/>
          <w:sz w:val="19"/>
        </w:rPr>
        <w:t> </w:t>
      </w:r>
      <w:r>
        <w:rPr>
          <w:w w:val="105"/>
          <w:sz w:val="19"/>
        </w:rPr>
        <w:t>efectividad</w:t>
      </w:r>
      <w:r>
        <w:rPr>
          <w:spacing w:val="-14"/>
          <w:w w:val="105"/>
          <w:sz w:val="19"/>
        </w:rPr>
        <w:t> </w:t>
      </w:r>
      <w:r>
        <w:rPr>
          <w:w w:val="105"/>
          <w:sz w:val="19"/>
        </w:rPr>
        <w:t>y</w:t>
      </w:r>
      <w:r>
        <w:rPr>
          <w:spacing w:val="-16"/>
          <w:w w:val="105"/>
          <w:sz w:val="19"/>
        </w:rPr>
        <w:t> </w:t>
      </w:r>
      <w:r>
        <w:rPr>
          <w:w w:val="105"/>
          <w:sz w:val="19"/>
        </w:rPr>
        <w:t>la</w:t>
      </w:r>
      <w:r>
        <w:rPr>
          <w:spacing w:val="-18"/>
          <w:w w:val="105"/>
          <w:sz w:val="19"/>
        </w:rPr>
        <w:t> </w:t>
      </w:r>
      <w:r>
        <w:rPr>
          <w:w w:val="105"/>
          <w:sz w:val="19"/>
        </w:rPr>
        <w:t>participación</w:t>
      </w:r>
      <w:r>
        <w:rPr>
          <w:spacing w:val="-16"/>
          <w:w w:val="105"/>
          <w:sz w:val="19"/>
        </w:rPr>
        <w:t> </w:t>
      </w:r>
      <w:r>
        <w:rPr>
          <w:w w:val="105"/>
          <w:sz w:val="19"/>
        </w:rPr>
        <w:t>aseguraría que </w:t>
      </w:r>
      <w:r>
        <w:rPr>
          <w:spacing w:val="-3"/>
          <w:w w:val="105"/>
          <w:sz w:val="19"/>
        </w:rPr>
        <w:t>exista </w:t>
      </w:r>
      <w:r>
        <w:rPr>
          <w:w w:val="105"/>
          <w:sz w:val="19"/>
        </w:rPr>
        <w:t>una fuerte conexión entre ciudadanos y representantes, </w:t>
      </w:r>
      <w:r>
        <w:rPr>
          <w:spacing w:val="-3"/>
          <w:w w:val="105"/>
          <w:sz w:val="19"/>
        </w:rPr>
        <w:t>que </w:t>
      </w:r>
      <w:r>
        <w:rPr>
          <w:w w:val="105"/>
          <w:sz w:val="19"/>
        </w:rPr>
        <w:t>las preferencias de los ciudadanos</w:t>
      </w:r>
      <w:r>
        <w:rPr>
          <w:spacing w:val="-8"/>
          <w:w w:val="105"/>
          <w:sz w:val="19"/>
        </w:rPr>
        <w:t> </w:t>
      </w:r>
      <w:r>
        <w:rPr>
          <w:w w:val="105"/>
          <w:sz w:val="19"/>
        </w:rPr>
        <w:t>estén</w:t>
      </w:r>
      <w:r>
        <w:rPr>
          <w:spacing w:val="-5"/>
          <w:w w:val="105"/>
          <w:sz w:val="19"/>
        </w:rPr>
        <w:t> </w:t>
      </w:r>
      <w:r>
        <w:rPr>
          <w:w w:val="105"/>
          <w:sz w:val="19"/>
        </w:rPr>
        <w:t>representadas</w:t>
      </w:r>
      <w:r>
        <w:rPr>
          <w:spacing w:val="-12"/>
          <w:w w:val="105"/>
          <w:sz w:val="19"/>
        </w:rPr>
        <w:t> </w:t>
      </w:r>
      <w:r>
        <w:rPr>
          <w:w w:val="105"/>
          <w:sz w:val="19"/>
        </w:rPr>
        <w:t>en</w:t>
      </w:r>
      <w:r>
        <w:rPr>
          <w:spacing w:val="-8"/>
          <w:w w:val="105"/>
          <w:sz w:val="19"/>
        </w:rPr>
        <w:t> </w:t>
      </w:r>
      <w:r>
        <w:rPr>
          <w:w w:val="105"/>
          <w:sz w:val="19"/>
        </w:rPr>
        <w:t>la</w:t>
      </w:r>
      <w:r>
        <w:rPr>
          <w:spacing w:val="-11"/>
          <w:w w:val="105"/>
          <w:sz w:val="19"/>
        </w:rPr>
        <w:t> </w:t>
      </w:r>
      <w:r>
        <w:rPr>
          <w:w w:val="105"/>
          <w:sz w:val="19"/>
        </w:rPr>
        <w:t>legislatura</w:t>
      </w:r>
      <w:r>
        <w:rPr>
          <w:spacing w:val="-13"/>
          <w:w w:val="105"/>
          <w:sz w:val="19"/>
        </w:rPr>
        <w:t> </w:t>
      </w:r>
      <w:r>
        <w:rPr>
          <w:w w:val="105"/>
          <w:sz w:val="19"/>
        </w:rPr>
        <w:t>de</w:t>
      </w:r>
      <w:r>
        <w:rPr>
          <w:spacing w:val="-8"/>
          <w:w w:val="105"/>
          <w:sz w:val="19"/>
        </w:rPr>
        <w:t> </w:t>
      </w:r>
      <w:r>
        <w:rPr>
          <w:w w:val="105"/>
          <w:sz w:val="19"/>
        </w:rPr>
        <w:t>acuerdo</w:t>
      </w:r>
      <w:r>
        <w:rPr>
          <w:spacing w:val="-8"/>
          <w:w w:val="105"/>
          <w:sz w:val="19"/>
        </w:rPr>
        <w:t> </w:t>
      </w:r>
      <w:r>
        <w:rPr>
          <w:w w:val="105"/>
          <w:sz w:val="19"/>
        </w:rPr>
        <w:t>con</w:t>
      </w:r>
      <w:r>
        <w:rPr>
          <w:spacing w:val="-5"/>
          <w:w w:val="105"/>
          <w:sz w:val="19"/>
        </w:rPr>
        <w:t> </w:t>
      </w:r>
      <w:r>
        <w:rPr>
          <w:spacing w:val="-4"/>
          <w:w w:val="105"/>
          <w:sz w:val="19"/>
        </w:rPr>
        <w:t>su</w:t>
      </w:r>
      <w:r>
        <w:rPr>
          <w:spacing w:val="-8"/>
          <w:w w:val="105"/>
          <w:sz w:val="19"/>
        </w:rPr>
        <w:t> </w:t>
      </w:r>
      <w:r>
        <w:rPr>
          <w:w w:val="105"/>
          <w:sz w:val="19"/>
        </w:rPr>
        <w:t>peso</w:t>
      </w:r>
      <w:r>
        <w:rPr>
          <w:spacing w:val="-8"/>
          <w:w w:val="105"/>
          <w:sz w:val="19"/>
        </w:rPr>
        <w:t> </w:t>
      </w:r>
      <w:r>
        <w:rPr>
          <w:spacing w:val="-3"/>
          <w:w w:val="105"/>
          <w:sz w:val="19"/>
        </w:rPr>
        <w:t>en</w:t>
      </w:r>
      <w:r>
        <w:rPr>
          <w:spacing w:val="-8"/>
          <w:w w:val="105"/>
          <w:sz w:val="19"/>
        </w:rPr>
        <w:t> </w:t>
      </w:r>
      <w:r>
        <w:rPr>
          <w:w w:val="105"/>
          <w:sz w:val="19"/>
        </w:rPr>
        <w:t>la</w:t>
      </w:r>
      <w:r>
        <w:rPr>
          <w:spacing w:val="-8"/>
          <w:w w:val="105"/>
          <w:sz w:val="19"/>
        </w:rPr>
        <w:t> </w:t>
      </w:r>
      <w:r>
        <w:rPr>
          <w:w w:val="105"/>
          <w:sz w:val="19"/>
        </w:rPr>
        <w:t>sociedad</w:t>
      </w:r>
      <w:r>
        <w:rPr>
          <w:spacing w:val="-8"/>
          <w:w w:val="105"/>
          <w:sz w:val="19"/>
        </w:rPr>
        <w:t> </w:t>
      </w:r>
      <w:r>
        <w:rPr>
          <w:w w:val="105"/>
          <w:sz w:val="19"/>
        </w:rPr>
        <w:t>y</w:t>
      </w:r>
      <w:r>
        <w:rPr>
          <w:spacing w:val="-13"/>
          <w:w w:val="105"/>
          <w:sz w:val="19"/>
        </w:rPr>
        <w:t> </w:t>
      </w:r>
      <w:r>
        <w:rPr>
          <w:w w:val="105"/>
          <w:sz w:val="19"/>
        </w:rPr>
        <w:t>que</w:t>
      </w:r>
      <w:r>
        <w:rPr>
          <w:spacing w:val="-8"/>
          <w:w w:val="105"/>
          <w:sz w:val="19"/>
        </w:rPr>
        <w:t> </w:t>
      </w:r>
      <w:r>
        <w:rPr>
          <w:w w:val="105"/>
          <w:sz w:val="19"/>
        </w:rPr>
        <w:t>los legisladores</w:t>
      </w:r>
      <w:r>
        <w:rPr>
          <w:spacing w:val="-23"/>
          <w:w w:val="105"/>
          <w:sz w:val="19"/>
        </w:rPr>
        <w:t> </w:t>
      </w:r>
      <w:r>
        <w:rPr>
          <w:w w:val="105"/>
          <w:sz w:val="19"/>
        </w:rPr>
        <w:t>puedan</w:t>
      </w:r>
      <w:r>
        <w:rPr>
          <w:spacing w:val="-21"/>
          <w:w w:val="105"/>
          <w:sz w:val="19"/>
        </w:rPr>
        <w:t> </w:t>
      </w:r>
      <w:r>
        <w:rPr>
          <w:w w:val="105"/>
          <w:sz w:val="19"/>
        </w:rPr>
        <w:t>incorporar</w:t>
      </w:r>
      <w:r>
        <w:rPr>
          <w:spacing w:val="-23"/>
          <w:w w:val="105"/>
          <w:sz w:val="19"/>
        </w:rPr>
        <w:t> </w:t>
      </w:r>
      <w:r>
        <w:rPr>
          <w:spacing w:val="-3"/>
          <w:w w:val="105"/>
          <w:sz w:val="19"/>
        </w:rPr>
        <w:t>de</w:t>
      </w:r>
      <w:r>
        <w:rPr>
          <w:spacing w:val="-21"/>
          <w:w w:val="105"/>
          <w:sz w:val="19"/>
        </w:rPr>
        <w:t> </w:t>
      </w:r>
      <w:r>
        <w:rPr>
          <w:w w:val="105"/>
          <w:sz w:val="19"/>
        </w:rPr>
        <w:t>manera</w:t>
      </w:r>
      <w:r>
        <w:rPr>
          <w:spacing w:val="-21"/>
          <w:w w:val="105"/>
          <w:sz w:val="19"/>
        </w:rPr>
        <w:t> </w:t>
      </w:r>
      <w:r>
        <w:rPr>
          <w:w w:val="105"/>
          <w:sz w:val="19"/>
        </w:rPr>
        <w:t>efectiva</w:t>
      </w:r>
      <w:r>
        <w:rPr>
          <w:spacing w:val="-21"/>
          <w:w w:val="105"/>
          <w:sz w:val="19"/>
        </w:rPr>
        <w:t> </w:t>
      </w:r>
      <w:r>
        <w:rPr>
          <w:w w:val="105"/>
          <w:sz w:val="19"/>
        </w:rPr>
        <w:t>aquellas</w:t>
      </w:r>
      <w:r>
        <w:rPr>
          <w:spacing w:val="-26"/>
          <w:w w:val="105"/>
          <w:sz w:val="19"/>
        </w:rPr>
        <w:t> </w:t>
      </w:r>
      <w:r>
        <w:rPr>
          <w:w w:val="105"/>
          <w:sz w:val="19"/>
        </w:rPr>
        <w:t>preferencias</w:t>
      </w:r>
      <w:r>
        <w:rPr>
          <w:spacing w:val="-23"/>
          <w:w w:val="105"/>
          <w:sz w:val="19"/>
        </w:rPr>
        <w:t> </w:t>
      </w:r>
      <w:r>
        <w:rPr>
          <w:w w:val="105"/>
          <w:sz w:val="19"/>
        </w:rPr>
        <w:t>en</w:t>
      </w:r>
      <w:r>
        <w:rPr>
          <w:spacing w:val="-21"/>
          <w:w w:val="105"/>
          <w:sz w:val="19"/>
        </w:rPr>
        <w:t> </w:t>
      </w:r>
      <w:r>
        <w:rPr>
          <w:w w:val="105"/>
          <w:sz w:val="19"/>
        </w:rPr>
        <w:t>las</w:t>
      </w:r>
      <w:r>
        <w:rPr>
          <w:spacing w:val="-23"/>
          <w:w w:val="105"/>
          <w:sz w:val="19"/>
        </w:rPr>
        <w:t> </w:t>
      </w:r>
      <w:r>
        <w:rPr>
          <w:w w:val="105"/>
          <w:sz w:val="19"/>
        </w:rPr>
        <w:t>políticas.</w:t>
      </w:r>
    </w:p>
    <w:p>
      <w:pPr>
        <w:spacing w:line="226" w:lineRule="exact" w:before="0"/>
        <w:ind w:left="115" w:right="105" w:firstLine="0"/>
        <w:jc w:val="both"/>
        <w:rPr>
          <w:sz w:val="19"/>
        </w:rPr>
      </w:pPr>
      <w:r>
        <w:rPr>
          <w:spacing w:val="-4"/>
          <w:w w:val="105"/>
          <w:position w:val="10"/>
          <w:sz w:val="12"/>
        </w:rPr>
        <w:t>27 </w:t>
      </w:r>
      <w:r>
        <w:rPr>
          <w:w w:val="105"/>
          <w:sz w:val="19"/>
        </w:rPr>
        <w:t>En algunos países, cada distrito es representado por un solo legislador (distritos uninominales); en</w:t>
      </w:r>
      <w:r>
        <w:rPr>
          <w:spacing w:val="-6"/>
          <w:w w:val="105"/>
          <w:sz w:val="19"/>
        </w:rPr>
        <w:t> </w:t>
      </w:r>
      <w:r>
        <w:rPr>
          <w:w w:val="105"/>
          <w:sz w:val="19"/>
        </w:rPr>
        <w:t>otros</w:t>
      </w:r>
      <w:r>
        <w:rPr>
          <w:spacing w:val="-12"/>
          <w:w w:val="105"/>
          <w:sz w:val="19"/>
        </w:rPr>
        <w:t> </w:t>
      </w:r>
      <w:r>
        <w:rPr>
          <w:w w:val="105"/>
          <w:sz w:val="19"/>
        </w:rPr>
        <w:t>países,</w:t>
      </w:r>
      <w:r>
        <w:rPr>
          <w:spacing w:val="-14"/>
          <w:w w:val="105"/>
          <w:sz w:val="19"/>
        </w:rPr>
        <w:t> </w:t>
      </w:r>
      <w:r>
        <w:rPr>
          <w:w w:val="105"/>
          <w:sz w:val="19"/>
        </w:rPr>
        <w:t>cada</w:t>
      </w:r>
      <w:r>
        <w:rPr>
          <w:spacing w:val="-8"/>
          <w:w w:val="105"/>
          <w:sz w:val="19"/>
        </w:rPr>
        <w:t> </w:t>
      </w:r>
      <w:r>
        <w:rPr>
          <w:w w:val="105"/>
          <w:sz w:val="19"/>
        </w:rPr>
        <w:t>distrito</w:t>
      </w:r>
      <w:r>
        <w:rPr>
          <w:spacing w:val="-6"/>
          <w:w w:val="105"/>
          <w:sz w:val="19"/>
        </w:rPr>
        <w:t> </w:t>
      </w:r>
      <w:r>
        <w:rPr>
          <w:w w:val="105"/>
          <w:sz w:val="19"/>
        </w:rPr>
        <w:t>es</w:t>
      </w:r>
      <w:r>
        <w:rPr>
          <w:spacing w:val="-8"/>
          <w:w w:val="105"/>
          <w:sz w:val="19"/>
        </w:rPr>
        <w:t> </w:t>
      </w:r>
      <w:r>
        <w:rPr>
          <w:w w:val="105"/>
          <w:sz w:val="19"/>
        </w:rPr>
        <w:t>representado</w:t>
      </w:r>
      <w:r>
        <w:rPr>
          <w:spacing w:val="-6"/>
          <w:w w:val="105"/>
          <w:sz w:val="19"/>
        </w:rPr>
        <w:t> </w:t>
      </w:r>
      <w:r>
        <w:rPr>
          <w:w w:val="105"/>
          <w:sz w:val="19"/>
        </w:rPr>
        <w:t>por</w:t>
      </w:r>
      <w:r>
        <w:rPr>
          <w:spacing w:val="-8"/>
          <w:w w:val="105"/>
          <w:sz w:val="19"/>
        </w:rPr>
        <w:t> </w:t>
      </w:r>
      <w:r>
        <w:rPr>
          <w:w w:val="105"/>
          <w:sz w:val="19"/>
        </w:rPr>
        <w:t>varios</w:t>
      </w:r>
      <w:r>
        <w:rPr>
          <w:spacing w:val="-12"/>
          <w:w w:val="105"/>
          <w:sz w:val="19"/>
        </w:rPr>
        <w:t> </w:t>
      </w:r>
      <w:r>
        <w:rPr>
          <w:w w:val="105"/>
          <w:sz w:val="19"/>
        </w:rPr>
        <w:t>legisladores</w:t>
      </w:r>
      <w:r>
        <w:rPr>
          <w:spacing w:val="-8"/>
          <w:w w:val="105"/>
          <w:sz w:val="19"/>
        </w:rPr>
        <w:t> </w:t>
      </w:r>
      <w:r>
        <w:rPr>
          <w:w w:val="105"/>
          <w:sz w:val="19"/>
        </w:rPr>
        <w:t>(distritos</w:t>
      </w:r>
      <w:r>
        <w:rPr>
          <w:spacing w:val="-8"/>
          <w:w w:val="105"/>
          <w:sz w:val="19"/>
        </w:rPr>
        <w:t> </w:t>
      </w:r>
      <w:r>
        <w:rPr>
          <w:w w:val="105"/>
          <w:sz w:val="19"/>
        </w:rPr>
        <w:t>plurinominales).</w:t>
      </w:r>
      <w:r>
        <w:rPr>
          <w:spacing w:val="-11"/>
          <w:w w:val="105"/>
          <w:sz w:val="19"/>
        </w:rPr>
        <w:t> </w:t>
      </w:r>
      <w:r>
        <w:rPr>
          <w:w w:val="105"/>
          <w:sz w:val="19"/>
        </w:rPr>
        <w:t>En</w:t>
      </w:r>
    </w:p>
    <w:p>
      <w:pPr>
        <w:spacing w:line="244" w:lineRule="auto" w:before="2"/>
        <w:ind w:left="115" w:right="105" w:firstLine="0"/>
        <w:jc w:val="both"/>
        <w:rPr>
          <w:sz w:val="19"/>
        </w:rPr>
      </w:pPr>
      <w:r>
        <w:rPr>
          <w:w w:val="105"/>
          <w:sz w:val="19"/>
        </w:rPr>
        <w:t>los distritos de un solo miembro, el asiento, la </w:t>
      </w:r>
      <w:r>
        <w:rPr>
          <w:spacing w:val="-3"/>
          <w:w w:val="105"/>
          <w:sz w:val="19"/>
        </w:rPr>
        <w:t>banca </w:t>
      </w:r>
      <w:r>
        <w:rPr>
          <w:w w:val="105"/>
          <w:sz w:val="19"/>
        </w:rPr>
        <w:t>o la curul </w:t>
      </w:r>
      <w:r>
        <w:rPr>
          <w:spacing w:val="-4"/>
          <w:w w:val="105"/>
          <w:sz w:val="19"/>
        </w:rPr>
        <w:t>se </w:t>
      </w:r>
      <w:r>
        <w:rPr>
          <w:w w:val="105"/>
          <w:sz w:val="19"/>
        </w:rPr>
        <w:t>asigna al candidato que </w:t>
      </w:r>
      <w:r>
        <w:rPr>
          <w:spacing w:val="-3"/>
          <w:w w:val="105"/>
          <w:sz w:val="19"/>
        </w:rPr>
        <w:t>tuvo </w:t>
      </w:r>
      <w:r>
        <w:rPr>
          <w:w w:val="105"/>
          <w:sz w:val="19"/>
        </w:rPr>
        <w:t>mayor número </w:t>
      </w:r>
      <w:r>
        <w:rPr>
          <w:spacing w:val="-3"/>
          <w:w w:val="105"/>
          <w:sz w:val="19"/>
        </w:rPr>
        <w:t>de </w:t>
      </w:r>
      <w:r>
        <w:rPr>
          <w:w w:val="105"/>
          <w:sz w:val="19"/>
        </w:rPr>
        <w:t>votos (o </w:t>
      </w:r>
      <w:r>
        <w:rPr>
          <w:spacing w:val="-3"/>
          <w:w w:val="105"/>
          <w:sz w:val="19"/>
        </w:rPr>
        <w:t>en </w:t>
      </w:r>
      <w:r>
        <w:rPr>
          <w:w w:val="105"/>
          <w:sz w:val="19"/>
        </w:rPr>
        <w:t>la primera votación o después de una segunda vuelta electoral). </w:t>
      </w:r>
      <w:r>
        <w:rPr>
          <w:spacing w:val="-3"/>
          <w:w w:val="105"/>
          <w:sz w:val="19"/>
        </w:rPr>
        <w:t>En </w:t>
      </w:r>
      <w:r>
        <w:rPr>
          <w:w w:val="105"/>
          <w:sz w:val="19"/>
        </w:rPr>
        <w:t>el caso de los distritos de múltiples miembros, los candidatos generalmente forman parte </w:t>
      </w:r>
      <w:r>
        <w:rPr>
          <w:spacing w:val="-3"/>
          <w:w w:val="105"/>
          <w:sz w:val="19"/>
        </w:rPr>
        <w:t>de </w:t>
      </w:r>
      <w:r>
        <w:rPr>
          <w:w w:val="105"/>
          <w:sz w:val="19"/>
        </w:rPr>
        <w:t>una </w:t>
      </w:r>
      <w:r>
        <w:rPr>
          <w:spacing w:val="-3"/>
          <w:w w:val="105"/>
          <w:sz w:val="19"/>
        </w:rPr>
        <w:t>lista</w:t>
      </w:r>
      <w:r>
        <w:rPr>
          <w:spacing w:val="-6"/>
          <w:w w:val="105"/>
          <w:sz w:val="19"/>
        </w:rPr>
        <w:t> </w:t>
      </w:r>
      <w:r>
        <w:rPr>
          <w:w w:val="105"/>
          <w:sz w:val="19"/>
        </w:rPr>
        <w:t>del</w:t>
      </w:r>
      <w:r>
        <w:rPr>
          <w:spacing w:val="-8"/>
          <w:w w:val="105"/>
          <w:sz w:val="19"/>
        </w:rPr>
        <w:t> </w:t>
      </w:r>
      <w:r>
        <w:rPr>
          <w:w w:val="105"/>
          <w:sz w:val="19"/>
        </w:rPr>
        <w:t>partido</w:t>
      </w:r>
      <w:r>
        <w:rPr>
          <w:spacing w:val="-6"/>
          <w:w w:val="105"/>
          <w:sz w:val="19"/>
        </w:rPr>
        <w:t> </w:t>
      </w:r>
      <w:r>
        <w:rPr>
          <w:w w:val="105"/>
          <w:sz w:val="19"/>
        </w:rPr>
        <w:t>y</w:t>
      </w:r>
      <w:r>
        <w:rPr>
          <w:spacing w:val="-14"/>
          <w:w w:val="105"/>
          <w:sz w:val="19"/>
        </w:rPr>
        <w:t> </w:t>
      </w:r>
      <w:r>
        <w:rPr>
          <w:w w:val="105"/>
          <w:sz w:val="19"/>
        </w:rPr>
        <w:t>las</w:t>
      </w:r>
      <w:r>
        <w:rPr>
          <w:spacing w:val="-14"/>
          <w:w w:val="105"/>
          <w:sz w:val="19"/>
        </w:rPr>
        <w:t> </w:t>
      </w:r>
      <w:r>
        <w:rPr>
          <w:w w:val="105"/>
          <w:sz w:val="19"/>
        </w:rPr>
        <w:t>bancas</w:t>
      </w:r>
      <w:r>
        <w:rPr>
          <w:spacing w:val="-10"/>
          <w:w w:val="105"/>
          <w:sz w:val="19"/>
        </w:rPr>
        <w:t> </w:t>
      </w:r>
      <w:r>
        <w:rPr>
          <w:w w:val="105"/>
          <w:sz w:val="19"/>
        </w:rPr>
        <w:t>o</w:t>
      </w:r>
      <w:r>
        <w:rPr>
          <w:spacing w:val="-10"/>
          <w:w w:val="105"/>
          <w:sz w:val="19"/>
        </w:rPr>
        <w:t> </w:t>
      </w:r>
      <w:r>
        <w:rPr>
          <w:w w:val="105"/>
          <w:sz w:val="19"/>
        </w:rPr>
        <w:t>curules</w:t>
      </w:r>
      <w:r>
        <w:rPr>
          <w:spacing w:val="-10"/>
          <w:w w:val="105"/>
          <w:sz w:val="19"/>
        </w:rPr>
        <w:t> </w:t>
      </w:r>
      <w:r>
        <w:rPr>
          <w:w w:val="105"/>
          <w:sz w:val="19"/>
        </w:rPr>
        <w:t>son</w:t>
      </w:r>
      <w:r>
        <w:rPr>
          <w:spacing w:val="-10"/>
          <w:w w:val="105"/>
          <w:sz w:val="19"/>
        </w:rPr>
        <w:t> </w:t>
      </w:r>
      <w:r>
        <w:rPr>
          <w:w w:val="105"/>
          <w:sz w:val="19"/>
        </w:rPr>
        <w:t>asignadas</w:t>
      </w:r>
      <w:r>
        <w:rPr>
          <w:spacing w:val="-14"/>
          <w:w w:val="105"/>
          <w:sz w:val="19"/>
        </w:rPr>
        <w:t> </w:t>
      </w:r>
      <w:r>
        <w:rPr>
          <w:w w:val="105"/>
          <w:sz w:val="19"/>
        </w:rPr>
        <w:t>de</w:t>
      </w:r>
      <w:r>
        <w:rPr>
          <w:spacing w:val="-6"/>
          <w:w w:val="105"/>
          <w:sz w:val="19"/>
        </w:rPr>
        <w:t> </w:t>
      </w:r>
      <w:r>
        <w:rPr>
          <w:w w:val="105"/>
          <w:sz w:val="19"/>
        </w:rPr>
        <w:t>acuerdo</w:t>
      </w:r>
      <w:r>
        <w:rPr>
          <w:spacing w:val="-10"/>
          <w:w w:val="105"/>
          <w:sz w:val="19"/>
        </w:rPr>
        <w:t> </w:t>
      </w:r>
      <w:r>
        <w:rPr>
          <w:w w:val="105"/>
          <w:sz w:val="19"/>
        </w:rPr>
        <w:t>con</w:t>
      </w:r>
      <w:r>
        <w:rPr>
          <w:spacing w:val="-10"/>
          <w:w w:val="105"/>
          <w:sz w:val="19"/>
        </w:rPr>
        <w:t> </w:t>
      </w:r>
      <w:r>
        <w:rPr>
          <w:spacing w:val="2"/>
          <w:w w:val="105"/>
          <w:sz w:val="19"/>
        </w:rPr>
        <w:t>la</w:t>
      </w:r>
      <w:r>
        <w:rPr>
          <w:spacing w:val="-10"/>
          <w:w w:val="105"/>
          <w:sz w:val="19"/>
        </w:rPr>
        <w:t> </w:t>
      </w:r>
      <w:r>
        <w:rPr>
          <w:w w:val="105"/>
          <w:sz w:val="19"/>
        </w:rPr>
        <w:t>fórmula</w:t>
      </w:r>
      <w:r>
        <w:rPr>
          <w:spacing w:val="-10"/>
          <w:w w:val="105"/>
          <w:sz w:val="19"/>
        </w:rPr>
        <w:t> </w:t>
      </w:r>
      <w:r>
        <w:rPr>
          <w:w w:val="105"/>
          <w:sz w:val="19"/>
        </w:rPr>
        <w:t>que</w:t>
      </w:r>
      <w:r>
        <w:rPr>
          <w:spacing w:val="-6"/>
          <w:w w:val="105"/>
          <w:sz w:val="19"/>
        </w:rPr>
        <w:t> </w:t>
      </w:r>
      <w:r>
        <w:rPr>
          <w:w w:val="105"/>
          <w:sz w:val="19"/>
        </w:rPr>
        <w:t>se</w:t>
      </w:r>
      <w:r>
        <w:rPr>
          <w:spacing w:val="-10"/>
          <w:w w:val="105"/>
          <w:sz w:val="19"/>
        </w:rPr>
        <w:t> </w:t>
      </w:r>
      <w:r>
        <w:rPr>
          <w:w w:val="105"/>
          <w:sz w:val="19"/>
        </w:rPr>
        <w:t>utiliza</w:t>
      </w:r>
      <w:r>
        <w:rPr>
          <w:spacing w:val="-10"/>
          <w:w w:val="105"/>
          <w:sz w:val="19"/>
        </w:rPr>
        <w:t> </w:t>
      </w:r>
      <w:r>
        <w:rPr>
          <w:w w:val="105"/>
          <w:sz w:val="19"/>
        </w:rPr>
        <w:t>para relacionar el porcentaje de votos que los candidatos, o grupos de candidatos, recibieron en la elección</w:t>
      </w:r>
      <w:r>
        <w:rPr>
          <w:spacing w:val="-18"/>
          <w:w w:val="105"/>
          <w:sz w:val="19"/>
        </w:rPr>
        <w:t> </w:t>
      </w:r>
      <w:r>
        <w:rPr>
          <w:w w:val="105"/>
          <w:sz w:val="19"/>
        </w:rPr>
        <w:t>con</w:t>
      </w:r>
      <w:r>
        <w:rPr>
          <w:spacing w:val="-18"/>
          <w:w w:val="105"/>
          <w:sz w:val="19"/>
        </w:rPr>
        <w:t> </w:t>
      </w:r>
      <w:r>
        <w:rPr>
          <w:w w:val="105"/>
          <w:sz w:val="19"/>
        </w:rPr>
        <w:t>el</w:t>
      </w:r>
      <w:r>
        <w:rPr>
          <w:spacing w:val="-18"/>
          <w:w w:val="105"/>
          <w:sz w:val="19"/>
        </w:rPr>
        <w:t> </w:t>
      </w:r>
      <w:r>
        <w:rPr>
          <w:w w:val="105"/>
          <w:sz w:val="19"/>
        </w:rPr>
        <w:t>número</w:t>
      </w:r>
      <w:r>
        <w:rPr>
          <w:spacing w:val="-15"/>
          <w:w w:val="105"/>
          <w:sz w:val="19"/>
        </w:rPr>
        <w:t> </w:t>
      </w:r>
      <w:r>
        <w:rPr>
          <w:w w:val="105"/>
          <w:sz w:val="19"/>
        </w:rPr>
        <w:t>de</w:t>
      </w:r>
      <w:r>
        <w:rPr>
          <w:spacing w:val="-15"/>
          <w:w w:val="105"/>
          <w:sz w:val="19"/>
        </w:rPr>
        <w:t> </w:t>
      </w:r>
      <w:r>
        <w:rPr>
          <w:w w:val="105"/>
          <w:sz w:val="19"/>
        </w:rPr>
        <w:t>curules.</w:t>
      </w:r>
    </w:p>
    <w:p>
      <w:pPr>
        <w:spacing w:after="0" w:line="244" w:lineRule="auto"/>
        <w:jc w:val="both"/>
        <w:rPr>
          <w:sz w:val="19"/>
        </w:rPr>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4" w:firstLine="686"/>
        <w:jc w:val="both"/>
      </w:pPr>
      <w:r>
        <w:rPr/>
        <w:t>Las reglas electorales, particularmente la magnitud del distrito, pueden ser influyentes en determinar </w:t>
      </w:r>
      <w:r>
        <w:rPr>
          <w:spacing w:val="3"/>
        </w:rPr>
        <w:t>si </w:t>
      </w:r>
      <w:r>
        <w:rPr/>
        <w:t>los candidatos </w:t>
      </w:r>
      <w:r>
        <w:rPr>
          <w:spacing w:val="3"/>
        </w:rPr>
        <w:t>se </w:t>
      </w:r>
      <w:r>
        <w:rPr/>
        <w:t>postulan a través de un </w:t>
      </w:r>
      <w:r>
        <w:rPr>
          <w:spacing w:val="-3"/>
        </w:rPr>
        <w:t>partido </w:t>
      </w:r>
      <w:r>
        <w:rPr/>
        <w:t>existente o un nuevo partido (debido al voto estratégico). Efectivamente, el número de partidos efectivos (y jugadores potenciales) es también más alto a medida que   el sistema </w:t>
      </w:r>
      <w:r>
        <w:rPr>
          <w:spacing w:val="5"/>
        </w:rPr>
        <w:t>se </w:t>
      </w:r>
      <w:r>
        <w:rPr/>
        <w:t>vuelve más proporcional. Si </w:t>
      </w:r>
      <w:r>
        <w:rPr>
          <w:spacing w:val="-5"/>
        </w:rPr>
        <w:t>la </w:t>
      </w:r>
      <w:r>
        <w:rPr/>
        <w:t>disciplina de partido es alta, el número de partidos políticos efectivos sustituiría al número de agentes con poder sobre </w:t>
      </w:r>
      <w:r>
        <w:rPr>
          <w:spacing w:val="-5"/>
        </w:rPr>
        <w:t>la </w:t>
      </w:r>
      <w:r>
        <w:rPr/>
        <w:t>toma de decisiones </w:t>
      </w:r>
      <w:r>
        <w:rPr>
          <w:spacing w:val="-3"/>
        </w:rPr>
        <w:t>en </w:t>
      </w:r>
      <w:r>
        <w:rPr>
          <w:spacing w:val="-4"/>
        </w:rPr>
        <w:t>la </w:t>
      </w:r>
      <w:r>
        <w:rPr/>
        <w:t>cámara. La </w:t>
      </w:r>
      <w:r>
        <w:rPr>
          <w:i/>
        </w:rPr>
        <w:t>disciplina </w:t>
      </w:r>
      <w:r>
        <w:rPr>
          <w:i/>
          <w:spacing w:val="3"/>
        </w:rPr>
        <w:t>de </w:t>
      </w:r>
      <w:r>
        <w:rPr>
          <w:i/>
        </w:rPr>
        <w:t>partido </w:t>
      </w:r>
      <w:r>
        <w:rPr/>
        <w:t>también es afectada por  el  sistema  electoral  </w:t>
      </w:r>
      <w:r>
        <w:rPr>
          <w:spacing w:val="-5"/>
        </w:rPr>
        <w:t>ya  </w:t>
      </w:r>
      <w:r>
        <w:rPr/>
        <w:t>que  este  moldea  los  incentivos  de  </w:t>
      </w:r>
      <w:r>
        <w:rPr>
          <w:spacing w:val="-3"/>
        </w:rPr>
        <w:t>aquellos  </w:t>
      </w:r>
      <w:r>
        <w:rPr/>
        <w:t>que</w:t>
      </w:r>
      <w:r>
        <w:rPr>
          <w:spacing w:val="29"/>
        </w:rPr>
        <w:t> </w:t>
      </w:r>
      <w:r>
        <w:rPr/>
        <w:t>deben</w:t>
      </w:r>
    </w:p>
    <w:p>
      <w:pPr>
        <w:pStyle w:val="BodyText"/>
        <w:spacing w:line="355" w:lineRule="auto" w:before="5"/>
        <w:ind w:left="115" w:right="110"/>
        <w:jc w:val="both"/>
      </w:pPr>
      <w:r>
        <w:rPr/>
        <w:t>competir en tener lealtad a los jefes de  partido o a la circunscripción que  </w:t>
      </w:r>
      <w:r>
        <w:rPr>
          <w:spacing w:val="-2"/>
        </w:rPr>
        <w:t>los  </w:t>
      </w:r>
      <w:r>
        <w:rPr/>
        <w:t>elige.</w:t>
      </w:r>
      <w:r>
        <w:rPr>
          <w:position w:val="11"/>
          <w:sz w:val="15"/>
        </w:rPr>
        <w:t>28  </w:t>
      </w:r>
      <w:r>
        <w:rPr/>
        <w:t>Por otro lado, algunas de las acciones </w:t>
      </w:r>
      <w:r>
        <w:rPr>
          <w:spacing w:val="3"/>
        </w:rPr>
        <w:t>de </w:t>
      </w:r>
      <w:r>
        <w:rPr>
          <w:spacing w:val="-3"/>
        </w:rPr>
        <w:t>los </w:t>
      </w:r>
      <w:r>
        <w:rPr/>
        <w:t>legisladores se explican por   su duración esperada. Si no hay reelección, entonces los legisladores sólo </w:t>
      </w:r>
      <w:r>
        <w:rPr>
          <w:spacing w:val="-3"/>
        </w:rPr>
        <w:t>les </w:t>
      </w:r>
      <w:r>
        <w:rPr/>
        <w:t>importará el corto</w:t>
      </w:r>
      <w:r>
        <w:rPr>
          <w:spacing w:val="18"/>
        </w:rPr>
        <w:t> </w:t>
      </w:r>
      <w:r>
        <w:rPr/>
        <w:t>plazo.</w:t>
      </w:r>
    </w:p>
    <w:p>
      <w:pPr>
        <w:pStyle w:val="BodyText"/>
        <w:spacing w:line="367" w:lineRule="auto" w:before="10"/>
        <w:ind w:left="115" w:right="105" w:firstLine="686"/>
        <w:jc w:val="both"/>
      </w:pPr>
      <w:r>
        <w:rPr/>
        <w:t>Una de las características más importantes  relacionadas con la estructura  de las legislaturas </w:t>
      </w:r>
      <w:r>
        <w:rPr>
          <w:spacing w:val="3"/>
        </w:rPr>
        <w:t>es </w:t>
      </w:r>
      <w:r>
        <w:rPr>
          <w:spacing w:val="2"/>
        </w:rPr>
        <w:t>si </w:t>
      </w:r>
      <w:r>
        <w:rPr/>
        <w:t>tienen una sola cámara o </w:t>
      </w:r>
      <w:r>
        <w:rPr>
          <w:spacing w:val="3"/>
        </w:rPr>
        <w:t>si </w:t>
      </w:r>
      <w:r>
        <w:rPr/>
        <w:t>están divididas en dos diferentes. En algunos casos, el bicameralismo podría disminuir la capacidad de respuesta del gobierno ante una crisis, incrementar </w:t>
      </w:r>
      <w:r>
        <w:rPr>
          <w:spacing w:val="-4"/>
        </w:rPr>
        <w:t>la </w:t>
      </w:r>
      <w:r>
        <w:rPr/>
        <w:t>ineficiencia en </w:t>
      </w:r>
      <w:r>
        <w:rPr>
          <w:spacing w:val="-5"/>
        </w:rPr>
        <w:t>la </w:t>
      </w:r>
      <w:r>
        <w:rPr/>
        <w:t>distribución de recursos (ya sea por </w:t>
      </w:r>
      <w:r>
        <w:rPr>
          <w:spacing w:val="-3"/>
        </w:rPr>
        <w:t>la </w:t>
      </w:r>
      <w:r>
        <w:rPr/>
        <w:t>distribución de rentas hacia una circunscripción geográfica o una corporativa) o incrementar excesivamente el costo de tomar una decisión.</w:t>
      </w:r>
    </w:p>
    <w:p>
      <w:pPr>
        <w:pStyle w:val="BodyText"/>
        <w:spacing w:line="364" w:lineRule="auto"/>
        <w:ind w:left="115" w:right="103" w:firstLine="686"/>
        <w:jc w:val="both"/>
      </w:pPr>
      <w:r>
        <w:rPr/>
        <w:t>En otros casos, tener una segunda cámara podría brindar el equilibrio de poderes necesario. Dado que las estrategias de los actores y los resultados de políticas son afectados por la presencia o ausencia de una segunda cámara, el estudio del proceso de formulación de políticas en países con legislaturas bicamerales debe enfocarse no solo en la negociación que se produce en y con cada una de las cámaras por separado, sino también en la interacción entre las cámaras.</w:t>
      </w:r>
    </w:p>
    <w:p>
      <w:pPr>
        <w:pStyle w:val="BodyText"/>
        <w:rPr>
          <w:sz w:val="20"/>
        </w:rPr>
      </w:pPr>
    </w:p>
    <w:p>
      <w:pPr>
        <w:pStyle w:val="BodyText"/>
        <w:rPr>
          <w:sz w:val="20"/>
        </w:rPr>
      </w:pPr>
    </w:p>
    <w:p>
      <w:pPr>
        <w:pStyle w:val="BodyText"/>
        <w:spacing w:before="5"/>
        <w:rPr>
          <w:sz w:val="20"/>
        </w:rPr>
      </w:pPr>
      <w:r>
        <w:rPr/>
        <w:pict>
          <v:line style="position:absolute;mso-position-horizontal-relative:page;mso-position-vertical-relative:paragraph;z-index:1576;mso-wrap-distance-left:0;mso-wrap-distance-right:0" from="82.799004pt,14.090167pt" to="222.958004pt,14.090167pt" stroked="true" strokeweight=".72pt" strokecolor="#000000">
            <w10:wrap type="topAndBottom"/>
          </v:line>
        </w:pict>
      </w:r>
    </w:p>
    <w:p>
      <w:pPr>
        <w:spacing w:line="244" w:lineRule="auto" w:before="46"/>
        <w:ind w:left="115" w:right="100" w:firstLine="0"/>
        <w:jc w:val="both"/>
        <w:rPr>
          <w:sz w:val="19"/>
        </w:rPr>
      </w:pPr>
      <w:r>
        <w:rPr>
          <w:spacing w:val="-4"/>
          <w:w w:val="105"/>
          <w:position w:val="10"/>
          <w:sz w:val="12"/>
        </w:rPr>
        <w:t>28 </w:t>
      </w:r>
      <w:r>
        <w:rPr>
          <w:w w:val="105"/>
          <w:sz w:val="19"/>
        </w:rPr>
        <w:t>Las reglas electorales también juegan un rol en explicar la representación de ideologías y </w:t>
      </w:r>
      <w:r>
        <w:rPr>
          <w:spacing w:val="2"/>
          <w:w w:val="105"/>
          <w:sz w:val="19"/>
        </w:rPr>
        <w:t>el </w:t>
      </w:r>
      <w:r>
        <w:rPr>
          <w:w w:val="105"/>
          <w:sz w:val="19"/>
        </w:rPr>
        <w:t>grado de polarización del sistema político. </w:t>
      </w:r>
      <w:r>
        <w:rPr>
          <w:spacing w:val="-3"/>
          <w:w w:val="105"/>
          <w:sz w:val="19"/>
        </w:rPr>
        <w:t>De </w:t>
      </w:r>
      <w:r>
        <w:rPr>
          <w:w w:val="105"/>
          <w:sz w:val="19"/>
        </w:rPr>
        <w:t>esta manera, afectan a las preferencias </w:t>
      </w:r>
      <w:r>
        <w:rPr>
          <w:spacing w:val="-3"/>
          <w:w w:val="105"/>
          <w:sz w:val="19"/>
        </w:rPr>
        <w:t>de </w:t>
      </w:r>
      <w:r>
        <w:rPr>
          <w:w w:val="105"/>
          <w:sz w:val="19"/>
        </w:rPr>
        <w:t>los legisladores.</w:t>
      </w:r>
      <w:r>
        <w:rPr>
          <w:spacing w:val="-19"/>
          <w:w w:val="105"/>
          <w:sz w:val="19"/>
        </w:rPr>
        <w:t> </w:t>
      </w:r>
      <w:r>
        <w:rPr>
          <w:w w:val="105"/>
          <w:sz w:val="19"/>
        </w:rPr>
        <w:t>El</w:t>
      </w:r>
      <w:r>
        <w:rPr>
          <w:spacing w:val="-15"/>
          <w:w w:val="105"/>
          <w:sz w:val="19"/>
        </w:rPr>
        <w:t> </w:t>
      </w:r>
      <w:r>
        <w:rPr>
          <w:w w:val="105"/>
          <w:sz w:val="19"/>
        </w:rPr>
        <w:t>sistema</w:t>
      </w:r>
      <w:r>
        <w:rPr>
          <w:spacing w:val="-21"/>
          <w:w w:val="105"/>
          <w:sz w:val="19"/>
        </w:rPr>
        <w:t> </w:t>
      </w:r>
      <w:r>
        <w:rPr>
          <w:w w:val="105"/>
          <w:sz w:val="19"/>
        </w:rPr>
        <w:t>electoral</w:t>
      </w:r>
      <w:r>
        <w:rPr>
          <w:spacing w:val="-19"/>
          <w:w w:val="105"/>
          <w:sz w:val="19"/>
        </w:rPr>
        <w:t> </w:t>
      </w:r>
      <w:r>
        <w:rPr>
          <w:w w:val="105"/>
          <w:sz w:val="19"/>
        </w:rPr>
        <w:t>puede</w:t>
      </w:r>
      <w:r>
        <w:rPr>
          <w:spacing w:val="-15"/>
          <w:w w:val="105"/>
          <w:sz w:val="19"/>
        </w:rPr>
        <w:t> </w:t>
      </w:r>
      <w:r>
        <w:rPr>
          <w:spacing w:val="-3"/>
          <w:w w:val="105"/>
          <w:sz w:val="19"/>
        </w:rPr>
        <w:t>influir</w:t>
      </w:r>
      <w:r>
        <w:rPr>
          <w:spacing w:val="-15"/>
          <w:w w:val="105"/>
          <w:sz w:val="19"/>
        </w:rPr>
        <w:t> </w:t>
      </w:r>
      <w:r>
        <w:rPr>
          <w:w w:val="105"/>
          <w:sz w:val="19"/>
        </w:rPr>
        <w:t>en</w:t>
      </w:r>
      <w:r>
        <w:rPr>
          <w:spacing w:val="-15"/>
          <w:w w:val="105"/>
          <w:sz w:val="19"/>
        </w:rPr>
        <w:t> </w:t>
      </w:r>
      <w:r>
        <w:rPr>
          <w:i/>
          <w:w w:val="105"/>
          <w:sz w:val="19"/>
        </w:rPr>
        <w:t>la</w:t>
      </w:r>
      <w:r>
        <w:rPr>
          <w:i/>
          <w:spacing w:val="-14"/>
          <w:w w:val="105"/>
          <w:sz w:val="19"/>
        </w:rPr>
        <w:t> </w:t>
      </w:r>
      <w:r>
        <w:rPr>
          <w:i/>
          <w:w w:val="105"/>
          <w:sz w:val="19"/>
        </w:rPr>
        <w:t>representación</w:t>
      </w:r>
      <w:r>
        <w:rPr>
          <w:i/>
          <w:spacing w:val="-18"/>
          <w:w w:val="105"/>
          <w:sz w:val="19"/>
        </w:rPr>
        <w:t> </w:t>
      </w:r>
      <w:r>
        <w:rPr>
          <w:spacing w:val="2"/>
          <w:w w:val="105"/>
          <w:sz w:val="19"/>
        </w:rPr>
        <w:t>de</w:t>
      </w:r>
      <w:r>
        <w:rPr>
          <w:spacing w:val="-15"/>
          <w:w w:val="105"/>
          <w:sz w:val="19"/>
        </w:rPr>
        <w:t> </w:t>
      </w:r>
      <w:r>
        <w:rPr>
          <w:w w:val="105"/>
          <w:sz w:val="19"/>
        </w:rPr>
        <w:t>ideologías,</w:t>
      </w:r>
      <w:r>
        <w:rPr>
          <w:spacing w:val="-23"/>
          <w:w w:val="105"/>
          <w:sz w:val="19"/>
        </w:rPr>
        <w:t> </w:t>
      </w:r>
      <w:r>
        <w:rPr>
          <w:w w:val="105"/>
          <w:sz w:val="19"/>
        </w:rPr>
        <w:t>la</w:t>
      </w:r>
      <w:r>
        <w:rPr>
          <w:spacing w:val="-18"/>
          <w:w w:val="105"/>
          <w:sz w:val="19"/>
        </w:rPr>
        <w:t> </w:t>
      </w:r>
      <w:r>
        <w:rPr>
          <w:w w:val="105"/>
          <w:sz w:val="19"/>
        </w:rPr>
        <w:t>representación de minorías y la representación de intereses locales (</w:t>
      </w:r>
      <w:r>
        <w:rPr>
          <w:i/>
          <w:w w:val="105"/>
          <w:sz w:val="19"/>
        </w:rPr>
        <w:t>localismo), </w:t>
      </w:r>
      <w:r>
        <w:rPr>
          <w:w w:val="105"/>
          <w:sz w:val="19"/>
        </w:rPr>
        <w:t>y los políticos pueden competir exitosamente</w:t>
      </w:r>
      <w:r>
        <w:rPr>
          <w:spacing w:val="-7"/>
          <w:w w:val="105"/>
          <w:sz w:val="19"/>
        </w:rPr>
        <w:t> </w:t>
      </w:r>
      <w:r>
        <w:rPr>
          <w:w w:val="105"/>
          <w:sz w:val="19"/>
        </w:rPr>
        <w:t>a</w:t>
      </w:r>
      <w:r>
        <w:rPr>
          <w:spacing w:val="-15"/>
          <w:w w:val="105"/>
          <w:sz w:val="19"/>
        </w:rPr>
        <w:t> </w:t>
      </w:r>
      <w:r>
        <w:rPr>
          <w:w w:val="105"/>
          <w:sz w:val="19"/>
        </w:rPr>
        <w:t>nivel</w:t>
      </w:r>
      <w:r>
        <w:rPr>
          <w:spacing w:val="-7"/>
          <w:w w:val="105"/>
          <w:sz w:val="19"/>
        </w:rPr>
        <w:t> </w:t>
      </w:r>
      <w:r>
        <w:rPr>
          <w:w w:val="105"/>
          <w:sz w:val="19"/>
        </w:rPr>
        <w:t>local</w:t>
      </w:r>
      <w:r>
        <w:rPr>
          <w:spacing w:val="-11"/>
          <w:w w:val="105"/>
          <w:sz w:val="19"/>
        </w:rPr>
        <w:t> </w:t>
      </w:r>
      <w:r>
        <w:rPr>
          <w:w w:val="105"/>
          <w:sz w:val="19"/>
        </w:rPr>
        <w:t>o</w:t>
      </w:r>
      <w:r>
        <w:rPr>
          <w:spacing w:val="-7"/>
          <w:w w:val="105"/>
          <w:sz w:val="19"/>
        </w:rPr>
        <w:t> </w:t>
      </w:r>
      <w:r>
        <w:rPr>
          <w:w w:val="105"/>
          <w:sz w:val="19"/>
        </w:rPr>
        <w:t>nacional</w:t>
      </w:r>
      <w:r>
        <w:rPr>
          <w:spacing w:val="-11"/>
          <w:w w:val="105"/>
          <w:sz w:val="19"/>
        </w:rPr>
        <w:t> </w:t>
      </w:r>
      <w:r>
        <w:rPr>
          <w:w w:val="105"/>
          <w:sz w:val="19"/>
        </w:rPr>
        <w:t>(Grofman</w:t>
      </w:r>
      <w:r>
        <w:rPr>
          <w:spacing w:val="-7"/>
          <w:w w:val="105"/>
          <w:sz w:val="19"/>
        </w:rPr>
        <w:t> </w:t>
      </w:r>
      <w:r>
        <w:rPr>
          <w:w w:val="105"/>
          <w:sz w:val="19"/>
        </w:rPr>
        <w:t>y</w:t>
      </w:r>
      <w:r>
        <w:rPr>
          <w:spacing w:val="-18"/>
          <w:w w:val="105"/>
          <w:sz w:val="19"/>
        </w:rPr>
        <w:t> </w:t>
      </w:r>
      <w:r>
        <w:rPr>
          <w:w w:val="105"/>
          <w:sz w:val="19"/>
        </w:rPr>
        <w:t>Reynolds,</w:t>
      </w:r>
      <w:r>
        <w:rPr>
          <w:spacing w:val="-7"/>
          <w:w w:val="105"/>
          <w:sz w:val="19"/>
        </w:rPr>
        <w:t> </w:t>
      </w:r>
      <w:r>
        <w:rPr>
          <w:w w:val="105"/>
          <w:sz w:val="19"/>
        </w:rPr>
        <w:t>2001)</w:t>
      </w:r>
      <w:r>
        <w:rPr>
          <w:spacing w:val="-7"/>
          <w:w w:val="105"/>
          <w:sz w:val="19"/>
        </w:rPr>
        <w:t> </w:t>
      </w:r>
      <w:r>
        <w:rPr>
          <w:w w:val="105"/>
          <w:sz w:val="19"/>
        </w:rPr>
        <w:t>a</w:t>
      </w:r>
      <w:r>
        <w:rPr>
          <w:spacing w:val="-11"/>
          <w:w w:val="105"/>
          <w:sz w:val="19"/>
        </w:rPr>
        <w:t> </w:t>
      </w:r>
      <w:r>
        <w:rPr>
          <w:w w:val="105"/>
          <w:sz w:val="19"/>
        </w:rPr>
        <w:t>través</w:t>
      </w:r>
      <w:r>
        <w:rPr>
          <w:spacing w:val="-15"/>
          <w:w w:val="105"/>
          <w:sz w:val="19"/>
        </w:rPr>
        <w:t> </w:t>
      </w:r>
      <w:r>
        <w:rPr>
          <w:w w:val="105"/>
          <w:sz w:val="19"/>
        </w:rPr>
        <w:t>de</w:t>
      </w:r>
      <w:r>
        <w:rPr>
          <w:spacing w:val="-7"/>
          <w:w w:val="105"/>
          <w:sz w:val="19"/>
        </w:rPr>
        <w:t> </w:t>
      </w:r>
      <w:r>
        <w:rPr>
          <w:spacing w:val="-5"/>
          <w:w w:val="105"/>
          <w:sz w:val="19"/>
        </w:rPr>
        <w:t>su</w:t>
      </w:r>
      <w:r>
        <w:rPr>
          <w:spacing w:val="-7"/>
          <w:w w:val="105"/>
          <w:sz w:val="19"/>
        </w:rPr>
        <w:t> </w:t>
      </w:r>
      <w:r>
        <w:rPr>
          <w:w w:val="105"/>
          <w:sz w:val="19"/>
        </w:rPr>
        <w:t>impacto</w:t>
      </w:r>
      <w:r>
        <w:rPr>
          <w:spacing w:val="-11"/>
          <w:w w:val="105"/>
          <w:sz w:val="19"/>
        </w:rPr>
        <w:t> </w:t>
      </w:r>
      <w:r>
        <w:rPr>
          <w:w w:val="105"/>
          <w:sz w:val="19"/>
        </w:rPr>
        <w:t>sobre</w:t>
      </w:r>
      <w:r>
        <w:rPr>
          <w:spacing w:val="-7"/>
          <w:w w:val="105"/>
          <w:sz w:val="19"/>
        </w:rPr>
        <w:t> </w:t>
      </w:r>
      <w:r>
        <w:rPr>
          <w:w w:val="105"/>
          <w:sz w:val="19"/>
        </w:rPr>
        <w:t>las barreras</w:t>
      </w:r>
      <w:r>
        <w:rPr>
          <w:spacing w:val="-18"/>
          <w:w w:val="105"/>
          <w:sz w:val="19"/>
        </w:rPr>
        <w:t> </w:t>
      </w:r>
      <w:r>
        <w:rPr>
          <w:w w:val="105"/>
          <w:sz w:val="19"/>
        </w:rPr>
        <w:t>de</w:t>
      </w:r>
      <w:r>
        <w:rPr>
          <w:spacing w:val="-18"/>
          <w:w w:val="105"/>
          <w:sz w:val="19"/>
        </w:rPr>
        <w:t> </w:t>
      </w:r>
      <w:r>
        <w:rPr>
          <w:w w:val="105"/>
          <w:sz w:val="19"/>
        </w:rPr>
        <w:t>entrada</w:t>
      </w:r>
      <w:r>
        <w:rPr>
          <w:spacing w:val="-14"/>
          <w:w w:val="105"/>
          <w:sz w:val="19"/>
        </w:rPr>
        <w:t> </w:t>
      </w:r>
      <w:r>
        <w:rPr>
          <w:w w:val="105"/>
          <w:sz w:val="19"/>
        </w:rPr>
        <w:t>y</w:t>
      </w:r>
      <w:r>
        <w:rPr>
          <w:spacing w:val="-23"/>
          <w:w w:val="105"/>
          <w:sz w:val="19"/>
        </w:rPr>
        <w:t> </w:t>
      </w:r>
      <w:r>
        <w:rPr>
          <w:w w:val="105"/>
          <w:sz w:val="19"/>
        </w:rPr>
        <w:t>los</w:t>
      </w:r>
      <w:r>
        <w:rPr>
          <w:spacing w:val="-18"/>
          <w:w w:val="105"/>
          <w:sz w:val="19"/>
        </w:rPr>
        <w:t> </w:t>
      </w:r>
      <w:r>
        <w:rPr>
          <w:w w:val="105"/>
          <w:sz w:val="19"/>
        </w:rPr>
        <w:t>sesgos</w:t>
      </w:r>
      <w:r>
        <w:rPr>
          <w:spacing w:val="-23"/>
          <w:w w:val="105"/>
          <w:sz w:val="19"/>
        </w:rPr>
        <w:t> </w:t>
      </w:r>
      <w:r>
        <w:rPr>
          <w:w w:val="105"/>
          <w:sz w:val="19"/>
        </w:rPr>
        <w:t>de</w:t>
      </w:r>
      <w:r>
        <w:rPr>
          <w:spacing w:val="-14"/>
          <w:w w:val="105"/>
          <w:sz w:val="19"/>
        </w:rPr>
        <w:t> </w:t>
      </w:r>
      <w:r>
        <w:rPr>
          <w:w w:val="105"/>
          <w:sz w:val="19"/>
        </w:rPr>
        <w:t>representación.</w:t>
      </w:r>
    </w:p>
    <w:p>
      <w:pPr>
        <w:spacing w:after="0" w:line="244" w:lineRule="auto"/>
        <w:jc w:val="both"/>
        <w:rPr>
          <w:sz w:val="19"/>
        </w:rPr>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8" w:firstLine="686"/>
        <w:jc w:val="both"/>
      </w:pPr>
      <w:r>
        <w:rPr/>
        <w:t>Dos instituciones relacionadas con </w:t>
      </w:r>
      <w:r>
        <w:rPr>
          <w:spacing w:val="-6"/>
        </w:rPr>
        <w:t>la </w:t>
      </w:r>
      <w:r>
        <w:rPr/>
        <w:t>legislatura determinan las fortalezas o debilidades de cada cámara, su relevancia y la base de su representación. </w:t>
      </w:r>
      <w:r>
        <w:rPr>
          <w:spacing w:val="2"/>
        </w:rPr>
        <w:t>El</w:t>
      </w:r>
      <w:r>
        <w:rPr>
          <w:spacing w:val="67"/>
        </w:rPr>
        <w:t> </w:t>
      </w:r>
      <w:r>
        <w:rPr/>
        <w:t>primer aspecto importante reside en los </w:t>
      </w:r>
      <w:r>
        <w:rPr>
          <w:i/>
        </w:rPr>
        <w:t>poderes constitucionales </w:t>
      </w:r>
      <w:r>
        <w:rPr/>
        <w:t>de cada cámara (como el orden del voto, las reglas para revocar/modificar las decisiones y el papel en los procesos de confirmación/juicio político). Esos poderes determinan el rol de cada cámara en el proceso de formulación de políticas, cuál tiene más  poder y  bajo qué condiciones ambas son jugadores relevantes en la </w:t>
      </w:r>
      <w:r>
        <w:rPr>
          <w:spacing w:val="7"/>
        </w:rPr>
        <w:t> </w:t>
      </w:r>
      <w:r>
        <w:rPr/>
        <w:t>política.</w:t>
      </w:r>
    </w:p>
    <w:p>
      <w:pPr>
        <w:pStyle w:val="BodyText"/>
        <w:spacing w:line="364" w:lineRule="auto" w:before="5"/>
        <w:ind w:left="115" w:right="106" w:firstLine="686"/>
        <w:jc w:val="both"/>
      </w:pPr>
      <w:r>
        <w:rPr/>
        <w:t>En cuanto a </w:t>
      </w:r>
      <w:r>
        <w:rPr>
          <w:spacing w:val="-3"/>
        </w:rPr>
        <w:t>las </w:t>
      </w:r>
      <w:r>
        <w:rPr/>
        <w:t>comisiones legislativas, es preciso tomar en cuenta </w:t>
      </w:r>
      <w:r>
        <w:rPr>
          <w:spacing w:val="-3"/>
        </w:rPr>
        <w:t>que </w:t>
      </w:r>
      <w:r>
        <w:rPr/>
        <w:t>importa </w:t>
      </w:r>
      <w:r>
        <w:rPr>
          <w:spacing w:val="-5"/>
        </w:rPr>
        <w:t>la </w:t>
      </w:r>
      <w:r>
        <w:rPr/>
        <w:t>distribución del poder y los recursos, las  reglas del voto, los poderes  para el establecimiento </w:t>
      </w:r>
      <w:r>
        <w:rPr>
          <w:spacing w:val="2"/>
        </w:rPr>
        <w:t>de </w:t>
      </w:r>
      <w:r>
        <w:rPr>
          <w:spacing w:val="-3"/>
        </w:rPr>
        <w:t>la </w:t>
      </w:r>
      <w:r>
        <w:rPr/>
        <w:t>agenda, las reglas para </w:t>
      </w:r>
      <w:r>
        <w:rPr>
          <w:spacing w:val="-4"/>
        </w:rPr>
        <w:t>la </w:t>
      </w:r>
      <w:r>
        <w:rPr/>
        <w:t>introducción de proyectos de </w:t>
      </w:r>
      <w:r>
        <w:rPr>
          <w:spacing w:val="-3"/>
        </w:rPr>
        <w:t>ley, </w:t>
      </w:r>
      <w:r>
        <w:rPr/>
        <w:t>el orden de </w:t>
      </w:r>
      <w:r>
        <w:rPr>
          <w:spacing w:val="-3"/>
        </w:rPr>
        <w:t>la </w:t>
      </w:r>
      <w:r>
        <w:rPr/>
        <w:t>votación, la presencia o ausencia de votación nominal, </w:t>
      </w:r>
      <w:r>
        <w:rPr>
          <w:spacing w:val="-5"/>
        </w:rPr>
        <w:t>la </w:t>
      </w:r>
      <w:r>
        <w:rPr/>
        <w:t>relevancia de las distintas y la antigüedad de los legisladores para acceder a </w:t>
      </w:r>
      <w:r>
        <w:rPr>
          <w:spacing w:val="-2"/>
        </w:rPr>
        <w:t>las </w:t>
      </w:r>
      <w:r>
        <w:rPr/>
        <w:t>mismas. También es necesario considerar cómo afecta el número real de  </w:t>
      </w:r>
      <w:r>
        <w:rPr>
          <w:spacing w:val="56"/>
        </w:rPr>
        <w:t> </w:t>
      </w:r>
      <w:r>
        <w:rPr/>
        <w:t>agentes</w:t>
      </w:r>
    </w:p>
    <w:p>
      <w:pPr>
        <w:pStyle w:val="BodyText"/>
        <w:spacing w:line="352" w:lineRule="auto" w:before="10"/>
        <w:ind w:left="115" w:right="106"/>
        <w:jc w:val="both"/>
      </w:pPr>
      <w:r>
        <w:rPr/>
        <w:t>que tienen influencia sobre las decisiones políticas, sus incentivos, los escenarios  en los cuales interactúan y </w:t>
      </w:r>
      <w:r>
        <w:rPr>
          <w:spacing w:val="-3"/>
        </w:rPr>
        <w:t>sus </w:t>
      </w:r>
      <w:r>
        <w:rPr/>
        <w:t>tasas  </w:t>
      </w:r>
      <w:r>
        <w:rPr>
          <w:spacing w:val="-3"/>
        </w:rPr>
        <w:t>de  </w:t>
      </w:r>
      <w:r>
        <w:rPr/>
        <w:t>descuento</w:t>
      </w:r>
      <w:r>
        <w:rPr>
          <w:position w:val="11"/>
          <w:sz w:val="15"/>
        </w:rPr>
        <w:t>29  </w:t>
      </w:r>
      <w:r>
        <w:rPr/>
        <w:t>(Carey, 2006; Cox, 2006).  Por tanto, es fundamental entender el poder de establecer la agenda para comprender cabalmente el funcionamiento micro de las </w:t>
      </w:r>
      <w:r>
        <w:rPr>
          <w:spacing w:val="3"/>
        </w:rPr>
        <w:t> </w:t>
      </w:r>
      <w:r>
        <w:rPr/>
        <w:t>legislaturas.</w:t>
      </w:r>
    </w:p>
    <w:p>
      <w:pPr>
        <w:pStyle w:val="BodyText"/>
        <w:spacing w:line="364" w:lineRule="auto" w:before="22"/>
        <w:ind w:left="115" w:right="104" w:firstLine="686"/>
        <w:jc w:val="both"/>
      </w:pPr>
      <w:r>
        <w:rPr/>
        <w:pict>
          <v:line style="position:absolute;mso-position-horizontal-relative:page;mso-position-vertical-relative:paragraph;z-index:1600;mso-wrap-distance-left:0;mso-wrap-distance-right:0" from="82.799004pt,205.210861pt" to="222.958004pt,205.210861pt" stroked="true" strokeweight=".72pt" strokecolor="#000000">
            <w10:wrap type="topAndBottom"/>
          </v:line>
        </w:pict>
      </w:r>
      <w:r>
        <w:rPr/>
        <w:t>Otro aspecto para </w:t>
      </w:r>
      <w:r>
        <w:rPr>
          <w:spacing w:val="-3"/>
        </w:rPr>
        <w:t>analizar </w:t>
      </w:r>
      <w:r>
        <w:rPr/>
        <w:t>es el </w:t>
      </w:r>
      <w:r>
        <w:rPr>
          <w:i/>
        </w:rPr>
        <w:t>rol de las comisiones</w:t>
      </w:r>
      <w:r>
        <w:rPr/>
        <w:t>. El poder de </w:t>
      </w:r>
      <w:r>
        <w:rPr>
          <w:spacing w:val="-4"/>
        </w:rPr>
        <w:t>la  </w:t>
      </w:r>
      <w:r>
        <w:rPr/>
        <w:t>comisión depende de las reglas que gobiernen la secuencia de presentación y modificación de las propuestas </w:t>
      </w:r>
      <w:r>
        <w:rPr>
          <w:spacing w:val="-4"/>
        </w:rPr>
        <w:t>y, </w:t>
      </w:r>
      <w:r>
        <w:rPr/>
        <w:t>en algunos casos, </w:t>
      </w:r>
      <w:r>
        <w:rPr>
          <w:spacing w:val="-3"/>
        </w:rPr>
        <w:t>del </w:t>
      </w:r>
      <w:r>
        <w:rPr/>
        <w:t>veto de los proyectos de  ley. En </w:t>
      </w:r>
      <w:r>
        <w:rPr>
          <w:spacing w:val="-5"/>
        </w:rPr>
        <w:t>la </w:t>
      </w:r>
      <w:r>
        <w:rPr/>
        <w:t>mayoría </w:t>
      </w:r>
      <w:r>
        <w:rPr>
          <w:spacing w:val="3"/>
        </w:rPr>
        <w:t>de </w:t>
      </w:r>
      <w:r>
        <w:rPr/>
        <w:t>los países, </w:t>
      </w:r>
      <w:r>
        <w:rPr>
          <w:spacing w:val="-3"/>
        </w:rPr>
        <w:t>las </w:t>
      </w:r>
      <w:r>
        <w:rPr/>
        <w:t>comisiones no son solo depositarios de experiencia en política, sino también guardianes y </w:t>
      </w:r>
      <w:r>
        <w:rPr>
          <w:spacing w:val="2"/>
        </w:rPr>
        <w:t>el </w:t>
      </w:r>
      <w:r>
        <w:rPr/>
        <w:t>punto de origen de </w:t>
      </w:r>
      <w:r>
        <w:rPr>
          <w:spacing w:val="-2"/>
        </w:rPr>
        <w:t>las  </w:t>
      </w:r>
      <w:r>
        <w:rPr/>
        <w:t>políticas en sus respectivos ámbitos, </w:t>
      </w:r>
      <w:r>
        <w:rPr>
          <w:spacing w:val="-5"/>
        </w:rPr>
        <w:t>lo </w:t>
      </w:r>
      <w:r>
        <w:rPr>
          <w:spacing w:val="2"/>
        </w:rPr>
        <w:t>cual </w:t>
      </w:r>
      <w:r>
        <w:rPr/>
        <w:t>les da un desproporcionado control sobre la agenda. En aquellos casos </w:t>
      </w:r>
      <w:r>
        <w:rPr>
          <w:spacing w:val="-3"/>
        </w:rPr>
        <w:t>en </w:t>
      </w:r>
      <w:r>
        <w:rPr/>
        <w:t>que las comisiones son importantes para </w:t>
      </w:r>
      <w:r>
        <w:rPr>
          <w:spacing w:val="-4"/>
        </w:rPr>
        <w:t>la </w:t>
      </w:r>
      <w:r>
        <w:rPr/>
        <w:t>formulación </w:t>
      </w:r>
      <w:r>
        <w:rPr>
          <w:spacing w:val="3"/>
        </w:rPr>
        <w:t>de </w:t>
      </w:r>
      <w:r>
        <w:rPr/>
        <w:t>políticas legislativas, si los líderes de partido retienen el control de las nominaciones de la comisión, podrían utilizar aquellas nominaciones para asegurar un grado más alto en la disciplina del partido (Cox y McCubbins, </w:t>
      </w:r>
      <w:r>
        <w:rPr>
          <w:spacing w:val="23"/>
        </w:rPr>
        <w:t> </w:t>
      </w:r>
      <w:r>
        <w:rPr/>
        <w:t>1994).</w:t>
      </w:r>
    </w:p>
    <w:p>
      <w:pPr>
        <w:spacing w:line="247" w:lineRule="auto" w:before="41"/>
        <w:ind w:left="115" w:right="102" w:firstLine="0"/>
        <w:jc w:val="both"/>
        <w:rPr>
          <w:sz w:val="19"/>
        </w:rPr>
      </w:pPr>
      <w:r>
        <w:rPr>
          <w:spacing w:val="-3"/>
          <w:w w:val="105"/>
          <w:position w:val="11"/>
          <w:sz w:val="15"/>
        </w:rPr>
        <w:t>29 </w:t>
      </w:r>
      <w:r>
        <w:rPr>
          <w:w w:val="105"/>
          <w:sz w:val="19"/>
        </w:rPr>
        <w:t>Un aspecto importante de la organización legislativa lo constituyen las normas que guían </w:t>
      </w:r>
      <w:r>
        <w:rPr>
          <w:spacing w:val="2"/>
          <w:w w:val="105"/>
          <w:sz w:val="19"/>
        </w:rPr>
        <w:t>el </w:t>
      </w:r>
      <w:r>
        <w:rPr>
          <w:w w:val="105"/>
          <w:sz w:val="19"/>
        </w:rPr>
        <w:t>proceso y la estructura </w:t>
      </w:r>
      <w:r>
        <w:rPr>
          <w:spacing w:val="-4"/>
          <w:w w:val="105"/>
          <w:sz w:val="19"/>
        </w:rPr>
        <w:t>de </w:t>
      </w:r>
      <w:r>
        <w:rPr>
          <w:w w:val="105"/>
          <w:sz w:val="19"/>
        </w:rPr>
        <w:t>la legislación. El </w:t>
      </w:r>
      <w:r>
        <w:rPr>
          <w:i/>
          <w:w w:val="105"/>
          <w:sz w:val="19"/>
        </w:rPr>
        <w:t>poder de establecer </w:t>
      </w:r>
      <w:r>
        <w:rPr>
          <w:i/>
          <w:spacing w:val="-5"/>
          <w:w w:val="105"/>
          <w:sz w:val="19"/>
        </w:rPr>
        <w:t>la </w:t>
      </w:r>
      <w:r>
        <w:rPr>
          <w:i/>
          <w:w w:val="105"/>
          <w:sz w:val="19"/>
        </w:rPr>
        <w:t>agenda </w:t>
      </w:r>
      <w:r>
        <w:rPr>
          <w:w w:val="105"/>
          <w:sz w:val="19"/>
        </w:rPr>
        <w:t>se refiere a cualquier habilidad especial otorgada a los legisladores que les permita dirimir cuáles proyectos de ley </w:t>
      </w:r>
      <w:r>
        <w:rPr>
          <w:spacing w:val="-3"/>
          <w:w w:val="105"/>
          <w:sz w:val="19"/>
        </w:rPr>
        <w:t>se </w:t>
      </w:r>
      <w:r>
        <w:rPr>
          <w:w w:val="105"/>
          <w:sz w:val="19"/>
        </w:rPr>
        <w:t>tendrán</w:t>
      </w:r>
      <w:r>
        <w:rPr>
          <w:spacing w:val="-15"/>
          <w:w w:val="105"/>
          <w:sz w:val="19"/>
        </w:rPr>
        <w:t> </w:t>
      </w:r>
      <w:r>
        <w:rPr>
          <w:spacing w:val="2"/>
          <w:w w:val="105"/>
          <w:sz w:val="19"/>
        </w:rPr>
        <w:t>en</w:t>
      </w:r>
      <w:r>
        <w:rPr>
          <w:spacing w:val="-19"/>
          <w:w w:val="105"/>
          <w:sz w:val="19"/>
        </w:rPr>
        <w:t> </w:t>
      </w:r>
      <w:r>
        <w:rPr>
          <w:w w:val="105"/>
          <w:sz w:val="19"/>
        </w:rPr>
        <w:t>cuenta</w:t>
      </w:r>
      <w:r>
        <w:rPr>
          <w:spacing w:val="-12"/>
          <w:w w:val="105"/>
          <w:sz w:val="19"/>
        </w:rPr>
        <w:t> </w:t>
      </w:r>
      <w:r>
        <w:rPr>
          <w:w w:val="105"/>
          <w:sz w:val="19"/>
        </w:rPr>
        <w:t>y</w:t>
      </w:r>
      <w:r>
        <w:rPr>
          <w:spacing w:val="-18"/>
          <w:w w:val="105"/>
          <w:sz w:val="19"/>
        </w:rPr>
        <w:t> </w:t>
      </w:r>
      <w:r>
        <w:rPr>
          <w:w w:val="105"/>
          <w:sz w:val="19"/>
        </w:rPr>
        <w:t>bajo</w:t>
      </w:r>
      <w:r>
        <w:rPr>
          <w:spacing w:val="-15"/>
          <w:w w:val="105"/>
          <w:sz w:val="19"/>
        </w:rPr>
        <w:t> </w:t>
      </w:r>
      <w:r>
        <w:rPr>
          <w:w w:val="105"/>
          <w:sz w:val="19"/>
        </w:rPr>
        <w:t>qué</w:t>
      </w:r>
      <w:r>
        <w:rPr>
          <w:spacing w:val="-15"/>
          <w:w w:val="105"/>
          <w:sz w:val="19"/>
        </w:rPr>
        <w:t> </w:t>
      </w:r>
      <w:r>
        <w:rPr>
          <w:w w:val="105"/>
          <w:sz w:val="19"/>
        </w:rPr>
        <w:t>procedimientos.</w:t>
      </w:r>
      <w:r>
        <w:rPr>
          <w:spacing w:val="-17"/>
          <w:w w:val="105"/>
          <w:sz w:val="19"/>
        </w:rPr>
        <w:t> </w:t>
      </w:r>
      <w:r>
        <w:rPr>
          <w:w w:val="105"/>
          <w:sz w:val="19"/>
        </w:rPr>
        <w:t>Debido</w:t>
      </w:r>
      <w:r>
        <w:rPr>
          <w:spacing w:val="-15"/>
          <w:w w:val="105"/>
          <w:sz w:val="19"/>
        </w:rPr>
        <w:t> </w:t>
      </w:r>
      <w:r>
        <w:rPr>
          <w:w w:val="105"/>
          <w:sz w:val="19"/>
        </w:rPr>
        <w:t>a</w:t>
      </w:r>
      <w:r>
        <w:rPr>
          <w:spacing w:val="-15"/>
          <w:w w:val="105"/>
          <w:sz w:val="19"/>
        </w:rPr>
        <w:t> </w:t>
      </w:r>
      <w:r>
        <w:rPr>
          <w:w w:val="105"/>
          <w:sz w:val="19"/>
        </w:rPr>
        <w:t>que</w:t>
      </w:r>
      <w:r>
        <w:rPr>
          <w:spacing w:val="-15"/>
          <w:w w:val="105"/>
          <w:sz w:val="19"/>
        </w:rPr>
        <w:t> </w:t>
      </w:r>
      <w:r>
        <w:rPr>
          <w:w w:val="105"/>
          <w:sz w:val="19"/>
        </w:rPr>
        <w:t>los</w:t>
      </w:r>
      <w:r>
        <w:rPr>
          <w:spacing w:val="-18"/>
          <w:w w:val="105"/>
          <w:sz w:val="19"/>
        </w:rPr>
        <w:t> </w:t>
      </w:r>
      <w:r>
        <w:rPr>
          <w:w w:val="105"/>
          <w:sz w:val="19"/>
        </w:rPr>
        <w:t>derechos</w:t>
      </w:r>
      <w:r>
        <w:rPr>
          <w:spacing w:val="-18"/>
          <w:w w:val="105"/>
          <w:sz w:val="19"/>
        </w:rPr>
        <w:t> </w:t>
      </w:r>
      <w:r>
        <w:rPr>
          <w:w w:val="105"/>
          <w:sz w:val="19"/>
        </w:rPr>
        <w:t>legislativos</w:t>
      </w:r>
      <w:r>
        <w:rPr>
          <w:spacing w:val="-15"/>
          <w:w w:val="105"/>
          <w:sz w:val="19"/>
        </w:rPr>
        <w:t> </w:t>
      </w:r>
      <w:r>
        <w:rPr>
          <w:w w:val="105"/>
          <w:sz w:val="19"/>
        </w:rPr>
        <w:t>y</w:t>
      </w:r>
      <w:r>
        <w:rPr>
          <w:spacing w:val="-15"/>
          <w:w w:val="105"/>
          <w:sz w:val="19"/>
        </w:rPr>
        <w:t> </w:t>
      </w:r>
      <w:r>
        <w:rPr>
          <w:w w:val="105"/>
          <w:sz w:val="19"/>
        </w:rPr>
        <w:t>los</w:t>
      </w:r>
      <w:r>
        <w:rPr>
          <w:spacing w:val="-15"/>
          <w:w w:val="105"/>
          <w:sz w:val="19"/>
        </w:rPr>
        <w:t> </w:t>
      </w:r>
      <w:r>
        <w:rPr>
          <w:w w:val="105"/>
          <w:sz w:val="19"/>
        </w:rPr>
        <w:t>recursos no</w:t>
      </w:r>
      <w:r>
        <w:rPr>
          <w:spacing w:val="-12"/>
          <w:w w:val="105"/>
          <w:sz w:val="19"/>
        </w:rPr>
        <w:t> </w:t>
      </w:r>
      <w:r>
        <w:rPr>
          <w:w w:val="105"/>
          <w:sz w:val="19"/>
        </w:rPr>
        <w:t>son</w:t>
      </w:r>
      <w:r>
        <w:rPr>
          <w:spacing w:val="-15"/>
          <w:w w:val="105"/>
          <w:sz w:val="19"/>
        </w:rPr>
        <w:t> </w:t>
      </w:r>
      <w:r>
        <w:rPr>
          <w:w w:val="105"/>
          <w:sz w:val="19"/>
        </w:rPr>
        <w:t>uniformemente</w:t>
      </w:r>
      <w:r>
        <w:rPr>
          <w:spacing w:val="-15"/>
          <w:w w:val="105"/>
          <w:sz w:val="19"/>
        </w:rPr>
        <w:t> </w:t>
      </w:r>
      <w:r>
        <w:rPr>
          <w:w w:val="105"/>
          <w:sz w:val="19"/>
        </w:rPr>
        <w:t>distribuidos</w:t>
      </w:r>
      <w:r>
        <w:rPr>
          <w:spacing w:val="-18"/>
          <w:w w:val="105"/>
          <w:sz w:val="19"/>
        </w:rPr>
        <w:t> </w:t>
      </w:r>
      <w:r>
        <w:rPr>
          <w:w w:val="105"/>
          <w:sz w:val="19"/>
        </w:rPr>
        <w:t>entre</w:t>
      </w:r>
      <w:r>
        <w:rPr>
          <w:spacing w:val="-15"/>
          <w:w w:val="105"/>
          <w:sz w:val="19"/>
        </w:rPr>
        <w:t> </w:t>
      </w:r>
      <w:r>
        <w:rPr>
          <w:w w:val="105"/>
          <w:sz w:val="19"/>
        </w:rPr>
        <w:t>los</w:t>
      </w:r>
      <w:r>
        <w:rPr>
          <w:spacing w:val="-12"/>
          <w:w w:val="105"/>
          <w:sz w:val="19"/>
        </w:rPr>
        <w:t> </w:t>
      </w:r>
      <w:r>
        <w:rPr>
          <w:w w:val="105"/>
          <w:sz w:val="19"/>
        </w:rPr>
        <w:t>legisladores,</w:t>
      </w:r>
      <w:r>
        <w:rPr>
          <w:spacing w:val="-15"/>
          <w:w w:val="105"/>
          <w:sz w:val="19"/>
        </w:rPr>
        <w:t> </w:t>
      </w:r>
      <w:r>
        <w:rPr>
          <w:spacing w:val="-3"/>
          <w:w w:val="105"/>
          <w:sz w:val="19"/>
        </w:rPr>
        <w:t>el</w:t>
      </w:r>
      <w:r>
        <w:rPr>
          <w:spacing w:val="-9"/>
          <w:w w:val="105"/>
          <w:sz w:val="19"/>
        </w:rPr>
        <w:t> </w:t>
      </w:r>
      <w:r>
        <w:rPr>
          <w:w w:val="105"/>
          <w:sz w:val="19"/>
        </w:rPr>
        <w:t>poder</w:t>
      </w:r>
      <w:r>
        <w:rPr>
          <w:spacing w:val="-15"/>
          <w:w w:val="105"/>
          <w:sz w:val="19"/>
        </w:rPr>
        <w:t> </w:t>
      </w:r>
      <w:r>
        <w:rPr>
          <w:w w:val="105"/>
          <w:sz w:val="19"/>
        </w:rPr>
        <w:t>de</w:t>
      </w:r>
      <w:r>
        <w:rPr>
          <w:spacing w:val="-15"/>
          <w:w w:val="105"/>
          <w:sz w:val="19"/>
        </w:rPr>
        <w:t> </w:t>
      </w:r>
      <w:r>
        <w:rPr>
          <w:w w:val="105"/>
          <w:sz w:val="19"/>
        </w:rPr>
        <w:t>establecer</w:t>
      </w:r>
      <w:r>
        <w:rPr>
          <w:spacing w:val="-15"/>
          <w:w w:val="105"/>
          <w:sz w:val="19"/>
        </w:rPr>
        <w:t> </w:t>
      </w:r>
      <w:r>
        <w:rPr>
          <w:w w:val="105"/>
          <w:sz w:val="19"/>
        </w:rPr>
        <w:t>la</w:t>
      </w:r>
      <w:r>
        <w:rPr>
          <w:spacing w:val="-13"/>
          <w:w w:val="105"/>
          <w:sz w:val="19"/>
        </w:rPr>
        <w:t> </w:t>
      </w:r>
      <w:r>
        <w:rPr>
          <w:w w:val="105"/>
          <w:sz w:val="19"/>
        </w:rPr>
        <w:t>agenda</w:t>
      </w:r>
      <w:r>
        <w:rPr>
          <w:spacing w:val="-15"/>
          <w:w w:val="105"/>
          <w:sz w:val="19"/>
        </w:rPr>
        <w:t> </w:t>
      </w:r>
      <w:r>
        <w:rPr>
          <w:w w:val="105"/>
          <w:sz w:val="19"/>
        </w:rPr>
        <w:t>afecta</w:t>
      </w:r>
      <w:r>
        <w:rPr>
          <w:spacing w:val="-15"/>
          <w:w w:val="105"/>
          <w:sz w:val="19"/>
        </w:rPr>
        <w:t> </w:t>
      </w:r>
      <w:r>
        <w:rPr>
          <w:w w:val="105"/>
          <w:sz w:val="19"/>
        </w:rPr>
        <w:t>a </w:t>
      </w:r>
      <w:r>
        <w:rPr>
          <w:spacing w:val="-3"/>
          <w:w w:val="105"/>
          <w:sz w:val="19"/>
        </w:rPr>
        <w:t>la</w:t>
      </w:r>
      <w:r>
        <w:rPr>
          <w:spacing w:val="-10"/>
          <w:w w:val="105"/>
          <w:sz w:val="19"/>
        </w:rPr>
        <w:t> </w:t>
      </w:r>
      <w:r>
        <w:rPr>
          <w:w w:val="105"/>
          <w:sz w:val="19"/>
        </w:rPr>
        <w:t>estructura</w:t>
      </w:r>
      <w:r>
        <w:rPr>
          <w:spacing w:val="-12"/>
          <w:w w:val="105"/>
          <w:sz w:val="19"/>
        </w:rPr>
        <w:t> </w:t>
      </w:r>
      <w:r>
        <w:rPr>
          <w:w w:val="105"/>
          <w:sz w:val="19"/>
        </w:rPr>
        <w:t>del</w:t>
      </w:r>
      <w:r>
        <w:rPr>
          <w:spacing w:val="-12"/>
          <w:w w:val="105"/>
          <w:sz w:val="19"/>
        </w:rPr>
        <w:t> </w:t>
      </w:r>
      <w:r>
        <w:rPr>
          <w:w w:val="105"/>
          <w:sz w:val="19"/>
        </w:rPr>
        <w:t>proceso</w:t>
      </w:r>
      <w:r>
        <w:rPr>
          <w:spacing w:val="-10"/>
          <w:w w:val="105"/>
          <w:sz w:val="19"/>
        </w:rPr>
        <w:t> </w:t>
      </w:r>
      <w:r>
        <w:rPr>
          <w:w w:val="105"/>
          <w:sz w:val="19"/>
        </w:rPr>
        <w:t>de</w:t>
      </w:r>
      <w:r>
        <w:rPr>
          <w:spacing w:val="-10"/>
          <w:w w:val="105"/>
          <w:sz w:val="19"/>
        </w:rPr>
        <w:t> </w:t>
      </w:r>
      <w:r>
        <w:rPr>
          <w:w w:val="105"/>
          <w:sz w:val="19"/>
        </w:rPr>
        <w:t>formulación</w:t>
      </w:r>
      <w:r>
        <w:rPr>
          <w:spacing w:val="-12"/>
          <w:w w:val="105"/>
          <w:sz w:val="19"/>
        </w:rPr>
        <w:t> </w:t>
      </w:r>
      <w:r>
        <w:rPr>
          <w:w w:val="105"/>
          <w:sz w:val="19"/>
        </w:rPr>
        <w:t>de</w:t>
      </w:r>
      <w:r>
        <w:rPr>
          <w:spacing w:val="-11"/>
          <w:w w:val="105"/>
          <w:sz w:val="19"/>
        </w:rPr>
        <w:t> </w:t>
      </w:r>
      <w:r>
        <w:rPr>
          <w:w w:val="105"/>
          <w:sz w:val="19"/>
        </w:rPr>
        <w:t>políticas</w:t>
      </w:r>
      <w:r>
        <w:rPr>
          <w:spacing w:val="-12"/>
          <w:w w:val="105"/>
          <w:sz w:val="19"/>
        </w:rPr>
        <w:t> </w:t>
      </w:r>
      <w:r>
        <w:rPr>
          <w:w w:val="105"/>
          <w:sz w:val="19"/>
        </w:rPr>
        <w:t>y</w:t>
      </w:r>
      <w:r>
        <w:rPr>
          <w:spacing w:val="-8"/>
          <w:w w:val="105"/>
          <w:sz w:val="19"/>
        </w:rPr>
        <w:t> </w:t>
      </w:r>
      <w:r>
        <w:rPr>
          <w:w w:val="105"/>
          <w:sz w:val="19"/>
        </w:rPr>
        <w:t>al</w:t>
      </w:r>
      <w:r>
        <w:rPr>
          <w:spacing w:val="-12"/>
          <w:w w:val="105"/>
          <w:sz w:val="19"/>
        </w:rPr>
        <w:t> </w:t>
      </w:r>
      <w:r>
        <w:rPr>
          <w:w w:val="105"/>
          <w:sz w:val="19"/>
        </w:rPr>
        <w:t>peso</w:t>
      </w:r>
      <w:r>
        <w:rPr>
          <w:spacing w:val="-12"/>
          <w:w w:val="105"/>
          <w:sz w:val="19"/>
        </w:rPr>
        <w:t> </w:t>
      </w:r>
      <w:r>
        <w:rPr>
          <w:w w:val="105"/>
          <w:sz w:val="19"/>
        </w:rPr>
        <w:t>de</w:t>
      </w:r>
      <w:r>
        <w:rPr>
          <w:spacing w:val="-12"/>
          <w:w w:val="105"/>
          <w:sz w:val="19"/>
        </w:rPr>
        <w:t> </w:t>
      </w:r>
      <w:r>
        <w:rPr>
          <w:w w:val="105"/>
          <w:sz w:val="19"/>
        </w:rPr>
        <w:t>los</w:t>
      </w:r>
      <w:r>
        <w:rPr>
          <w:spacing w:val="-12"/>
          <w:w w:val="105"/>
          <w:sz w:val="19"/>
        </w:rPr>
        <w:t> </w:t>
      </w:r>
      <w:r>
        <w:rPr>
          <w:w w:val="105"/>
          <w:sz w:val="19"/>
        </w:rPr>
        <w:t>legisladores</w:t>
      </w:r>
      <w:r>
        <w:rPr>
          <w:spacing w:val="-16"/>
          <w:w w:val="105"/>
          <w:sz w:val="19"/>
        </w:rPr>
        <w:t> </w:t>
      </w:r>
      <w:r>
        <w:rPr>
          <w:w w:val="105"/>
          <w:sz w:val="19"/>
        </w:rPr>
        <w:t>en</w:t>
      </w:r>
      <w:r>
        <w:rPr>
          <w:spacing w:val="-10"/>
          <w:w w:val="105"/>
          <w:sz w:val="19"/>
        </w:rPr>
        <w:t> </w:t>
      </w:r>
      <w:r>
        <w:rPr>
          <w:w w:val="105"/>
          <w:sz w:val="19"/>
        </w:rPr>
        <w:t>las</w:t>
      </w:r>
      <w:r>
        <w:rPr>
          <w:spacing w:val="-16"/>
          <w:w w:val="105"/>
          <w:sz w:val="19"/>
        </w:rPr>
        <w:t> </w:t>
      </w:r>
      <w:r>
        <w:rPr>
          <w:w w:val="105"/>
          <w:sz w:val="19"/>
        </w:rPr>
        <w:t>decisiones políticas.</w:t>
      </w:r>
    </w:p>
    <w:p>
      <w:pPr>
        <w:spacing w:after="0" w:line="247" w:lineRule="auto"/>
        <w:jc w:val="both"/>
        <w:rPr>
          <w:sz w:val="19"/>
        </w:rPr>
        <w:sectPr>
          <w:pgSz w:w="11910" w:h="16840"/>
          <w:pgMar w:header="0" w:footer="1457" w:top="1580" w:bottom="1640" w:left="1540" w:right="1540"/>
        </w:sectPr>
      </w:pPr>
    </w:p>
    <w:p>
      <w:pPr>
        <w:pStyle w:val="BodyText"/>
        <w:rPr>
          <w:sz w:val="20"/>
        </w:rPr>
      </w:pPr>
    </w:p>
    <w:p>
      <w:pPr>
        <w:pStyle w:val="BodyText"/>
        <w:rPr>
          <w:sz w:val="20"/>
        </w:rPr>
      </w:pPr>
    </w:p>
    <w:p>
      <w:pPr>
        <w:pStyle w:val="BodyText"/>
        <w:rPr>
          <w:sz w:val="20"/>
        </w:rPr>
      </w:pPr>
    </w:p>
    <w:p>
      <w:pPr>
        <w:pStyle w:val="BodyText"/>
        <w:spacing w:before="4"/>
        <w:rPr>
          <w:sz w:val="28"/>
        </w:rPr>
      </w:pPr>
    </w:p>
    <w:p>
      <w:pPr>
        <w:pStyle w:val="Heading3"/>
        <w:numPr>
          <w:ilvl w:val="2"/>
          <w:numId w:val="12"/>
        </w:numPr>
        <w:tabs>
          <w:tab w:pos="697" w:val="left" w:leader="none"/>
        </w:tabs>
        <w:spacing w:line="240" w:lineRule="auto" w:before="74" w:after="0"/>
        <w:ind w:left="696" w:right="0" w:hanging="580"/>
        <w:jc w:val="both"/>
      </w:pPr>
      <w:bookmarkStart w:name="_TOC_250002" w:id="30"/>
      <w:r>
        <w:rPr/>
        <w:t>El desarrollo institucional del congreso </w:t>
      </w:r>
      <w:r>
        <w:rPr>
          <w:spacing w:val="11"/>
        </w:rPr>
        <w:t> </w:t>
      </w:r>
      <w:bookmarkEnd w:id="30"/>
      <w:r>
        <w:rPr/>
        <w:t>mexicano</w:t>
      </w:r>
    </w:p>
    <w:p>
      <w:pPr>
        <w:pStyle w:val="BodyText"/>
        <w:spacing w:line="364" w:lineRule="auto" w:before="138"/>
        <w:ind w:left="115" w:right="107"/>
        <w:jc w:val="both"/>
      </w:pPr>
      <w:r>
        <w:rPr/>
        <w:t>El sistema electoral mixto de México para conformar el Congreso es uno de </w:t>
      </w:r>
      <w:r>
        <w:rPr>
          <w:spacing w:val="-2"/>
        </w:rPr>
        <w:t>los </w:t>
      </w:r>
      <w:r>
        <w:rPr/>
        <w:t>menos proporcionales de su clase y sus características clave datan de 1977 (Molinar Horcasitas y Weldon, 2001). A diferencia del sistema </w:t>
      </w:r>
      <w:r>
        <w:rPr>
          <w:spacing w:val="-3"/>
        </w:rPr>
        <w:t>mixto </w:t>
      </w:r>
      <w:r>
        <w:rPr/>
        <w:t>alemán, </w:t>
      </w:r>
      <w:r>
        <w:rPr>
          <w:spacing w:val="-5"/>
        </w:rPr>
        <w:t>la </w:t>
      </w:r>
      <w:r>
        <w:rPr/>
        <w:t>distribución partidista de curules en el Congreso no sigue un reparto proporcional. Desde 1977 ha habido 300 distritos uninominales, donde se eligen diputados por mayoría relativa, y 100 plurinominales. En 1986, una  reforma  constitucional  duplicó a 200 el número de legisladores de representación proporcional. Desde 1988, </w:t>
      </w:r>
      <w:r>
        <w:rPr>
          <w:spacing w:val="-3"/>
        </w:rPr>
        <w:t>los </w:t>
      </w:r>
      <w:r>
        <w:rPr/>
        <w:t>votantes eligen simultáneamente a sus diputados de distritos  uninominales y de</w:t>
      </w:r>
      <w:r>
        <w:rPr>
          <w:spacing w:val="30"/>
        </w:rPr>
        <w:t> </w:t>
      </w:r>
      <w:r>
        <w:rPr/>
        <w:t>plurinominales.</w:t>
      </w:r>
    </w:p>
    <w:p>
      <w:pPr>
        <w:pStyle w:val="BodyText"/>
        <w:spacing w:line="364" w:lineRule="auto" w:before="5"/>
        <w:ind w:left="115" w:right="105" w:firstLine="686"/>
        <w:jc w:val="both"/>
      </w:pPr>
      <w:r>
        <w:rPr/>
        <w:t>Por su parte, </w:t>
      </w:r>
      <w:r>
        <w:rPr>
          <w:spacing w:val="-5"/>
        </w:rPr>
        <w:t>la </w:t>
      </w:r>
      <w:r>
        <w:rPr/>
        <w:t>Cámara de Senadores originalmente se conformaba de dos legisladores por cada entidad federativa y el periodo de duración era de cuatro  años, con posibilidad de revocación a la mitad del periodo. En 1933 se aumenta el periodo a seis años. En 1986 se estableció la renovación de la mitad </w:t>
      </w:r>
      <w:r>
        <w:rPr>
          <w:spacing w:val="2"/>
        </w:rPr>
        <w:t>de </w:t>
      </w:r>
      <w:r>
        <w:rPr>
          <w:spacing w:val="-2"/>
        </w:rPr>
        <w:t>los </w:t>
      </w:r>
      <w:r>
        <w:rPr/>
        <w:t>senadores cada </w:t>
      </w:r>
      <w:r>
        <w:rPr>
          <w:spacing w:val="-3"/>
        </w:rPr>
        <w:t>tres </w:t>
      </w:r>
      <w:r>
        <w:rPr/>
        <w:t>años. En 1993 se aumentó el número de senadores a cuatro por cada entidad federativa, de los cuales tres eran electos por el principio de mayoría relativa y uno se asignaba al segundo partido más votado (primera  minoría) y </w:t>
      </w:r>
      <w:r>
        <w:rPr>
          <w:spacing w:val="3"/>
        </w:rPr>
        <w:t>se </w:t>
      </w:r>
      <w:r>
        <w:rPr/>
        <w:t>restableció </w:t>
      </w:r>
      <w:r>
        <w:rPr>
          <w:spacing w:val="-5"/>
        </w:rPr>
        <w:t>la </w:t>
      </w:r>
      <w:r>
        <w:rPr/>
        <w:t>renovación del total de los legisladores cada seis años. En 1996 hubo una nueva reforma que estableció  la selección de tres senadores  por entidad federativa, dos elegidos por el principio de mayoría y uno por  </w:t>
      </w:r>
      <w:r>
        <w:rPr>
          <w:spacing w:val="2"/>
        </w:rPr>
        <w:t>el </w:t>
      </w:r>
      <w:r>
        <w:rPr/>
        <w:t>principio de primera minoría; además </w:t>
      </w:r>
      <w:r>
        <w:rPr>
          <w:spacing w:val="3"/>
        </w:rPr>
        <w:t>se </w:t>
      </w:r>
      <w:r>
        <w:rPr/>
        <w:t>estableció que  32 senadores se eligen  por el principio de representación proporcional a partir de una lista </w:t>
      </w:r>
      <w:r>
        <w:rPr>
          <w:spacing w:val="12"/>
        </w:rPr>
        <w:t> </w:t>
      </w:r>
      <w:r>
        <w:rPr/>
        <w:t>nacional.</w:t>
      </w:r>
    </w:p>
    <w:p>
      <w:pPr>
        <w:pStyle w:val="BodyText"/>
        <w:spacing w:line="364" w:lineRule="auto" w:before="10"/>
        <w:ind w:left="115" w:right="105" w:firstLine="686"/>
        <w:jc w:val="both"/>
      </w:pPr>
      <w:r>
        <w:rPr/>
        <w:t>De acuerdo con el artículo 73 </w:t>
      </w:r>
      <w:r>
        <w:rPr>
          <w:spacing w:val="-3"/>
        </w:rPr>
        <w:t>de </w:t>
      </w:r>
      <w:r>
        <w:rPr/>
        <w:t>la Constitución, el Congreso tiene </w:t>
      </w:r>
      <w:r>
        <w:rPr>
          <w:spacing w:val="-2"/>
        </w:rPr>
        <w:t>las </w:t>
      </w:r>
      <w:r>
        <w:rPr/>
        <w:t>siguientes facultades en relación </w:t>
      </w:r>
      <w:r>
        <w:rPr>
          <w:spacing w:val="3"/>
        </w:rPr>
        <w:t>con </w:t>
      </w:r>
      <w:r>
        <w:rPr>
          <w:spacing w:val="-3"/>
        </w:rPr>
        <w:t>la </w:t>
      </w:r>
      <w:r>
        <w:rPr/>
        <w:t>formulación y puesta en marcha de </w:t>
      </w:r>
      <w:r>
        <w:rPr>
          <w:spacing w:val="-3"/>
        </w:rPr>
        <w:t>las </w:t>
      </w:r>
      <w:r>
        <w:rPr/>
        <w:t>políticas públicas: imponer contribuciones que cubran el presupuesto  de egresos del gobierno federal, dar bases al Ejecutivo para celebrar empréstitos, </w:t>
      </w:r>
      <w:r>
        <w:rPr>
          <w:spacing w:val="2"/>
        </w:rPr>
        <w:t>así </w:t>
      </w:r>
      <w:r>
        <w:rPr/>
        <w:t>como establecer contribuciones y todas las actividades de carácter lucrativo, como es el aprovechamiento de recursos naturales. Lo </w:t>
      </w:r>
      <w:r>
        <w:rPr>
          <w:spacing w:val="-3"/>
        </w:rPr>
        <w:t>más </w:t>
      </w:r>
      <w:r>
        <w:rPr/>
        <w:t>significativo, regular el funcionamiento de la administración federal en su conjunto,  donde </w:t>
      </w:r>
      <w:r>
        <w:rPr>
          <w:spacing w:val="3"/>
        </w:rPr>
        <w:t>se </w:t>
      </w:r>
      <w:r>
        <w:rPr/>
        <w:t>ubica  la oferta educativa tanto pública como privada en todos sus</w:t>
      </w:r>
      <w:r>
        <w:rPr>
          <w:spacing w:val="60"/>
        </w:rPr>
        <w:t> </w:t>
      </w:r>
      <w:r>
        <w:rPr/>
        <w:t>niveles.</w:t>
      </w:r>
    </w:p>
    <w:p>
      <w:pPr>
        <w:spacing w:after="0" w:line="364" w:lineRule="auto"/>
        <w:jc w:val="both"/>
        <w:sectPr>
          <w:footerReference w:type="default" r:id="rId30"/>
          <w:pgSz w:w="11910" w:h="16840"/>
          <w:pgMar w:footer="1457" w:header="0" w:top="1580" w:bottom="1640" w:left="1540" w:right="1540"/>
        </w:sectPr>
      </w:pPr>
    </w:p>
    <w:p>
      <w:pPr>
        <w:pStyle w:val="BodyText"/>
        <w:rPr>
          <w:sz w:val="20"/>
        </w:rPr>
      </w:pPr>
    </w:p>
    <w:p>
      <w:pPr>
        <w:pStyle w:val="BodyText"/>
        <w:spacing w:before="2"/>
        <w:rPr>
          <w:sz w:val="16"/>
        </w:rPr>
      </w:pPr>
    </w:p>
    <w:p>
      <w:pPr>
        <w:pStyle w:val="BodyText"/>
        <w:spacing w:line="364" w:lineRule="auto" w:before="74"/>
        <w:ind w:left="116" w:right="110" w:firstLine="686"/>
        <w:jc w:val="both"/>
      </w:pPr>
      <w:r>
        <w:rPr/>
        <w:t>Sin embargo, como se señaló antes, quien ejecuta y opera el curso de las políticas públicas a nivel nacional, en todos los asuntos relevantes, incluida la educación, es el titular del Poder Ejecutivo a través de la Secretaría de Educación. Como se verá más adelante, en esta tarea quienes tienen un papel político significativo son los gobernadores.</w:t>
      </w:r>
    </w:p>
    <w:p>
      <w:pPr>
        <w:pStyle w:val="BodyText"/>
        <w:spacing w:line="364" w:lineRule="auto" w:before="5"/>
        <w:ind w:left="116" w:right="109" w:firstLine="686"/>
        <w:jc w:val="both"/>
      </w:pPr>
      <w:r>
        <w:rPr/>
        <w:t>Ahora bien, por décadas el Congreso mexicano careció de un rol relevante en el sistema político posrevolucionario </w:t>
      </w:r>
      <w:r>
        <w:rPr>
          <w:spacing w:val="3"/>
        </w:rPr>
        <w:t>al </w:t>
      </w:r>
      <w:r>
        <w:rPr/>
        <w:t>ver reducidas las funciones de control, legislativas y de representación que </w:t>
      </w:r>
      <w:r>
        <w:rPr>
          <w:spacing w:val="2"/>
        </w:rPr>
        <w:t>se </w:t>
      </w:r>
      <w:r>
        <w:rPr/>
        <w:t>atribuyen de manera central a las  asambleas representativas. Desde 1917 y a 1929, el Congreso mexicano se constituyó en un espacio en el que las facciones del partido hegemónico dirimían sus conflictos </w:t>
      </w:r>
      <w:r>
        <w:rPr>
          <w:spacing w:val="-3"/>
        </w:rPr>
        <w:t>de </w:t>
      </w:r>
      <w:r>
        <w:rPr/>
        <w:t>interés, un espacio en el cual los legisladores hacían frente a </w:t>
      </w:r>
      <w:r>
        <w:rPr>
          <w:spacing w:val="-2"/>
        </w:rPr>
        <w:t>las </w:t>
      </w:r>
      <w:r>
        <w:rPr/>
        <w:t>propuestas presidenciales basados más en lealtades personales hacia sus corporaciones o caudillos, que en ideologías o</w:t>
      </w:r>
      <w:r>
        <w:rPr>
          <w:spacing w:val="57"/>
        </w:rPr>
        <w:t> </w:t>
      </w:r>
      <w:r>
        <w:rPr/>
        <w:t>programas.</w:t>
      </w:r>
    </w:p>
    <w:p>
      <w:pPr>
        <w:pStyle w:val="BodyText"/>
        <w:spacing w:line="364" w:lineRule="auto" w:before="10"/>
        <w:ind w:left="116" w:right="107" w:firstLine="686"/>
        <w:jc w:val="both"/>
      </w:pPr>
      <w:r>
        <w:rPr/>
        <w:t>A pesar de </w:t>
      </w:r>
      <w:r>
        <w:rPr>
          <w:spacing w:val="-4"/>
        </w:rPr>
        <w:t>la </w:t>
      </w:r>
      <w:r>
        <w:rPr/>
        <w:t>fragmentación del poder político y </w:t>
      </w:r>
      <w:r>
        <w:rPr>
          <w:spacing w:val="-3"/>
        </w:rPr>
        <w:t>la </w:t>
      </w:r>
      <w:r>
        <w:rPr/>
        <w:t>ausencia de un sistema  de partidos </w:t>
      </w:r>
      <w:r>
        <w:rPr>
          <w:spacing w:val="3"/>
        </w:rPr>
        <w:t>de </w:t>
      </w:r>
      <w:r>
        <w:rPr/>
        <w:t>carácter competitivo, el Congreso, en diversas legislaturas, fungió como un elemento de contrapeso a las decisiones del presidente debido en parte    a </w:t>
      </w:r>
      <w:r>
        <w:rPr>
          <w:spacing w:val="-3"/>
        </w:rPr>
        <w:t>la </w:t>
      </w:r>
      <w:r>
        <w:rPr/>
        <w:t>heterogeneidad de los grupos que </w:t>
      </w:r>
      <w:r>
        <w:rPr>
          <w:spacing w:val="-3"/>
        </w:rPr>
        <w:t>lo </w:t>
      </w:r>
      <w:r>
        <w:rPr/>
        <w:t>integraron en sus primeros periodos, y  que impedía el predominio de uno sólo de ellos (Weldon, 2002: </w:t>
      </w:r>
      <w:r>
        <w:rPr>
          <w:spacing w:val="16"/>
        </w:rPr>
        <w:t> </w:t>
      </w:r>
      <w:r>
        <w:rPr/>
        <w:t>265-297).</w:t>
      </w:r>
    </w:p>
    <w:p>
      <w:pPr>
        <w:pStyle w:val="BodyText"/>
        <w:spacing w:line="357" w:lineRule="auto" w:before="5"/>
        <w:ind w:left="115" w:right="103" w:firstLine="686"/>
        <w:jc w:val="both"/>
      </w:pPr>
      <w:r>
        <w:rPr/>
        <w:t>La formación del PNR en 1929 marcó el inicio de una nueva etapa en </w:t>
      </w:r>
      <w:r>
        <w:rPr>
          <w:spacing w:val="-4"/>
        </w:rPr>
        <w:t>la  </w:t>
      </w:r>
      <w:r>
        <w:rPr>
          <w:spacing w:val="55"/>
        </w:rPr>
        <w:t> </w:t>
      </w:r>
      <w:r>
        <w:rPr/>
        <w:t>vida legislativa al desarrollar mecanismos que sancionaban </w:t>
      </w:r>
      <w:r>
        <w:rPr>
          <w:spacing w:val="-4"/>
        </w:rPr>
        <w:t>la</w:t>
      </w:r>
      <w:r>
        <w:rPr>
          <w:spacing w:val="55"/>
        </w:rPr>
        <w:t> </w:t>
      </w:r>
      <w:r>
        <w:rPr/>
        <w:t>indisciplina y compensaban la cooperación de los legisladores en el Congreso</w:t>
      </w:r>
      <w:r>
        <w:rPr>
          <w:position w:val="11"/>
          <w:sz w:val="15"/>
        </w:rPr>
        <w:t>30</w:t>
      </w:r>
      <w:r>
        <w:rPr/>
        <w:t>. La intervención del Comité Ejecutivo Nacional (CEN) del PNR sirvió pues para desalentar </w:t>
      </w:r>
      <w:r>
        <w:rPr>
          <w:spacing w:val="-5"/>
        </w:rPr>
        <w:t>la </w:t>
      </w:r>
      <w:r>
        <w:rPr/>
        <w:t>formación   de   bloques   o   corrientes   opositoras,   y   para   integrar      mayorías</w:t>
      </w:r>
    </w:p>
    <w:p>
      <w:pPr>
        <w:pStyle w:val="BodyText"/>
        <w:spacing w:line="364" w:lineRule="auto" w:before="13"/>
        <w:ind w:left="115" w:right="103"/>
        <w:jc w:val="both"/>
      </w:pPr>
      <w:r>
        <w:rPr/>
        <w:t>consistentes y disciplinadas a </w:t>
      </w:r>
      <w:r>
        <w:rPr>
          <w:spacing w:val="-3"/>
        </w:rPr>
        <w:t>favor </w:t>
      </w:r>
      <w:r>
        <w:rPr/>
        <w:t>de las iniciativas del presidente.  En  el Congreso, por tanto, prevaleció una dinámica unipartidista que confinó a </w:t>
      </w:r>
      <w:r>
        <w:rPr>
          <w:spacing w:val="-4"/>
        </w:rPr>
        <w:t>la </w:t>
      </w:r>
      <w:r>
        <w:rPr/>
        <w:t>institución representativa a un rol marginal en cuanto al equilibrio entre poderes y   de fiscalización de las acciones que al gobierno se</w:t>
      </w:r>
      <w:r>
        <w:rPr>
          <w:spacing w:val="52"/>
        </w:rPr>
        <w:t> </w:t>
      </w:r>
      <w:r>
        <w:rPr/>
        <w:t>refieren.</w:t>
      </w:r>
    </w:p>
    <w:p>
      <w:pPr>
        <w:pStyle w:val="BodyText"/>
        <w:spacing w:line="364" w:lineRule="auto" w:before="5"/>
        <w:ind w:left="115" w:right="115" w:firstLine="686"/>
        <w:jc w:val="both"/>
      </w:pPr>
      <w:r>
        <w:rPr/>
        <w:t>Más que una institución que actuara como garante de la democracia liberal,  el  Congreso  desempeñó  una  función  de  mantenimiento  del  sistema     </w:t>
      </w:r>
      <w:r>
        <w:rPr>
          <w:spacing w:val="52"/>
        </w:rPr>
        <w:t> </w:t>
      </w:r>
      <w:r>
        <w:rPr/>
        <w:t>político</w:t>
      </w:r>
    </w:p>
    <w:p>
      <w:pPr>
        <w:pStyle w:val="BodyText"/>
        <w:spacing w:before="5"/>
        <w:rPr>
          <w:sz w:val="12"/>
        </w:rPr>
      </w:pPr>
      <w:r>
        <w:rPr/>
        <w:pict>
          <v:line style="position:absolute;mso-position-horizontal-relative:page;mso-position-vertical-relative:paragraph;z-index:1624;mso-wrap-distance-left:0;mso-wrap-distance-right:0" from="82.799004pt,9.488208pt" to="222.958004pt,9.488208pt" stroked="true" strokeweight=".72pt" strokecolor="#000000">
            <w10:wrap type="topAndBottom"/>
          </v:line>
        </w:pict>
      </w:r>
    </w:p>
    <w:p>
      <w:pPr>
        <w:spacing w:line="244" w:lineRule="auto" w:before="51"/>
        <w:ind w:left="115" w:right="103" w:firstLine="0"/>
        <w:jc w:val="both"/>
        <w:rPr>
          <w:sz w:val="19"/>
        </w:rPr>
      </w:pPr>
      <w:r>
        <w:rPr>
          <w:w w:val="105"/>
          <w:position w:val="10"/>
          <w:sz w:val="12"/>
        </w:rPr>
        <w:t>30 </w:t>
      </w:r>
      <w:r>
        <w:rPr>
          <w:w w:val="105"/>
          <w:sz w:val="19"/>
        </w:rPr>
        <w:t>Benito Nacif (2002: 254) señala como principales medios de presión la amenaza de expulsión del partido y el control sobre la nominación de candidatos, el cual se reforzó al disolverse los partidos locales y cancelar la reelección.</w:t>
      </w:r>
    </w:p>
    <w:p>
      <w:pPr>
        <w:spacing w:after="0" w:line="244" w:lineRule="auto"/>
        <w:jc w:val="both"/>
        <w:rPr>
          <w:sz w:val="19"/>
        </w:rPr>
        <w:sectPr>
          <w:footerReference w:type="default" r:id="rId31"/>
          <w:pgSz w:w="11910" w:h="16840"/>
          <w:pgMar w:footer="1457" w:header="0" w:top="1580" w:bottom="1640" w:left="1540" w:right="1540"/>
          <w:pgNumType w:start="111"/>
        </w:sectPr>
      </w:pPr>
    </w:p>
    <w:p>
      <w:pPr>
        <w:pStyle w:val="BodyText"/>
        <w:rPr>
          <w:sz w:val="20"/>
        </w:rPr>
      </w:pPr>
    </w:p>
    <w:p>
      <w:pPr>
        <w:pStyle w:val="BodyText"/>
        <w:spacing w:before="2"/>
        <w:rPr>
          <w:sz w:val="16"/>
        </w:rPr>
      </w:pPr>
    </w:p>
    <w:p>
      <w:pPr>
        <w:pStyle w:val="BodyText"/>
        <w:spacing w:line="364" w:lineRule="auto" w:before="74"/>
        <w:ind w:left="115" w:right="109"/>
        <w:jc w:val="both"/>
      </w:pPr>
      <w:r>
        <w:rPr/>
        <w:t>autoritario en gestación, al servir como legitimador del presidencialismo, como espacio de movilidad de la clase política y al fungir como elemento de equilibrio entre </w:t>
      </w:r>
      <w:r>
        <w:rPr>
          <w:spacing w:val="-3"/>
        </w:rPr>
        <w:t>las </w:t>
      </w:r>
      <w:r>
        <w:rPr/>
        <w:t>fuerzas políticas del partido</w:t>
      </w:r>
      <w:r>
        <w:rPr>
          <w:spacing w:val="58"/>
        </w:rPr>
        <w:t> </w:t>
      </w:r>
      <w:r>
        <w:rPr/>
        <w:t>hegemónico.</w:t>
      </w:r>
    </w:p>
    <w:p>
      <w:pPr>
        <w:pStyle w:val="BodyText"/>
        <w:spacing w:line="364" w:lineRule="auto" w:before="5"/>
        <w:ind w:left="115" w:right="106" w:firstLine="686"/>
        <w:jc w:val="both"/>
      </w:pPr>
      <w:r>
        <w:rPr/>
        <w:t>La función legislativa atendió entonces a los intereses articulados por el presidente en turno sin que mediara debate público alguno en relación a </w:t>
      </w:r>
      <w:r>
        <w:rPr>
          <w:spacing w:val="-2"/>
        </w:rPr>
        <w:t>las </w:t>
      </w:r>
      <w:r>
        <w:rPr/>
        <w:t>iniciativas. La sumisión </w:t>
      </w:r>
      <w:r>
        <w:rPr>
          <w:spacing w:val="3"/>
        </w:rPr>
        <w:t>del </w:t>
      </w:r>
      <w:r>
        <w:rPr/>
        <w:t>Congreso a los designios presidenciales confluyó con  un modelo de representación corporativa, basado en el poder centralizado  de grupos de interés organizados, </w:t>
      </w:r>
      <w:r>
        <w:rPr>
          <w:spacing w:val="-3"/>
        </w:rPr>
        <w:t>así </w:t>
      </w:r>
      <w:r>
        <w:rPr/>
        <w:t>como en una estrategia de integración política estatal que consiste en el establecimiento de relaciones tripartitas entre organizaciones empresariales y sindicatos bajo la regulación del </w:t>
      </w:r>
      <w:r>
        <w:rPr>
          <w:spacing w:val="16"/>
        </w:rPr>
        <w:t> </w:t>
      </w:r>
      <w:r>
        <w:rPr/>
        <w:t>Estado.</w:t>
      </w:r>
    </w:p>
    <w:p>
      <w:pPr>
        <w:pStyle w:val="BodyText"/>
        <w:spacing w:line="364" w:lineRule="auto" w:before="5"/>
        <w:ind w:left="115" w:right="106" w:firstLine="686"/>
        <w:jc w:val="both"/>
      </w:pPr>
      <w:r>
        <w:rPr/>
        <w:t>La política sectorial y corporativa articulada bajo el auspicio del gobierno cardenista a finales de los años treinta, reforzó el monopolio de la representación política del </w:t>
      </w:r>
      <w:r>
        <w:rPr>
          <w:spacing w:val="-4"/>
        </w:rPr>
        <w:t>ya </w:t>
      </w:r>
      <w:r>
        <w:rPr/>
        <w:t>para entonces PRM, posteriormente PRI al interior de las cámaras, tanto como la política de negociación informal y de puertas cerradas alejada del escrutinio público. Con </w:t>
      </w:r>
      <w:r>
        <w:rPr>
          <w:spacing w:val="-3"/>
        </w:rPr>
        <w:t>ello, </w:t>
      </w:r>
      <w:r>
        <w:rPr>
          <w:spacing w:val="4"/>
        </w:rPr>
        <w:t>el </w:t>
      </w:r>
      <w:r>
        <w:rPr/>
        <w:t>rol del Congreso como centro para el acuerdo y </w:t>
      </w:r>
      <w:r>
        <w:rPr>
          <w:spacing w:val="-6"/>
        </w:rPr>
        <w:t>la </w:t>
      </w:r>
      <w:r>
        <w:rPr/>
        <w:t>articulación de políticas se fue erosionando y se transformó en una estructura de ratificación, de tramitación de leyes elaboradas o autorizadas por el Ejecutivo. Así, de la representación parlamentaria </w:t>
      </w:r>
      <w:r>
        <w:rPr>
          <w:i/>
        </w:rPr>
        <w:t>caudillista </w:t>
      </w:r>
      <w:r>
        <w:rPr/>
        <w:t>se pasó a  la  representación  funcional de intereses a través de delegados de las corporaciones, sindicatos y entidades del Estado, privilegiando así los procesos políticos </w:t>
      </w:r>
      <w:r>
        <w:rPr>
          <w:spacing w:val="11"/>
        </w:rPr>
        <w:t> </w:t>
      </w:r>
      <w:r>
        <w:rPr/>
        <w:t>extraparlamentarios.</w:t>
      </w:r>
    </w:p>
    <w:p>
      <w:pPr>
        <w:pStyle w:val="BodyText"/>
        <w:spacing w:line="364" w:lineRule="auto" w:before="5"/>
        <w:ind w:left="115" w:right="104" w:firstLine="686"/>
        <w:jc w:val="both"/>
      </w:pPr>
      <w:r>
        <w:rPr/>
        <w:t>En este escenario, más allá de las limitaciones que el Estado imponía a través de la manipulación del proceso electoral, la oposición partidista difícilmente encontró un cauce institucional para representar los intereses de sus referentes sociales. Menos aún para mantenerse en la arena  política.</w:t>
      </w:r>
    </w:p>
    <w:p>
      <w:pPr>
        <w:pStyle w:val="BodyText"/>
        <w:spacing w:line="364" w:lineRule="auto" w:before="5"/>
        <w:ind w:left="115" w:right="104" w:firstLine="686"/>
        <w:jc w:val="both"/>
      </w:pPr>
      <w:r>
        <w:rPr/>
        <w:t>Con el fin de dar espacios a </w:t>
      </w:r>
      <w:r>
        <w:rPr>
          <w:spacing w:val="-3"/>
        </w:rPr>
        <w:t>la </w:t>
      </w:r>
      <w:r>
        <w:rPr/>
        <w:t>oposición, en 1963 se </w:t>
      </w:r>
      <w:r>
        <w:rPr>
          <w:spacing w:val="-2"/>
        </w:rPr>
        <w:t>impulsa </w:t>
      </w:r>
      <w:r>
        <w:rPr/>
        <w:t>una reforma electoral con </w:t>
      </w:r>
      <w:r>
        <w:rPr>
          <w:spacing w:val="-3"/>
        </w:rPr>
        <w:t>la </w:t>
      </w:r>
      <w:r>
        <w:rPr/>
        <w:t>que se procuró cubrir </w:t>
      </w:r>
      <w:r>
        <w:rPr>
          <w:spacing w:val="4"/>
        </w:rPr>
        <w:t>al </w:t>
      </w:r>
      <w:r>
        <w:rPr/>
        <w:t>autoritarismo </w:t>
      </w:r>
      <w:r>
        <w:rPr>
          <w:spacing w:val="2"/>
        </w:rPr>
        <w:t>de </w:t>
      </w:r>
      <w:r>
        <w:rPr/>
        <w:t>facto. En parte, esta reforma que introdujeron “los diputados de partido”, fue para responder a </w:t>
      </w:r>
      <w:r>
        <w:rPr>
          <w:spacing w:val="-4"/>
        </w:rPr>
        <w:t>la</w:t>
      </w:r>
      <w:r>
        <w:rPr>
          <w:spacing w:val="55"/>
        </w:rPr>
        <w:t> </w:t>
      </w:r>
      <w:r>
        <w:rPr/>
        <w:t>amenaza del PAN, organización que anunció </w:t>
      </w:r>
      <w:r>
        <w:rPr>
          <w:spacing w:val="4"/>
        </w:rPr>
        <w:t>su </w:t>
      </w:r>
      <w:r>
        <w:rPr>
          <w:spacing w:val="-3"/>
        </w:rPr>
        <w:t>retiro </w:t>
      </w:r>
      <w:r>
        <w:rPr/>
        <w:t>de la arena electoral, lo cual no era poca cosa, porque al estar proscrita la izquierda partidista, la salida institucional de Acción Nacional, habría mostrado sin tapujos el talante autoritario  del régimen.   Esta  reforma  introdujo una  fórmula de representación </w:t>
      </w:r>
      <w:r>
        <w:rPr>
          <w:spacing w:val="59"/>
        </w:rPr>
        <w:t> </w:t>
      </w:r>
      <w:r>
        <w:rPr/>
        <w:t>proporcional</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50" w:lineRule="auto" w:before="74"/>
        <w:ind w:left="115" w:right="110"/>
        <w:jc w:val="both"/>
        <w:rPr>
          <w:sz w:val="15"/>
        </w:rPr>
      </w:pPr>
      <w:r>
        <w:rPr/>
        <w:t>para los partidos que no hubiesen ganado distritos electorales de mayoría; así, se otorgó dos diputados por cada punto porcentual obtenido con un límite de 20 legisladores.</w:t>
      </w:r>
      <w:r>
        <w:rPr>
          <w:position w:val="11"/>
          <w:sz w:val="15"/>
        </w:rPr>
        <w:t>31</w:t>
      </w:r>
    </w:p>
    <w:p>
      <w:pPr>
        <w:pStyle w:val="BodyText"/>
        <w:spacing w:line="364" w:lineRule="auto" w:before="3"/>
        <w:ind w:left="115" w:right="105" w:firstLine="686"/>
        <w:jc w:val="both"/>
      </w:pPr>
      <w:r>
        <w:rPr/>
        <w:t>A partir de las elecciones legislativas de 1979, la dinámica política del Congreso cambió. Se crearon 300 distritos </w:t>
      </w:r>
      <w:r>
        <w:rPr>
          <w:spacing w:val="-3"/>
        </w:rPr>
        <w:t>de </w:t>
      </w:r>
      <w:r>
        <w:rPr/>
        <w:t>mayoría y listas plurinominales en tres circunscripciones de tipo regional (cuatro en 1982 y cinco en 1985). Este arreglo se utilizó para los comicios de 1979, 1982 y 1985 y la idea fue dar mayor espacio a la oposición. </w:t>
      </w:r>
      <w:r>
        <w:rPr>
          <w:spacing w:val="-3"/>
        </w:rPr>
        <w:t>Sin </w:t>
      </w:r>
      <w:r>
        <w:rPr/>
        <w:t>embargo, </w:t>
      </w:r>
      <w:r>
        <w:rPr>
          <w:spacing w:val="3"/>
        </w:rPr>
        <w:t>se </w:t>
      </w:r>
      <w:r>
        <w:rPr>
          <w:spacing w:val="-3"/>
        </w:rPr>
        <w:t>puso </w:t>
      </w:r>
      <w:r>
        <w:rPr/>
        <w:t>un candado: el partido que obtuviera más de 60 diputaciones </w:t>
      </w:r>
      <w:r>
        <w:rPr>
          <w:spacing w:val="2"/>
        </w:rPr>
        <w:t>de </w:t>
      </w:r>
      <w:r>
        <w:rPr/>
        <w:t>mayoría, no podría acceder a los </w:t>
      </w:r>
      <w:r>
        <w:rPr>
          <w:spacing w:val="2"/>
        </w:rPr>
        <w:t>de </w:t>
      </w:r>
      <w:r>
        <w:rPr/>
        <w:t>representación proporcional. Con este sistema de dio acceso al Partido Comunista Mexicano a </w:t>
      </w:r>
      <w:r>
        <w:rPr>
          <w:spacing w:val="-4"/>
        </w:rPr>
        <w:t>la </w:t>
      </w:r>
      <w:r>
        <w:rPr/>
        <w:t>representación legislativa, pero </w:t>
      </w:r>
      <w:r>
        <w:rPr>
          <w:spacing w:val="2"/>
        </w:rPr>
        <w:t>se </w:t>
      </w:r>
      <w:r>
        <w:rPr/>
        <w:t>acotó su eventual expansión, se </w:t>
      </w:r>
      <w:r>
        <w:rPr>
          <w:spacing w:val="-2"/>
        </w:rPr>
        <w:t>amplió </w:t>
      </w:r>
      <w:r>
        <w:rPr>
          <w:spacing w:val="3"/>
        </w:rPr>
        <w:t>el </w:t>
      </w:r>
      <w:r>
        <w:rPr/>
        <w:t>techo representativo del PAN y se fortaleció a los “partidos paraestatales”: PARM, PPS, PST/PFCRN.</w:t>
      </w:r>
    </w:p>
    <w:p>
      <w:pPr>
        <w:pStyle w:val="BodyText"/>
        <w:spacing w:line="364" w:lineRule="auto" w:before="10"/>
        <w:ind w:left="115" w:right="104" w:firstLine="686"/>
        <w:jc w:val="both"/>
      </w:pPr>
      <w:r>
        <w:rPr/>
        <w:t>Para las elecciones legislativas de 1988 se modificó la fórmula de proporcionalidad y aumentó de </w:t>
      </w:r>
      <w:r>
        <w:rPr>
          <w:spacing w:val="-3"/>
        </w:rPr>
        <w:t>100 </w:t>
      </w:r>
      <w:r>
        <w:rPr/>
        <w:t>a 200 el número de plurinominales y se </w:t>
      </w:r>
      <w:r>
        <w:rPr>
          <w:spacing w:val="-3"/>
        </w:rPr>
        <w:t>fijó </w:t>
      </w:r>
      <w:r>
        <w:rPr/>
        <w:t>en cinco el número de circunscripciones plurinominales. En este esquema todos </w:t>
      </w:r>
      <w:r>
        <w:rPr>
          <w:spacing w:val="-2"/>
        </w:rPr>
        <w:t>los </w:t>
      </w:r>
      <w:r>
        <w:rPr/>
        <w:t>partidos que rebasaran el umbral de 1.5% podrían entrar </w:t>
      </w:r>
      <w:r>
        <w:rPr>
          <w:spacing w:val="4"/>
        </w:rPr>
        <w:t>al </w:t>
      </w:r>
      <w:r>
        <w:rPr/>
        <w:t>reparto, independientemente del número de curules ganadas. Pero, con el propósito de garantizarle una mayoría al PRI, se impulsó una “cláusula de gobernabilidad” en </w:t>
      </w:r>
      <w:r>
        <w:rPr>
          <w:spacing w:val="-4"/>
        </w:rPr>
        <w:t>la</w:t>
      </w:r>
      <w:r>
        <w:rPr>
          <w:spacing w:val="55"/>
        </w:rPr>
        <w:t> </w:t>
      </w:r>
      <w:r>
        <w:rPr/>
        <w:t>Cámara de Diputados, que establecía que el partido con </w:t>
      </w:r>
      <w:r>
        <w:rPr>
          <w:spacing w:val="-3"/>
        </w:rPr>
        <w:t>más </w:t>
      </w:r>
      <w:r>
        <w:rPr/>
        <w:t>votación efectiva, </w:t>
      </w:r>
      <w:r>
        <w:rPr>
          <w:spacing w:val="3"/>
        </w:rPr>
        <w:t>si </w:t>
      </w:r>
      <w:r>
        <w:rPr/>
        <w:t>obtenía menos del 50% </w:t>
      </w:r>
      <w:r>
        <w:rPr>
          <w:spacing w:val="-3"/>
        </w:rPr>
        <w:t>más </w:t>
      </w:r>
      <w:r>
        <w:rPr/>
        <w:t>1 de los sufragios o al menos de 251 legisladores de mayoría relativa, se le asignarían escaños suficientes de representación proporcional para obtener </w:t>
      </w:r>
      <w:r>
        <w:rPr>
          <w:spacing w:val="-3"/>
        </w:rPr>
        <w:t>la </w:t>
      </w:r>
      <w:r>
        <w:rPr/>
        <w:t>mayoría</w:t>
      </w:r>
      <w:r>
        <w:rPr>
          <w:spacing w:val="53"/>
        </w:rPr>
        <w:t> </w:t>
      </w:r>
      <w:r>
        <w:rPr/>
        <w:t>absoluta.</w:t>
      </w:r>
    </w:p>
    <w:p>
      <w:pPr>
        <w:pStyle w:val="BodyText"/>
        <w:spacing w:line="364" w:lineRule="auto" w:before="5"/>
        <w:ind w:left="115" w:right="107" w:firstLine="686"/>
        <w:jc w:val="both"/>
      </w:pPr>
      <w:r>
        <w:rPr/>
        <w:pict>
          <v:line style="position:absolute;mso-position-horizontal-relative:page;mso-position-vertical-relative:paragraph;z-index:1648;mso-wrap-distance-left:0;mso-wrap-distance-right:0" from="82.799004pt,105.960861pt" to="222.958004pt,105.960861pt" stroked="true" strokeweight=".72pt" strokecolor="#000000">
            <w10:wrap type="topAndBottom"/>
          </v:line>
        </w:pict>
      </w:r>
      <w:r>
        <w:rPr/>
        <w:t>En las elecciones de 1991 se aplicó una tercera fórmula. Se conservó la “cláusula de gobernabilidad” más un </w:t>
      </w:r>
      <w:r>
        <w:rPr>
          <w:i/>
        </w:rPr>
        <w:t>plus </w:t>
      </w:r>
      <w:r>
        <w:rPr/>
        <w:t>de representación al partido más grande. Se determinó que en caso necesario al partido con mayor votación  se  </w:t>
      </w:r>
      <w:r>
        <w:rPr>
          <w:spacing w:val="-5"/>
        </w:rPr>
        <w:t>le  </w:t>
      </w:r>
      <w:r>
        <w:rPr/>
        <w:t>asignarían tantos escaños </w:t>
      </w:r>
      <w:r>
        <w:rPr>
          <w:spacing w:val="2"/>
        </w:rPr>
        <w:t>de </w:t>
      </w:r>
      <w:r>
        <w:rPr/>
        <w:t>representación proporcional  suficientes  para alcanzar  </w:t>
      </w:r>
      <w:r>
        <w:rPr>
          <w:spacing w:val="-5"/>
        </w:rPr>
        <w:t>la   </w:t>
      </w:r>
      <w:r>
        <w:rPr/>
        <w:t>mayoría  absoluta  </w:t>
      </w:r>
      <w:r>
        <w:rPr>
          <w:spacing w:val="3"/>
        </w:rPr>
        <w:t>de  </w:t>
      </w:r>
      <w:r>
        <w:rPr/>
        <w:t>251.  Para  compensar  en  alguna  medida   </w:t>
      </w:r>
      <w:r>
        <w:rPr>
          <w:spacing w:val="25"/>
        </w:rPr>
        <w:t> </w:t>
      </w:r>
      <w:r>
        <w:rPr>
          <w:spacing w:val="-5"/>
        </w:rPr>
        <w:t>la</w:t>
      </w:r>
    </w:p>
    <w:p>
      <w:pPr>
        <w:spacing w:line="249" w:lineRule="auto" w:before="37"/>
        <w:ind w:left="115" w:right="103" w:firstLine="0"/>
        <w:jc w:val="both"/>
        <w:rPr>
          <w:sz w:val="19"/>
        </w:rPr>
      </w:pPr>
      <w:r>
        <w:rPr>
          <w:spacing w:val="-3"/>
          <w:w w:val="105"/>
          <w:position w:val="11"/>
          <w:sz w:val="15"/>
        </w:rPr>
        <w:t>31 </w:t>
      </w:r>
      <w:r>
        <w:rPr>
          <w:spacing w:val="-3"/>
          <w:w w:val="105"/>
          <w:sz w:val="19"/>
        </w:rPr>
        <w:t>Ante </w:t>
      </w:r>
      <w:r>
        <w:rPr>
          <w:w w:val="105"/>
          <w:sz w:val="19"/>
        </w:rPr>
        <w:t>ello, los panistas, como único grupo genuinamente opositor, tendrían siempre diputados, pero</w:t>
      </w:r>
      <w:r>
        <w:rPr>
          <w:spacing w:val="-2"/>
          <w:w w:val="105"/>
          <w:sz w:val="19"/>
        </w:rPr>
        <w:t> </w:t>
      </w:r>
      <w:r>
        <w:rPr>
          <w:w w:val="105"/>
          <w:sz w:val="19"/>
        </w:rPr>
        <w:t>su</w:t>
      </w:r>
      <w:r>
        <w:rPr>
          <w:spacing w:val="-5"/>
          <w:w w:val="105"/>
          <w:sz w:val="19"/>
        </w:rPr>
        <w:t> </w:t>
      </w:r>
      <w:r>
        <w:rPr>
          <w:w w:val="105"/>
          <w:sz w:val="19"/>
        </w:rPr>
        <w:t>papel</w:t>
      </w:r>
      <w:r>
        <w:rPr>
          <w:spacing w:val="-5"/>
          <w:w w:val="105"/>
          <w:sz w:val="19"/>
        </w:rPr>
        <w:t> </w:t>
      </w:r>
      <w:r>
        <w:rPr>
          <w:w w:val="105"/>
          <w:sz w:val="19"/>
        </w:rPr>
        <w:t>de</w:t>
      </w:r>
      <w:r>
        <w:rPr>
          <w:spacing w:val="-5"/>
          <w:w w:val="105"/>
          <w:sz w:val="19"/>
        </w:rPr>
        <w:t> </w:t>
      </w:r>
      <w:r>
        <w:rPr>
          <w:w w:val="105"/>
          <w:sz w:val="19"/>
        </w:rPr>
        <w:t>todos</w:t>
      </w:r>
      <w:r>
        <w:rPr>
          <w:spacing w:val="-9"/>
          <w:w w:val="105"/>
          <w:sz w:val="19"/>
        </w:rPr>
        <w:t> </w:t>
      </w:r>
      <w:r>
        <w:rPr>
          <w:w w:val="105"/>
          <w:sz w:val="19"/>
        </w:rPr>
        <w:t>modos</w:t>
      </w:r>
      <w:r>
        <w:rPr>
          <w:spacing w:val="-9"/>
          <w:w w:val="105"/>
          <w:sz w:val="19"/>
        </w:rPr>
        <w:t> </w:t>
      </w:r>
      <w:r>
        <w:rPr>
          <w:w w:val="105"/>
          <w:sz w:val="19"/>
        </w:rPr>
        <w:t>fue</w:t>
      </w:r>
      <w:r>
        <w:rPr>
          <w:spacing w:val="-2"/>
          <w:w w:val="105"/>
          <w:sz w:val="19"/>
        </w:rPr>
        <w:t> </w:t>
      </w:r>
      <w:r>
        <w:rPr>
          <w:w w:val="105"/>
          <w:sz w:val="19"/>
        </w:rPr>
        <w:t>testimonial,</w:t>
      </w:r>
      <w:r>
        <w:rPr>
          <w:spacing w:val="-9"/>
          <w:w w:val="105"/>
          <w:sz w:val="19"/>
        </w:rPr>
        <w:t> </w:t>
      </w:r>
      <w:r>
        <w:rPr>
          <w:w w:val="105"/>
          <w:sz w:val="19"/>
        </w:rPr>
        <w:t>de</w:t>
      </w:r>
      <w:r>
        <w:rPr>
          <w:spacing w:val="-2"/>
          <w:w w:val="105"/>
          <w:sz w:val="19"/>
        </w:rPr>
        <w:t> </w:t>
      </w:r>
      <w:r>
        <w:rPr>
          <w:w w:val="105"/>
          <w:sz w:val="19"/>
        </w:rPr>
        <w:t>forma</w:t>
      </w:r>
      <w:r>
        <w:rPr>
          <w:spacing w:val="-9"/>
          <w:w w:val="105"/>
          <w:sz w:val="19"/>
        </w:rPr>
        <w:t> </w:t>
      </w:r>
      <w:r>
        <w:rPr>
          <w:w w:val="105"/>
          <w:sz w:val="19"/>
        </w:rPr>
        <w:t>que</w:t>
      </w:r>
      <w:r>
        <w:rPr>
          <w:spacing w:val="-5"/>
          <w:w w:val="105"/>
          <w:sz w:val="19"/>
        </w:rPr>
        <w:t> </w:t>
      </w:r>
      <w:r>
        <w:rPr>
          <w:w w:val="105"/>
          <w:sz w:val="19"/>
        </w:rPr>
        <w:t>la</w:t>
      </w:r>
      <w:r>
        <w:rPr>
          <w:spacing w:val="-5"/>
          <w:w w:val="105"/>
          <w:sz w:val="19"/>
        </w:rPr>
        <w:t> </w:t>
      </w:r>
      <w:r>
        <w:rPr>
          <w:w w:val="105"/>
          <w:sz w:val="19"/>
        </w:rPr>
        <w:t>representación</w:t>
      </w:r>
      <w:r>
        <w:rPr>
          <w:spacing w:val="-5"/>
          <w:w w:val="105"/>
          <w:sz w:val="19"/>
        </w:rPr>
        <w:t> </w:t>
      </w:r>
      <w:r>
        <w:rPr>
          <w:w w:val="105"/>
          <w:sz w:val="19"/>
        </w:rPr>
        <w:t>legislativa</w:t>
      </w:r>
      <w:r>
        <w:rPr>
          <w:spacing w:val="-2"/>
          <w:w w:val="105"/>
          <w:sz w:val="19"/>
        </w:rPr>
        <w:t> </w:t>
      </w:r>
      <w:r>
        <w:rPr>
          <w:w w:val="105"/>
          <w:sz w:val="19"/>
        </w:rPr>
        <w:t>continuó operando</w:t>
      </w:r>
      <w:r>
        <w:rPr>
          <w:spacing w:val="-15"/>
          <w:w w:val="105"/>
          <w:sz w:val="19"/>
        </w:rPr>
        <w:t> </w:t>
      </w:r>
      <w:r>
        <w:rPr>
          <w:w w:val="105"/>
          <w:sz w:val="19"/>
        </w:rPr>
        <w:t>alejada</w:t>
      </w:r>
      <w:r>
        <w:rPr>
          <w:spacing w:val="-15"/>
          <w:w w:val="105"/>
          <w:sz w:val="19"/>
        </w:rPr>
        <w:t> </w:t>
      </w:r>
      <w:r>
        <w:rPr>
          <w:w w:val="105"/>
          <w:sz w:val="19"/>
        </w:rPr>
        <w:t>de</w:t>
      </w:r>
      <w:r>
        <w:rPr>
          <w:spacing w:val="-15"/>
          <w:w w:val="105"/>
          <w:sz w:val="19"/>
        </w:rPr>
        <w:t> </w:t>
      </w:r>
      <w:r>
        <w:rPr>
          <w:w w:val="105"/>
          <w:sz w:val="19"/>
        </w:rPr>
        <w:t>los</w:t>
      </w:r>
      <w:r>
        <w:rPr>
          <w:spacing w:val="-18"/>
          <w:w w:val="105"/>
          <w:sz w:val="19"/>
        </w:rPr>
        <w:t> </w:t>
      </w:r>
      <w:r>
        <w:rPr>
          <w:w w:val="105"/>
          <w:sz w:val="19"/>
        </w:rPr>
        <w:t>principios</w:t>
      </w:r>
      <w:r>
        <w:rPr>
          <w:spacing w:val="-15"/>
          <w:w w:val="105"/>
          <w:sz w:val="19"/>
        </w:rPr>
        <w:t> </w:t>
      </w:r>
      <w:r>
        <w:rPr>
          <w:w w:val="105"/>
          <w:sz w:val="19"/>
        </w:rPr>
        <w:t>democrático</w:t>
      </w:r>
      <w:r>
        <w:rPr>
          <w:spacing w:val="-18"/>
          <w:w w:val="105"/>
          <w:sz w:val="19"/>
        </w:rPr>
        <w:t> </w:t>
      </w:r>
      <w:r>
        <w:rPr>
          <w:w w:val="105"/>
          <w:sz w:val="19"/>
        </w:rPr>
        <w:t>–</w:t>
      </w:r>
      <w:r>
        <w:rPr>
          <w:spacing w:val="-15"/>
          <w:w w:val="105"/>
          <w:sz w:val="19"/>
        </w:rPr>
        <w:t> </w:t>
      </w:r>
      <w:r>
        <w:rPr>
          <w:w w:val="105"/>
          <w:sz w:val="19"/>
        </w:rPr>
        <w:t>liberales</w:t>
      </w:r>
      <w:r>
        <w:rPr>
          <w:spacing w:val="-12"/>
          <w:w w:val="105"/>
          <w:sz w:val="19"/>
        </w:rPr>
        <w:t> </w:t>
      </w:r>
      <w:r>
        <w:rPr>
          <w:w w:val="105"/>
          <w:sz w:val="19"/>
        </w:rPr>
        <w:t>y</w:t>
      </w:r>
      <w:r>
        <w:rPr>
          <w:spacing w:val="-18"/>
          <w:w w:val="105"/>
          <w:sz w:val="19"/>
        </w:rPr>
        <w:t> </w:t>
      </w:r>
      <w:r>
        <w:rPr>
          <w:spacing w:val="-3"/>
          <w:w w:val="105"/>
          <w:sz w:val="19"/>
        </w:rPr>
        <w:t>bajo</w:t>
      </w:r>
      <w:r>
        <w:rPr>
          <w:spacing w:val="-15"/>
          <w:w w:val="105"/>
          <w:sz w:val="19"/>
        </w:rPr>
        <w:t> </w:t>
      </w:r>
      <w:r>
        <w:rPr>
          <w:w w:val="105"/>
          <w:sz w:val="19"/>
        </w:rPr>
        <w:t>la</w:t>
      </w:r>
      <w:r>
        <w:rPr>
          <w:spacing w:val="-12"/>
          <w:w w:val="105"/>
          <w:sz w:val="19"/>
        </w:rPr>
        <w:t> </w:t>
      </w:r>
      <w:r>
        <w:rPr>
          <w:w w:val="105"/>
          <w:sz w:val="19"/>
        </w:rPr>
        <w:t>férrea</w:t>
      </w:r>
      <w:r>
        <w:rPr>
          <w:spacing w:val="-15"/>
          <w:w w:val="105"/>
          <w:sz w:val="19"/>
        </w:rPr>
        <w:t> </w:t>
      </w:r>
      <w:r>
        <w:rPr>
          <w:w w:val="105"/>
          <w:sz w:val="19"/>
        </w:rPr>
        <w:t>disciplina</w:t>
      </w:r>
      <w:r>
        <w:rPr>
          <w:spacing w:val="-11"/>
          <w:w w:val="105"/>
          <w:sz w:val="19"/>
        </w:rPr>
        <w:t> </w:t>
      </w:r>
      <w:r>
        <w:rPr>
          <w:w w:val="105"/>
          <w:sz w:val="19"/>
        </w:rPr>
        <w:t>impuesta</w:t>
      </w:r>
      <w:r>
        <w:rPr>
          <w:spacing w:val="-15"/>
          <w:w w:val="105"/>
          <w:sz w:val="19"/>
        </w:rPr>
        <w:t> </w:t>
      </w:r>
      <w:r>
        <w:rPr>
          <w:w w:val="105"/>
          <w:sz w:val="19"/>
        </w:rPr>
        <w:t>por</w:t>
      </w:r>
      <w:r>
        <w:rPr>
          <w:spacing w:val="-18"/>
          <w:w w:val="105"/>
          <w:sz w:val="19"/>
        </w:rPr>
        <w:t> </w:t>
      </w:r>
      <w:r>
        <w:rPr>
          <w:w w:val="105"/>
          <w:sz w:val="19"/>
        </w:rPr>
        <w:t>el partido</w:t>
      </w:r>
      <w:r>
        <w:rPr>
          <w:spacing w:val="-8"/>
          <w:w w:val="105"/>
          <w:sz w:val="19"/>
        </w:rPr>
        <w:t> </w:t>
      </w:r>
      <w:r>
        <w:rPr>
          <w:w w:val="105"/>
          <w:sz w:val="19"/>
        </w:rPr>
        <w:t>mayoritario</w:t>
      </w:r>
      <w:r>
        <w:rPr>
          <w:spacing w:val="-5"/>
          <w:w w:val="105"/>
          <w:sz w:val="19"/>
        </w:rPr>
        <w:t> </w:t>
      </w:r>
      <w:r>
        <w:rPr>
          <w:w w:val="105"/>
          <w:sz w:val="19"/>
        </w:rPr>
        <w:t>que</w:t>
      </w:r>
      <w:r>
        <w:rPr>
          <w:spacing w:val="-5"/>
          <w:w w:val="105"/>
          <w:sz w:val="19"/>
        </w:rPr>
        <w:t> </w:t>
      </w:r>
      <w:r>
        <w:rPr>
          <w:w w:val="105"/>
          <w:sz w:val="19"/>
        </w:rPr>
        <w:t>además</w:t>
      </w:r>
      <w:r>
        <w:rPr>
          <w:spacing w:val="-12"/>
          <w:w w:val="105"/>
          <w:sz w:val="19"/>
        </w:rPr>
        <w:t> </w:t>
      </w:r>
      <w:r>
        <w:rPr>
          <w:w w:val="105"/>
          <w:sz w:val="19"/>
        </w:rPr>
        <w:t>contaban</w:t>
      </w:r>
      <w:r>
        <w:rPr>
          <w:spacing w:val="-5"/>
          <w:w w:val="105"/>
          <w:sz w:val="19"/>
        </w:rPr>
        <w:t> </w:t>
      </w:r>
      <w:r>
        <w:rPr>
          <w:spacing w:val="-3"/>
          <w:w w:val="105"/>
          <w:sz w:val="19"/>
        </w:rPr>
        <w:t>con</w:t>
      </w:r>
      <w:r>
        <w:rPr>
          <w:spacing w:val="-5"/>
          <w:w w:val="105"/>
          <w:sz w:val="19"/>
        </w:rPr>
        <w:t> </w:t>
      </w:r>
      <w:r>
        <w:rPr>
          <w:w w:val="105"/>
          <w:sz w:val="19"/>
        </w:rPr>
        <w:t>el</w:t>
      </w:r>
      <w:r>
        <w:rPr>
          <w:spacing w:val="-8"/>
          <w:w w:val="105"/>
          <w:sz w:val="19"/>
        </w:rPr>
        <w:t> </w:t>
      </w:r>
      <w:r>
        <w:rPr>
          <w:w w:val="105"/>
          <w:sz w:val="19"/>
        </w:rPr>
        <w:t>apoyo</w:t>
      </w:r>
      <w:r>
        <w:rPr>
          <w:spacing w:val="-5"/>
          <w:w w:val="105"/>
          <w:sz w:val="19"/>
        </w:rPr>
        <w:t> </w:t>
      </w:r>
      <w:r>
        <w:rPr>
          <w:w w:val="105"/>
          <w:sz w:val="19"/>
        </w:rPr>
        <w:t>del</w:t>
      </w:r>
      <w:r>
        <w:rPr>
          <w:spacing w:val="-8"/>
          <w:w w:val="105"/>
          <w:sz w:val="19"/>
        </w:rPr>
        <w:t> </w:t>
      </w:r>
      <w:r>
        <w:rPr>
          <w:w w:val="105"/>
          <w:sz w:val="19"/>
        </w:rPr>
        <w:t>partidos</w:t>
      </w:r>
      <w:r>
        <w:rPr>
          <w:spacing w:val="-10"/>
          <w:w w:val="105"/>
          <w:sz w:val="19"/>
        </w:rPr>
        <w:t> </w:t>
      </w:r>
      <w:r>
        <w:rPr>
          <w:i/>
          <w:w w:val="105"/>
          <w:sz w:val="19"/>
        </w:rPr>
        <w:t>satélites:</w:t>
      </w:r>
      <w:r>
        <w:rPr>
          <w:i/>
          <w:spacing w:val="-11"/>
          <w:w w:val="105"/>
          <w:sz w:val="19"/>
        </w:rPr>
        <w:t> </w:t>
      </w:r>
      <w:r>
        <w:rPr>
          <w:w w:val="105"/>
          <w:sz w:val="19"/>
        </w:rPr>
        <w:t>los</w:t>
      </w:r>
      <w:r>
        <w:rPr>
          <w:spacing w:val="-12"/>
          <w:w w:val="105"/>
          <w:sz w:val="19"/>
        </w:rPr>
        <w:t> </w:t>
      </w:r>
      <w:r>
        <w:rPr>
          <w:w w:val="105"/>
          <w:sz w:val="19"/>
        </w:rPr>
        <w:t>casos</w:t>
      </w:r>
      <w:r>
        <w:rPr>
          <w:spacing w:val="-13"/>
          <w:w w:val="105"/>
          <w:sz w:val="19"/>
        </w:rPr>
        <w:t> </w:t>
      </w:r>
      <w:r>
        <w:rPr>
          <w:w w:val="105"/>
          <w:sz w:val="19"/>
        </w:rPr>
        <w:t>del</w:t>
      </w:r>
      <w:r>
        <w:rPr>
          <w:spacing w:val="43"/>
          <w:w w:val="105"/>
          <w:sz w:val="19"/>
        </w:rPr>
        <w:t> </w:t>
      </w:r>
      <w:r>
        <w:rPr>
          <w:w w:val="105"/>
          <w:sz w:val="19"/>
        </w:rPr>
        <w:t>PARM y del</w:t>
      </w:r>
      <w:r>
        <w:rPr>
          <w:spacing w:val="-22"/>
          <w:w w:val="105"/>
          <w:sz w:val="19"/>
        </w:rPr>
        <w:t> </w:t>
      </w:r>
      <w:r>
        <w:rPr>
          <w:w w:val="105"/>
          <w:sz w:val="19"/>
        </w:rPr>
        <w:t>PPS.</w:t>
      </w:r>
    </w:p>
    <w:p>
      <w:pPr>
        <w:spacing w:after="0" w:line="249" w:lineRule="auto"/>
        <w:jc w:val="both"/>
        <w:rPr>
          <w:sz w:val="19"/>
        </w:rPr>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8"/>
        <w:jc w:val="both"/>
      </w:pPr>
      <w:r>
        <w:rPr/>
        <w:t>disposición de sobrerrepresentación, se estableció que ningún partido podía tener más del 70% de las curules; igualmente, que el partido que tuviese más del 60 o 70% de los votos estaría representado con perfecta  proporcionalidad.</w:t>
      </w:r>
    </w:p>
    <w:p>
      <w:pPr>
        <w:pStyle w:val="BodyText"/>
        <w:spacing w:line="364" w:lineRule="auto" w:before="5"/>
        <w:ind w:left="115" w:right="108" w:firstLine="686"/>
        <w:jc w:val="both"/>
      </w:pPr>
      <w:r>
        <w:rPr/>
        <w:t>Se aprobó una cuarta fórmula en 1993 y </w:t>
      </w:r>
      <w:r>
        <w:rPr>
          <w:spacing w:val="3"/>
        </w:rPr>
        <w:t>se </w:t>
      </w:r>
      <w:r>
        <w:rPr/>
        <w:t>aplicó en las elecciones de  1994, </w:t>
      </w:r>
      <w:r>
        <w:rPr>
          <w:spacing w:val="-4"/>
        </w:rPr>
        <w:t>la </w:t>
      </w:r>
      <w:r>
        <w:rPr/>
        <w:t>cual estableció que ningún partido podía tener más del 60% </w:t>
      </w:r>
      <w:r>
        <w:rPr>
          <w:spacing w:val="3"/>
        </w:rPr>
        <w:t>de  </w:t>
      </w:r>
      <w:r>
        <w:rPr>
          <w:spacing w:val="-3"/>
        </w:rPr>
        <w:t>los  </w:t>
      </w:r>
      <w:r>
        <w:rPr/>
        <w:t>escaños si </w:t>
      </w:r>
      <w:r>
        <w:rPr>
          <w:spacing w:val="3"/>
        </w:rPr>
        <w:t>su </w:t>
      </w:r>
      <w:r>
        <w:rPr/>
        <w:t>votación quedaba por debajo de dicho porcentaje; que </w:t>
      </w:r>
      <w:r>
        <w:rPr>
          <w:spacing w:val="3"/>
        </w:rPr>
        <w:t>si </w:t>
      </w:r>
      <w:r>
        <w:rPr/>
        <w:t>alguna fuerza obtenía entre el 60 y 63% </w:t>
      </w:r>
      <w:r>
        <w:rPr>
          <w:spacing w:val="-3"/>
        </w:rPr>
        <w:t>de </w:t>
      </w:r>
      <w:r>
        <w:rPr>
          <w:spacing w:val="-4"/>
        </w:rPr>
        <w:t>los </w:t>
      </w:r>
      <w:r>
        <w:rPr/>
        <w:t>votos, aspiraba a tener  el  </w:t>
      </w:r>
      <w:r>
        <w:rPr>
          <w:spacing w:val="-3"/>
        </w:rPr>
        <w:t>mismo  </w:t>
      </w:r>
      <w:r>
        <w:rPr/>
        <w:t>porcentaje de representación. Asimismo, </w:t>
      </w:r>
      <w:r>
        <w:rPr>
          <w:spacing w:val="2"/>
        </w:rPr>
        <w:t>se </w:t>
      </w:r>
      <w:r>
        <w:rPr/>
        <w:t>disminuyó el tope máximo de representación legislativa </w:t>
      </w:r>
      <w:r>
        <w:rPr>
          <w:spacing w:val="3"/>
        </w:rPr>
        <w:t>de </w:t>
      </w:r>
      <w:r>
        <w:rPr/>
        <w:t>70 a 63%. </w:t>
      </w:r>
      <w:r>
        <w:rPr>
          <w:spacing w:val="-3"/>
        </w:rPr>
        <w:t>Ello </w:t>
      </w:r>
      <w:r>
        <w:rPr/>
        <w:t>con el fin de evitar que </w:t>
      </w:r>
      <w:r>
        <w:rPr>
          <w:spacing w:val="3"/>
        </w:rPr>
        <w:t>el </w:t>
      </w:r>
      <w:r>
        <w:rPr/>
        <w:t>PRI consiguiera con </w:t>
      </w:r>
      <w:r>
        <w:rPr>
          <w:spacing w:val="-3"/>
        </w:rPr>
        <w:t>una baja </w:t>
      </w:r>
      <w:r>
        <w:rPr/>
        <w:t>votación, la </w:t>
      </w:r>
      <w:r>
        <w:rPr>
          <w:spacing w:val="-3"/>
        </w:rPr>
        <w:t>mayoría </w:t>
      </w:r>
      <w:r>
        <w:rPr/>
        <w:t>calificada </w:t>
      </w:r>
      <w:r>
        <w:rPr>
          <w:spacing w:val="-3"/>
        </w:rPr>
        <w:t>en </w:t>
      </w:r>
      <w:r>
        <w:rPr>
          <w:spacing w:val="-5"/>
        </w:rPr>
        <w:t>la </w:t>
      </w:r>
      <w:r>
        <w:rPr/>
        <w:t>Cámara  de  Diputados.</w:t>
      </w:r>
    </w:p>
    <w:p>
      <w:pPr>
        <w:pStyle w:val="BodyText"/>
        <w:spacing w:line="364" w:lineRule="auto" w:before="5"/>
        <w:ind w:left="115" w:right="108" w:firstLine="686"/>
        <w:jc w:val="both"/>
      </w:pPr>
      <w:r>
        <w:rPr/>
        <w:t>La actividad del Congreso mexicano sin dinámica opositora perduró hasta 1988, año en el cual </w:t>
      </w:r>
      <w:r>
        <w:rPr>
          <w:spacing w:val="-3"/>
        </w:rPr>
        <w:t>los </w:t>
      </w:r>
      <w:r>
        <w:rPr/>
        <w:t>partidos opositores incrementaron significativamente su competitividad obteniendo </w:t>
      </w:r>
      <w:r>
        <w:rPr>
          <w:spacing w:val="3"/>
        </w:rPr>
        <w:t>el </w:t>
      </w:r>
      <w:r>
        <w:rPr/>
        <w:t>47.8 % de la representación en la Cámara de Diputados, y en </w:t>
      </w:r>
      <w:r>
        <w:rPr>
          <w:spacing w:val="-5"/>
        </w:rPr>
        <w:t>la </w:t>
      </w:r>
      <w:r>
        <w:rPr/>
        <w:t>que por vez primera </w:t>
      </w:r>
      <w:r>
        <w:rPr>
          <w:spacing w:val="3"/>
        </w:rPr>
        <w:t>se </w:t>
      </w:r>
      <w:r>
        <w:rPr/>
        <w:t>volvieron indispensables para llevar a cabo reformas constitucionales. Tras </w:t>
      </w:r>
      <w:r>
        <w:rPr>
          <w:spacing w:val="3"/>
        </w:rPr>
        <w:t>un </w:t>
      </w:r>
      <w:r>
        <w:rPr/>
        <w:t>intervalo de dos periodos de recuperación del partido gobernante, en la elecciones federales </w:t>
      </w:r>
      <w:r>
        <w:rPr>
          <w:spacing w:val="2"/>
        </w:rPr>
        <w:t>de </w:t>
      </w:r>
      <w:r>
        <w:rPr/>
        <w:t>1991 y 1994, </w:t>
      </w:r>
      <w:r>
        <w:rPr>
          <w:spacing w:val="-5"/>
        </w:rPr>
        <w:t>la </w:t>
      </w:r>
      <w:r>
        <w:rPr/>
        <w:t>oposición partidista en su conjunto consiguió en </w:t>
      </w:r>
      <w:r>
        <w:rPr>
          <w:spacing w:val="-3"/>
        </w:rPr>
        <w:t>la </w:t>
      </w:r>
      <w:r>
        <w:rPr/>
        <w:t>LVII legislatura (1997) </w:t>
      </w:r>
      <w:r>
        <w:rPr>
          <w:spacing w:val="-3"/>
        </w:rPr>
        <w:t>la  </w:t>
      </w:r>
      <w:r>
        <w:rPr/>
        <w:t>mayoría  necesaria en </w:t>
      </w:r>
      <w:r>
        <w:rPr>
          <w:spacing w:val="-4"/>
        </w:rPr>
        <w:t>la </w:t>
      </w:r>
      <w:r>
        <w:rPr/>
        <w:t>Cámara de Diputados  para aprobar legislaciones  secundarias sin  el concurso del partido gobernante al detentar el 52.2% de </w:t>
      </w:r>
      <w:r>
        <w:rPr>
          <w:spacing w:val="-3"/>
        </w:rPr>
        <w:t>los </w:t>
      </w:r>
      <w:r>
        <w:rPr/>
        <w:t>escaños </w:t>
      </w:r>
      <w:r>
        <w:rPr>
          <w:spacing w:val="-3"/>
        </w:rPr>
        <w:t>en </w:t>
      </w:r>
      <w:r>
        <w:rPr/>
        <w:t>esa misma cámara. Ver tabla N°</w:t>
      </w:r>
      <w:r>
        <w:rPr>
          <w:spacing w:val="32"/>
        </w:rPr>
        <w:t> </w:t>
      </w:r>
      <w:r>
        <w:rPr/>
        <w:t>1.</w:t>
      </w:r>
    </w:p>
    <w:p>
      <w:pPr>
        <w:spacing w:line="241" w:lineRule="exact" w:before="9"/>
        <w:ind w:left="2056" w:right="2052" w:firstLine="0"/>
        <w:jc w:val="center"/>
        <w:rPr>
          <w:b/>
          <w:sz w:val="21"/>
        </w:rPr>
      </w:pPr>
      <w:r>
        <w:rPr>
          <w:b/>
          <w:sz w:val="21"/>
        </w:rPr>
        <w:t>Tabla Nº 1</w:t>
      </w:r>
    </w:p>
    <w:p>
      <w:pPr>
        <w:spacing w:line="247" w:lineRule="auto" w:before="0"/>
        <w:ind w:left="2056" w:right="2048" w:firstLine="0"/>
        <w:jc w:val="center"/>
        <w:rPr>
          <w:b/>
          <w:sz w:val="21"/>
        </w:rPr>
      </w:pPr>
      <w:r>
        <w:rPr>
          <w:b/>
          <w:sz w:val="21"/>
        </w:rPr>
        <w:t>Evolución de la oposición partidista en la Cámara de Diputados,</w:t>
      </w:r>
      <w:r>
        <w:rPr>
          <w:b/>
          <w:spacing w:val="53"/>
          <w:sz w:val="21"/>
        </w:rPr>
        <w:t> </w:t>
      </w:r>
      <w:r>
        <w:rPr>
          <w:b/>
          <w:sz w:val="21"/>
        </w:rPr>
        <w:t>1961-2003</w:t>
      </w:r>
    </w:p>
    <w:p>
      <w:pPr>
        <w:pStyle w:val="BodyText"/>
        <w:rPr>
          <w:b/>
          <w:sz w:val="20"/>
        </w:rPr>
      </w:pPr>
    </w:p>
    <w:p>
      <w:pPr>
        <w:pStyle w:val="BodyText"/>
        <w:spacing w:before="3"/>
        <w:rPr>
          <w:b/>
          <w:sz w:val="14"/>
        </w:rPr>
      </w:pPr>
      <w:r>
        <w:rPr/>
        <w:pict>
          <v:group style="position:absolute;margin-left:166.309998pt;margin-top:10.156952pt;width:315.4pt;height:.5pt;mso-position-horizontal-relative:page;mso-position-vertical-relative:paragraph;z-index:1672;mso-wrap-distance-left:0;mso-wrap-distance-right:0" coordorigin="3326,203" coordsize="6308,10">
            <v:line style="position:absolute" from="3331,208" to="5261,208" stroked="true" strokeweight=".48pt" strokecolor="#000000"/>
            <v:line style="position:absolute" from="5261,208" to="5270,208" stroked="true" strokeweight=".48pt" strokecolor="#000000"/>
            <v:line style="position:absolute" from="5270,208" to="6562,208" stroked="true" strokeweight=".48pt" strokecolor="#000000"/>
            <v:line style="position:absolute" from="6562,208" to="6571,208" stroked="true" strokeweight=".48pt" strokecolor="#000000"/>
            <v:line style="position:absolute" from="6571,208" to="7723,208" stroked="true" strokeweight=".48pt" strokecolor="#000000"/>
            <v:line style="position:absolute" from="7723,208" to="7733,208" stroked="true" strokeweight=".48pt" strokecolor="#000000"/>
            <v:line style="position:absolute" from="7733,208" to="9629,208" stroked="true" strokeweight=".48pt" strokecolor="#000000"/>
            <w10:wrap type="topAndBottom"/>
          </v:group>
        </w:pict>
      </w:r>
    </w:p>
    <w:p>
      <w:pPr>
        <w:spacing w:line="151" w:lineRule="exact" w:before="0"/>
        <w:ind w:left="1963" w:right="2052" w:firstLine="0"/>
        <w:jc w:val="center"/>
        <w:rPr>
          <w:sz w:val="19"/>
        </w:rPr>
      </w:pPr>
      <w:r>
        <w:rPr>
          <w:w w:val="105"/>
          <w:sz w:val="19"/>
        </w:rPr>
        <w:t>Partido</w:t>
      </w:r>
    </w:p>
    <w:p>
      <w:pPr>
        <w:tabs>
          <w:tab w:pos="5727" w:val="left" w:leader="none"/>
        </w:tabs>
        <w:spacing w:line="282" w:lineRule="exact" w:before="0"/>
        <w:ind w:left="3836" w:right="191" w:firstLine="0"/>
        <w:jc w:val="left"/>
        <w:rPr>
          <w:sz w:val="19"/>
        </w:rPr>
      </w:pPr>
      <w:r>
        <w:rPr/>
        <w:pict>
          <v:shape style="position:absolute;margin-left:198pt;margin-top:-1.861649pt;width:33.85pt;height:9.85pt;mso-position-horizontal-relative:page;mso-position-vertical-relative:paragraph;z-index:1816" type="#_x0000_t202" filled="false" stroked="false">
            <v:textbox inset="0,0,0,0">
              <w:txbxContent>
                <w:p>
                  <w:pPr>
                    <w:spacing w:line="196" w:lineRule="exact" w:before="0"/>
                    <w:ind w:left="0" w:right="0" w:firstLine="0"/>
                    <w:jc w:val="left"/>
                    <w:rPr>
                      <w:sz w:val="19"/>
                    </w:rPr>
                  </w:pPr>
                  <w:r>
                    <w:rPr>
                      <w:sz w:val="19"/>
                    </w:rPr>
                    <w:t>Periodo</w:t>
                  </w:r>
                </w:p>
              </w:txbxContent>
            </v:textbox>
            <w10:wrap type="none"/>
          </v:shape>
        </w:pict>
      </w:r>
      <w:r>
        <w:rPr>
          <w:w w:val="105"/>
          <w:position w:val="-11"/>
          <w:sz w:val="19"/>
        </w:rPr>
        <w:t>gobernante*</w:t>
        <w:tab/>
      </w:r>
      <w:r>
        <w:rPr>
          <w:sz w:val="19"/>
        </w:rPr>
        <w:t>Partidos</w:t>
      </w:r>
      <w:r>
        <w:rPr>
          <w:spacing w:val="38"/>
          <w:sz w:val="19"/>
        </w:rPr>
        <w:t> </w:t>
      </w:r>
      <w:r>
        <w:rPr>
          <w:sz w:val="19"/>
        </w:rPr>
        <w:t>opositores</w:t>
      </w:r>
    </w:p>
    <w:p>
      <w:pPr>
        <w:pStyle w:val="BodyText"/>
        <w:spacing w:before="6"/>
        <w:rPr>
          <w:sz w:val="13"/>
        </w:rPr>
      </w:pPr>
      <w:r>
        <w:rPr/>
        <w:pict>
          <v:group style="position:absolute;margin-left:166.309998pt;margin-top:9.73681pt;width:315.4pt;height:.5pt;mso-position-horizontal-relative:page;mso-position-vertical-relative:paragraph;z-index:1696;mso-wrap-distance-left:0;mso-wrap-distance-right:0" coordorigin="3326,195" coordsize="6308,10">
            <v:line style="position:absolute" from="3331,200" to="5261,200" stroked="true" strokeweight=".48pt" strokecolor="#000000"/>
            <v:line style="position:absolute" from="5261,200" to="5270,200" stroked="true" strokeweight=".48pt" strokecolor="#000000"/>
            <v:line style="position:absolute" from="5270,200" to="6562,200" stroked="true" strokeweight=".48pt" strokecolor="#000000"/>
            <v:line style="position:absolute" from="6562,200" to="6571,200" stroked="true" strokeweight=".48pt" strokecolor="#000000"/>
            <v:line style="position:absolute" from="6571,200" to="7723,200" stroked="true" strokeweight=".48pt" strokecolor="#000000"/>
            <v:line style="position:absolute" from="7723,200" to="7733,200" stroked="true" strokeweight=".48pt" strokecolor="#000000"/>
            <v:line style="position:absolute" from="7733,200" to="9629,200" stroked="true" strokeweight=".48pt" strokecolor="#000000"/>
            <w10:wrap type="topAndBottom"/>
          </v:group>
        </w:pict>
      </w:r>
    </w:p>
    <w:p>
      <w:pPr>
        <w:tabs>
          <w:tab w:pos="2391" w:val="left" w:leader="none"/>
        </w:tabs>
        <w:spacing w:line="193" w:lineRule="exact" w:before="0"/>
        <w:ind w:left="1153" w:right="0" w:firstLine="0"/>
        <w:jc w:val="center"/>
        <w:rPr>
          <w:sz w:val="19"/>
        </w:rPr>
      </w:pPr>
      <w:r>
        <w:rPr>
          <w:w w:val="105"/>
          <w:sz w:val="19"/>
        </w:rPr>
        <w:t>%</w:t>
        <w:tab/>
        <w:t>%</w:t>
      </w:r>
    </w:p>
    <w:p>
      <w:pPr>
        <w:pStyle w:val="BodyText"/>
        <w:spacing w:before="4"/>
        <w:rPr>
          <w:sz w:val="14"/>
        </w:rPr>
      </w:pPr>
      <w:r>
        <w:rPr/>
        <w:pict>
          <v:group style="position:absolute;margin-left:166.309998pt;margin-top:10.216824pt;width:315.4pt;height:.5pt;mso-position-horizontal-relative:page;mso-position-vertical-relative:paragraph;z-index:1720;mso-wrap-distance-left:0;mso-wrap-distance-right:0" coordorigin="3326,204" coordsize="6308,10">
            <v:line style="position:absolute" from="3331,209" to="5261,209" stroked="true" strokeweight=".48pt" strokecolor="#000000"/>
            <v:line style="position:absolute" from="5261,209" to="5270,209" stroked="true" strokeweight=".48pt" strokecolor="#000000"/>
            <v:line style="position:absolute" from="5270,209" to="6562,209" stroked="true" strokeweight=".48pt" strokecolor="#000000"/>
            <v:line style="position:absolute" from="6562,209" to="6571,209" stroked="true" strokeweight=".48pt" strokecolor="#000000"/>
            <v:line style="position:absolute" from="6571,209" to="7723,209" stroked="true" strokeweight=".48pt" strokecolor="#000000"/>
            <v:line style="position:absolute" from="7723,209" to="7733,209" stroked="true" strokeweight=".48pt" strokecolor="#000000"/>
            <v:line style="position:absolute" from="7733,209" to="9629,209" stroked="true" strokeweight=".48pt" strokecolor="#000000"/>
            <w10:wrap type="topAndBottom"/>
          </v:group>
        </w:pict>
      </w:r>
    </w:p>
    <w:p>
      <w:pPr>
        <w:tabs>
          <w:tab w:pos="3255" w:val="left" w:leader="none"/>
          <w:tab w:pos="4541" w:val="left" w:leader="none"/>
          <w:tab w:pos="5453" w:val="left" w:leader="none"/>
        </w:tabs>
        <w:spacing w:line="258" w:lineRule="exact" w:before="0"/>
        <w:ind w:left="1344" w:right="0" w:firstLine="0"/>
        <w:jc w:val="center"/>
        <w:rPr>
          <w:sz w:val="19"/>
        </w:rPr>
      </w:pPr>
      <w:r>
        <w:rPr>
          <w:w w:val="105"/>
          <w:sz w:val="19"/>
        </w:rPr>
        <w:t>1961</w:t>
      </w:r>
      <w:r>
        <w:rPr>
          <w:spacing w:val="-9"/>
          <w:w w:val="105"/>
          <w:sz w:val="19"/>
        </w:rPr>
        <w:t> </w:t>
      </w:r>
      <w:r>
        <w:rPr>
          <w:w w:val="105"/>
          <w:sz w:val="19"/>
        </w:rPr>
        <w:t>–</w:t>
      </w:r>
      <w:r>
        <w:rPr>
          <w:spacing w:val="-9"/>
          <w:w w:val="105"/>
          <w:sz w:val="19"/>
        </w:rPr>
        <w:t> </w:t>
      </w:r>
      <w:r>
        <w:rPr>
          <w:w w:val="105"/>
          <w:sz w:val="19"/>
        </w:rPr>
        <w:t>1964</w:t>
        <w:tab/>
      </w:r>
      <w:r>
        <w:rPr>
          <w:spacing w:val="-3"/>
          <w:w w:val="105"/>
          <w:sz w:val="19"/>
        </w:rPr>
        <w:t>97.19</w:t>
        <w:tab/>
      </w:r>
      <w:r>
        <w:rPr>
          <w:w w:val="105"/>
          <w:sz w:val="19"/>
        </w:rPr>
        <w:t>2.81</w:t>
        <w:tab/>
      </w:r>
      <w:r>
        <w:rPr>
          <w:w w:val="105"/>
          <w:position w:val="11"/>
          <w:sz w:val="19"/>
        </w:rPr>
        <w:t>PAN,</w:t>
      </w:r>
      <w:r>
        <w:rPr>
          <w:spacing w:val="-23"/>
          <w:w w:val="105"/>
          <w:position w:val="11"/>
          <w:sz w:val="19"/>
        </w:rPr>
        <w:t> </w:t>
      </w:r>
      <w:r>
        <w:rPr>
          <w:w w:val="105"/>
          <w:position w:val="11"/>
          <w:sz w:val="19"/>
        </w:rPr>
        <w:t>PPS,</w:t>
      </w:r>
      <w:r>
        <w:rPr>
          <w:spacing w:val="-23"/>
          <w:w w:val="105"/>
          <w:position w:val="11"/>
          <w:sz w:val="19"/>
        </w:rPr>
        <w:t> </w:t>
      </w:r>
      <w:r>
        <w:rPr>
          <w:w w:val="105"/>
          <w:position w:val="11"/>
          <w:sz w:val="19"/>
        </w:rPr>
        <w:t>PARM,</w:t>
      </w:r>
    </w:p>
    <w:p>
      <w:pPr>
        <w:spacing w:line="164" w:lineRule="exact" w:before="0"/>
        <w:ind w:left="120" w:right="1460" w:firstLine="0"/>
        <w:jc w:val="right"/>
        <w:rPr>
          <w:sz w:val="19"/>
        </w:rPr>
      </w:pPr>
      <w:r>
        <w:rPr>
          <w:sz w:val="19"/>
        </w:rPr>
        <w:t>PNM</w:t>
      </w:r>
    </w:p>
    <w:p>
      <w:pPr>
        <w:pStyle w:val="BodyText"/>
        <w:spacing w:before="11"/>
        <w:rPr>
          <w:sz w:val="13"/>
        </w:rPr>
      </w:pPr>
      <w:r>
        <w:rPr/>
        <w:pict>
          <v:group style="position:absolute;margin-left:166.309998pt;margin-top:9.977816pt;width:315.4pt;height:.5pt;mso-position-horizontal-relative:page;mso-position-vertical-relative:paragraph;z-index:1744;mso-wrap-distance-left:0;mso-wrap-distance-right:0" coordorigin="3326,200" coordsize="6308,10">
            <v:line style="position:absolute" from="3331,205" to="5261,205" stroked="true" strokeweight=".48pt" strokecolor="#000000"/>
            <v:line style="position:absolute" from="5261,205" to="5270,205" stroked="true" strokeweight=".48pt" strokecolor="#000000"/>
            <v:line style="position:absolute" from="5270,205" to="6562,205" stroked="true" strokeweight=".48pt" strokecolor="#000000"/>
            <v:line style="position:absolute" from="6562,205" to="6571,205" stroked="true" strokeweight=".48pt" strokecolor="#000000"/>
            <v:line style="position:absolute" from="6571,205" to="7723,205" stroked="true" strokeweight=".48pt" strokecolor="#000000"/>
            <v:line style="position:absolute" from="7723,205" to="7733,205" stroked="true" strokeweight=".48pt" strokecolor="#000000"/>
            <v:line style="position:absolute" from="7733,205" to="9629,205" stroked="true" strokeweight=".48pt" strokecolor="#000000"/>
            <w10:wrap type="topAndBottom"/>
          </v:group>
        </w:pict>
      </w:r>
    </w:p>
    <w:p>
      <w:pPr>
        <w:tabs>
          <w:tab w:pos="4128" w:val="left" w:leader="none"/>
          <w:tab w:pos="5362" w:val="left" w:leader="none"/>
          <w:tab w:pos="6355" w:val="left" w:leader="none"/>
        </w:tabs>
        <w:spacing w:line="198" w:lineRule="exact" w:before="0"/>
        <w:ind w:left="2218" w:right="191" w:firstLine="0"/>
        <w:jc w:val="left"/>
        <w:rPr>
          <w:sz w:val="19"/>
        </w:rPr>
      </w:pPr>
      <w:r>
        <w:rPr>
          <w:w w:val="105"/>
          <w:sz w:val="19"/>
        </w:rPr>
        <w:t>1964</w:t>
      </w:r>
      <w:r>
        <w:rPr>
          <w:spacing w:val="-12"/>
          <w:w w:val="105"/>
          <w:sz w:val="19"/>
        </w:rPr>
        <w:t> </w:t>
      </w:r>
      <w:r>
        <w:rPr>
          <w:w w:val="105"/>
          <w:sz w:val="19"/>
        </w:rPr>
        <w:t>–</w:t>
      </w:r>
      <w:r>
        <w:rPr>
          <w:spacing w:val="-8"/>
          <w:w w:val="105"/>
          <w:sz w:val="19"/>
        </w:rPr>
        <w:t> </w:t>
      </w:r>
      <w:r>
        <w:rPr>
          <w:w w:val="105"/>
          <w:sz w:val="19"/>
        </w:rPr>
        <w:t>1967</w:t>
        <w:tab/>
      </w:r>
      <w:r>
        <w:rPr>
          <w:spacing w:val="-3"/>
          <w:w w:val="105"/>
          <w:sz w:val="19"/>
        </w:rPr>
        <w:t>84.76</w:t>
        <w:tab/>
        <w:t>15.24</w:t>
        <w:tab/>
      </w:r>
      <w:r>
        <w:rPr>
          <w:w w:val="105"/>
          <w:sz w:val="19"/>
        </w:rPr>
        <w:t>PAN, PPS,</w:t>
      </w:r>
      <w:r>
        <w:rPr>
          <w:spacing w:val="-40"/>
          <w:w w:val="105"/>
          <w:sz w:val="19"/>
        </w:rPr>
        <w:t> </w:t>
      </w:r>
      <w:r>
        <w:rPr>
          <w:w w:val="105"/>
          <w:sz w:val="19"/>
        </w:rPr>
        <w:t>PARM</w:t>
      </w:r>
    </w:p>
    <w:p>
      <w:pPr>
        <w:pStyle w:val="BodyText"/>
        <w:spacing w:before="11"/>
        <w:rPr>
          <w:sz w:val="13"/>
        </w:rPr>
      </w:pPr>
      <w:r>
        <w:rPr/>
        <w:pict>
          <v:group style="position:absolute;margin-left:166.309998pt;margin-top:9.976312pt;width:315.4pt;height:.5pt;mso-position-horizontal-relative:page;mso-position-vertical-relative:paragraph;z-index:1768;mso-wrap-distance-left:0;mso-wrap-distance-right:0" coordorigin="3326,200" coordsize="6308,10">
            <v:line style="position:absolute" from="3331,205" to="5261,205" stroked="true" strokeweight=".479pt" strokecolor="#000000"/>
            <v:line style="position:absolute" from="5261,205" to="5270,205" stroked="true" strokeweight=".479pt" strokecolor="#000000"/>
            <v:line style="position:absolute" from="5270,205" to="6562,205" stroked="true" strokeweight=".479pt" strokecolor="#000000"/>
            <v:line style="position:absolute" from="6562,205" to="6571,205" stroked="true" strokeweight=".479pt" strokecolor="#000000"/>
            <v:line style="position:absolute" from="6571,205" to="7723,205" stroked="true" strokeweight=".479pt" strokecolor="#000000"/>
            <v:line style="position:absolute" from="7723,205" to="7733,205" stroked="true" strokeweight=".479pt" strokecolor="#000000"/>
            <v:line style="position:absolute" from="7733,205" to="9629,205" stroked="true" strokeweight=".479pt" strokecolor="#000000"/>
            <w10:wrap type="topAndBottom"/>
          </v:group>
        </w:pict>
      </w:r>
    </w:p>
    <w:p>
      <w:pPr>
        <w:tabs>
          <w:tab w:pos="4128" w:val="left" w:leader="none"/>
          <w:tab w:pos="5362" w:val="left" w:leader="none"/>
          <w:tab w:pos="6355" w:val="left" w:leader="none"/>
        </w:tabs>
        <w:spacing w:line="198" w:lineRule="exact" w:before="0"/>
        <w:ind w:left="2218" w:right="191" w:firstLine="0"/>
        <w:jc w:val="left"/>
        <w:rPr>
          <w:sz w:val="19"/>
        </w:rPr>
      </w:pPr>
      <w:r>
        <w:rPr>
          <w:w w:val="105"/>
          <w:sz w:val="19"/>
        </w:rPr>
        <w:t>1967</w:t>
      </w:r>
      <w:r>
        <w:rPr>
          <w:spacing w:val="-12"/>
          <w:w w:val="105"/>
          <w:sz w:val="19"/>
        </w:rPr>
        <w:t> </w:t>
      </w:r>
      <w:r>
        <w:rPr>
          <w:w w:val="105"/>
          <w:sz w:val="19"/>
        </w:rPr>
        <w:t>–</w:t>
      </w:r>
      <w:r>
        <w:rPr>
          <w:spacing w:val="-8"/>
          <w:w w:val="105"/>
          <w:sz w:val="19"/>
        </w:rPr>
        <w:t> </w:t>
      </w:r>
      <w:r>
        <w:rPr>
          <w:w w:val="105"/>
          <w:sz w:val="19"/>
        </w:rPr>
        <w:t>1970</w:t>
        <w:tab/>
      </w:r>
      <w:r>
        <w:rPr>
          <w:spacing w:val="-3"/>
          <w:w w:val="105"/>
          <w:sz w:val="19"/>
        </w:rPr>
        <w:t>82.94</w:t>
        <w:tab/>
        <w:t>17.06</w:t>
        <w:tab/>
      </w:r>
      <w:r>
        <w:rPr>
          <w:w w:val="105"/>
          <w:sz w:val="19"/>
        </w:rPr>
        <w:t>PAN, PPS,</w:t>
      </w:r>
      <w:r>
        <w:rPr>
          <w:spacing w:val="-40"/>
          <w:w w:val="105"/>
          <w:sz w:val="19"/>
        </w:rPr>
        <w:t> </w:t>
      </w:r>
      <w:r>
        <w:rPr>
          <w:w w:val="105"/>
          <w:sz w:val="19"/>
        </w:rPr>
        <w:t>PARM</w:t>
      </w:r>
    </w:p>
    <w:p>
      <w:pPr>
        <w:pStyle w:val="BodyText"/>
        <w:spacing w:before="4"/>
        <w:rPr>
          <w:sz w:val="14"/>
        </w:rPr>
      </w:pPr>
      <w:r>
        <w:rPr/>
        <w:pict>
          <v:group style="position:absolute;margin-left:165.589996pt;margin-top:10.216815pt;width:316.1pt;height:.5pt;mso-position-horizontal-relative:page;mso-position-vertical-relative:paragraph;z-index:1792;mso-wrap-distance-left:0;mso-wrap-distance-right:0" coordorigin="3312,204" coordsize="6322,10">
            <v:line style="position:absolute" from="3317,209" to="5261,209" stroked="true" strokeweight=".48pt" strokecolor="#000000"/>
            <v:line style="position:absolute" from="5246,209" to="5256,209" stroked="true" strokeweight=".48pt" strokecolor="#000000"/>
            <v:line style="position:absolute" from="5256,209" to="6562,209" stroked="true" strokeweight=".48pt" strokecolor="#000000"/>
            <v:line style="position:absolute" from="6547,209" to="6557,209" stroked="true" strokeweight=".48pt" strokecolor="#000000"/>
            <v:line style="position:absolute" from="6557,209" to="7723,209" stroked="true" strokeweight=".48pt" strokecolor="#000000"/>
            <v:line style="position:absolute" from="7709,209" to="7718,209" stroked="true" strokeweight=".48pt" strokecolor="#000000"/>
            <v:line style="position:absolute" from="7718,209" to="9629,209" stroked="true" strokeweight=".48pt" strokecolor="#000000"/>
            <w10:wrap type="topAndBottom"/>
          </v:group>
        </w:pict>
      </w:r>
    </w:p>
    <w:p>
      <w:pPr>
        <w:spacing w:after="0"/>
        <w:rPr>
          <w:sz w:val="14"/>
        </w:rPr>
        <w:sectPr>
          <w:pgSz w:w="11910" w:h="16840"/>
          <w:pgMar w:header="0" w:footer="1457" w:top="1580" w:bottom="1640" w:left="1540" w:right="15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8"/>
        </w:rPr>
      </w:pPr>
    </w:p>
    <w:p>
      <w:pPr>
        <w:spacing w:before="1"/>
        <w:ind w:left="120" w:right="1038" w:firstLine="0"/>
        <w:jc w:val="right"/>
        <w:rPr>
          <w:sz w:val="19"/>
        </w:rPr>
      </w:pPr>
      <w:r>
        <w:rPr/>
        <w:pict>
          <v:shape style="position:absolute;margin-left:166.559998pt;margin-top:-81.030121pt;width:314.9pt;height:372.9pt;mso-position-horizontal-relative:page;mso-position-vertical-relative:paragraph;z-index:188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24"/>
                    <w:gridCol w:w="1269"/>
                    <w:gridCol w:w="1114"/>
                    <w:gridCol w:w="1991"/>
                  </w:tblGrid>
                  <w:tr>
                    <w:trPr>
                      <w:trHeight w:val="504" w:hRule="exact"/>
                    </w:trPr>
                    <w:tc>
                      <w:tcPr>
                        <w:tcW w:w="1924" w:type="dxa"/>
                        <w:tcBorders>
                          <w:bottom w:val="single" w:sz="4" w:space="0" w:color="000000"/>
                        </w:tcBorders>
                      </w:tcPr>
                      <w:p>
                        <w:pPr>
                          <w:pStyle w:val="TableParagraph"/>
                          <w:spacing w:before="80"/>
                          <w:ind w:left="427"/>
                          <w:rPr>
                            <w:sz w:val="19"/>
                          </w:rPr>
                        </w:pPr>
                        <w:r>
                          <w:rPr>
                            <w:w w:val="105"/>
                            <w:sz w:val="19"/>
                          </w:rPr>
                          <w:t>1970 – 1973</w:t>
                        </w:r>
                      </w:p>
                    </w:tc>
                    <w:tc>
                      <w:tcPr>
                        <w:tcW w:w="1269" w:type="dxa"/>
                        <w:tcBorders>
                          <w:bottom w:val="single" w:sz="4" w:space="0" w:color="000000"/>
                        </w:tcBorders>
                      </w:tcPr>
                      <w:p>
                        <w:pPr>
                          <w:pStyle w:val="TableParagraph"/>
                          <w:spacing w:before="80"/>
                          <w:ind w:left="382" w:right="347"/>
                          <w:jc w:val="center"/>
                          <w:rPr>
                            <w:sz w:val="19"/>
                          </w:rPr>
                        </w:pPr>
                        <w:r>
                          <w:rPr>
                            <w:w w:val="105"/>
                            <w:sz w:val="19"/>
                          </w:rPr>
                          <w:t>83.57</w:t>
                        </w:r>
                      </w:p>
                    </w:tc>
                    <w:tc>
                      <w:tcPr>
                        <w:tcW w:w="1114" w:type="dxa"/>
                        <w:tcBorders>
                          <w:bottom w:val="single" w:sz="4" w:space="0" w:color="000000"/>
                        </w:tcBorders>
                      </w:tcPr>
                      <w:p>
                        <w:pPr>
                          <w:pStyle w:val="TableParagraph"/>
                          <w:spacing w:before="80"/>
                          <w:ind w:right="255"/>
                          <w:jc w:val="right"/>
                          <w:rPr>
                            <w:sz w:val="19"/>
                          </w:rPr>
                        </w:pPr>
                        <w:r>
                          <w:rPr>
                            <w:sz w:val="19"/>
                          </w:rPr>
                          <w:t>16.43</w:t>
                        </w:r>
                      </w:p>
                    </w:tc>
                    <w:tc>
                      <w:tcPr>
                        <w:tcW w:w="1991" w:type="dxa"/>
                        <w:tcBorders>
                          <w:bottom w:val="single" w:sz="4" w:space="0" w:color="000000"/>
                        </w:tcBorders>
                      </w:tcPr>
                      <w:p>
                        <w:pPr>
                          <w:pStyle w:val="TableParagraph"/>
                          <w:spacing w:before="80"/>
                          <w:ind w:right="156"/>
                          <w:jc w:val="right"/>
                          <w:rPr>
                            <w:sz w:val="19"/>
                          </w:rPr>
                        </w:pPr>
                        <w:r>
                          <w:rPr>
                            <w:w w:val="105"/>
                            <w:sz w:val="19"/>
                          </w:rPr>
                          <w:t>PAN, PPS, PARM</w:t>
                        </w:r>
                      </w:p>
                    </w:tc>
                  </w:tr>
                  <w:tr>
                    <w:trPr>
                      <w:trHeight w:val="442" w:hRule="exact"/>
                    </w:trPr>
                    <w:tc>
                      <w:tcPr>
                        <w:tcW w:w="1924" w:type="dxa"/>
                        <w:tcBorders>
                          <w:top w:val="single" w:sz="4" w:space="0" w:color="000000"/>
                          <w:bottom w:val="single" w:sz="4" w:space="0" w:color="000000"/>
                        </w:tcBorders>
                      </w:tcPr>
                      <w:p>
                        <w:pPr>
                          <w:pStyle w:val="TableParagraph"/>
                          <w:spacing w:before="13"/>
                          <w:ind w:left="427"/>
                          <w:rPr>
                            <w:sz w:val="19"/>
                          </w:rPr>
                        </w:pPr>
                        <w:r>
                          <w:rPr>
                            <w:w w:val="105"/>
                            <w:sz w:val="19"/>
                          </w:rPr>
                          <w:t>1973 – 1976</w:t>
                        </w:r>
                      </w:p>
                    </w:tc>
                    <w:tc>
                      <w:tcPr>
                        <w:tcW w:w="1269" w:type="dxa"/>
                        <w:tcBorders>
                          <w:top w:val="single" w:sz="4" w:space="0" w:color="000000"/>
                          <w:bottom w:val="single" w:sz="4" w:space="0" w:color="000000"/>
                        </w:tcBorders>
                      </w:tcPr>
                      <w:p>
                        <w:pPr>
                          <w:pStyle w:val="TableParagraph"/>
                          <w:spacing w:before="13"/>
                          <w:ind w:left="382" w:right="347"/>
                          <w:jc w:val="center"/>
                          <w:rPr>
                            <w:sz w:val="19"/>
                          </w:rPr>
                        </w:pPr>
                        <w:r>
                          <w:rPr>
                            <w:w w:val="105"/>
                            <w:sz w:val="19"/>
                          </w:rPr>
                          <w:t>83.12</w:t>
                        </w:r>
                      </w:p>
                    </w:tc>
                    <w:tc>
                      <w:tcPr>
                        <w:tcW w:w="1114" w:type="dxa"/>
                        <w:tcBorders>
                          <w:top w:val="single" w:sz="4" w:space="0" w:color="000000"/>
                          <w:bottom w:val="single" w:sz="4" w:space="0" w:color="000000"/>
                        </w:tcBorders>
                      </w:tcPr>
                      <w:p>
                        <w:pPr>
                          <w:pStyle w:val="TableParagraph"/>
                          <w:spacing w:before="13"/>
                          <w:ind w:right="255"/>
                          <w:jc w:val="right"/>
                          <w:rPr>
                            <w:sz w:val="19"/>
                          </w:rPr>
                        </w:pPr>
                        <w:r>
                          <w:rPr>
                            <w:sz w:val="19"/>
                          </w:rPr>
                          <w:t>16.88</w:t>
                        </w:r>
                      </w:p>
                    </w:tc>
                    <w:tc>
                      <w:tcPr>
                        <w:tcW w:w="1991" w:type="dxa"/>
                        <w:tcBorders>
                          <w:top w:val="single" w:sz="4" w:space="0" w:color="000000"/>
                          <w:bottom w:val="single" w:sz="4" w:space="0" w:color="000000"/>
                        </w:tcBorders>
                      </w:tcPr>
                      <w:p>
                        <w:pPr>
                          <w:pStyle w:val="TableParagraph"/>
                          <w:spacing w:before="13"/>
                          <w:ind w:right="156"/>
                          <w:jc w:val="right"/>
                          <w:rPr>
                            <w:sz w:val="19"/>
                          </w:rPr>
                        </w:pPr>
                        <w:r>
                          <w:rPr>
                            <w:w w:val="105"/>
                            <w:sz w:val="19"/>
                          </w:rPr>
                          <w:t>PAN, PPS, PARM</w:t>
                        </w:r>
                      </w:p>
                    </w:tc>
                  </w:tr>
                  <w:tr>
                    <w:trPr>
                      <w:trHeight w:val="437" w:hRule="exact"/>
                    </w:trPr>
                    <w:tc>
                      <w:tcPr>
                        <w:tcW w:w="1924" w:type="dxa"/>
                        <w:tcBorders>
                          <w:top w:val="single" w:sz="4" w:space="0" w:color="000000"/>
                        </w:tcBorders>
                      </w:tcPr>
                      <w:p>
                        <w:pPr>
                          <w:pStyle w:val="TableParagraph"/>
                          <w:spacing w:before="4"/>
                          <w:ind w:left="427"/>
                          <w:rPr>
                            <w:sz w:val="19"/>
                          </w:rPr>
                        </w:pPr>
                        <w:r>
                          <w:rPr>
                            <w:w w:val="105"/>
                            <w:sz w:val="19"/>
                          </w:rPr>
                          <w:t>1976 – 1979</w:t>
                        </w:r>
                      </w:p>
                    </w:tc>
                    <w:tc>
                      <w:tcPr>
                        <w:tcW w:w="1269" w:type="dxa"/>
                        <w:tcBorders>
                          <w:top w:val="single" w:sz="4" w:space="0" w:color="000000"/>
                        </w:tcBorders>
                      </w:tcPr>
                      <w:p>
                        <w:pPr>
                          <w:pStyle w:val="TableParagraph"/>
                          <w:spacing w:before="4"/>
                          <w:ind w:left="382" w:right="347"/>
                          <w:jc w:val="center"/>
                          <w:rPr>
                            <w:sz w:val="19"/>
                          </w:rPr>
                        </w:pPr>
                        <w:r>
                          <w:rPr>
                            <w:w w:val="105"/>
                            <w:sz w:val="19"/>
                          </w:rPr>
                          <w:t>81.86</w:t>
                        </w:r>
                      </w:p>
                    </w:tc>
                    <w:tc>
                      <w:tcPr>
                        <w:tcW w:w="1114" w:type="dxa"/>
                        <w:tcBorders>
                          <w:top w:val="single" w:sz="4" w:space="0" w:color="000000"/>
                        </w:tcBorders>
                      </w:tcPr>
                      <w:p>
                        <w:pPr>
                          <w:pStyle w:val="TableParagraph"/>
                          <w:spacing w:before="4"/>
                          <w:ind w:right="255"/>
                          <w:jc w:val="right"/>
                          <w:rPr>
                            <w:sz w:val="19"/>
                          </w:rPr>
                        </w:pPr>
                        <w:r>
                          <w:rPr>
                            <w:sz w:val="19"/>
                          </w:rPr>
                          <w:t>18.14</w:t>
                        </w:r>
                      </w:p>
                    </w:tc>
                    <w:tc>
                      <w:tcPr>
                        <w:tcW w:w="1991" w:type="dxa"/>
                        <w:tcBorders>
                          <w:top w:val="single" w:sz="4" w:space="0" w:color="000000"/>
                        </w:tcBorders>
                      </w:tcPr>
                      <w:p>
                        <w:pPr>
                          <w:pStyle w:val="TableParagraph"/>
                          <w:spacing w:before="4"/>
                          <w:ind w:right="156"/>
                          <w:jc w:val="right"/>
                          <w:rPr>
                            <w:sz w:val="19"/>
                          </w:rPr>
                        </w:pPr>
                        <w:r>
                          <w:rPr>
                            <w:w w:val="105"/>
                            <w:sz w:val="19"/>
                          </w:rPr>
                          <w:t>PAN, PPS, PARM</w:t>
                        </w:r>
                      </w:p>
                    </w:tc>
                  </w:tr>
                  <w:tr>
                    <w:trPr>
                      <w:trHeight w:val="662" w:hRule="exact"/>
                    </w:trPr>
                    <w:tc>
                      <w:tcPr>
                        <w:tcW w:w="1924" w:type="dxa"/>
                        <w:tcBorders>
                          <w:top w:val="single" w:sz="4" w:space="0" w:color="000000"/>
                          <w:bottom w:val="single" w:sz="4" w:space="0" w:color="000000"/>
                        </w:tcBorders>
                      </w:tcPr>
                      <w:p>
                        <w:pPr>
                          <w:pStyle w:val="TableParagraph"/>
                          <w:spacing w:before="124"/>
                          <w:ind w:left="427"/>
                          <w:rPr>
                            <w:sz w:val="19"/>
                          </w:rPr>
                        </w:pPr>
                        <w:r>
                          <w:rPr>
                            <w:w w:val="105"/>
                            <w:sz w:val="19"/>
                          </w:rPr>
                          <w:t>1979 – 1982</w:t>
                        </w:r>
                      </w:p>
                    </w:tc>
                    <w:tc>
                      <w:tcPr>
                        <w:tcW w:w="1269" w:type="dxa"/>
                        <w:tcBorders>
                          <w:top w:val="single" w:sz="4" w:space="0" w:color="000000"/>
                          <w:bottom w:val="single" w:sz="4" w:space="0" w:color="000000"/>
                        </w:tcBorders>
                      </w:tcPr>
                      <w:p>
                        <w:pPr>
                          <w:pStyle w:val="TableParagraph"/>
                          <w:spacing w:before="124"/>
                          <w:ind w:left="382" w:right="346"/>
                          <w:jc w:val="center"/>
                          <w:rPr>
                            <w:sz w:val="19"/>
                          </w:rPr>
                        </w:pPr>
                        <w:r>
                          <w:rPr>
                            <w:w w:val="105"/>
                            <w:sz w:val="19"/>
                          </w:rPr>
                          <w:t>74.5</w:t>
                        </w:r>
                      </w:p>
                    </w:tc>
                    <w:tc>
                      <w:tcPr>
                        <w:tcW w:w="3104" w:type="dxa"/>
                        <w:gridSpan w:val="2"/>
                        <w:tcBorders>
                          <w:top w:val="single" w:sz="4" w:space="0" w:color="000000"/>
                          <w:bottom w:val="single" w:sz="4" w:space="0" w:color="000000"/>
                        </w:tcBorders>
                      </w:tcPr>
                      <w:p>
                        <w:pPr>
                          <w:pStyle w:val="TableParagraph"/>
                          <w:tabs>
                            <w:tab w:pos="1342" w:val="left" w:leader="none"/>
                          </w:tabs>
                          <w:spacing w:before="13"/>
                          <w:ind w:left="430"/>
                          <w:rPr>
                            <w:sz w:val="19"/>
                          </w:rPr>
                        </w:pPr>
                        <w:r>
                          <w:rPr>
                            <w:w w:val="105"/>
                            <w:position w:val="-10"/>
                            <w:sz w:val="19"/>
                          </w:rPr>
                          <w:t>25.5</w:t>
                          <w:tab/>
                        </w:r>
                        <w:r>
                          <w:rPr>
                            <w:w w:val="105"/>
                            <w:sz w:val="19"/>
                          </w:rPr>
                          <w:t>PAN,</w:t>
                        </w:r>
                        <w:r>
                          <w:rPr>
                            <w:spacing w:val="-23"/>
                            <w:w w:val="105"/>
                            <w:sz w:val="19"/>
                          </w:rPr>
                          <w:t> </w:t>
                        </w:r>
                        <w:r>
                          <w:rPr>
                            <w:w w:val="105"/>
                            <w:sz w:val="19"/>
                          </w:rPr>
                          <w:t>PPS,</w:t>
                        </w:r>
                        <w:r>
                          <w:rPr>
                            <w:spacing w:val="-23"/>
                            <w:w w:val="105"/>
                            <w:sz w:val="19"/>
                          </w:rPr>
                          <w:t> </w:t>
                        </w:r>
                        <w:r>
                          <w:rPr>
                            <w:w w:val="105"/>
                            <w:sz w:val="19"/>
                          </w:rPr>
                          <w:t>PARM,</w:t>
                        </w:r>
                      </w:p>
                    </w:tc>
                  </w:tr>
                  <w:tr>
                    <w:trPr>
                      <w:trHeight w:val="335" w:hRule="exact"/>
                    </w:trPr>
                    <w:tc>
                      <w:tcPr>
                        <w:tcW w:w="1924" w:type="dxa"/>
                        <w:tcBorders>
                          <w:top w:val="single" w:sz="4" w:space="0" w:color="000000"/>
                        </w:tcBorders>
                      </w:tcPr>
                      <w:p>
                        <w:pPr>
                          <w:pStyle w:val="TableParagraph"/>
                          <w:spacing w:before="114"/>
                          <w:ind w:left="427"/>
                          <w:rPr>
                            <w:sz w:val="19"/>
                          </w:rPr>
                        </w:pPr>
                        <w:r>
                          <w:rPr>
                            <w:w w:val="105"/>
                            <w:sz w:val="19"/>
                          </w:rPr>
                          <w:t>1982 – 1985</w:t>
                        </w:r>
                      </w:p>
                    </w:tc>
                    <w:tc>
                      <w:tcPr>
                        <w:tcW w:w="1269" w:type="dxa"/>
                        <w:tcBorders>
                          <w:top w:val="single" w:sz="4" w:space="0" w:color="000000"/>
                        </w:tcBorders>
                      </w:tcPr>
                      <w:p>
                        <w:pPr>
                          <w:pStyle w:val="TableParagraph"/>
                          <w:spacing w:before="114"/>
                          <w:ind w:left="382" w:right="346"/>
                          <w:jc w:val="center"/>
                          <w:rPr>
                            <w:sz w:val="19"/>
                          </w:rPr>
                        </w:pPr>
                        <w:r>
                          <w:rPr>
                            <w:w w:val="105"/>
                            <w:sz w:val="19"/>
                          </w:rPr>
                          <w:t>74.7</w:t>
                        </w:r>
                      </w:p>
                    </w:tc>
                    <w:tc>
                      <w:tcPr>
                        <w:tcW w:w="3104" w:type="dxa"/>
                        <w:gridSpan w:val="2"/>
                        <w:tcBorders>
                          <w:top w:val="single" w:sz="4" w:space="0" w:color="000000"/>
                        </w:tcBorders>
                      </w:tcPr>
                      <w:p>
                        <w:pPr>
                          <w:pStyle w:val="TableParagraph"/>
                          <w:tabs>
                            <w:tab w:pos="1409" w:val="left" w:leader="none"/>
                          </w:tabs>
                          <w:spacing w:before="4"/>
                          <w:ind w:left="430"/>
                          <w:rPr>
                            <w:sz w:val="19"/>
                          </w:rPr>
                        </w:pPr>
                        <w:r>
                          <w:rPr>
                            <w:w w:val="105"/>
                            <w:position w:val="-10"/>
                            <w:sz w:val="19"/>
                          </w:rPr>
                          <w:t>25.3</w:t>
                          <w:tab/>
                        </w:r>
                        <w:r>
                          <w:rPr>
                            <w:w w:val="105"/>
                            <w:sz w:val="19"/>
                          </w:rPr>
                          <w:t>PAN, PPS,</w:t>
                        </w:r>
                        <w:r>
                          <w:rPr>
                            <w:spacing w:val="-45"/>
                            <w:w w:val="105"/>
                            <w:sz w:val="19"/>
                          </w:rPr>
                          <w:t> </w:t>
                        </w:r>
                        <w:r>
                          <w:rPr>
                            <w:w w:val="105"/>
                            <w:sz w:val="19"/>
                          </w:rPr>
                          <w:t>PDM,</w:t>
                        </w:r>
                      </w:p>
                    </w:tc>
                  </w:tr>
                  <w:tr>
                    <w:trPr>
                      <w:trHeight w:val="571" w:hRule="exact"/>
                    </w:trPr>
                    <w:tc>
                      <w:tcPr>
                        <w:tcW w:w="1924" w:type="dxa"/>
                      </w:tcPr>
                      <w:p>
                        <w:pPr/>
                      </w:p>
                    </w:tc>
                    <w:tc>
                      <w:tcPr>
                        <w:tcW w:w="1269" w:type="dxa"/>
                      </w:tcPr>
                      <w:p>
                        <w:pPr/>
                      </w:p>
                    </w:tc>
                    <w:tc>
                      <w:tcPr>
                        <w:tcW w:w="1114" w:type="dxa"/>
                      </w:tcPr>
                      <w:p>
                        <w:pPr/>
                      </w:p>
                    </w:tc>
                    <w:tc>
                      <w:tcPr>
                        <w:tcW w:w="1991" w:type="dxa"/>
                      </w:tcPr>
                      <w:p>
                        <w:pPr>
                          <w:pStyle w:val="TableParagraph"/>
                          <w:spacing w:line="118" w:lineRule="exact"/>
                          <w:ind w:left="188" w:right="98"/>
                          <w:jc w:val="center"/>
                          <w:rPr>
                            <w:sz w:val="19"/>
                          </w:rPr>
                        </w:pPr>
                        <w:r>
                          <w:rPr>
                            <w:w w:val="105"/>
                            <w:sz w:val="19"/>
                          </w:rPr>
                          <w:t>PSUM, PST,</w:t>
                        </w:r>
                      </w:p>
                      <w:p>
                        <w:pPr>
                          <w:pStyle w:val="TableParagraph"/>
                          <w:spacing w:before="4"/>
                          <w:rPr>
                            <w:sz w:val="19"/>
                          </w:rPr>
                        </w:pPr>
                      </w:p>
                      <w:p>
                        <w:pPr>
                          <w:pStyle w:val="TableParagraph"/>
                          <w:ind w:left="188" w:right="98"/>
                          <w:jc w:val="center"/>
                          <w:rPr>
                            <w:sz w:val="19"/>
                          </w:rPr>
                        </w:pPr>
                        <w:r>
                          <w:rPr>
                            <w:w w:val="105"/>
                            <w:sz w:val="19"/>
                          </w:rPr>
                          <w:t>PAN, PPS, PARM,</w:t>
                        </w:r>
                      </w:p>
                    </w:tc>
                  </w:tr>
                  <w:tr>
                    <w:trPr>
                      <w:trHeight w:val="644" w:hRule="exact"/>
                    </w:trPr>
                    <w:tc>
                      <w:tcPr>
                        <w:tcW w:w="1924" w:type="dxa"/>
                        <w:tcBorders>
                          <w:bottom w:val="single" w:sz="4" w:space="0" w:color="000000"/>
                        </w:tcBorders>
                      </w:tcPr>
                      <w:p>
                        <w:pPr>
                          <w:pStyle w:val="TableParagraph"/>
                          <w:spacing w:line="199" w:lineRule="exact"/>
                          <w:ind w:left="427"/>
                          <w:rPr>
                            <w:sz w:val="19"/>
                          </w:rPr>
                        </w:pPr>
                        <w:r>
                          <w:rPr>
                            <w:w w:val="105"/>
                            <w:sz w:val="19"/>
                          </w:rPr>
                          <w:t>1985 – 1988</w:t>
                        </w:r>
                      </w:p>
                    </w:tc>
                    <w:tc>
                      <w:tcPr>
                        <w:tcW w:w="1269" w:type="dxa"/>
                        <w:tcBorders>
                          <w:bottom w:val="single" w:sz="4" w:space="0" w:color="000000"/>
                        </w:tcBorders>
                      </w:tcPr>
                      <w:p>
                        <w:pPr>
                          <w:pStyle w:val="TableParagraph"/>
                          <w:spacing w:line="199" w:lineRule="exact"/>
                          <w:ind w:left="382" w:right="345"/>
                          <w:jc w:val="center"/>
                          <w:rPr>
                            <w:sz w:val="19"/>
                          </w:rPr>
                        </w:pPr>
                        <w:r>
                          <w:rPr>
                            <w:w w:val="105"/>
                            <w:sz w:val="19"/>
                          </w:rPr>
                          <w:t>72</w:t>
                        </w:r>
                      </w:p>
                    </w:tc>
                    <w:tc>
                      <w:tcPr>
                        <w:tcW w:w="3104" w:type="dxa"/>
                        <w:gridSpan w:val="2"/>
                        <w:tcBorders>
                          <w:bottom w:val="single" w:sz="4" w:space="0" w:color="000000"/>
                        </w:tcBorders>
                      </w:tcPr>
                      <w:p>
                        <w:pPr>
                          <w:pStyle w:val="TableParagraph"/>
                          <w:tabs>
                            <w:tab w:pos="1332" w:val="left" w:leader="none"/>
                          </w:tabs>
                          <w:spacing w:line="199" w:lineRule="exact"/>
                          <w:ind w:left="512"/>
                          <w:rPr>
                            <w:sz w:val="19"/>
                          </w:rPr>
                        </w:pPr>
                        <w:r>
                          <w:rPr>
                            <w:w w:val="105"/>
                            <w:sz w:val="19"/>
                          </w:rPr>
                          <w:t>28</w:t>
                          <w:tab/>
                          <w:t>PDM, PSUM,</w:t>
                        </w:r>
                        <w:r>
                          <w:rPr>
                            <w:spacing w:val="-44"/>
                            <w:w w:val="105"/>
                            <w:sz w:val="19"/>
                          </w:rPr>
                          <w:t> </w:t>
                        </w:r>
                        <w:r>
                          <w:rPr>
                            <w:w w:val="105"/>
                            <w:sz w:val="19"/>
                          </w:rPr>
                          <w:t>PST,</w:t>
                        </w:r>
                      </w:p>
                      <w:p>
                        <w:pPr>
                          <w:pStyle w:val="TableParagraph"/>
                          <w:spacing w:before="2"/>
                          <w:ind w:left="1702"/>
                          <w:rPr>
                            <w:sz w:val="19"/>
                          </w:rPr>
                        </w:pPr>
                        <w:r>
                          <w:rPr>
                            <w:w w:val="105"/>
                            <w:sz w:val="19"/>
                          </w:rPr>
                          <w:t>PRT, PMT</w:t>
                        </w:r>
                      </w:p>
                    </w:tc>
                  </w:tr>
                  <w:tr>
                    <w:trPr>
                      <w:trHeight w:val="878" w:hRule="exact"/>
                    </w:trPr>
                    <w:tc>
                      <w:tcPr>
                        <w:tcW w:w="1924" w:type="dxa"/>
                        <w:tcBorders>
                          <w:top w:val="single" w:sz="4" w:space="0" w:color="000000"/>
                          <w:bottom w:val="single" w:sz="4" w:space="0" w:color="000000"/>
                        </w:tcBorders>
                      </w:tcPr>
                      <w:p>
                        <w:pPr>
                          <w:pStyle w:val="TableParagraph"/>
                          <w:spacing w:before="11"/>
                          <w:rPr>
                            <w:sz w:val="19"/>
                          </w:rPr>
                        </w:pPr>
                      </w:p>
                      <w:p>
                        <w:pPr>
                          <w:pStyle w:val="TableParagraph"/>
                          <w:ind w:left="427"/>
                          <w:rPr>
                            <w:sz w:val="19"/>
                          </w:rPr>
                        </w:pPr>
                        <w:r>
                          <w:rPr>
                            <w:w w:val="105"/>
                            <w:sz w:val="19"/>
                          </w:rPr>
                          <w:t>1988 – 1991</w:t>
                        </w:r>
                      </w:p>
                    </w:tc>
                    <w:tc>
                      <w:tcPr>
                        <w:tcW w:w="1269" w:type="dxa"/>
                        <w:tcBorders>
                          <w:top w:val="single" w:sz="4" w:space="0" w:color="000000"/>
                          <w:bottom w:val="single" w:sz="4" w:space="0" w:color="000000"/>
                        </w:tcBorders>
                      </w:tcPr>
                      <w:p>
                        <w:pPr>
                          <w:pStyle w:val="TableParagraph"/>
                          <w:spacing w:before="11"/>
                          <w:rPr>
                            <w:sz w:val="19"/>
                          </w:rPr>
                        </w:pPr>
                      </w:p>
                      <w:p>
                        <w:pPr>
                          <w:pStyle w:val="TableParagraph"/>
                          <w:ind w:left="382" w:right="346"/>
                          <w:jc w:val="center"/>
                          <w:rPr>
                            <w:sz w:val="19"/>
                          </w:rPr>
                        </w:pPr>
                        <w:r>
                          <w:rPr>
                            <w:w w:val="105"/>
                            <w:sz w:val="19"/>
                          </w:rPr>
                          <w:t>52.2</w:t>
                        </w:r>
                      </w:p>
                    </w:tc>
                    <w:tc>
                      <w:tcPr>
                        <w:tcW w:w="3104" w:type="dxa"/>
                        <w:gridSpan w:val="2"/>
                        <w:tcBorders>
                          <w:top w:val="single" w:sz="4" w:space="0" w:color="000000"/>
                          <w:bottom w:val="single" w:sz="4" w:space="0" w:color="000000"/>
                        </w:tcBorders>
                      </w:tcPr>
                      <w:p>
                        <w:pPr>
                          <w:pStyle w:val="TableParagraph"/>
                          <w:spacing w:before="4"/>
                          <w:ind w:left="1419"/>
                          <w:rPr>
                            <w:sz w:val="19"/>
                          </w:rPr>
                        </w:pPr>
                        <w:r>
                          <w:rPr>
                            <w:w w:val="105"/>
                            <w:sz w:val="19"/>
                          </w:rPr>
                          <w:t>PAN, FDN (PPS,</w:t>
                        </w:r>
                      </w:p>
                      <w:p>
                        <w:pPr>
                          <w:pStyle w:val="TableParagraph"/>
                          <w:tabs>
                            <w:tab w:pos="1582" w:val="left" w:leader="none"/>
                          </w:tabs>
                          <w:spacing w:line="216" w:lineRule="exact" w:before="12"/>
                          <w:ind w:left="1789" w:right="376" w:hanging="1359"/>
                          <w:rPr>
                            <w:sz w:val="19"/>
                          </w:rPr>
                        </w:pPr>
                        <w:r>
                          <w:rPr>
                            <w:w w:val="105"/>
                            <w:sz w:val="19"/>
                          </w:rPr>
                          <w:t>47.8</w:t>
                          <w:tab/>
                          <w:t>PARM,</w:t>
                        </w:r>
                        <w:r>
                          <w:rPr>
                            <w:spacing w:val="-35"/>
                            <w:w w:val="105"/>
                            <w:sz w:val="19"/>
                          </w:rPr>
                          <w:t> </w:t>
                        </w:r>
                        <w:r>
                          <w:rPr>
                            <w:w w:val="105"/>
                            <w:sz w:val="19"/>
                          </w:rPr>
                          <w:t>PMS,</w:t>
                        </w:r>
                        <w:r>
                          <w:rPr>
                            <w:w w:val="103"/>
                            <w:sz w:val="19"/>
                          </w:rPr>
                          <w:t> </w:t>
                        </w:r>
                        <w:r>
                          <w:rPr>
                            <w:w w:val="105"/>
                            <w:sz w:val="19"/>
                          </w:rPr>
                          <w:t>PFCRN)</w:t>
                        </w:r>
                      </w:p>
                    </w:tc>
                  </w:tr>
                  <w:tr>
                    <w:trPr>
                      <w:trHeight w:val="667" w:hRule="exact"/>
                    </w:trPr>
                    <w:tc>
                      <w:tcPr>
                        <w:tcW w:w="1924" w:type="dxa"/>
                        <w:tcBorders>
                          <w:top w:val="single" w:sz="4" w:space="0" w:color="000000"/>
                          <w:bottom w:val="single" w:sz="4" w:space="0" w:color="000000"/>
                        </w:tcBorders>
                      </w:tcPr>
                      <w:p>
                        <w:pPr>
                          <w:pStyle w:val="TableParagraph"/>
                          <w:spacing w:before="124"/>
                          <w:ind w:left="427"/>
                          <w:rPr>
                            <w:sz w:val="19"/>
                          </w:rPr>
                        </w:pPr>
                        <w:r>
                          <w:rPr>
                            <w:w w:val="105"/>
                            <w:sz w:val="19"/>
                          </w:rPr>
                          <w:t>1991 – 1994</w:t>
                        </w:r>
                      </w:p>
                    </w:tc>
                    <w:tc>
                      <w:tcPr>
                        <w:tcW w:w="1269" w:type="dxa"/>
                        <w:tcBorders>
                          <w:top w:val="single" w:sz="4" w:space="0" w:color="000000"/>
                          <w:bottom w:val="single" w:sz="4" w:space="0" w:color="000000"/>
                        </w:tcBorders>
                      </w:tcPr>
                      <w:p>
                        <w:pPr>
                          <w:pStyle w:val="TableParagraph"/>
                          <w:spacing w:before="124"/>
                          <w:ind w:left="382" w:right="346"/>
                          <w:jc w:val="center"/>
                          <w:rPr>
                            <w:sz w:val="19"/>
                          </w:rPr>
                        </w:pPr>
                        <w:r>
                          <w:rPr>
                            <w:w w:val="105"/>
                            <w:sz w:val="19"/>
                          </w:rPr>
                          <w:t>65.4</w:t>
                        </w:r>
                      </w:p>
                    </w:tc>
                    <w:tc>
                      <w:tcPr>
                        <w:tcW w:w="3104" w:type="dxa"/>
                        <w:gridSpan w:val="2"/>
                        <w:tcBorders>
                          <w:top w:val="single" w:sz="4" w:space="0" w:color="000000"/>
                          <w:bottom w:val="single" w:sz="4" w:space="0" w:color="000000"/>
                        </w:tcBorders>
                      </w:tcPr>
                      <w:p>
                        <w:pPr>
                          <w:pStyle w:val="TableParagraph"/>
                          <w:tabs>
                            <w:tab w:pos="1342" w:val="left" w:leader="none"/>
                          </w:tabs>
                          <w:spacing w:before="14"/>
                          <w:ind w:left="430"/>
                          <w:rPr>
                            <w:sz w:val="19"/>
                          </w:rPr>
                        </w:pPr>
                        <w:r>
                          <w:rPr>
                            <w:w w:val="105"/>
                            <w:position w:val="-10"/>
                            <w:sz w:val="19"/>
                          </w:rPr>
                          <w:t>34.6</w:t>
                          <w:tab/>
                        </w:r>
                        <w:r>
                          <w:rPr>
                            <w:w w:val="105"/>
                            <w:sz w:val="19"/>
                          </w:rPr>
                          <w:t>PAN,</w:t>
                        </w:r>
                        <w:r>
                          <w:rPr>
                            <w:spacing w:val="-23"/>
                            <w:w w:val="105"/>
                            <w:sz w:val="19"/>
                          </w:rPr>
                          <w:t> </w:t>
                        </w:r>
                        <w:r>
                          <w:rPr>
                            <w:w w:val="105"/>
                            <w:sz w:val="19"/>
                          </w:rPr>
                          <w:t>PPS,</w:t>
                        </w:r>
                        <w:r>
                          <w:rPr>
                            <w:spacing w:val="-23"/>
                            <w:w w:val="105"/>
                            <w:sz w:val="19"/>
                          </w:rPr>
                          <w:t> </w:t>
                        </w:r>
                        <w:r>
                          <w:rPr>
                            <w:w w:val="105"/>
                            <w:sz w:val="19"/>
                          </w:rPr>
                          <w:t>PARM,</w:t>
                        </w:r>
                      </w:p>
                    </w:tc>
                  </w:tr>
                  <w:tr>
                    <w:trPr>
                      <w:trHeight w:val="432" w:hRule="exact"/>
                    </w:trPr>
                    <w:tc>
                      <w:tcPr>
                        <w:tcW w:w="1924" w:type="dxa"/>
                        <w:tcBorders>
                          <w:top w:val="single" w:sz="4" w:space="0" w:color="000000"/>
                          <w:bottom w:val="single" w:sz="4" w:space="0" w:color="000000"/>
                        </w:tcBorders>
                      </w:tcPr>
                      <w:p>
                        <w:pPr>
                          <w:pStyle w:val="TableParagraph"/>
                          <w:spacing w:before="4"/>
                          <w:ind w:left="427"/>
                          <w:rPr>
                            <w:sz w:val="19"/>
                          </w:rPr>
                        </w:pPr>
                        <w:r>
                          <w:rPr>
                            <w:w w:val="105"/>
                            <w:sz w:val="19"/>
                          </w:rPr>
                          <w:t>1994 – 1997</w:t>
                        </w:r>
                      </w:p>
                    </w:tc>
                    <w:tc>
                      <w:tcPr>
                        <w:tcW w:w="1269" w:type="dxa"/>
                        <w:tcBorders>
                          <w:top w:val="single" w:sz="4" w:space="0" w:color="000000"/>
                          <w:bottom w:val="single" w:sz="4" w:space="0" w:color="000000"/>
                        </w:tcBorders>
                      </w:tcPr>
                      <w:p>
                        <w:pPr>
                          <w:pStyle w:val="TableParagraph"/>
                          <w:spacing w:before="4"/>
                          <w:ind w:left="382" w:right="346"/>
                          <w:jc w:val="center"/>
                          <w:rPr>
                            <w:sz w:val="19"/>
                          </w:rPr>
                        </w:pPr>
                        <w:r>
                          <w:rPr>
                            <w:w w:val="105"/>
                            <w:sz w:val="19"/>
                          </w:rPr>
                          <w:t>60.2</w:t>
                        </w:r>
                      </w:p>
                    </w:tc>
                    <w:tc>
                      <w:tcPr>
                        <w:tcW w:w="3104" w:type="dxa"/>
                        <w:gridSpan w:val="2"/>
                        <w:tcBorders>
                          <w:top w:val="single" w:sz="4" w:space="0" w:color="000000"/>
                          <w:bottom w:val="single" w:sz="4" w:space="0" w:color="000000"/>
                        </w:tcBorders>
                      </w:tcPr>
                      <w:p>
                        <w:pPr>
                          <w:pStyle w:val="TableParagraph"/>
                          <w:tabs>
                            <w:tab w:pos="1515" w:val="left" w:leader="none"/>
                          </w:tabs>
                          <w:spacing w:before="4"/>
                          <w:ind w:left="430"/>
                          <w:rPr>
                            <w:sz w:val="19"/>
                          </w:rPr>
                        </w:pPr>
                        <w:r>
                          <w:rPr>
                            <w:w w:val="105"/>
                            <w:sz w:val="19"/>
                          </w:rPr>
                          <w:t>39.8</w:t>
                          <w:tab/>
                          <w:t>PAN, PRD,</w:t>
                        </w:r>
                        <w:r>
                          <w:rPr>
                            <w:spacing w:val="-42"/>
                            <w:w w:val="105"/>
                            <w:sz w:val="19"/>
                          </w:rPr>
                          <w:t> </w:t>
                        </w:r>
                        <w:r>
                          <w:rPr>
                            <w:w w:val="105"/>
                            <w:sz w:val="19"/>
                          </w:rPr>
                          <w:t>PT</w:t>
                        </w:r>
                      </w:p>
                    </w:tc>
                  </w:tr>
                  <w:tr>
                    <w:trPr>
                      <w:trHeight w:val="667" w:hRule="exact"/>
                    </w:trPr>
                    <w:tc>
                      <w:tcPr>
                        <w:tcW w:w="1924" w:type="dxa"/>
                        <w:tcBorders>
                          <w:top w:val="single" w:sz="4" w:space="0" w:color="000000"/>
                          <w:bottom w:val="single" w:sz="4" w:space="0" w:color="000000"/>
                        </w:tcBorders>
                      </w:tcPr>
                      <w:p>
                        <w:pPr>
                          <w:pStyle w:val="TableParagraph"/>
                          <w:spacing w:before="129"/>
                          <w:ind w:left="427"/>
                          <w:rPr>
                            <w:sz w:val="19"/>
                          </w:rPr>
                        </w:pPr>
                        <w:r>
                          <w:rPr>
                            <w:w w:val="105"/>
                            <w:sz w:val="19"/>
                          </w:rPr>
                          <w:t>1997 – 2000</w:t>
                        </w:r>
                      </w:p>
                    </w:tc>
                    <w:tc>
                      <w:tcPr>
                        <w:tcW w:w="1269" w:type="dxa"/>
                        <w:tcBorders>
                          <w:top w:val="single" w:sz="4" w:space="0" w:color="000000"/>
                          <w:bottom w:val="single" w:sz="4" w:space="0" w:color="000000"/>
                        </w:tcBorders>
                      </w:tcPr>
                      <w:p>
                        <w:pPr>
                          <w:pStyle w:val="TableParagraph"/>
                          <w:spacing w:before="129"/>
                          <w:ind w:left="382" w:right="346"/>
                          <w:jc w:val="center"/>
                          <w:rPr>
                            <w:sz w:val="19"/>
                          </w:rPr>
                        </w:pPr>
                        <w:r>
                          <w:rPr>
                            <w:w w:val="105"/>
                            <w:sz w:val="19"/>
                          </w:rPr>
                          <w:t>47.6</w:t>
                        </w:r>
                      </w:p>
                    </w:tc>
                    <w:tc>
                      <w:tcPr>
                        <w:tcW w:w="3104" w:type="dxa"/>
                        <w:gridSpan w:val="2"/>
                        <w:tcBorders>
                          <w:top w:val="single" w:sz="4" w:space="0" w:color="000000"/>
                          <w:bottom w:val="single" w:sz="4" w:space="0" w:color="000000"/>
                        </w:tcBorders>
                      </w:tcPr>
                      <w:p>
                        <w:pPr>
                          <w:pStyle w:val="TableParagraph"/>
                          <w:tabs>
                            <w:tab w:pos="1337" w:val="left" w:leader="none"/>
                          </w:tabs>
                          <w:spacing w:before="18"/>
                          <w:ind w:left="430"/>
                          <w:rPr>
                            <w:sz w:val="19"/>
                          </w:rPr>
                        </w:pPr>
                        <w:r>
                          <w:rPr>
                            <w:w w:val="105"/>
                            <w:position w:val="-10"/>
                            <w:sz w:val="19"/>
                          </w:rPr>
                          <w:t>52.4</w:t>
                          <w:tab/>
                        </w:r>
                        <w:r>
                          <w:rPr>
                            <w:w w:val="105"/>
                            <w:sz w:val="19"/>
                          </w:rPr>
                          <w:t>PAN,</w:t>
                        </w:r>
                        <w:r>
                          <w:rPr>
                            <w:spacing w:val="-24"/>
                            <w:w w:val="105"/>
                            <w:sz w:val="19"/>
                          </w:rPr>
                          <w:t> </w:t>
                        </w:r>
                        <w:r>
                          <w:rPr>
                            <w:w w:val="105"/>
                            <w:sz w:val="19"/>
                          </w:rPr>
                          <w:t>PRD,</w:t>
                        </w:r>
                        <w:r>
                          <w:rPr>
                            <w:spacing w:val="-24"/>
                            <w:w w:val="105"/>
                            <w:sz w:val="19"/>
                          </w:rPr>
                          <w:t> </w:t>
                        </w:r>
                        <w:r>
                          <w:rPr>
                            <w:w w:val="105"/>
                            <w:sz w:val="19"/>
                          </w:rPr>
                          <w:t>PVEM,</w:t>
                        </w:r>
                      </w:p>
                    </w:tc>
                  </w:tr>
                  <w:tr>
                    <w:trPr>
                      <w:trHeight w:val="736" w:hRule="exact"/>
                    </w:trPr>
                    <w:tc>
                      <w:tcPr>
                        <w:tcW w:w="1924" w:type="dxa"/>
                        <w:tcBorders>
                          <w:top w:val="single" w:sz="4" w:space="0" w:color="000000"/>
                        </w:tcBorders>
                      </w:tcPr>
                      <w:p>
                        <w:pPr>
                          <w:pStyle w:val="TableParagraph"/>
                          <w:spacing w:before="11"/>
                          <w:rPr>
                            <w:sz w:val="19"/>
                          </w:rPr>
                        </w:pPr>
                      </w:p>
                      <w:p>
                        <w:pPr>
                          <w:pStyle w:val="TableParagraph"/>
                          <w:ind w:left="427"/>
                          <w:rPr>
                            <w:sz w:val="19"/>
                          </w:rPr>
                        </w:pPr>
                        <w:r>
                          <w:rPr>
                            <w:w w:val="105"/>
                            <w:sz w:val="19"/>
                          </w:rPr>
                          <w:t>2000 – 2003</w:t>
                        </w:r>
                      </w:p>
                    </w:tc>
                    <w:tc>
                      <w:tcPr>
                        <w:tcW w:w="1269" w:type="dxa"/>
                        <w:tcBorders>
                          <w:top w:val="single" w:sz="4" w:space="0" w:color="000000"/>
                        </w:tcBorders>
                      </w:tcPr>
                      <w:p>
                        <w:pPr>
                          <w:pStyle w:val="TableParagraph"/>
                          <w:spacing w:before="11"/>
                          <w:rPr>
                            <w:sz w:val="19"/>
                          </w:rPr>
                        </w:pPr>
                      </w:p>
                      <w:p>
                        <w:pPr>
                          <w:pStyle w:val="TableParagraph"/>
                          <w:ind w:left="382" w:right="346"/>
                          <w:jc w:val="center"/>
                          <w:rPr>
                            <w:sz w:val="19"/>
                          </w:rPr>
                        </w:pPr>
                        <w:r>
                          <w:rPr>
                            <w:w w:val="105"/>
                            <w:sz w:val="19"/>
                          </w:rPr>
                          <w:t>41.2</w:t>
                        </w:r>
                      </w:p>
                    </w:tc>
                    <w:tc>
                      <w:tcPr>
                        <w:tcW w:w="3104" w:type="dxa"/>
                        <w:gridSpan w:val="2"/>
                        <w:tcBorders>
                          <w:top w:val="single" w:sz="4" w:space="0" w:color="000000"/>
                        </w:tcBorders>
                      </w:tcPr>
                      <w:p>
                        <w:pPr>
                          <w:pStyle w:val="TableParagraph"/>
                          <w:spacing w:before="4"/>
                          <w:ind w:left="1376"/>
                          <w:rPr>
                            <w:sz w:val="19"/>
                          </w:rPr>
                        </w:pPr>
                        <w:r>
                          <w:rPr>
                            <w:w w:val="105"/>
                            <w:sz w:val="19"/>
                          </w:rPr>
                          <w:t>PRI, PRD, PVEM,</w:t>
                        </w:r>
                      </w:p>
                      <w:p>
                        <w:pPr>
                          <w:pStyle w:val="TableParagraph"/>
                          <w:tabs>
                            <w:tab w:pos="1553" w:val="left" w:leader="none"/>
                          </w:tabs>
                          <w:spacing w:line="242" w:lineRule="auto" w:before="7"/>
                          <w:ind w:left="1477" w:right="262" w:hanging="1047"/>
                          <w:rPr>
                            <w:sz w:val="19"/>
                          </w:rPr>
                        </w:pPr>
                        <w:r>
                          <w:rPr>
                            <w:w w:val="105"/>
                            <w:sz w:val="19"/>
                          </w:rPr>
                          <w:t>58.8</w:t>
                          <w:tab/>
                          <w:tab/>
                          <w:t>PT,</w:t>
                        </w:r>
                        <w:r>
                          <w:rPr>
                            <w:spacing w:val="-14"/>
                            <w:w w:val="105"/>
                            <w:sz w:val="19"/>
                          </w:rPr>
                          <w:t> </w:t>
                        </w:r>
                        <w:r>
                          <w:rPr>
                            <w:w w:val="105"/>
                            <w:sz w:val="19"/>
                          </w:rPr>
                          <w:t>PAS,</w:t>
                        </w:r>
                        <w:r>
                          <w:rPr>
                            <w:spacing w:val="-18"/>
                            <w:w w:val="105"/>
                            <w:sz w:val="19"/>
                          </w:rPr>
                          <w:t> </w:t>
                        </w:r>
                        <w:r>
                          <w:rPr>
                            <w:w w:val="105"/>
                            <w:sz w:val="19"/>
                          </w:rPr>
                          <w:t>CD-</w:t>
                        </w:r>
                        <w:r>
                          <w:rPr>
                            <w:w w:val="103"/>
                            <w:sz w:val="19"/>
                          </w:rPr>
                          <w:t> </w:t>
                        </w:r>
                        <w:r>
                          <w:rPr>
                            <w:w w:val="105"/>
                            <w:sz w:val="19"/>
                          </w:rPr>
                          <w:t>PPN,PSN,</w:t>
                        </w:r>
                        <w:r>
                          <w:rPr>
                            <w:spacing w:val="-29"/>
                            <w:w w:val="105"/>
                            <w:sz w:val="19"/>
                          </w:rPr>
                          <w:t> </w:t>
                        </w:r>
                        <w:r>
                          <w:rPr>
                            <w:w w:val="105"/>
                            <w:sz w:val="19"/>
                          </w:rPr>
                          <w:t>IND.</w:t>
                        </w:r>
                      </w:p>
                    </w:tc>
                  </w:tr>
                  <w:tr>
                    <w:trPr>
                      <w:trHeight w:val="482" w:hRule="exact"/>
                    </w:trPr>
                    <w:tc>
                      <w:tcPr>
                        <w:tcW w:w="1924" w:type="dxa"/>
                      </w:tcPr>
                      <w:p>
                        <w:pPr>
                          <w:pStyle w:val="TableParagraph"/>
                          <w:spacing w:before="2"/>
                          <w:rPr>
                            <w:sz w:val="23"/>
                          </w:rPr>
                        </w:pPr>
                      </w:p>
                      <w:p>
                        <w:pPr>
                          <w:pStyle w:val="TableParagraph"/>
                          <w:ind w:left="427"/>
                          <w:rPr>
                            <w:sz w:val="19"/>
                          </w:rPr>
                        </w:pPr>
                        <w:r>
                          <w:rPr>
                            <w:w w:val="105"/>
                            <w:sz w:val="19"/>
                          </w:rPr>
                          <w:t>2003 – 2006</w:t>
                        </w:r>
                      </w:p>
                    </w:tc>
                    <w:tc>
                      <w:tcPr>
                        <w:tcW w:w="1269" w:type="dxa"/>
                      </w:tcPr>
                      <w:p>
                        <w:pPr>
                          <w:pStyle w:val="TableParagraph"/>
                          <w:spacing w:before="2"/>
                          <w:rPr>
                            <w:sz w:val="23"/>
                          </w:rPr>
                        </w:pPr>
                      </w:p>
                      <w:p>
                        <w:pPr>
                          <w:pStyle w:val="TableParagraph"/>
                          <w:ind w:left="382" w:right="347"/>
                          <w:jc w:val="center"/>
                          <w:rPr>
                            <w:sz w:val="19"/>
                          </w:rPr>
                        </w:pPr>
                        <w:r>
                          <w:rPr>
                            <w:w w:val="105"/>
                            <w:sz w:val="19"/>
                          </w:rPr>
                          <w:t>29.59</w:t>
                        </w:r>
                      </w:p>
                    </w:tc>
                    <w:tc>
                      <w:tcPr>
                        <w:tcW w:w="3104" w:type="dxa"/>
                        <w:gridSpan w:val="2"/>
                      </w:tcPr>
                      <w:p>
                        <w:pPr>
                          <w:pStyle w:val="TableParagraph"/>
                          <w:tabs>
                            <w:tab w:pos="1376" w:val="left" w:leader="none"/>
                          </w:tabs>
                          <w:spacing w:before="156"/>
                          <w:ind w:left="377"/>
                          <w:rPr>
                            <w:sz w:val="19"/>
                          </w:rPr>
                        </w:pPr>
                        <w:r>
                          <w:rPr>
                            <w:spacing w:val="-3"/>
                            <w:w w:val="105"/>
                            <w:position w:val="-10"/>
                            <w:sz w:val="19"/>
                          </w:rPr>
                          <w:t>69.91</w:t>
                          <w:tab/>
                        </w:r>
                        <w:r>
                          <w:rPr>
                            <w:w w:val="105"/>
                            <w:sz w:val="19"/>
                          </w:rPr>
                          <w:t>PRI, PRD,</w:t>
                        </w:r>
                        <w:r>
                          <w:rPr>
                            <w:spacing w:val="-31"/>
                            <w:w w:val="105"/>
                            <w:sz w:val="19"/>
                          </w:rPr>
                          <w:t> </w:t>
                        </w:r>
                        <w:r>
                          <w:rPr>
                            <w:spacing w:val="-3"/>
                            <w:w w:val="105"/>
                            <w:sz w:val="19"/>
                          </w:rPr>
                          <w:t>PVEM,</w:t>
                        </w:r>
                      </w:p>
                    </w:tc>
                  </w:tr>
                </w:tbl>
                <w:p>
                  <w:pPr>
                    <w:pStyle w:val="BodyText"/>
                  </w:pPr>
                </w:p>
              </w:txbxContent>
            </v:textbox>
            <w10:wrap type="none"/>
          </v:shape>
        </w:pict>
      </w:r>
      <w:r>
        <w:rPr>
          <w:w w:val="105"/>
          <w:sz w:val="19"/>
        </w:rPr>
        <w:t>PDM, PC, PST</w:t>
      </w:r>
    </w:p>
    <w:p>
      <w:pPr>
        <w:pStyle w:val="BodyText"/>
        <w:rPr>
          <w:sz w:val="20"/>
        </w:rPr>
      </w:pPr>
    </w:p>
    <w:p>
      <w:pPr>
        <w:pStyle w:val="BodyText"/>
        <w:rPr>
          <w:sz w:val="20"/>
        </w:rPr>
      </w:pPr>
    </w:p>
    <w:p>
      <w:pPr>
        <w:pStyle w:val="BodyText"/>
        <w:rPr>
          <w:sz w:val="20"/>
        </w:rPr>
      </w:pPr>
    </w:p>
    <w:p>
      <w:pPr>
        <w:pStyle w:val="BodyText"/>
        <w:spacing w:before="1"/>
        <w:rPr>
          <w:sz w:val="11"/>
        </w:rPr>
      </w:pPr>
      <w:r>
        <w:rPr/>
        <w:pict>
          <v:group style="position:absolute;margin-left:166.309998pt;margin-top:8.359733pt;width:315.4pt;height:.5pt;mso-position-horizontal-relative:page;mso-position-vertical-relative:paragraph;z-index:1840;mso-wrap-distance-left:0;mso-wrap-distance-right:0" coordorigin="3326,167" coordsize="6308,10">
            <v:line style="position:absolute" from="3331,172" to="5261,172" stroked="true" strokeweight=".48pt" strokecolor="#000000"/>
            <v:line style="position:absolute" from="5261,172" to="5270,172" stroked="true" strokeweight=".48pt" strokecolor="#000000"/>
            <v:line style="position:absolute" from="5270,172" to="6562,172" stroked="true" strokeweight=".48pt" strokecolor="#000000"/>
            <v:line style="position:absolute" from="6562,172" to="6571,172" stroked="true" strokeweight=".48pt" strokecolor="#000000"/>
            <v:line style="position:absolute" from="6571,172" to="7723,172" stroked="true" strokeweight=".48pt" strokecolor="#000000"/>
            <v:line style="position:absolute" from="7723,172" to="7733,172" stroked="true" strokeweight=".48pt" strokecolor="#000000"/>
            <v:line style="position:absolute" from="7733,172" to="9629,172" stroked="true" strokeweight=".48pt" strokecolor="#000000"/>
            <w10:wrap type="topAndBottom"/>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5"/>
        </w:rPr>
      </w:pPr>
    </w:p>
    <w:p>
      <w:pPr>
        <w:spacing w:before="81"/>
        <w:ind w:left="120" w:right="1089" w:firstLine="0"/>
        <w:jc w:val="right"/>
        <w:rPr>
          <w:sz w:val="19"/>
        </w:rPr>
      </w:pPr>
      <w:r>
        <w:rPr>
          <w:w w:val="105"/>
          <w:sz w:val="19"/>
        </w:rPr>
        <w:t>PRD, PFCRN</w:t>
      </w:r>
    </w:p>
    <w:p>
      <w:pPr>
        <w:pStyle w:val="BodyText"/>
        <w:rPr>
          <w:sz w:val="20"/>
        </w:rPr>
      </w:pPr>
    </w:p>
    <w:p>
      <w:pPr>
        <w:pStyle w:val="BodyText"/>
        <w:rPr>
          <w:sz w:val="20"/>
        </w:rPr>
      </w:pPr>
    </w:p>
    <w:p>
      <w:pPr>
        <w:pStyle w:val="BodyText"/>
        <w:spacing w:before="6"/>
        <w:rPr>
          <w:sz w:val="29"/>
        </w:rPr>
      </w:pPr>
    </w:p>
    <w:p>
      <w:pPr>
        <w:spacing w:before="81"/>
        <w:ind w:left="120" w:right="1295" w:firstLine="0"/>
        <w:jc w:val="right"/>
        <w:rPr>
          <w:sz w:val="19"/>
        </w:rPr>
      </w:pPr>
      <w:r>
        <w:rPr>
          <w:w w:val="105"/>
          <w:sz w:val="19"/>
        </w:rPr>
        <w:t>PT, IND.</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7"/>
        </w:rPr>
      </w:pPr>
    </w:p>
    <w:p>
      <w:pPr>
        <w:spacing w:before="81"/>
        <w:ind w:left="120" w:right="805" w:firstLine="0"/>
        <w:jc w:val="right"/>
        <w:rPr>
          <w:sz w:val="19"/>
        </w:rPr>
      </w:pPr>
      <w:r>
        <w:rPr>
          <w:w w:val="105"/>
          <w:sz w:val="19"/>
        </w:rPr>
        <w:t>CONVER., PT, IND.</w:t>
      </w:r>
    </w:p>
    <w:p>
      <w:pPr>
        <w:pStyle w:val="BodyText"/>
        <w:spacing w:before="6"/>
        <w:rPr>
          <w:sz w:val="13"/>
        </w:rPr>
      </w:pPr>
      <w:r>
        <w:rPr/>
        <w:pict>
          <v:group style="position:absolute;margin-left:165.589996pt;margin-top:9.737823pt;width:316.1pt;height:.5pt;mso-position-horizontal-relative:page;mso-position-vertical-relative:paragraph;z-index:1864;mso-wrap-distance-left:0;mso-wrap-distance-right:0" coordorigin="3312,195" coordsize="6322,10">
            <v:line style="position:absolute" from="3317,200" to="5261,200" stroked="true" strokeweight=".48pt" strokecolor="#000000"/>
            <v:line style="position:absolute" from="5246,200" to="5256,200" stroked="true" strokeweight=".48pt" strokecolor="#000000"/>
            <v:line style="position:absolute" from="5256,200" to="6562,200" stroked="true" strokeweight=".48pt" strokecolor="#000000"/>
            <v:line style="position:absolute" from="6547,200" to="6557,200" stroked="true" strokeweight=".48pt" strokecolor="#000000"/>
            <v:line style="position:absolute" from="6557,200" to="7723,200" stroked="true" strokeweight=".48pt" strokecolor="#000000"/>
            <v:line style="position:absolute" from="7709,200" to="7718,200" stroked="true" strokeweight=".48pt" strokecolor="#000000"/>
            <v:line style="position:absolute" from="7718,200" to="9629,200" stroked="true" strokeweight=".48pt" strokecolor="#000000"/>
            <w10:wrap type="topAndBottom"/>
          </v:group>
        </w:pict>
      </w:r>
    </w:p>
    <w:p>
      <w:pPr>
        <w:spacing w:line="189" w:lineRule="exact" w:before="0"/>
        <w:ind w:left="115" w:right="191" w:firstLine="0"/>
        <w:jc w:val="left"/>
        <w:rPr>
          <w:sz w:val="19"/>
        </w:rPr>
      </w:pPr>
      <w:r>
        <w:rPr>
          <w:w w:val="105"/>
          <w:sz w:val="19"/>
        </w:rPr>
        <w:t>* PRI hasta el año 2000, PAN en el periodo 2000 – 2006.</w:t>
      </w:r>
    </w:p>
    <w:p>
      <w:pPr>
        <w:spacing w:before="7"/>
        <w:ind w:left="115" w:right="191" w:firstLine="0"/>
        <w:jc w:val="left"/>
        <w:rPr>
          <w:sz w:val="19"/>
        </w:rPr>
      </w:pPr>
      <w:r>
        <w:rPr>
          <w:w w:val="105"/>
          <w:sz w:val="19"/>
        </w:rPr>
        <w:t>Fuente: Ugalde, 2001 y Gómez Tagle, 2001</w:t>
      </w:r>
    </w:p>
    <w:p>
      <w:pPr>
        <w:pStyle w:val="BodyText"/>
        <w:rPr>
          <w:sz w:val="20"/>
        </w:rPr>
      </w:pPr>
    </w:p>
    <w:p>
      <w:pPr>
        <w:pStyle w:val="BodyText"/>
        <w:spacing w:line="367" w:lineRule="auto" w:before="171"/>
        <w:ind w:left="115" w:right="109" w:firstLine="686"/>
        <w:jc w:val="both"/>
      </w:pPr>
      <w:r>
        <w:rPr/>
        <w:t>Por otra parte, </w:t>
      </w:r>
      <w:r>
        <w:rPr>
          <w:spacing w:val="-5"/>
        </w:rPr>
        <w:t>la </w:t>
      </w:r>
      <w:r>
        <w:rPr/>
        <w:t>Cámara de Senadores, a pesar de observar una evolución mucho </w:t>
      </w:r>
      <w:r>
        <w:rPr>
          <w:spacing w:val="-3"/>
        </w:rPr>
        <w:t>más </w:t>
      </w:r>
      <w:r>
        <w:rPr/>
        <w:t>lenta, también registró cambios </w:t>
      </w:r>
      <w:r>
        <w:rPr>
          <w:spacing w:val="-3"/>
        </w:rPr>
        <w:t>en </w:t>
      </w:r>
      <w:r>
        <w:rPr/>
        <w:t>cuanto a su composición  e  influencia para desempeñar su función de cámara revisora de las propuestas legislativas. Ya desde 1997, al quedar en </w:t>
      </w:r>
      <w:r>
        <w:rPr>
          <w:spacing w:val="-3"/>
        </w:rPr>
        <w:t>manos </w:t>
      </w:r>
      <w:r>
        <w:rPr/>
        <w:t>del partido gobernante </w:t>
      </w:r>
      <w:r>
        <w:rPr>
          <w:spacing w:val="-5"/>
        </w:rPr>
        <w:t>la </w:t>
      </w:r>
      <w:r>
        <w:rPr/>
        <w:t>mayoría en </w:t>
      </w:r>
      <w:r>
        <w:rPr>
          <w:spacing w:val="-5"/>
        </w:rPr>
        <w:t>la </w:t>
      </w:r>
      <w:r>
        <w:rPr/>
        <w:t>Cámara de Senadores, ésta se vio en la posibilidad de detener las iniciativas de ley provenientes de la cámara</w:t>
      </w:r>
      <w:r>
        <w:rPr>
          <w:spacing w:val="53"/>
        </w:rPr>
        <w:t> </w:t>
      </w:r>
      <w:r>
        <w:rPr>
          <w:spacing w:val="-3"/>
        </w:rPr>
        <w:t>baja.</w:t>
      </w:r>
    </w:p>
    <w:p>
      <w:pPr>
        <w:pStyle w:val="BodyText"/>
        <w:spacing w:line="364" w:lineRule="auto"/>
        <w:ind w:left="115" w:right="113" w:firstLine="686"/>
        <w:jc w:val="both"/>
      </w:pPr>
      <w:r>
        <w:rPr/>
        <w:t>La introducción de Senadores de primera minoría (1993) y plurinominales (1996), allanó el camino para que los partidos opositores accedieran a un    espacio</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6"/>
        <w:rPr>
          <w:sz w:val="19"/>
        </w:rPr>
      </w:pPr>
    </w:p>
    <w:p>
      <w:pPr>
        <w:pStyle w:val="BodyText"/>
        <w:spacing w:line="364" w:lineRule="auto"/>
        <w:ind w:left="115" w:right="109"/>
        <w:jc w:val="both"/>
      </w:pPr>
      <w:r>
        <w:rPr/>
        <w:t>de </w:t>
      </w:r>
      <w:r>
        <w:rPr>
          <w:spacing w:val="-3"/>
        </w:rPr>
        <w:t>la </w:t>
      </w:r>
      <w:r>
        <w:rPr/>
        <w:t>representación que les había estado vetado</w:t>
      </w:r>
      <w:r>
        <w:rPr>
          <w:position w:val="11"/>
          <w:sz w:val="15"/>
        </w:rPr>
        <w:t>32</w:t>
      </w:r>
      <w:r>
        <w:rPr/>
        <w:t>, dinamizando con </w:t>
      </w:r>
      <w:r>
        <w:rPr>
          <w:spacing w:val="-3"/>
        </w:rPr>
        <w:t>ello </w:t>
      </w:r>
      <w:r>
        <w:rPr>
          <w:spacing w:val="-2"/>
        </w:rPr>
        <w:t>los </w:t>
      </w:r>
      <w:r>
        <w:rPr/>
        <w:t>sistemas de control que prevé una estructura de gobierno con división de poderes. Con </w:t>
      </w:r>
      <w:r>
        <w:rPr>
          <w:spacing w:val="-4"/>
        </w:rPr>
        <w:t>la </w:t>
      </w:r>
      <w:r>
        <w:rPr/>
        <w:t>alternancia del gobierno federal en las elecciones de 2000, por primera ocasión </w:t>
      </w:r>
      <w:r>
        <w:rPr>
          <w:spacing w:val="-3"/>
        </w:rPr>
        <w:t>la </w:t>
      </w:r>
      <w:r>
        <w:rPr/>
        <w:t>oposición en su conjunto obtuvo el control mayoritario de ambas  cámaras.</w:t>
      </w:r>
    </w:p>
    <w:p>
      <w:pPr>
        <w:pStyle w:val="BodyText"/>
        <w:rPr>
          <w:sz w:val="22"/>
        </w:rPr>
      </w:pPr>
    </w:p>
    <w:p>
      <w:pPr>
        <w:spacing w:before="155"/>
        <w:ind w:left="2056" w:right="2052" w:firstLine="0"/>
        <w:jc w:val="center"/>
        <w:rPr>
          <w:b/>
          <w:sz w:val="21"/>
        </w:rPr>
      </w:pPr>
      <w:r>
        <w:rPr>
          <w:b/>
          <w:sz w:val="21"/>
        </w:rPr>
        <w:t>Tabla Nº 2</w:t>
      </w:r>
    </w:p>
    <w:p>
      <w:pPr>
        <w:spacing w:before="8"/>
        <w:ind w:left="2056" w:right="2048" w:firstLine="0"/>
        <w:jc w:val="center"/>
        <w:rPr>
          <w:b/>
          <w:sz w:val="21"/>
        </w:rPr>
      </w:pPr>
      <w:r>
        <w:rPr>
          <w:b/>
          <w:sz w:val="21"/>
        </w:rPr>
        <w:t>Evolución de la oposición partidista en la Cámara </w:t>
      </w:r>
      <w:r>
        <w:rPr>
          <w:b/>
          <w:spacing w:val="-3"/>
          <w:sz w:val="21"/>
        </w:rPr>
        <w:t>de </w:t>
      </w:r>
      <w:r>
        <w:rPr>
          <w:b/>
          <w:sz w:val="21"/>
        </w:rPr>
        <w:t>Senadores</w:t>
      </w:r>
      <w:r>
        <w:rPr>
          <w:b/>
          <w:spacing w:val="57"/>
          <w:sz w:val="21"/>
        </w:rPr>
        <w:t> </w:t>
      </w:r>
      <w:r>
        <w:rPr>
          <w:b/>
          <w:sz w:val="21"/>
        </w:rPr>
        <w:t>1988-2003</w:t>
      </w:r>
    </w:p>
    <w:p>
      <w:pPr>
        <w:pStyle w:val="BodyText"/>
        <w:rPr>
          <w:b/>
          <w:sz w:val="20"/>
        </w:rPr>
      </w:pPr>
    </w:p>
    <w:p>
      <w:pPr>
        <w:pStyle w:val="BodyText"/>
        <w:rPr>
          <w:b/>
          <w:sz w:val="20"/>
        </w:rPr>
      </w:pPr>
    </w:p>
    <w:p>
      <w:pPr>
        <w:pStyle w:val="BodyText"/>
        <w:spacing w:before="1"/>
        <w:rPr>
          <w:b/>
          <w:sz w:val="11"/>
        </w:rPr>
      </w:pPr>
      <w:r>
        <w:rPr/>
        <w:pict>
          <v:group style="position:absolute;margin-left:120.948997pt;margin-top:8.369860pt;width:353.55pt;height:.5pt;mso-position-horizontal-relative:page;mso-position-vertical-relative:paragraph;z-index:1912;mso-wrap-distance-left:0;mso-wrap-distance-right:0" coordorigin="2419,167" coordsize="7071,10">
            <v:line style="position:absolute" from="2424,172" to="3826,172" stroked="true" strokeweight=".48pt" strokecolor="#000000"/>
            <v:line style="position:absolute" from="3826,172" to="3835,172" stroked="true" strokeweight=".48pt" strokecolor="#000000"/>
            <v:line style="position:absolute" from="3835,172" to="5933,172" stroked="true" strokeweight=".48pt" strokecolor="#000000"/>
            <v:line style="position:absolute" from="5933,172" to="5942,172" stroked="true" strokeweight=".48pt" strokecolor="#000000"/>
            <v:line style="position:absolute" from="5942,172" to="7709,172" stroked="true" strokeweight=".48pt" strokecolor="#000000"/>
            <v:line style="position:absolute" from="7709,172" to="7718,172" stroked="true" strokeweight=".48pt" strokecolor="#000000"/>
            <v:line style="position:absolute" from="7718,172" to="9485,172" stroked="true" strokeweight=".48pt" strokecolor="#000000"/>
            <w10:wrap type="topAndBottom"/>
          </v:group>
        </w:pict>
      </w:r>
    </w:p>
    <w:p>
      <w:pPr>
        <w:tabs>
          <w:tab w:pos="2477" w:val="left" w:leader="none"/>
          <w:tab w:pos="5338" w:val="left" w:leader="none"/>
        </w:tabs>
        <w:spacing w:before="0"/>
        <w:ind w:left="1253" w:right="191" w:firstLine="0"/>
        <w:jc w:val="left"/>
        <w:rPr>
          <w:sz w:val="19"/>
        </w:rPr>
      </w:pPr>
      <w:r>
        <w:rPr>
          <w:w w:val="105"/>
          <w:sz w:val="19"/>
        </w:rPr>
        <w:t>Periodo</w:t>
        <w:tab/>
        <w:t>Partido</w:t>
      </w:r>
      <w:r>
        <w:rPr>
          <w:spacing w:val="-16"/>
          <w:w w:val="105"/>
          <w:sz w:val="19"/>
        </w:rPr>
        <w:t> </w:t>
      </w:r>
      <w:r>
        <w:rPr>
          <w:w w:val="105"/>
          <w:sz w:val="19"/>
        </w:rPr>
        <w:t>gobernante*</w:t>
        <w:tab/>
      </w:r>
      <w:r>
        <w:rPr>
          <w:sz w:val="19"/>
        </w:rPr>
        <w:t>Partidos</w:t>
      </w:r>
      <w:r>
        <w:rPr>
          <w:spacing w:val="36"/>
          <w:sz w:val="19"/>
        </w:rPr>
        <w:t> </w:t>
      </w:r>
      <w:r>
        <w:rPr>
          <w:sz w:val="19"/>
        </w:rPr>
        <w:t>opositores</w:t>
      </w:r>
    </w:p>
    <w:p>
      <w:pPr>
        <w:pStyle w:val="BodyText"/>
        <w:spacing w:before="9"/>
        <w:rPr>
          <w:sz w:val="27"/>
        </w:rPr>
      </w:pPr>
    </w:p>
    <w:tbl>
      <w:tblPr>
        <w:tblW w:w="0" w:type="auto"/>
        <w:jc w:val="left"/>
        <w:tblInd w:w="8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35"/>
        <w:gridCol w:w="1691"/>
        <w:gridCol w:w="1558"/>
        <w:gridCol w:w="2077"/>
      </w:tblGrid>
      <w:tr>
        <w:trPr>
          <w:trHeight w:val="542" w:hRule="exact"/>
        </w:trPr>
        <w:tc>
          <w:tcPr>
            <w:tcW w:w="1735" w:type="dxa"/>
            <w:tcBorders>
              <w:left w:val="nil"/>
              <w:right w:val="nil"/>
            </w:tcBorders>
          </w:tcPr>
          <w:p>
            <w:pPr/>
          </w:p>
        </w:tc>
        <w:tc>
          <w:tcPr>
            <w:tcW w:w="1691" w:type="dxa"/>
            <w:tcBorders>
              <w:left w:val="nil"/>
              <w:right w:val="nil"/>
            </w:tcBorders>
          </w:tcPr>
          <w:p>
            <w:pPr>
              <w:pStyle w:val="TableParagraph"/>
              <w:spacing w:before="4"/>
              <w:ind w:right="234"/>
              <w:jc w:val="center"/>
              <w:rPr>
                <w:sz w:val="19"/>
              </w:rPr>
            </w:pPr>
            <w:r>
              <w:rPr>
                <w:w w:val="103"/>
                <w:sz w:val="19"/>
              </w:rPr>
              <w:t>%</w:t>
            </w:r>
          </w:p>
        </w:tc>
        <w:tc>
          <w:tcPr>
            <w:tcW w:w="1558" w:type="dxa"/>
            <w:tcBorders>
              <w:left w:val="nil"/>
              <w:right w:val="nil"/>
            </w:tcBorders>
          </w:tcPr>
          <w:p>
            <w:pPr>
              <w:pStyle w:val="TableParagraph"/>
              <w:spacing w:before="4"/>
              <w:ind w:left="394"/>
              <w:jc w:val="center"/>
              <w:rPr>
                <w:sz w:val="19"/>
              </w:rPr>
            </w:pPr>
            <w:r>
              <w:rPr>
                <w:w w:val="103"/>
                <w:sz w:val="19"/>
              </w:rPr>
              <w:t>%</w:t>
            </w:r>
          </w:p>
        </w:tc>
        <w:tc>
          <w:tcPr>
            <w:tcW w:w="2077" w:type="dxa"/>
            <w:tcBorders>
              <w:left w:val="nil"/>
              <w:right w:val="nil"/>
            </w:tcBorders>
          </w:tcPr>
          <w:p>
            <w:pPr/>
          </w:p>
        </w:tc>
      </w:tr>
      <w:tr>
        <w:trPr>
          <w:trHeight w:val="557" w:hRule="exact"/>
        </w:trPr>
        <w:tc>
          <w:tcPr>
            <w:tcW w:w="1735" w:type="dxa"/>
            <w:tcBorders>
              <w:left w:val="nil"/>
              <w:right w:val="nil"/>
            </w:tcBorders>
          </w:tcPr>
          <w:p>
            <w:pPr>
              <w:pStyle w:val="TableParagraph"/>
              <w:spacing w:before="18"/>
              <w:ind w:left="163"/>
              <w:rPr>
                <w:sz w:val="19"/>
              </w:rPr>
            </w:pPr>
            <w:r>
              <w:rPr>
                <w:w w:val="105"/>
                <w:sz w:val="19"/>
              </w:rPr>
              <w:t>1988 – 1991</w:t>
            </w:r>
          </w:p>
        </w:tc>
        <w:tc>
          <w:tcPr>
            <w:tcW w:w="1691" w:type="dxa"/>
            <w:tcBorders>
              <w:left w:val="nil"/>
              <w:right w:val="nil"/>
            </w:tcBorders>
          </w:tcPr>
          <w:p>
            <w:pPr>
              <w:pStyle w:val="TableParagraph"/>
              <w:spacing w:before="18"/>
              <w:ind w:left="452" w:right="698"/>
              <w:jc w:val="center"/>
              <w:rPr>
                <w:sz w:val="19"/>
              </w:rPr>
            </w:pPr>
            <w:r>
              <w:rPr>
                <w:w w:val="105"/>
                <w:sz w:val="19"/>
              </w:rPr>
              <w:t>93.75</w:t>
            </w:r>
          </w:p>
        </w:tc>
        <w:tc>
          <w:tcPr>
            <w:tcW w:w="1558" w:type="dxa"/>
            <w:tcBorders>
              <w:left w:val="nil"/>
              <w:right w:val="nil"/>
            </w:tcBorders>
          </w:tcPr>
          <w:p>
            <w:pPr>
              <w:pStyle w:val="TableParagraph"/>
              <w:spacing w:before="18"/>
              <w:ind w:left="704" w:right="312"/>
              <w:jc w:val="center"/>
              <w:rPr>
                <w:sz w:val="19"/>
              </w:rPr>
            </w:pPr>
            <w:r>
              <w:rPr>
                <w:w w:val="105"/>
                <w:sz w:val="19"/>
              </w:rPr>
              <w:t>6.25</w:t>
            </w:r>
          </w:p>
        </w:tc>
        <w:tc>
          <w:tcPr>
            <w:tcW w:w="2077" w:type="dxa"/>
            <w:tcBorders>
              <w:left w:val="nil"/>
              <w:right w:val="nil"/>
            </w:tcBorders>
          </w:tcPr>
          <w:p>
            <w:pPr>
              <w:pStyle w:val="TableParagraph"/>
              <w:spacing w:before="18"/>
              <w:ind w:left="343" w:right="25"/>
              <w:jc w:val="center"/>
              <w:rPr>
                <w:sz w:val="19"/>
              </w:rPr>
            </w:pPr>
            <w:r>
              <w:rPr>
                <w:sz w:val="19"/>
              </w:rPr>
              <w:t>Frente Democrático</w:t>
            </w:r>
          </w:p>
        </w:tc>
      </w:tr>
      <w:tr>
        <w:trPr>
          <w:trHeight w:val="547" w:hRule="exact"/>
        </w:trPr>
        <w:tc>
          <w:tcPr>
            <w:tcW w:w="1735" w:type="dxa"/>
            <w:tcBorders>
              <w:left w:val="nil"/>
              <w:right w:val="nil"/>
            </w:tcBorders>
          </w:tcPr>
          <w:p>
            <w:pPr>
              <w:pStyle w:val="TableParagraph"/>
              <w:spacing w:before="4"/>
              <w:ind w:left="163"/>
              <w:rPr>
                <w:sz w:val="19"/>
              </w:rPr>
            </w:pPr>
            <w:r>
              <w:rPr>
                <w:w w:val="105"/>
                <w:sz w:val="19"/>
              </w:rPr>
              <w:t>1991 – 1994</w:t>
            </w:r>
          </w:p>
        </w:tc>
        <w:tc>
          <w:tcPr>
            <w:tcW w:w="1691" w:type="dxa"/>
            <w:tcBorders>
              <w:left w:val="nil"/>
              <w:right w:val="nil"/>
            </w:tcBorders>
          </w:tcPr>
          <w:p>
            <w:pPr>
              <w:pStyle w:val="TableParagraph"/>
              <w:spacing w:before="4"/>
              <w:ind w:left="452" w:right="698"/>
              <w:jc w:val="center"/>
              <w:rPr>
                <w:sz w:val="19"/>
              </w:rPr>
            </w:pPr>
            <w:r>
              <w:rPr>
                <w:w w:val="105"/>
                <w:sz w:val="19"/>
              </w:rPr>
              <w:t>95.31</w:t>
            </w:r>
          </w:p>
        </w:tc>
        <w:tc>
          <w:tcPr>
            <w:tcW w:w="1558" w:type="dxa"/>
            <w:tcBorders>
              <w:left w:val="nil"/>
              <w:right w:val="nil"/>
            </w:tcBorders>
          </w:tcPr>
          <w:p>
            <w:pPr>
              <w:pStyle w:val="TableParagraph"/>
              <w:spacing w:before="4"/>
              <w:ind w:left="704" w:right="312"/>
              <w:jc w:val="center"/>
              <w:rPr>
                <w:sz w:val="19"/>
              </w:rPr>
            </w:pPr>
            <w:r>
              <w:rPr>
                <w:w w:val="105"/>
                <w:sz w:val="19"/>
              </w:rPr>
              <w:t>4.69</w:t>
            </w:r>
          </w:p>
        </w:tc>
        <w:tc>
          <w:tcPr>
            <w:tcW w:w="2077" w:type="dxa"/>
            <w:tcBorders>
              <w:left w:val="nil"/>
              <w:right w:val="nil"/>
            </w:tcBorders>
          </w:tcPr>
          <w:p>
            <w:pPr>
              <w:pStyle w:val="TableParagraph"/>
              <w:spacing w:before="4"/>
              <w:ind w:left="332" w:right="25"/>
              <w:jc w:val="center"/>
              <w:rPr>
                <w:sz w:val="19"/>
              </w:rPr>
            </w:pPr>
            <w:r>
              <w:rPr>
                <w:w w:val="105"/>
                <w:sz w:val="19"/>
              </w:rPr>
              <w:t>PAN, PRD</w:t>
            </w:r>
          </w:p>
        </w:tc>
      </w:tr>
      <w:tr>
        <w:trPr>
          <w:trHeight w:val="542" w:hRule="exact"/>
        </w:trPr>
        <w:tc>
          <w:tcPr>
            <w:tcW w:w="1735" w:type="dxa"/>
            <w:tcBorders>
              <w:left w:val="nil"/>
              <w:right w:val="nil"/>
            </w:tcBorders>
          </w:tcPr>
          <w:p>
            <w:pPr>
              <w:pStyle w:val="TableParagraph"/>
              <w:spacing w:before="4"/>
              <w:ind w:left="163"/>
              <w:rPr>
                <w:sz w:val="19"/>
              </w:rPr>
            </w:pPr>
            <w:r>
              <w:rPr>
                <w:w w:val="105"/>
                <w:sz w:val="19"/>
              </w:rPr>
              <w:t>1994 – 1997</w:t>
            </w:r>
          </w:p>
        </w:tc>
        <w:tc>
          <w:tcPr>
            <w:tcW w:w="1691" w:type="dxa"/>
            <w:tcBorders>
              <w:left w:val="nil"/>
              <w:right w:val="nil"/>
            </w:tcBorders>
          </w:tcPr>
          <w:p>
            <w:pPr>
              <w:pStyle w:val="TableParagraph"/>
              <w:spacing w:before="4"/>
              <w:ind w:left="452" w:right="698"/>
              <w:jc w:val="center"/>
              <w:rPr>
                <w:sz w:val="19"/>
              </w:rPr>
            </w:pPr>
            <w:r>
              <w:rPr>
                <w:w w:val="105"/>
                <w:sz w:val="19"/>
              </w:rPr>
              <w:t>76.56</w:t>
            </w:r>
          </w:p>
        </w:tc>
        <w:tc>
          <w:tcPr>
            <w:tcW w:w="1558" w:type="dxa"/>
            <w:tcBorders>
              <w:left w:val="nil"/>
              <w:right w:val="nil"/>
            </w:tcBorders>
          </w:tcPr>
          <w:p>
            <w:pPr>
              <w:pStyle w:val="TableParagraph"/>
              <w:spacing w:before="4"/>
              <w:ind w:left="704" w:right="313"/>
              <w:jc w:val="center"/>
              <w:rPr>
                <w:sz w:val="19"/>
              </w:rPr>
            </w:pPr>
            <w:r>
              <w:rPr>
                <w:w w:val="105"/>
                <w:sz w:val="19"/>
              </w:rPr>
              <w:t>23.44</w:t>
            </w:r>
          </w:p>
        </w:tc>
        <w:tc>
          <w:tcPr>
            <w:tcW w:w="2077" w:type="dxa"/>
            <w:tcBorders>
              <w:left w:val="nil"/>
              <w:right w:val="nil"/>
            </w:tcBorders>
          </w:tcPr>
          <w:p>
            <w:pPr>
              <w:pStyle w:val="TableParagraph"/>
              <w:spacing w:before="4"/>
              <w:ind w:left="332" w:right="25"/>
              <w:jc w:val="center"/>
              <w:rPr>
                <w:sz w:val="19"/>
              </w:rPr>
            </w:pPr>
            <w:r>
              <w:rPr>
                <w:w w:val="105"/>
                <w:sz w:val="19"/>
              </w:rPr>
              <w:t>PAN, PRD</w:t>
            </w:r>
          </w:p>
        </w:tc>
      </w:tr>
      <w:tr>
        <w:trPr>
          <w:trHeight w:val="557" w:hRule="exact"/>
        </w:trPr>
        <w:tc>
          <w:tcPr>
            <w:tcW w:w="1735" w:type="dxa"/>
            <w:tcBorders>
              <w:left w:val="nil"/>
              <w:right w:val="nil"/>
            </w:tcBorders>
          </w:tcPr>
          <w:p>
            <w:pPr>
              <w:pStyle w:val="TableParagraph"/>
              <w:spacing w:before="18"/>
              <w:ind w:left="163"/>
              <w:rPr>
                <w:sz w:val="19"/>
              </w:rPr>
            </w:pPr>
            <w:r>
              <w:rPr>
                <w:w w:val="105"/>
                <w:sz w:val="19"/>
              </w:rPr>
              <w:t>1997 – 2000</w:t>
            </w:r>
          </w:p>
        </w:tc>
        <w:tc>
          <w:tcPr>
            <w:tcW w:w="1691" w:type="dxa"/>
            <w:tcBorders>
              <w:left w:val="nil"/>
              <w:right w:val="nil"/>
            </w:tcBorders>
          </w:tcPr>
          <w:p>
            <w:pPr>
              <w:pStyle w:val="TableParagraph"/>
              <w:spacing w:before="18"/>
              <w:ind w:left="452" w:right="698"/>
              <w:jc w:val="center"/>
              <w:rPr>
                <w:sz w:val="19"/>
              </w:rPr>
            </w:pPr>
            <w:r>
              <w:rPr>
                <w:w w:val="105"/>
                <w:sz w:val="19"/>
              </w:rPr>
              <w:t>59.38</w:t>
            </w:r>
          </w:p>
        </w:tc>
        <w:tc>
          <w:tcPr>
            <w:tcW w:w="1558" w:type="dxa"/>
            <w:tcBorders>
              <w:left w:val="nil"/>
              <w:right w:val="nil"/>
            </w:tcBorders>
          </w:tcPr>
          <w:p>
            <w:pPr>
              <w:pStyle w:val="TableParagraph"/>
              <w:spacing w:before="18"/>
              <w:ind w:left="704" w:right="313"/>
              <w:jc w:val="center"/>
              <w:rPr>
                <w:sz w:val="19"/>
              </w:rPr>
            </w:pPr>
            <w:r>
              <w:rPr>
                <w:w w:val="105"/>
                <w:sz w:val="19"/>
              </w:rPr>
              <w:t>40.62</w:t>
            </w:r>
          </w:p>
        </w:tc>
        <w:tc>
          <w:tcPr>
            <w:tcW w:w="2077" w:type="dxa"/>
            <w:tcBorders>
              <w:left w:val="nil"/>
              <w:right w:val="nil"/>
            </w:tcBorders>
          </w:tcPr>
          <w:p>
            <w:pPr>
              <w:pStyle w:val="TableParagraph"/>
              <w:spacing w:before="18"/>
              <w:ind w:left="329" w:right="25"/>
              <w:jc w:val="center"/>
              <w:rPr>
                <w:sz w:val="19"/>
              </w:rPr>
            </w:pPr>
            <w:r>
              <w:rPr>
                <w:w w:val="105"/>
                <w:sz w:val="19"/>
              </w:rPr>
              <w:t>PAN, PRD, PT</w:t>
            </w:r>
          </w:p>
        </w:tc>
      </w:tr>
      <w:tr>
        <w:trPr>
          <w:trHeight w:val="324" w:hRule="exact"/>
        </w:trPr>
        <w:tc>
          <w:tcPr>
            <w:tcW w:w="1735" w:type="dxa"/>
            <w:tcBorders>
              <w:left w:val="nil"/>
              <w:bottom w:val="nil"/>
              <w:right w:val="nil"/>
            </w:tcBorders>
          </w:tcPr>
          <w:p>
            <w:pPr>
              <w:pStyle w:val="TableParagraph"/>
              <w:spacing w:before="4"/>
              <w:ind w:left="163"/>
              <w:rPr>
                <w:sz w:val="19"/>
              </w:rPr>
            </w:pPr>
            <w:r>
              <w:rPr>
                <w:w w:val="105"/>
                <w:sz w:val="19"/>
              </w:rPr>
              <w:t>2000 – 2003</w:t>
            </w:r>
          </w:p>
        </w:tc>
        <w:tc>
          <w:tcPr>
            <w:tcW w:w="1691" w:type="dxa"/>
            <w:tcBorders>
              <w:left w:val="nil"/>
              <w:bottom w:val="nil"/>
              <w:right w:val="nil"/>
            </w:tcBorders>
          </w:tcPr>
          <w:p>
            <w:pPr>
              <w:pStyle w:val="TableParagraph"/>
              <w:spacing w:before="4"/>
              <w:ind w:left="452" w:right="698"/>
              <w:jc w:val="center"/>
              <w:rPr>
                <w:sz w:val="19"/>
              </w:rPr>
            </w:pPr>
            <w:r>
              <w:rPr>
                <w:w w:val="105"/>
                <w:sz w:val="19"/>
              </w:rPr>
              <w:t>35.94</w:t>
            </w:r>
          </w:p>
        </w:tc>
        <w:tc>
          <w:tcPr>
            <w:tcW w:w="1558" w:type="dxa"/>
            <w:tcBorders>
              <w:left w:val="nil"/>
              <w:bottom w:val="nil"/>
              <w:right w:val="nil"/>
            </w:tcBorders>
          </w:tcPr>
          <w:p>
            <w:pPr>
              <w:pStyle w:val="TableParagraph"/>
              <w:spacing w:before="4"/>
              <w:ind w:left="704" w:right="313"/>
              <w:jc w:val="center"/>
              <w:rPr>
                <w:sz w:val="19"/>
              </w:rPr>
            </w:pPr>
            <w:r>
              <w:rPr>
                <w:w w:val="105"/>
                <w:sz w:val="19"/>
              </w:rPr>
              <w:t>64.06</w:t>
            </w:r>
          </w:p>
        </w:tc>
        <w:tc>
          <w:tcPr>
            <w:tcW w:w="2077" w:type="dxa"/>
            <w:tcBorders>
              <w:left w:val="nil"/>
              <w:bottom w:val="nil"/>
              <w:right w:val="nil"/>
            </w:tcBorders>
          </w:tcPr>
          <w:p>
            <w:pPr>
              <w:pStyle w:val="TableParagraph"/>
              <w:spacing w:before="4"/>
              <w:ind w:left="339" w:right="25"/>
              <w:jc w:val="center"/>
              <w:rPr>
                <w:sz w:val="19"/>
              </w:rPr>
            </w:pPr>
            <w:r>
              <w:rPr>
                <w:w w:val="105"/>
                <w:sz w:val="19"/>
              </w:rPr>
              <w:t>PRI, PRD, PVEM</w:t>
            </w:r>
          </w:p>
        </w:tc>
      </w:tr>
    </w:tbl>
    <w:p>
      <w:pPr>
        <w:pStyle w:val="BodyText"/>
        <w:spacing w:before="6"/>
        <w:rPr>
          <w:sz w:val="15"/>
        </w:rPr>
      </w:pPr>
      <w:r>
        <w:rPr/>
        <w:pict>
          <v:group style="position:absolute;margin-left:120.228996pt;margin-top:10.889997pt;width:354.3pt;height:.5pt;mso-position-horizontal-relative:page;mso-position-vertical-relative:paragraph;z-index:1936;mso-wrap-distance-left:0;mso-wrap-distance-right:0" coordorigin="2405,218" coordsize="7086,10">
            <v:line style="position:absolute" from="2410,223" to="3826,223" stroked="true" strokeweight=".48pt" strokecolor="#000000"/>
            <v:line style="position:absolute" from="3811,223" to="3821,223" stroked="true" strokeweight=".48pt" strokecolor="#000000"/>
            <v:line style="position:absolute" from="3821,223" to="5933,223" stroked="true" strokeweight=".48pt" strokecolor="#000000"/>
            <v:line style="position:absolute" from="5918,223" to="5928,223" stroked="true" strokeweight=".48pt" strokecolor="#000000"/>
            <v:line style="position:absolute" from="5928,223" to="7709,223" stroked="true" strokeweight=".48pt" strokecolor="#000000"/>
            <v:line style="position:absolute" from="7694,223" to="7704,223" stroked="true" strokeweight=".48pt" strokecolor="#000000"/>
            <v:line style="position:absolute" from="7704,223" to="9485,223" stroked="true" strokeweight=".48pt" strokecolor="#000000"/>
            <w10:wrap type="topAndBottom"/>
          </v:group>
        </w:pict>
      </w:r>
    </w:p>
    <w:p>
      <w:pPr>
        <w:spacing w:line="189" w:lineRule="exact" w:before="0"/>
        <w:ind w:left="115" w:right="191" w:firstLine="0"/>
        <w:jc w:val="left"/>
        <w:rPr>
          <w:sz w:val="19"/>
        </w:rPr>
      </w:pPr>
      <w:r>
        <w:rPr>
          <w:w w:val="105"/>
          <w:sz w:val="19"/>
        </w:rPr>
        <w:t>* PRI hasta el año 2000, PAN en el periodo 2000 – 2003.</w:t>
      </w:r>
    </w:p>
    <w:p>
      <w:pPr>
        <w:spacing w:before="117"/>
        <w:ind w:left="115" w:right="191" w:firstLine="0"/>
        <w:jc w:val="left"/>
        <w:rPr>
          <w:sz w:val="19"/>
        </w:rPr>
      </w:pPr>
      <w:r>
        <w:rPr>
          <w:w w:val="105"/>
          <w:sz w:val="19"/>
        </w:rPr>
        <w:t>Fuente: Cortés y Raigosa (2003).</w:t>
      </w:r>
    </w:p>
    <w:p>
      <w:pPr>
        <w:pStyle w:val="BodyText"/>
        <w:rPr>
          <w:sz w:val="20"/>
        </w:rPr>
      </w:pPr>
    </w:p>
    <w:p>
      <w:pPr>
        <w:pStyle w:val="BodyText"/>
        <w:spacing w:before="6"/>
        <w:rPr>
          <w:sz w:val="24"/>
        </w:rPr>
      </w:pPr>
    </w:p>
    <w:p>
      <w:pPr>
        <w:pStyle w:val="BodyText"/>
        <w:spacing w:line="364" w:lineRule="auto"/>
        <w:ind w:left="115" w:right="104" w:firstLine="686"/>
        <w:jc w:val="both"/>
      </w:pPr>
      <w:r>
        <w:rPr/>
        <w:t>En las tablas anteriores </w:t>
      </w:r>
      <w:r>
        <w:rPr>
          <w:spacing w:val="3"/>
        </w:rPr>
        <w:t>se </w:t>
      </w:r>
      <w:r>
        <w:rPr/>
        <w:t>puede observar </w:t>
      </w:r>
      <w:r>
        <w:rPr>
          <w:spacing w:val="-3"/>
        </w:rPr>
        <w:t>que </w:t>
      </w:r>
      <w:r>
        <w:rPr/>
        <w:t>con el pasar de </w:t>
      </w:r>
      <w:r>
        <w:rPr>
          <w:spacing w:val="-3"/>
        </w:rPr>
        <w:t>los </w:t>
      </w:r>
      <w:r>
        <w:rPr/>
        <w:t>años los partidos opositores fueron paulatinamente incrementando </w:t>
      </w:r>
      <w:r>
        <w:rPr>
          <w:spacing w:val="3"/>
        </w:rPr>
        <w:t>su </w:t>
      </w:r>
      <w:r>
        <w:rPr/>
        <w:t>fuerza electoral y parlamentaria en relación al partido gobernante, de forma que el partido del presidente vio cada vez más disminuida su fuerza tanto en los diversos espacios  de representación </w:t>
      </w:r>
      <w:r>
        <w:rPr>
          <w:spacing w:val="2"/>
        </w:rPr>
        <w:t>como </w:t>
      </w:r>
      <w:r>
        <w:rPr>
          <w:spacing w:val="-3"/>
        </w:rPr>
        <w:t>en </w:t>
      </w:r>
      <w:r>
        <w:rPr/>
        <w:t>los </w:t>
      </w:r>
      <w:r>
        <w:rPr>
          <w:spacing w:val="-3"/>
        </w:rPr>
        <w:t>de </w:t>
      </w:r>
      <w:r>
        <w:rPr/>
        <w:t>gobierno. Lo mismo empezó a darse en </w:t>
      </w:r>
      <w:r>
        <w:rPr>
          <w:spacing w:val="-3"/>
        </w:rPr>
        <w:t>los </w:t>
      </w:r>
      <w:r>
        <w:rPr/>
        <w:t>gobiernos locales, esto fue clave en </w:t>
      </w:r>
      <w:r>
        <w:rPr>
          <w:spacing w:val="-3"/>
        </w:rPr>
        <w:t>la </w:t>
      </w:r>
      <w:r>
        <w:rPr/>
        <w:t>institucionalidad parlamentaria porque  el  PRI tanto en el nivel federal como en el local, requeriría el consenso de  la  oposición  para  hacer  modificaciones  constitucionales  o  en  ordenamientos    </w:t>
      </w:r>
      <w:r>
        <w:rPr>
          <w:spacing w:val="17"/>
        </w:rPr>
        <w:t> </w:t>
      </w:r>
      <w:r>
        <w:rPr/>
        <w:t>de</w:t>
      </w:r>
    </w:p>
    <w:p>
      <w:pPr>
        <w:pStyle w:val="BodyText"/>
        <w:spacing w:before="7"/>
        <w:rPr>
          <w:sz w:val="11"/>
        </w:rPr>
      </w:pPr>
      <w:r>
        <w:rPr/>
        <w:pict>
          <v:line style="position:absolute;mso-position-horizontal-relative:page;mso-position-vertical-relative:paragraph;z-index:1960;mso-wrap-distance-left:0;mso-wrap-distance-right:0" from="82.799004pt,9.003201pt" to="222.958004pt,9.003201pt" stroked="true" strokeweight=".72pt" strokecolor="#000000">
            <w10:wrap type="topAndBottom"/>
          </v:line>
        </w:pict>
      </w:r>
    </w:p>
    <w:p>
      <w:pPr>
        <w:spacing w:line="247" w:lineRule="auto" w:before="46"/>
        <w:ind w:left="115" w:right="110" w:firstLine="0"/>
        <w:jc w:val="left"/>
        <w:rPr>
          <w:sz w:val="19"/>
        </w:rPr>
      </w:pPr>
      <w:r>
        <w:rPr>
          <w:w w:val="105"/>
          <w:position w:val="10"/>
          <w:sz w:val="12"/>
        </w:rPr>
        <w:t>32 </w:t>
      </w:r>
      <w:r>
        <w:rPr>
          <w:w w:val="105"/>
          <w:sz w:val="19"/>
        </w:rPr>
        <w:t>En 1988 ingresaron a la Cámara por primera ocasión cinco Senadores de oposición aún por el principio de mayoría.</w:t>
      </w:r>
    </w:p>
    <w:p>
      <w:pPr>
        <w:spacing w:after="0" w:line="247" w:lineRule="auto"/>
        <w:jc w:val="left"/>
        <w:rPr>
          <w:sz w:val="19"/>
        </w:rPr>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595" w:right="476"/>
      </w:pPr>
      <w:r>
        <w:rPr/>
        <w:t>orden reglamentario. En la siguiente tabla se puede observar en números cómo se fue debilitando el “partido del presidente” y se fortaleciendo el bloque  opositor.</w:t>
      </w:r>
    </w:p>
    <w:p>
      <w:pPr>
        <w:pStyle w:val="BodyText"/>
        <w:spacing w:before="6"/>
        <w:rPr>
          <w:sz w:val="17"/>
        </w:rPr>
      </w:pPr>
    </w:p>
    <w:p>
      <w:pPr>
        <w:pStyle w:val="Heading3"/>
        <w:spacing w:before="0"/>
        <w:ind w:left="2507" w:right="2519"/>
        <w:jc w:val="center"/>
      </w:pPr>
      <w:r>
        <w:rPr/>
        <w:t>Tabla Nº 3</w:t>
      </w:r>
    </w:p>
    <w:p>
      <w:pPr>
        <w:spacing w:line="244" w:lineRule="auto" w:before="4"/>
        <w:ind w:left="2509" w:right="2519" w:firstLine="0"/>
        <w:jc w:val="center"/>
        <w:rPr>
          <w:b/>
          <w:sz w:val="23"/>
        </w:rPr>
      </w:pPr>
      <w:r>
        <w:rPr>
          <w:b/>
          <w:sz w:val="23"/>
        </w:rPr>
        <w:t>Fortaleza política del partido del presidente en los ámbitos federal y local</w:t>
      </w:r>
    </w:p>
    <w:p>
      <w:pPr>
        <w:pStyle w:val="BodyText"/>
        <w:rPr>
          <w:b/>
          <w:sz w:val="20"/>
        </w:rPr>
      </w:pPr>
    </w:p>
    <w:p>
      <w:pPr>
        <w:pStyle w:val="BodyText"/>
        <w:spacing w:before="4"/>
        <w:rPr>
          <w:b/>
          <w:sz w:val="15"/>
        </w:rPr>
      </w:pPr>
    </w:p>
    <w:tbl>
      <w:tblPr>
        <w:tblW w:w="0" w:type="auto"/>
        <w:jc w:val="left"/>
        <w:tblInd w:w="1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74"/>
        <w:gridCol w:w="1550"/>
        <w:gridCol w:w="1224"/>
        <w:gridCol w:w="1382"/>
        <w:gridCol w:w="1104"/>
        <w:gridCol w:w="2251"/>
      </w:tblGrid>
      <w:tr>
        <w:trPr>
          <w:trHeight w:val="691" w:hRule="exact"/>
        </w:trPr>
        <w:tc>
          <w:tcPr>
            <w:tcW w:w="2074" w:type="dxa"/>
            <w:tcBorders>
              <w:bottom w:val="single" w:sz="4" w:space="0" w:color="000000"/>
              <w:right w:val="single" w:sz="4" w:space="0" w:color="000000"/>
            </w:tcBorders>
          </w:tcPr>
          <w:p>
            <w:pPr>
              <w:pStyle w:val="TableParagraph"/>
              <w:spacing w:before="177"/>
              <w:ind w:left="161" w:right="156"/>
              <w:jc w:val="center"/>
              <w:rPr>
                <w:b/>
                <w:sz w:val="19"/>
              </w:rPr>
            </w:pPr>
            <w:r>
              <w:rPr>
                <w:b/>
                <w:sz w:val="19"/>
              </w:rPr>
              <w:t>Arena institucional</w:t>
            </w:r>
          </w:p>
        </w:tc>
        <w:tc>
          <w:tcPr>
            <w:tcW w:w="2774" w:type="dxa"/>
            <w:gridSpan w:val="2"/>
            <w:tcBorders>
              <w:left w:val="single" w:sz="4" w:space="0" w:color="000000"/>
              <w:bottom w:val="single" w:sz="4" w:space="0" w:color="000000"/>
              <w:right w:val="single" w:sz="4" w:space="0" w:color="000000"/>
            </w:tcBorders>
          </w:tcPr>
          <w:p>
            <w:pPr>
              <w:pStyle w:val="TableParagraph"/>
              <w:spacing w:before="177"/>
              <w:ind w:left="109"/>
              <w:rPr>
                <w:b/>
                <w:sz w:val="19"/>
              </w:rPr>
            </w:pPr>
            <w:r>
              <w:rPr>
                <w:b/>
                <w:w w:val="105"/>
                <w:sz w:val="19"/>
              </w:rPr>
              <w:t>Gobierno de Carlos Salinas</w:t>
            </w:r>
          </w:p>
        </w:tc>
        <w:tc>
          <w:tcPr>
            <w:tcW w:w="2486" w:type="dxa"/>
            <w:gridSpan w:val="2"/>
            <w:tcBorders>
              <w:left w:val="single" w:sz="4" w:space="0" w:color="000000"/>
              <w:bottom w:val="single" w:sz="4" w:space="0" w:color="000000"/>
              <w:right w:val="single" w:sz="4" w:space="0" w:color="000000"/>
            </w:tcBorders>
          </w:tcPr>
          <w:p>
            <w:pPr>
              <w:pStyle w:val="TableParagraph"/>
              <w:spacing w:line="374" w:lineRule="auto" w:before="9"/>
              <w:ind w:left="921" w:hanging="649"/>
              <w:rPr>
                <w:b/>
                <w:sz w:val="19"/>
              </w:rPr>
            </w:pPr>
            <w:r>
              <w:rPr>
                <w:b/>
                <w:w w:val="105"/>
                <w:sz w:val="19"/>
              </w:rPr>
              <w:t>Gobierno de Ernesto Zedillo</w:t>
            </w:r>
          </w:p>
        </w:tc>
        <w:tc>
          <w:tcPr>
            <w:tcW w:w="2251" w:type="dxa"/>
            <w:tcBorders>
              <w:left w:val="single" w:sz="4" w:space="0" w:color="000000"/>
              <w:bottom w:val="single" w:sz="4" w:space="0" w:color="000000"/>
            </w:tcBorders>
          </w:tcPr>
          <w:p>
            <w:pPr>
              <w:pStyle w:val="TableParagraph"/>
              <w:spacing w:line="374" w:lineRule="auto" w:before="9"/>
              <w:ind w:left="916" w:right="143" w:hanging="773"/>
              <w:rPr>
                <w:b/>
                <w:sz w:val="19"/>
              </w:rPr>
            </w:pPr>
            <w:r>
              <w:rPr>
                <w:b/>
                <w:w w:val="105"/>
                <w:sz w:val="19"/>
              </w:rPr>
              <w:t>Gobierno de Vicente Fox</w:t>
            </w:r>
          </w:p>
        </w:tc>
      </w:tr>
      <w:tr>
        <w:trPr>
          <w:trHeight w:val="713" w:hRule="exact"/>
        </w:trPr>
        <w:tc>
          <w:tcPr>
            <w:tcW w:w="2074" w:type="dxa"/>
            <w:tcBorders>
              <w:top w:val="single" w:sz="4" w:space="0" w:color="000000"/>
              <w:bottom w:val="single" w:sz="2" w:space="0" w:color="000000"/>
              <w:right w:val="single" w:sz="4" w:space="0" w:color="000000"/>
            </w:tcBorders>
          </w:tcPr>
          <w:p>
            <w:pPr/>
          </w:p>
        </w:tc>
        <w:tc>
          <w:tcPr>
            <w:tcW w:w="1550" w:type="dxa"/>
            <w:tcBorders>
              <w:top w:val="single" w:sz="4" w:space="0" w:color="000000"/>
              <w:left w:val="single" w:sz="4" w:space="0" w:color="000000"/>
              <w:bottom w:val="single" w:sz="2" w:space="0" w:color="000000"/>
              <w:right w:val="single" w:sz="4" w:space="0" w:color="000000"/>
            </w:tcBorders>
          </w:tcPr>
          <w:p>
            <w:pPr>
              <w:pStyle w:val="TableParagraph"/>
              <w:spacing w:before="2"/>
              <w:rPr>
                <w:b/>
                <w:sz w:val="16"/>
              </w:rPr>
            </w:pPr>
          </w:p>
          <w:p>
            <w:pPr>
              <w:pStyle w:val="TableParagraph"/>
              <w:ind w:right="281"/>
              <w:jc w:val="right"/>
              <w:rPr>
                <w:sz w:val="19"/>
              </w:rPr>
            </w:pPr>
            <w:r>
              <w:rPr>
                <w:sz w:val="19"/>
              </w:rPr>
              <w:t>01/12/1988</w:t>
            </w:r>
          </w:p>
        </w:tc>
        <w:tc>
          <w:tcPr>
            <w:tcW w:w="1224" w:type="dxa"/>
            <w:tcBorders>
              <w:top w:val="single" w:sz="4" w:space="0" w:color="000000"/>
              <w:left w:val="single" w:sz="4" w:space="0" w:color="000000"/>
              <w:bottom w:val="single" w:sz="2" w:space="0" w:color="000000"/>
              <w:right w:val="single" w:sz="4" w:space="0" w:color="000000"/>
            </w:tcBorders>
          </w:tcPr>
          <w:p>
            <w:pPr>
              <w:pStyle w:val="TableParagraph"/>
              <w:spacing w:before="2"/>
              <w:rPr>
                <w:b/>
                <w:sz w:val="16"/>
              </w:rPr>
            </w:pPr>
          </w:p>
          <w:p>
            <w:pPr>
              <w:pStyle w:val="TableParagraph"/>
              <w:ind w:left="43" w:right="41"/>
              <w:jc w:val="center"/>
              <w:rPr>
                <w:sz w:val="19"/>
              </w:rPr>
            </w:pPr>
            <w:r>
              <w:rPr>
                <w:w w:val="105"/>
                <w:sz w:val="19"/>
              </w:rPr>
              <w:t>05/07/1994</w:t>
            </w:r>
          </w:p>
        </w:tc>
        <w:tc>
          <w:tcPr>
            <w:tcW w:w="1382" w:type="dxa"/>
            <w:tcBorders>
              <w:top w:val="single" w:sz="4" w:space="0" w:color="000000"/>
              <w:left w:val="single" w:sz="4" w:space="0" w:color="000000"/>
              <w:bottom w:val="single" w:sz="2" w:space="0" w:color="000000"/>
              <w:right w:val="single" w:sz="4" w:space="0" w:color="000000"/>
            </w:tcBorders>
          </w:tcPr>
          <w:p>
            <w:pPr>
              <w:pStyle w:val="TableParagraph"/>
              <w:spacing w:before="2"/>
              <w:rPr>
                <w:b/>
                <w:sz w:val="16"/>
              </w:rPr>
            </w:pPr>
          </w:p>
          <w:p>
            <w:pPr>
              <w:pStyle w:val="TableParagraph"/>
              <w:ind w:left="123" w:right="119"/>
              <w:jc w:val="center"/>
              <w:rPr>
                <w:sz w:val="19"/>
              </w:rPr>
            </w:pPr>
            <w:r>
              <w:rPr>
                <w:w w:val="105"/>
                <w:sz w:val="19"/>
              </w:rPr>
              <w:t>01/12/1994</w:t>
            </w:r>
          </w:p>
        </w:tc>
        <w:tc>
          <w:tcPr>
            <w:tcW w:w="1104" w:type="dxa"/>
            <w:tcBorders>
              <w:top w:val="single" w:sz="4" w:space="0" w:color="000000"/>
              <w:left w:val="single" w:sz="4" w:space="0" w:color="000000"/>
              <w:bottom w:val="single" w:sz="2" w:space="0" w:color="000000"/>
              <w:right w:val="single" w:sz="4" w:space="0" w:color="000000"/>
            </w:tcBorders>
          </w:tcPr>
          <w:p>
            <w:pPr>
              <w:pStyle w:val="TableParagraph"/>
              <w:spacing w:before="2"/>
              <w:rPr>
                <w:b/>
                <w:sz w:val="16"/>
              </w:rPr>
            </w:pPr>
          </w:p>
          <w:p>
            <w:pPr>
              <w:pStyle w:val="TableParagraph"/>
              <w:ind w:left="23" w:right="32"/>
              <w:jc w:val="center"/>
              <w:rPr>
                <w:sz w:val="19"/>
              </w:rPr>
            </w:pPr>
            <w:r>
              <w:rPr>
                <w:w w:val="105"/>
                <w:sz w:val="19"/>
              </w:rPr>
              <w:t>01/07/1997</w:t>
            </w:r>
          </w:p>
        </w:tc>
        <w:tc>
          <w:tcPr>
            <w:tcW w:w="2251" w:type="dxa"/>
            <w:tcBorders>
              <w:top w:val="single" w:sz="4" w:space="0" w:color="000000"/>
              <w:left w:val="single" w:sz="4" w:space="0" w:color="000000"/>
              <w:bottom w:val="single" w:sz="2" w:space="0" w:color="000000"/>
            </w:tcBorders>
          </w:tcPr>
          <w:p>
            <w:pPr>
              <w:pStyle w:val="TableParagraph"/>
              <w:spacing w:before="2"/>
              <w:rPr>
                <w:b/>
                <w:sz w:val="16"/>
              </w:rPr>
            </w:pPr>
          </w:p>
          <w:p>
            <w:pPr>
              <w:pStyle w:val="TableParagraph"/>
              <w:ind w:left="576" w:right="631"/>
              <w:jc w:val="center"/>
              <w:rPr>
                <w:sz w:val="19"/>
              </w:rPr>
            </w:pPr>
            <w:r>
              <w:rPr>
                <w:w w:val="105"/>
                <w:sz w:val="19"/>
              </w:rPr>
              <w:t>01/12/2000</w:t>
            </w:r>
          </w:p>
        </w:tc>
      </w:tr>
      <w:tr>
        <w:trPr>
          <w:trHeight w:val="430" w:hRule="exact"/>
        </w:trPr>
        <w:tc>
          <w:tcPr>
            <w:tcW w:w="2074" w:type="dxa"/>
            <w:tcBorders>
              <w:top w:val="single" w:sz="2" w:space="0" w:color="000000"/>
              <w:bottom w:val="single" w:sz="4" w:space="0" w:color="000000"/>
              <w:right w:val="single" w:sz="4" w:space="0" w:color="000000"/>
            </w:tcBorders>
          </w:tcPr>
          <w:p>
            <w:pPr>
              <w:pStyle w:val="TableParagraph"/>
              <w:spacing w:before="52"/>
              <w:ind w:left="161" w:right="153"/>
              <w:jc w:val="center"/>
              <w:rPr>
                <w:b/>
                <w:sz w:val="19"/>
              </w:rPr>
            </w:pPr>
            <w:r>
              <w:rPr>
                <w:b/>
                <w:w w:val="105"/>
                <w:sz w:val="19"/>
              </w:rPr>
              <w:t>Diputados</w:t>
            </w:r>
          </w:p>
        </w:tc>
        <w:tc>
          <w:tcPr>
            <w:tcW w:w="1550" w:type="dxa"/>
            <w:tcBorders>
              <w:top w:val="single" w:sz="2" w:space="0" w:color="000000"/>
              <w:left w:val="single" w:sz="4" w:space="0" w:color="000000"/>
              <w:bottom w:val="single" w:sz="4" w:space="0" w:color="000000"/>
              <w:right w:val="single" w:sz="4" w:space="0" w:color="000000"/>
            </w:tcBorders>
          </w:tcPr>
          <w:p>
            <w:pPr>
              <w:pStyle w:val="TableParagraph"/>
              <w:spacing w:before="52"/>
              <w:ind w:right="315"/>
              <w:jc w:val="right"/>
              <w:rPr>
                <w:sz w:val="19"/>
              </w:rPr>
            </w:pPr>
            <w:r>
              <w:rPr>
                <w:w w:val="105"/>
                <w:sz w:val="19"/>
              </w:rPr>
              <w:t>52% (260)</w:t>
            </w:r>
          </w:p>
        </w:tc>
        <w:tc>
          <w:tcPr>
            <w:tcW w:w="1224" w:type="dxa"/>
            <w:tcBorders>
              <w:top w:val="single" w:sz="2" w:space="0" w:color="000000"/>
              <w:left w:val="single" w:sz="4" w:space="0" w:color="000000"/>
              <w:bottom w:val="single" w:sz="4" w:space="0" w:color="000000"/>
              <w:right w:val="single" w:sz="4" w:space="0" w:color="000000"/>
            </w:tcBorders>
          </w:tcPr>
          <w:p>
            <w:pPr>
              <w:pStyle w:val="TableParagraph"/>
              <w:spacing w:before="52"/>
              <w:ind w:left="46" w:right="33"/>
              <w:jc w:val="center"/>
              <w:rPr>
                <w:sz w:val="19"/>
              </w:rPr>
            </w:pPr>
            <w:r>
              <w:rPr>
                <w:w w:val="105"/>
                <w:sz w:val="19"/>
              </w:rPr>
              <w:t>64% (320)</w:t>
            </w:r>
          </w:p>
        </w:tc>
        <w:tc>
          <w:tcPr>
            <w:tcW w:w="1382" w:type="dxa"/>
            <w:tcBorders>
              <w:top w:val="single" w:sz="2" w:space="0" w:color="000000"/>
              <w:left w:val="single" w:sz="4" w:space="0" w:color="000000"/>
              <w:bottom w:val="single" w:sz="4" w:space="0" w:color="000000"/>
              <w:right w:val="single" w:sz="4" w:space="0" w:color="000000"/>
            </w:tcBorders>
          </w:tcPr>
          <w:p>
            <w:pPr>
              <w:pStyle w:val="TableParagraph"/>
              <w:spacing w:before="52"/>
              <w:ind w:left="121" w:right="119"/>
              <w:jc w:val="center"/>
              <w:rPr>
                <w:sz w:val="19"/>
              </w:rPr>
            </w:pPr>
            <w:r>
              <w:rPr>
                <w:w w:val="105"/>
                <w:sz w:val="19"/>
              </w:rPr>
              <w:t>60% (300)</w:t>
            </w:r>
          </w:p>
        </w:tc>
        <w:tc>
          <w:tcPr>
            <w:tcW w:w="1104" w:type="dxa"/>
            <w:tcBorders>
              <w:top w:val="single" w:sz="2" w:space="0" w:color="000000"/>
              <w:left w:val="single" w:sz="4" w:space="0" w:color="000000"/>
              <w:bottom w:val="single" w:sz="4" w:space="0" w:color="000000"/>
              <w:right w:val="single" w:sz="4" w:space="0" w:color="000000"/>
            </w:tcBorders>
          </w:tcPr>
          <w:p>
            <w:pPr>
              <w:pStyle w:val="TableParagraph"/>
              <w:spacing w:before="52"/>
              <w:ind w:left="23" w:right="22"/>
              <w:jc w:val="center"/>
              <w:rPr>
                <w:sz w:val="19"/>
              </w:rPr>
            </w:pPr>
            <w:r>
              <w:rPr>
                <w:w w:val="105"/>
                <w:sz w:val="19"/>
              </w:rPr>
              <w:t>49% (245)</w:t>
            </w:r>
          </w:p>
        </w:tc>
        <w:tc>
          <w:tcPr>
            <w:tcW w:w="2251" w:type="dxa"/>
            <w:tcBorders>
              <w:top w:val="single" w:sz="2" w:space="0" w:color="000000"/>
              <w:left w:val="single" w:sz="4" w:space="0" w:color="000000"/>
              <w:bottom w:val="single" w:sz="4" w:space="0" w:color="000000"/>
            </w:tcBorders>
          </w:tcPr>
          <w:p>
            <w:pPr>
              <w:pStyle w:val="TableParagraph"/>
              <w:spacing w:before="52"/>
              <w:ind w:left="575" w:right="631"/>
              <w:jc w:val="center"/>
              <w:rPr>
                <w:sz w:val="19"/>
              </w:rPr>
            </w:pPr>
            <w:r>
              <w:rPr>
                <w:w w:val="105"/>
                <w:sz w:val="19"/>
              </w:rPr>
              <w:t>41% (207)</w:t>
            </w:r>
          </w:p>
        </w:tc>
      </w:tr>
      <w:tr>
        <w:trPr>
          <w:trHeight w:val="427" w:hRule="exact"/>
        </w:trPr>
        <w:tc>
          <w:tcPr>
            <w:tcW w:w="2074" w:type="dxa"/>
            <w:tcBorders>
              <w:top w:val="single" w:sz="4" w:space="0" w:color="000000"/>
              <w:bottom w:val="single" w:sz="4" w:space="0" w:color="000000"/>
              <w:right w:val="single" w:sz="4" w:space="0" w:color="000000"/>
            </w:tcBorders>
          </w:tcPr>
          <w:p>
            <w:pPr>
              <w:pStyle w:val="TableParagraph"/>
              <w:spacing w:before="47"/>
              <w:ind w:left="156" w:right="156"/>
              <w:jc w:val="center"/>
              <w:rPr>
                <w:b/>
                <w:sz w:val="19"/>
              </w:rPr>
            </w:pPr>
            <w:r>
              <w:rPr>
                <w:b/>
                <w:w w:val="105"/>
                <w:sz w:val="19"/>
              </w:rPr>
              <w:t>Senadores</w:t>
            </w:r>
          </w:p>
        </w:tc>
        <w:tc>
          <w:tcPr>
            <w:tcW w:w="1550" w:type="dxa"/>
            <w:tcBorders>
              <w:top w:val="single" w:sz="4" w:space="0" w:color="000000"/>
              <w:left w:val="single" w:sz="4" w:space="0" w:color="000000"/>
              <w:bottom w:val="single" w:sz="4" w:space="0" w:color="000000"/>
              <w:right w:val="single" w:sz="4" w:space="0" w:color="000000"/>
            </w:tcBorders>
          </w:tcPr>
          <w:p>
            <w:pPr>
              <w:pStyle w:val="TableParagraph"/>
              <w:spacing w:before="47"/>
              <w:ind w:left="369"/>
              <w:rPr>
                <w:sz w:val="19"/>
              </w:rPr>
            </w:pPr>
            <w:r>
              <w:rPr>
                <w:w w:val="105"/>
                <w:sz w:val="19"/>
              </w:rPr>
              <w:t>94% (60)</w:t>
            </w:r>
          </w:p>
        </w:tc>
        <w:tc>
          <w:tcPr>
            <w:tcW w:w="1224" w:type="dxa"/>
            <w:tcBorders>
              <w:top w:val="single" w:sz="4" w:space="0" w:color="000000"/>
              <w:left w:val="single" w:sz="4" w:space="0" w:color="000000"/>
              <w:bottom w:val="single" w:sz="4" w:space="0" w:color="000000"/>
              <w:right w:val="single" w:sz="4" w:space="0" w:color="000000"/>
            </w:tcBorders>
          </w:tcPr>
          <w:p>
            <w:pPr>
              <w:pStyle w:val="TableParagraph"/>
              <w:spacing w:before="47"/>
              <w:ind w:left="45" w:right="41"/>
              <w:jc w:val="center"/>
              <w:rPr>
                <w:sz w:val="19"/>
              </w:rPr>
            </w:pPr>
            <w:r>
              <w:rPr>
                <w:w w:val="105"/>
                <w:sz w:val="19"/>
              </w:rPr>
              <w:t>95% (61)</w:t>
            </w:r>
          </w:p>
        </w:tc>
        <w:tc>
          <w:tcPr>
            <w:tcW w:w="1382" w:type="dxa"/>
            <w:tcBorders>
              <w:top w:val="single" w:sz="4" w:space="0" w:color="000000"/>
              <w:left w:val="single" w:sz="4" w:space="0" w:color="000000"/>
              <w:bottom w:val="single" w:sz="4" w:space="0" w:color="000000"/>
              <w:right w:val="single" w:sz="4" w:space="0" w:color="000000"/>
            </w:tcBorders>
          </w:tcPr>
          <w:p>
            <w:pPr>
              <w:pStyle w:val="TableParagraph"/>
              <w:spacing w:before="47"/>
              <w:ind w:left="127" w:right="118"/>
              <w:jc w:val="center"/>
              <w:rPr>
                <w:sz w:val="19"/>
              </w:rPr>
            </w:pPr>
            <w:r>
              <w:rPr>
                <w:w w:val="105"/>
                <w:sz w:val="19"/>
              </w:rPr>
              <w:t>74% (95)</w:t>
            </w:r>
          </w:p>
        </w:tc>
        <w:tc>
          <w:tcPr>
            <w:tcW w:w="1104" w:type="dxa"/>
            <w:tcBorders>
              <w:top w:val="single" w:sz="4" w:space="0" w:color="000000"/>
              <w:left w:val="single" w:sz="4" w:space="0" w:color="000000"/>
              <w:bottom w:val="single" w:sz="4" w:space="0" w:color="000000"/>
              <w:right w:val="single" w:sz="4" w:space="0" w:color="000000"/>
            </w:tcBorders>
          </w:tcPr>
          <w:p>
            <w:pPr>
              <w:pStyle w:val="TableParagraph"/>
              <w:spacing w:before="47"/>
              <w:ind w:left="23" w:right="19"/>
              <w:jc w:val="center"/>
              <w:rPr>
                <w:sz w:val="19"/>
              </w:rPr>
            </w:pPr>
            <w:r>
              <w:rPr>
                <w:w w:val="105"/>
                <w:sz w:val="19"/>
              </w:rPr>
              <w:t>59% (76)</w:t>
            </w:r>
          </w:p>
        </w:tc>
        <w:tc>
          <w:tcPr>
            <w:tcW w:w="2251" w:type="dxa"/>
            <w:tcBorders>
              <w:top w:val="single" w:sz="4" w:space="0" w:color="000000"/>
              <w:left w:val="single" w:sz="4" w:space="0" w:color="000000"/>
              <w:bottom w:val="single" w:sz="4" w:space="0" w:color="000000"/>
            </w:tcBorders>
          </w:tcPr>
          <w:p>
            <w:pPr>
              <w:pStyle w:val="TableParagraph"/>
              <w:spacing w:before="47"/>
              <w:ind w:left="576" w:right="627"/>
              <w:jc w:val="center"/>
              <w:rPr>
                <w:sz w:val="19"/>
              </w:rPr>
            </w:pPr>
            <w:r>
              <w:rPr>
                <w:w w:val="105"/>
                <w:sz w:val="19"/>
              </w:rPr>
              <w:t>36% (46)</w:t>
            </w:r>
          </w:p>
        </w:tc>
      </w:tr>
      <w:tr>
        <w:trPr>
          <w:trHeight w:val="427" w:hRule="exact"/>
        </w:trPr>
        <w:tc>
          <w:tcPr>
            <w:tcW w:w="2074" w:type="dxa"/>
            <w:tcBorders>
              <w:top w:val="single" w:sz="4" w:space="0" w:color="000000"/>
              <w:bottom w:val="single" w:sz="4" w:space="0" w:color="000000"/>
              <w:right w:val="single" w:sz="4" w:space="0" w:color="000000"/>
            </w:tcBorders>
          </w:tcPr>
          <w:p>
            <w:pPr>
              <w:pStyle w:val="TableParagraph"/>
              <w:spacing w:before="47"/>
              <w:ind w:left="155" w:right="156"/>
              <w:jc w:val="center"/>
              <w:rPr>
                <w:b/>
                <w:sz w:val="19"/>
              </w:rPr>
            </w:pPr>
            <w:r>
              <w:rPr>
                <w:b/>
                <w:w w:val="105"/>
                <w:sz w:val="19"/>
              </w:rPr>
              <w:t>Gobernadores</w:t>
            </w:r>
          </w:p>
        </w:tc>
        <w:tc>
          <w:tcPr>
            <w:tcW w:w="1550" w:type="dxa"/>
            <w:tcBorders>
              <w:top w:val="single" w:sz="4" w:space="0" w:color="000000"/>
              <w:left w:val="single" w:sz="4" w:space="0" w:color="000000"/>
              <w:bottom w:val="single" w:sz="4" w:space="0" w:color="000000"/>
              <w:right w:val="single" w:sz="4" w:space="0" w:color="000000"/>
            </w:tcBorders>
          </w:tcPr>
          <w:p>
            <w:pPr>
              <w:pStyle w:val="TableParagraph"/>
              <w:spacing w:before="47"/>
              <w:ind w:right="315"/>
              <w:jc w:val="right"/>
              <w:rPr>
                <w:sz w:val="19"/>
              </w:rPr>
            </w:pPr>
            <w:r>
              <w:rPr>
                <w:w w:val="105"/>
                <w:sz w:val="19"/>
              </w:rPr>
              <w:t>100% (31)</w:t>
            </w:r>
          </w:p>
        </w:tc>
        <w:tc>
          <w:tcPr>
            <w:tcW w:w="1224" w:type="dxa"/>
            <w:tcBorders>
              <w:top w:val="single" w:sz="4" w:space="0" w:color="000000"/>
              <w:left w:val="single" w:sz="4" w:space="0" w:color="000000"/>
              <w:bottom w:val="single" w:sz="4" w:space="0" w:color="000000"/>
              <w:right w:val="single" w:sz="4" w:space="0" w:color="000000"/>
            </w:tcBorders>
          </w:tcPr>
          <w:p>
            <w:pPr>
              <w:pStyle w:val="TableParagraph"/>
              <w:spacing w:before="47"/>
              <w:ind w:left="45" w:right="41"/>
              <w:jc w:val="center"/>
              <w:rPr>
                <w:sz w:val="19"/>
              </w:rPr>
            </w:pPr>
            <w:r>
              <w:rPr>
                <w:w w:val="105"/>
                <w:sz w:val="19"/>
              </w:rPr>
              <w:t>94% (29)</w:t>
            </w:r>
          </w:p>
        </w:tc>
        <w:tc>
          <w:tcPr>
            <w:tcW w:w="1382" w:type="dxa"/>
            <w:tcBorders>
              <w:top w:val="single" w:sz="4" w:space="0" w:color="000000"/>
              <w:left w:val="single" w:sz="4" w:space="0" w:color="000000"/>
              <w:bottom w:val="single" w:sz="4" w:space="0" w:color="000000"/>
              <w:right w:val="single" w:sz="4" w:space="0" w:color="000000"/>
            </w:tcBorders>
          </w:tcPr>
          <w:p>
            <w:pPr>
              <w:pStyle w:val="TableParagraph"/>
              <w:spacing w:before="47"/>
              <w:ind w:left="127" w:right="118"/>
              <w:jc w:val="center"/>
              <w:rPr>
                <w:sz w:val="19"/>
              </w:rPr>
            </w:pPr>
            <w:r>
              <w:rPr>
                <w:w w:val="105"/>
                <w:sz w:val="19"/>
              </w:rPr>
              <w:t>89% (29)</w:t>
            </w:r>
          </w:p>
        </w:tc>
        <w:tc>
          <w:tcPr>
            <w:tcW w:w="1104" w:type="dxa"/>
            <w:tcBorders>
              <w:top w:val="single" w:sz="4" w:space="0" w:color="000000"/>
              <w:left w:val="single" w:sz="4" w:space="0" w:color="000000"/>
              <w:bottom w:val="single" w:sz="4" w:space="0" w:color="000000"/>
              <w:right w:val="single" w:sz="4" w:space="0" w:color="000000"/>
            </w:tcBorders>
          </w:tcPr>
          <w:p>
            <w:pPr>
              <w:pStyle w:val="TableParagraph"/>
              <w:spacing w:before="47"/>
              <w:ind w:left="23" w:right="19"/>
              <w:jc w:val="center"/>
              <w:rPr>
                <w:b/>
                <w:sz w:val="19"/>
              </w:rPr>
            </w:pPr>
            <w:r>
              <w:rPr>
                <w:b/>
                <w:w w:val="105"/>
                <w:sz w:val="19"/>
              </w:rPr>
              <w:t>67% (21)</w:t>
            </w:r>
          </w:p>
        </w:tc>
        <w:tc>
          <w:tcPr>
            <w:tcW w:w="2251" w:type="dxa"/>
            <w:tcBorders>
              <w:top w:val="single" w:sz="4" w:space="0" w:color="000000"/>
              <w:left w:val="single" w:sz="4" w:space="0" w:color="000000"/>
              <w:bottom w:val="single" w:sz="4" w:space="0" w:color="000000"/>
            </w:tcBorders>
          </w:tcPr>
          <w:p>
            <w:pPr>
              <w:pStyle w:val="TableParagraph"/>
              <w:spacing w:before="47"/>
              <w:ind w:left="573" w:right="631"/>
              <w:jc w:val="center"/>
              <w:rPr>
                <w:sz w:val="19"/>
              </w:rPr>
            </w:pPr>
            <w:r>
              <w:rPr>
                <w:w w:val="105"/>
                <w:sz w:val="19"/>
              </w:rPr>
              <w:t>22% (7)</w:t>
            </w:r>
          </w:p>
        </w:tc>
      </w:tr>
      <w:tr>
        <w:trPr>
          <w:trHeight w:val="696" w:hRule="exact"/>
        </w:trPr>
        <w:tc>
          <w:tcPr>
            <w:tcW w:w="2074" w:type="dxa"/>
            <w:tcBorders>
              <w:top w:val="single" w:sz="4" w:space="0" w:color="000000"/>
              <w:bottom w:val="single" w:sz="4" w:space="0" w:color="000000"/>
              <w:right w:val="single" w:sz="4" w:space="0" w:color="000000"/>
            </w:tcBorders>
          </w:tcPr>
          <w:p>
            <w:pPr>
              <w:pStyle w:val="TableParagraph"/>
              <w:spacing w:line="369" w:lineRule="auto" w:before="14"/>
              <w:ind w:left="144" w:hanging="44"/>
              <w:rPr>
                <w:b/>
                <w:sz w:val="19"/>
              </w:rPr>
            </w:pPr>
            <w:r>
              <w:rPr>
                <w:b/>
                <w:w w:val="105"/>
                <w:sz w:val="19"/>
              </w:rPr>
              <w:t>Mayoría absoluta en </w:t>
            </w:r>
            <w:r>
              <w:rPr>
                <w:b/>
                <w:sz w:val="19"/>
              </w:rPr>
              <w:t>legislaturas locales</w:t>
            </w:r>
          </w:p>
        </w:tc>
        <w:tc>
          <w:tcPr>
            <w:tcW w:w="1550" w:type="dxa"/>
            <w:tcBorders>
              <w:top w:val="single" w:sz="4" w:space="0" w:color="000000"/>
              <w:left w:val="single" w:sz="4" w:space="0" w:color="000000"/>
              <w:bottom w:val="single" w:sz="4" w:space="0" w:color="000000"/>
              <w:right w:val="single" w:sz="4" w:space="0" w:color="000000"/>
            </w:tcBorders>
          </w:tcPr>
          <w:p>
            <w:pPr>
              <w:pStyle w:val="TableParagraph"/>
              <w:spacing w:before="9"/>
              <w:rPr>
                <w:b/>
                <w:sz w:val="15"/>
              </w:rPr>
            </w:pPr>
          </w:p>
          <w:p>
            <w:pPr>
              <w:pStyle w:val="TableParagraph"/>
              <w:ind w:left="518"/>
              <w:rPr>
                <w:sz w:val="19"/>
              </w:rPr>
            </w:pPr>
            <w:r>
              <w:rPr>
                <w:w w:val="105"/>
                <w:sz w:val="19"/>
              </w:rPr>
              <w:t>100%</w:t>
            </w:r>
          </w:p>
        </w:tc>
        <w:tc>
          <w:tcPr>
            <w:tcW w:w="1224" w:type="dxa"/>
            <w:tcBorders>
              <w:top w:val="single" w:sz="4" w:space="0" w:color="000000"/>
              <w:left w:val="single" w:sz="4" w:space="0" w:color="000000"/>
              <w:bottom w:val="single" w:sz="4" w:space="0" w:color="000000"/>
              <w:right w:val="single" w:sz="4" w:space="0" w:color="000000"/>
            </w:tcBorders>
          </w:tcPr>
          <w:p>
            <w:pPr>
              <w:pStyle w:val="TableParagraph"/>
              <w:spacing w:before="9"/>
              <w:rPr>
                <w:b/>
                <w:sz w:val="15"/>
              </w:rPr>
            </w:pPr>
          </w:p>
          <w:p>
            <w:pPr>
              <w:pStyle w:val="TableParagraph"/>
              <w:ind w:left="46" w:right="39"/>
              <w:jc w:val="center"/>
              <w:rPr>
                <w:sz w:val="19"/>
              </w:rPr>
            </w:pPr>
            <w:r>
              <w:rPr>
                <w:w w:val="105"/>
                <w:sz w:val="19"/>
              </w:rPr>
              <w:t>95%</w:t>
            </w:r>
          </w:p>
        </w:tc>
        <w:tc>
          <w:tcPr>
            <w:tcW w:w="1382" w:type="dxa"/>
            <w:tcBorders>
              <w:top w:val="single" w:sz="4" w:space="0" w:color="000000"/>
              <w:left w:val="single" w:sz="4" w:space="0" w:color="000000"/>
              <w:bottom w:val="single" w:sz="4" w:space="0" w:color="000000"/>
              <w:right w:val="single" w:sz="4" w:space="0" w:color="000000"/>
            </w:tcBorders>
          </w:tcPr>
          <w:p>
            <w:pPr>
              <w:pStyle w:val="TableParagraph"/>
              <w:spacing w:before="9"/>
              <w:rPr>
                <w:b/>
                <w:sz w:val="15"/>
              </w:rPr>
            </w:pPr>
          </w:p>
          <w:p>
            <w:pPr>
              <w:pStyle w:val="TableParagraph"/>
              <w:ind w:left="127" w:right="110"/>
              <w:jc w:val="center"/>
              <w:rPr>
                <w:sz w:val="19"/>
              </w:rPr>
            </w:pPr>
            <w:r>
              <w:rPr>
                <w:w w:val="105"/>
                <w:sz w:val="19"/>
              </w:rPr>
              <w:t>95%</w:t>
            </w:r>
          </w:p>
        </w:tc>
        <w:tc>
          <w:tcPr>
            <w:tcW w:w="1104" w:type="dxa"/>
            <w:tcBorders>
              <w:top w:val="single" w:sz="4" w:space="0" w:color="000000"/>
              <w:left w:val="single" w:sz="4" w:space="0" w:color="000000"/>
              <w:bottom w:val="single" w:sz="4" w:space="0" w:color="000000"/>
              <w:right w:val="single" w:sz="4" w:space="0" w:color="000000"/>
            </w:tcBorders>
          </w:tcPr>
          <w:p>
            <w:pPr>
              <w:pStyle w:val="TableParagraph"/>
              <w:spacing w:before="9"/>
              <w:rPr>
                <w:b/>
                <w:sz w:val="15"/>
              </w:rPr>
            </w:pPr>
          </w:p>
          <w:p>
            <w:pPr>
              <w:pStyle w:val="TableParagraph"/>
              <w:ind w:left="23" w:right="16"/>
              <w:jc w:val="center"/>
              <w:rPr>
                <w:sz w:val="19"/>
              </w:rPr>
            </w:pPr>
            <w:r>
              <w:rPr>
                <w:w w:val="105"/>
                <w:sz w:val="19"/>
              </w:rPr>
              <w:t>95%</w:t>
            </w:r>
          </w:p>
        </w:tc>
        <w:tc>
          <w:tcPr>
            <w:tcW w:w="2251" w:type="dxa"/>
            <w:tcBorders>
              <w:top w:val="single" w:sz="4" w:space="0" w:color="000000"/>
              <w:left w:val="single" w:sz="4" w:space="0" w:color="000000"/>
              <w:bottom w:val="single" w:sz="4" w:space="0" w:color="000000"/>
            </w:tcBorders>
          </w:tcPr>
          <w:p>
            <w:pPr>
              <w:pStyle w:val="TableParagraph"/>
              <w:spacing w:before="9"/>
              <w:rPr>
                <w:b/>
                <w:sz w:val="15"/>
              </w:rPr>
            </w:pPr>
          </w:p>
          <w:p>
            <w:pPr>
              <w:pStyle w:val="TableParagraph"/>
              <w:ind w:left="576" w:right="628"/>
              <w:jc w:val="center"/>
              <w:rPr>
                <w:sz w:val="19"/>
              </w:rPr>
            </w:pPr>
            <w:r>
              <w:rPr>
                <w:w w:val="105"/>
                <w:sz w:val="19"/>
              </w:rPr>
              <w:t>10%</w:t>
            </w:r>
          </w:p>
        </w:tc>
      </w:tr>
      <w:tr>
        <w:trPr>
          <w:trHeight w:val="691" w:hRule="exact"/>
        </w:trPr>
        <w:tc>
          <w:tcPr>
            <w:tcW w:w="2074" w:type="dxa"/>
            <w:tcBorders>
              <w:top w:val="single" w:sz="4" w:space="0" w:color="000000"/>
              <w:right w:val="single" w:sz="4" w:space="0" w:color="000000"/>
            </w:tcBorders>
          </w:tcPr>
          <w:p>
            <w:pPr>
              <w:pStyle w:val="TableParagraph"/>
              <w:spacing w:line="369" w:lineRule="auto" w:before="13"/>
              <w:ind w:left="475" w:firstLine="9"/>
              <w:rPr>
                <w:b/>
                <w:sz w:val="19"/>
              </w:rPr>
            </w:pPr>
            <w:r>
              <w:rPr>
                <w:b/>
                <w:sz w:val="19"/>
              </w:rPr>
              <w:t>Presidentes municipales</w:t>
            </w:r>
          </w:p>
        </w:tc>
        <w:tc>
          <w:tcPr>
            <w:tcW w:w="1550" w:type="dxa"/>
            <w:tcBorders>
              <w:top w:val="single" w:sz="4" w:space="0" w:color="000000"/>
              <w:left w:val="single" w:sz="4" w:space="0" w:color="000000"/>
              <w:right w:val="single" w:sz="4" w:space="0" w:color="000000"/>
            </w:tcBorders>
          </w:tcPr>
          <w:p>
            <w:pPr>
              <w:pStyle w:val="TableParagraph"/>
              <w:spacing w:before="9"/>
              <w:rPr>
                <w:b/>
                <w:sz w:val="15"/>
              </w:rPr>
            </w:pPr>
          </w:p>
          <w:p>
            <w:pPr>
              <w:pStyle w:val="TableParagraph"/>
              <w:ind w:right="235"/>
              <w:jc w:val="right"/>
              <w:rPr>
                <w:sz w:val="19"/>
              </w:rPr>
            </w:pPr>
            <w:r>
              <w:rPr>
                <w:w w:val="105"/>
                <w:sz w:val="19"/>
              </w:rPr>
              <w:t>96% (2,293)</w:t>
            </w:r>
          </w:p>
        </w:tc>
        <w:tc>
          <w:tcPr>
            <w:tcW w:w="1224" w:type="dxa"/>
            <w:tcBorders>
              <w:top w:val="single" w:sz="4" w:space="0" w:color="000000"/>
              <w:left w:val="single" w:sz="4" w:space="0" w:color="000000"/>
              <w:right w:val="single" w:sz="4" w:space="0" w:color="000000"/>
            </w:tcBorders>
          </w:tcPr>
          <w:p>
            <w:pPr>
              <w:pStyle w:val="TableParagraph"/>
              <w:spacing w:before="9"/>
              <w:rPr>
                <w:b/>
                <w:sz w:val="15"/>
              </w:rPr>
            </w:pPr>
          </w:p>
          <w:p>
            <w:pPr>
              <w:pStyle w:val="TableParagraph"/>
              <w:ind w:left="46" w:right="41"/>
              <w:jc w:val="center"/>
              <w:rPr>
                <w:sz w:val="19"/>
              </w:rPr>
            </w:pPr>
            <w:r>
              <w:rPr>
                <w:w w:val="105"/>
                <w:sz w:val="19"/>
              </w:rPr>
              <w:t>90% (2,186)</w:t>
            </w:r>
          </w:p>
        </w:tc>
        <w:tc>
          <w:tcPr>
            <w:tcW w:w="1382" w:type="dxa"/>
            <w:tcBorders>
              <w:top w:val="single" w:sz="4" w:space="0" w:color="000000"/>
              <w:left w:val="single" w:sz="4" w:space="0" w:color="000000"/>
              <w:right w:val="single" w:sz="4" w:space="0" w:color="000000"/>
            </w:tcBorders>
          </w:tcPr>
          <w:p>
            <w:pPr>
              <w:pStyle w:val="TableParagraph"/>
              <w:spacing w:before="9"/>
              <w:rPr>
                <w:b/>
                <w:sz w:val="15"/>
              </w:rPr>
            </w:pPr>
          </w:p>
          <w:p>
            <w:pPr>
              <w:pStyle w:val="TableParagraph"/>
              <w:ind w:left="127" w:right="119"/>
              <w:jc w:val="center"/>
              <w:rPr>
                <w:sz w:val="19"/>
              </w:rPr>
            </w:pPr>
            <w:r>
              <w:rPr>
                <w:w w:val="105"/>
                <w:sz w:val="19"/>
              </w:rPr>
              <w:t>89% (2,128)</w:t>
            </w:r>
          </w:p>
        </w:tc>
        <w:tc>
          <w:tcPr>
            <w:tcW w:w="1104" w:type="dxa"/>
            <w:tcBorders>
              <w:top w:val="single" w:sz="4" w:space="0" w:color="000000"/>
              <w:left w:val="single" w:sz="4" w:space="0" w:color="000000"/>
              <w:right w:val="single" w:sz="4" w:space="0" w:color="000000"/>
            </w:tcBorders>
          </w:tcPr>
          <w:p>
            <w:pPr>
              <w:pStyle w:val="TableParagraph"/>
              <w:spacing w:before="9"/>
              <w:rPr>
                <w:b/>
                <w:sz w:val="15"/>
              </w:rPr>
            </w:pPr>
          </w:p>
          <w:p>
            <w:pPr>
              <w:pStyle w:val="TableParagraph"/>
              <w:ind w:right="1"/>
              <w:jc w:val="center"/>
              <w:rPr>
                <w:sz w:val="19"/>
              </w:rPr>
            </w:pPr>
            <w:r>
              <w:rPr>
                <w:w w:val="105"/>
                <w:sz w:val="19"/>
              </w:rPr>
              <w:t>71% (1,426)</w:t>
            </w:r>
          </w:p>
        </w:tc>
        <w:tc>
          <w:tcPr>
            <w:tcW w:w="2251" w:type="dxa"/>
            <w:tcBorders>
              <w:top w:val="single" w:sz="4" w:space="0" w:color="000000"/>
              <w:left w:val="single" w:sz="4" w:space="0" w:color="000000"/>
            </w:tcBorders>
          </w:tcPr>
          <w:p>
            <w:pPr>
              <w:pStyle w:val="TableParagraph"/>
              <w:spacing w:before="9"/>
              <w:rPr>
                <w:b/>
                <w:sz w:val="15"/>
              </w:rPr>
            </w:pPr>
          </w:p>
          <w:p>
            <w:pPr>
              <w:pStyle w:val="TableParagraph"/>
              <w:ind w:left="575" w:right="631"/>
              <w:jc w:val="center"/>
              <w:rPr>
                <w:sz w:val="19"/>
              </w:rPr>
            </w:pPr>
            <w:r>
              <w:rPr>
                <w:w w:val="105"/>
                <w:sz w:val="19"/>
              </w:rPr>
              <w:t>16% (322)</w:t>
            </w:r>
          </w:p>
        </w:tc>
      </w:tr>
    </w:tbl>
    <w:p>
      <w:pPr>
        <w:pStyle w:val="BodyText"/>
        <w:spacing w:before="11"/>
        <w:rPr>
          <w:b/>
          <w:sz w:val="27"/>
        </w:rPr>
      </w:pPr>
    </w:p>
    <w:p>
      <w:pPr>
        <w:spacing w:before="81"/>
        <w:ind w:left="595" w:right="476" w:firstLine="0"/>
        <w:jc w:val="left"/>
        <w:rPr>
          <w:sz w:val="19"/>
        </w:rPr>
      </w:pPr>
      <w:r>
        <w:rPr>
          <w:w w:val="105"/>
          <w:sz w:val="19"/>
        </w:rPr>
        <w:t>Fuente: Secretaría de Gobernación (2005)</w:t>
      </w:r>
    </w:p>
    <w:p>
      <w:pPr>
        <w:pStyle w:val="BodyText"/>
        <w:rPr>
          <w:sz w:val="20"/>
        </w:rPr>
      </w:pPr>
    </w:p>
    <w:p>
      <w:pPr>
        <w:pStyle w:val="BodyText"/>
        <w:rPr>
          <w:sz w:val="20"/>
        </w:rPr>
      </w:pPr>
    </w:p>
    <w:p>
      <w:pPr>
        <w:pStyle w:val="BodyText"/>
        <w:rPr>
          <w:sz w:val="20"/>
        </w:rPr>
      </w:pPr>
    </w:p>
    <w:p>
      <w:pPr>
        <w:pStyle w:val="BodyText"/>
        <w:spacing w:before="3"/>
        <w:rPr>
          <w:sz w:val="18"/>
        </w:rPr>
      </w:pPr>
    </w:p>
    <w:p>
      <w:pPr>
        <w:pStyle w:val="BodyText"/>
        <w:spacing w:line="357" w:lineRule="auto" w:before="1"/>
        <w:ind w:left="595" w:right="605" w:firstLine="686"/>
        <w:jc w:val="both"/>
      </w:pPr>
      <w:r>
        <w:rPr/>
        <w:t>De este modo, el primer gobierno dividido en México se produjo en las elecciones legislativas </w:t>
      </w:r>
      <w:r>
        <w:rPr>
          <w:spacing w:val="-3"/>
        </w:rPr>
        <w:t>de </w:t>
      </w:r>
      <w:r>
        <w:rPr/>
        <w:t>1997, en las cuales compitieron un número efectivo de tres partidos</w:t>
      </w:r>
      <w:r>
        <w:rPr>
          <w:position w:val="11"/>
          <w:sz w:val="15"/>
        </w:rPr>
        <w:t>33 </w:t>
      </w:r>
      <w:r>
        <w:rPr/>
        <w:t>que en conjunto alcanzaron el 94.8% de </w:t>
      </w:r>
      <w:r>
        <w:rPr>
          <w:spacing w:val="-3"/>
        </w:rPr>
        <w:t>la </w:t>
      </w:r>
      <w:r>
        <w:rPr/>
        <w:t>representación en </w:t>
      </w:r>
      <w:r>
        <w:rPr>
          <w:spacing w:val="-5"/>
        </w:rPr>
        <w:t>la </w:t>
      </w:r>
      <w:r>
        <w:rPr/>
        <w:t>Cámara de Diputados </w:t>
      </w:r>
      <w:r>
        <w:rPr>
          <w:spacing w:val="3"/>
        </w:rPr>
        <w:t>en </w:t>
      </w:r>
      <w:r>
        <w:rPr/>
        <w:t>1997. Este formato se repitió luego de tres procesos electorales  realizados,  en  los  que  el  presidente  continúa  maniobrando  con </w:t>
      </w:r>
      <w:r>
        <w:rPr>
          <w:spacing w:val="28"/>
        </w:rPr>
        <w:t> </w:t>
      </w:r>
      <w:r>
        <w:rPr/>
        <w:t>un</w:t>
      </w:r>
    </w:p>
    <w:p>
      <w:pPr>
        <w:pStyle w:val="BodyText"/>
        <w:spacing w:before="17"/>
        <w:ind w:left="595" w:right="476"/>
      </w:pPr>
      <w:r>
        <w:rPr/>
        <w:t>poder que se fracciona horizontal y</w:t>
      </w:r>
      <w:r>
        <w:rPr>
          <w:spacing w:val="51"/>
        </w:rPr>
        <w:t> </w:t>
      </w:r>
      <w:r>
        <w:rPr/>
        <w:t>verticalmente.</w:t>
      </w:r>
    </w:p>
    <w:p>
      <w:pPr>
        <w:pStyle w:val="BodyText"/>
        <w:spacing w:line="364" w:lineRule="auto" w:before="138"/>
        <w:ind w:left="595" w:right="611" w:firstLine="686"/>
        <w:jc w:val="both"/>
      </w:pPr>
      <w:r>
        <w:rPr/>
        <w:t>El incremento del poder político de los partidos opositores en los diversos espacios de decisión tuvo diversas repercusiones. En primer lugar la oposición partidista dejó de  estar asociada a una condición de  minoría  con  lo que  pasó    a</w:t>
      </w:r>
    </w:p>
    <w:p>
      <w:pPr>
        <w:pStyle w:val="BodyText"/>
        <w:spacing w:before="6"/>
        <w:rPr>
          <w:sz w:val="14"/>
        </w:rPr>
      </w:pPr>
      <w:r>
        <w:rPr/>
        <w:pict>
          <v:line style="position:absolute;mso-position-horizontal-relative:page;mso-position-vertical-relative:paragraph;z-index:1984;mso-wrap-distance-left:0;mso-wrap-distance-right:0" from="82.799004pt,10.6842pt" to="222.958004pt,10.6842pt" stroked="true" strokeweight=".72pt" strokecolor="#000000">
            <w10:wrap type="topAndBottom"/>
          </v:line>
        </w:pict>
      </w:r>
    </w:p>
    <w:p>
      <w:pPr>
        <w:spacing w:line="247" w:lineRule="auto" w:before="46"/>
        <w:ind w:left="595" w:right="605" w:firstLine="0"/>
        <w:jc w:val="both"/>
        <w:rPr>
          <w:sz w:val="19"/>
        </w:rPr>
      </w:pPr>
      <w:r>
        <w:rPr>
          <w:spacing w:val="-4"/>
          <w:w w:val="105"/>
          <w:position w:val="10"/>
          <w:sz w:val="12"/>
        </w:rPr>
        <w:t>33 </w:t>
      </w:r>
      <w:r>
        <w:rPr>
          <w:w w:val="105"/>
          <w:sz w:val="19"/>
        </w:rPr>
        <w:t>En 1997, el número efectivo de partidos electivos (NEpe) ascendió de 2,85 en 1994 a 3,42, en tanto </w:t>
      </w:r>
      <w:r>
        <w:rPr>
          <w:spacing w:val="-3"/>
          <w:w w:val="105"/>
          <w:sz w:val="19"/>
        </w:rPr>
        <w:t>que </w:t>
      </w:r>
      <w:r>
        <w:rPr>
          <w:w w:val="105"/>
          <w:sz w:val="19"/>
        </w:rPr>
        <w:t>el número efectivo de partidos legislativos (NEpl) se situaba </w:t>
      </w:r>
      <w:r>
        <w:rPr>
          <w:spacing w:val="-3"/>
          <w:w w:val="105"/>
          <w:sz w:val="19"/>
        </w:rPr>
        <w:t>en </w:t>
      </w:r>
      <w:r>
        <w:rPr>
          <w:w w:val="105"/>
          <w:sz w:val="19"/>
        </w:rPr>
        <w:t>2,86. En las elecciones federales</w:t>
      </w:r>
      <w:r>
        <w:rPr>
          <w:spacing w:val="-5"/>
          <w:w w:val="105"/>
          <w:sz w:val="19"/>
        </w:rPr>
        <w:t> </w:t>
      </w:r>
      <w:r>
        <w:rPr>
          <w:w w:val="105"/>
          <w:sz w:val="19"/>
        </w:rPr>
        <w:t>siguientes</w:t>
      </w:r>
      <w:r>
        <w:rPr>
          <w:spacing w:val="-8"/>
          <w:w w:val="105"/>
          <w:sz w:val="19"/>
        </w:rPr>
        <w:t> </w:t>
      </w:r>
      <w:r>
        <w:rPr>
          <w:w w:val="105"/>
          <w:sz w:val="19"/>
        </w:rPr>
        <w:t>estos</w:t>
      </w:r>
      <w:r>
        <w:rPr>
          <w:spacing w:val="-5"/>
          <w:w w:val="105"/>
          <w:sz w:val="19"/>
        </w:rPr>
        <w:t> </w:t>
      </w:r>
      <w:r>
        <w:rPr>
          <w:w w:val="105"/>
          <w:sz w:val="19"/>
        </w:rPr>
        <w:t>índices</w:t>
      </w:r>
      <w:r>
        <w:rPr>
          <w:spacing w:val="-5"/>
          <w:w w:val="105"/>
          <w:sz w:val="19"/>
        </w:rPr>
        <w:t> </w:t>
      </w:r>
      <w:r>
        <w:rPr>
          <w:w w:val="105"/>
          <w:sz w:val="19"/>
        </w:rPr>
        <w:t>se</w:t>
      </w:r>
      <w:r>
        <w:rPr>
          <w:spacing w:val="-5"/>
          <w:w w:val="105"/>
          <w:sz w:val="19"/>
        </w:rPr>
        <w:t> </w:t>
      </w:r>
      <w:r>
        <w:rPr>
          <w:w w:val="105"/>
          <w:sz w:val="19"/>
        </w:rPr>
        <w:t>colocaron</w:t>
      </w:r>
      <w:r>
        <w:rPr>
          <w:spacing w:val="-2"/>
          <w:w w:val="105"/>
          <w:sz w:val="19"/>
        </w:rPr>
        <w:t> </w:t>
      </w:r>
      <w:r>
        <w:rPr>
          <w:w w:val="105"/>
          <w:sz w:val="19"/>
        </w:rPr>
        <w:t>en</w:t>
      </w:r>
      <w:r>
        <w:rPr>
          <w:spacing w:val="-5"/>
          <w:w w:val="105"/>
          <w:sz w:val="19"/>
        </w:rPr>
        <w:t> </w:t>
      </w:r>
      <w:r>
        <w:rPr>
          <w:w w:val="105"/>
          <w:sz w:val="19"/>
        </w:rPr>
        <w:t>2000</w:t>
      </w:r>
      <w:r>
        <w:rPr>
          <w:spacing w:val="-2"/>
          <w:w w:val="105"/>
          <w:sz w:val="19"/>
        </w:rPr>
        <w:t> </w:t>
      </w:r>
      <w:r>
        <w:rPr>
          <w:w w:val="105"/>
          <w:sz w:val="19"/>
        </w:rPr>
        <w:t>en</w:t>
      </w:r>
      <w:r>
        <w:rPr>
          <w:spacing w:val="-5"/>
          <w:w w:val="105"/>
          <w:sz w:val="19"/>
        </w:rPr>
        <w:t> </w:t>
      </w:r>
      <w:r>
        <w:rPr>
          <w:w w:val="105"/>
          <w:sz w:val="19"/>
        </w:rPr>
        <w:t>3,00(NEpe)</w:t>
      </w:r>
      <w:r>
        <w:rPr>
          <w:spacing w:val="-9"/>
          <w:w w:val="105"/>
          <w:sz w:val="19"/>
        </w:rPr>
        <w:t> </w:t>
      </w:r>
      <w:r>
        <w:rPr>
          <w:w w:val="105"/>
          <w:sz w:val="19"/>
        </w:rPr>
        <w:t>2,55</w:t>
      </w:r>
      <w:r>
        <w:rPr>
          <w:spacing w:val="-2"/>
          <w:w w:val="105"/>
          <w:sz w:val="19"/>
        </w:rPr>
        <w:t> </w:t>
      </w:r>
      <w:r>
        <w:rPr>
          <w:w w:val="105"/>
          <w:sz w:val="19"/>
        </w:rPr>
        <w:t>(NEpl),</w:t>
      </w:r>
      <w:r>
        <w:rPr>
          <w:spacing w:val="-8"/>
          <w:w w:val="105"/>
          <w:sz w:val="19"/>
        </w:rPr>
        <w:t> </w:t>
      </w:r>
      <w:r>
        <w:rPr>
          <w:w w:val="105"/>
          <w:sz w:val="19"/>
        </w:rPr>
        <w:t>y</w:t>
      </w:r>
      <w:r>
        <w:rPr>
          <w:spacing w:val="-8"/>
          <w:w w:val="105"/>
          <w:sz w:val="19"/>
        </w:rPr>
        <w:t> </w:t>
      </w:r>
      <w:r>
        <w:rPr>
          <w:spacing w:val="2"/>
          <w:w w:val="105"/>
          <w:sz w:val="19"/>
        </w:rPr>
        <w:t>en</w:t>
      </w:r>
      <w:r>
        <w:rPr>
          <w:spacing w:val="-5"/>
          <w:w w:val="105"/>
          <w:sz w:val="19"/>
        </w:rPr>
        <w:t> </w:t>
      </w:r>
      <w:r>
        <w:rPr>
          <w:w w:val="105"/>
          <w:sz w:val="19"/>
        </w:rPr>
        <w:t>2003</w:t>
      </w:r>
      <w:r>
        <w:rPr>
          <w:spacing w:val="-2"/>
          <w:w w:val="105"/>
          <w:sz w:val="19"/>
        </w:rPr>
        <w:t> </w:t>
      </w:r>
      <w:r>
        <w:rPr>
          <w:w w:val="105"/>
          <w:sz w:val="19"/>
        </w:rPr>
        <w:t>en 3,78</w:t>
      </w:r>
      <w:r>
        <w:rPr>
          <w:spacing w:val="-12"/>
          <w:w w:val="105"/>
          <w:sz w:val="19"/>
        </w:rPr>
        <w:t> </w:t>
      </w:r>
      <w:r>
        <w:rPr>
          <w:w w:val="105"/>
          <w:sz w:val="19"/>
        </w:rPr>
        <w:t>(NEpe)</w:t>
      </w:r>
      <w:r>
        <w:rPr>
          <w:spacing w:val="-17"/>
          <w:w w:val="105"/>
          <w:sz w:val="19"/>
        </w:rPr>
        <w:t> </w:t>
      </w:r>
      <w:r>
        <w:rPr>
          <w:w w:val="105"/>
          <w:sz w:val="19"/>
        </w:rPr>
        <w:t>y</w:t>
      </w:r>
      <w:r>
        <w:rPr>
          <w:spacing w:val="-18"/>
          <w:w w:val="105"/>
          <w:sz w:val="19"/>
        </w:rPr>
        <w:t> </w:t>
      </w:r>
      <w:r>
        <w:rPr>
          <w:w w:val="105"/>
          <w:sz w:val="19"/>
        </w:rPr>
        <w:t>3,01</w:t>
      </w:r>
      <w:r>
        <w:rPr>
          <w:spacing w:val="-12"/>
          <w:w w:val="105"/>
          <w:sz w:val="19"/>
        </w:rPr>
        <w:t> </w:t>
      </w:r>
      <w:r>
        <w:rPr>
          <w:w w:val="105"/>
          <w:sz w:val="19"/>
        </w:rPr>
        <w:t>(NEpl).</w:t>
      </w:r>
      <w:r>
        <w:rPr>
          <w:spacing w:val="-17"/>
          <w:w w:val="105"/>
          <w:sz w:val="19"/>
        </w:rPr>
        <w:t> </w:t>
      </w:r>
      <w:r>
        <w:rPr>
          <w:w w:val="105"/>
          <w:sz w:val="19"/>
        </w:rPr>
        <w:t>Méndez</w:t>
      </w:r>
      <w:r>
        <w:rPr>
          <w:spacing w:val="-15"/>
          <w:w w:val="105"/>
          <w:sz w:val="19"/>
        </w:rPr>
        <w:t> </w:t>
      </w:r>
      <w:r>
        <w:rPr>
          <w:w w:val="105"/>
          <w:sz w:val="19"/>
        </w:rPr>
        <w:t>de</w:t>
      </w:r>
      <w:r>
        <w:rPr>
          <w:spacing w:val="-15"/>
          <w:w w:val="105"/>
          <w:sz w:val="19"/>
        </w:rPr>
        <w:t> </w:t>
      </w:r>
      <w:r>
        <w:rPr>
          <w:w w:val="105"/>
          <w:sz w:val="19"/>
        </w:rPr>
        <w:t>Hoyos</w:t>
      </w:r>
      <w:r>
        <w:rPr>
          <w:spacing w:val="-15"/>
          <w:w w:val="105"/>
          <w:sz w:val="19"/>
        </w:rPr>
        <w:t> </w:t>
      </w:r>
      <w:r>
        <w:rPr>
          <w:w w:val="105"/>
          <w:sz w:val="19"/>
        </w:rPr>
        <w:t>(2007:</w:t>
      </w:r>
      <w:r>
        <w:rPr>
          <w:spacing w:val="-18"/>
          <w:w w:val="105"/>
          <w:sz w:val="19"/>
        </w:rPr>
        <w:t> </w:t>
      </w:r>
      <w:r>
        <w:rPr>
          <w:w w:val="105"/>
          <w:sz w:val="19"/>
        </w:rPr>
        <w:t>19).</w:t>
      </w:r>
    </w:p>
    <w:p>
      <w:pPr>
        <w:spacing w:after="0" w:line="247" w:lineRule="auto"/>
        <w:jc w:val="both"/>
        <w:rPr>
          <w:sz w:val="19"/>
        </w:rPr>
        <w:sectPr>
          <w:pgSz w:w="11910" w:h="16840"/>
          <w:pgMar w:header="0" w:footer="1457" w:top="1580" w:bottom="1640" w:left="1060" w:right="1040"/>
        </w:sectPr>
      </w:pPr>
    </w:p>
    <w:p>
      <w:pPr>
        <w:pStyle w:val="BodyText"/>
        <w:rPr>
          <w:sz w:val="20"/>
        </w:rPr>
      </w:pPr>
    </w:p>
    <w:p>
      <w:pPr>
        <w:pStyle w:val="BodyText"/>
        <w:spacing w:before="2"/>
        <w:rPr>
          <w:sz w:val="16"/>
        </w:rPr>
      </w:pPr>
    </w:p>
    <w:p>
      <w:pPr>
        <w:pStyle w:val="BodyText"/>
        <w:spacing w:line="364" w:lineRule="auto" w:before="74"/>
        <w:ind w:left="115" w:right="110"/>
        <w:jc w:val="both"/>
      </w:pPr>
      <w:r>
        <w:rPr/>
        <w:t>asumir un rol de control y orientación de las políticas propuestas por el gobierno y  su partido; y en segundo lugar se sucedieron una </w:t>
      </w:r>
      <w:r>
        <w:rPr>
          <w:spacing w:val="-3"/>
        </w:rPr>
        <w:t>serie </w:t>
      </w:r>
      <w:r>
        <w:rPr/>
        <w:t>de cambios institucionales   al interior del Congreso que </w:t>
      </w:r>
      <w:r>
        <w:rPr>
          <w:spacing w:val="-3"/>
        </w:rPr>
        <w:t>han </w:t>
      </w:r>
      <w:r>
        <w:rPr/>
        <w:t>reforzado </w:t>
      </w:r>
      <w:r>
        <w:rPr>
          <w:spacing w:val="-5"/>
        </w:rPr>
        <w:t>la </w:t>
      </w:r>
      <w:r>
        <w:rPr/>
        <w:t>capacidad de influencia de los  partidos opositores y generado nuevas dinámicas en el proceso </w:t>
      </w:r>
      <w:r>
        <w:rPr>
          <w:spacing w:val="8"/>
        </w:rPr>
        <w:t> </w:t>
      </w:r>
      <w:r>
        <w:rPr/>
        <w:t>legislativo.</w:t>
      </w:r>
    </w:p>
    <w:p>
      <w:pPr>
        <w:pStyle w:val="BodyText"/>
        <w:rPr>
          <w:sz w:val="22"/>
        </w:rPr>
      </w:pPr>
    </w:p>
    <w:p>
      <w:pPr>
        <w:pStyle w:val="Heading3"/>
        <w:numPr>
          <w:ilvl w:val="2"/>
          <w:numId w:val="12"/>
        </w:numPr>
        <w:tabs>
          <w:tab w:pos="699" w:val="left" w:leader="none"/>
        </w:tabs>
        <w:spacing w:line="240" w:lineRule="auto" w:before="155" w:after="0"/>
        <w:ind w:left="698" w:right="0" w:hanging="582"/>
        <w:jc w:val="both"/>
      </w:pPr>
      <w:bookmarkStart w:name="_TOC_250001" w:id="31"/>
      <w:r>
        <w:rPr/>
        <w:t>El congreso y la política</w:t>
      </w:r>
      <w:r>
        <w:rPr>
          <w:spacing w:val="36"/>
        </w:rPr>
        <w:t> </w:t>
      </w:r>
      <w:bookmarkEnd w:id="31"/>
      <w:r>
        <w:rPr/>
        <w:t>educativa</w:t>
      </w:r>
    </w:p>
    <w:p>
      <w:pPr>
        <w:pStyle w:val="BodyText"/>
        <w:spacing w:line="364" w:lineRule="auto" w:before="138"/>
        <w:ind w:left="115" w:right="104"/>
        <w:jc w:val="both"/>
      </w:pPr>
      <w:r>
        <w:rPr/>
        <w:t>Durante el periodo de dominio presidencial el Congreso Mexicano, prácticamente quedó anulado en la posibilidad ejercer ampliamente sus facultades políticas. En primer lugar porque el presidente y los gobernadores hacían o  autorizaban  las listas de diputados y senadores. Es decir, los legisladores, debían el cargo al presidente, al gobernador, al partido o al dirigente de algún sector  corporativo.</w:t>
      </w:r>
    </w:p>
    <w:p>
      <w:pPr>
        <w:pStyle w:val="BodyText"/>
        <w:spacing w:line="364" w:lineRule="auto" w:before="5"/>
        <w:ind w:left="115" w:right="106" w:firstLine="686"/>
        <w:jc w:val="both"/>
      </w:pPr>
      <w:r>
        <w:rPr/>
        <w:t>Por otra parte, al no existir reelección, y con ello, depender en su carrera política del favor de los personajes que habrían de hacerlos candidatos para otro cargo de elección popular, los diputados y senadores no tenían incentivos para acercarse a su distrito. En particular aquéllos que se hicieron candidatos por la vía plurinominal, su dependencia del partido sería mucho  mayor.</w:t>
      </w:r>
    </w:p>
    <w:p>
      <w:pPr>
        <w:pStyle w:val="BodyText"/>
        <w:spacing w:line="364" w:lineRule="auto" w:before="5"/>
        <w:ind w:left="115" w:right="105" w:firstLine="686"/>
        <w:jc w:val="both"/>
      </w:pPr>
      <w:r>
        <w:rPr/>
        <w:t>En este escenario, su capacidad de involucrarse en la formulación de </w:t>
      </w:r>
      <w:r>
        <w:rPr>
          <w:spacing w:val="-3"/>
        </w:rPr>
        <w:t>las </w:t>
      </w:r>
      <w:r>
        <w:rPr/>
        <w:t>políticas educativas, fue prácticamente nula. En el mejor de los casos, </w:t>
      </w:r>
      <w:r>
        <w:rPr>
          <w:spacing w:val="-2"/>
        </w:rPr>
        <w:t>los </w:t>
      </w:r>
      <w:r>
        <w:rPr/>
        <w:t>legisladores (diputados y senadores) </w:t>
      </w:r>
      <w:r>
        <w:rPr>
          <w:spacing w:val="2"/>
        </w:rPr>
        <w:t>de </w:t>
      </w:r>
      <w:r>
        <w:rPr>
          <w:spacing w:val="-3"/>
        </w:rPr>
        <w:t>los </w:t>
      </w:r>
      <w:r>
        <w:rPr/>
        <w:t>sectores obrero, popular y campesino, estarían interesados en </w:t>
      </w:r>
      <w:r>
        <w:rPr>
          <w:spacing w:val="-3"/>
        </w:rPr>
        <w:t>que </w:t>
      </w:r>
      <w:r>
        <w:rPr/>
        <w:t>los presupuestos para la educación básica,  no  afectara los bastiones electorales de donde provenían. Sin embargo,  no  se  registró una discusión o debate en este sentido en ninguna de las Cámaras, pese   a </w:t>
      </w:r>
      <w:r>
        <w:rPr>
          <w:spacing w:val="-3"/>
        </w:rPr>
        <w:t>las </w:t>
      </w:r>
      <w:r>
        <w:rPr/>
        <w:t>crisis cíclicas que se presentaron a </w:t>
      </w:r>
      <w:r>
        <w:rPr>
          <w:spacing w:val="-5"/>
        </w:rPr>
        <w:t>lo </w:t>
      </w:r>
      <w:r>
        <w:rPr/>
        <w:t>largo de </w:t>
      </w:r>
      <w:r>
        <w:rPr>
          <w:spacing w:val="-5"/>
        </w:rPr>
        <w:t>la </w:t>
      </w:r>
      <w:r>
        <w:rPr/>
        <w:t>historia y que afectaron considerablemente el presupuesto educativo. En este sentido, el presidente tuvo todo el margen que exigía o requería para hacer políticas en materia educativa sin oposición o discusión desde el</w:t>
      </w:r>
      <w:r>
        <w:rPr>
          <w:spacing w:val="49"/>
        </w:rPr>
        <w:t> </w:t>
      </w:r>
      <w:r>
        <w:rPr/>
        <w:t>congreso.</w:t>
      </w:r>
    </w:p>
    <w:p>
      <w:pPr>
        <w:pStyle w:val="BodyText"/>
        <w:spacing w:line="364" w:lineRule="auto" w:before="10"/>
        <w:ind w:left="115" w:right="104" w:firstLine="686"/>
        <w:jc w:val="both"/>
      </w:pPr>
      <w:r>
        <w:rPr/>
        <w:t>En este periodo, los legisladores  apenas  pudieron llamar a comparecer a  los secretarios de Educación y subsecretarios, pero no como una práctica de rendición de cuentas, sino como una rutina burocrática,  derivada de la presencia  de los secretarios de Estado en el poder legislativo </w:t>
      </w:r>
      <w:r>
        <w:rPr>
          <w:spacing w:val="3"/>
        </w:rPr>
        <w:t>con </w:t>
      </w:r>
      <w:r>
        <w:rPr/>
        <w:t>motivo de </w:t>
      </w:r>
      <w:r>
        <w:rPr>
          <w:spacing w:val="-5"/>
        </w:rPr>
        <w:t>la </w:t>
      </w:r>
      <w:r>
        <w:rPr/>
        <w:t>glosa del informe  anual  del  Presidente.   En  dichas  comparecencias,   </w:t>
      </w:r>
      <w:r>
        <w:rPr>
          <w:spacing w:val="-4"/>
        </w:rPr>
        <w:t>los </w:t>
      </w:r>
      <w:r>
        <w:rPr>
          <w:spacing w:val="55"/>
        </w:rPr>
        <w:t> </w:t>
      </w:r>
      <w:r>
        <w:rPr/>
        <w:t>secretarios  </w:t>
      </w:r>
      <w:r>
        <w:rPr>
          <w:spacing w:val="15"/>
        </w:rPr>
        <w:t> </w:t>
      </w:r>
      <w:r>
        <w:rPr/>
        <w:t>de</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9" w:lineRule="auto" w:before="74"/>
        <w:ind w:left="115" w:right="191"/>
      </w:pPr>
      <w:r>
        <w:rPr/>
        <w:t>educación no eran sujetos de cuestionamientos ni de exigencia en el cumplimiento de metas.</w:t>
      </w:r>
    </w:p>
    <w:p>
      <w:pPr>
        <w:pStyle w:val="BodyText"/>
        <w:spacing w:line="364" w:lineRule="auto"/>
        <w:ind w:left="115" w:right="107" w:firstLine="686"/>
        <w:jc w:val="both"/>
      </w:pPr>
      <w:r>
        <w:rPr/>
        <w:t>La atrofia del Poder Legislativo en materia de política  educativa,  se  fortaleció en la medida que los legisladores del SNTE </w:t>
      </w:r>
      <w:r>
        <w:rPr>
          <w:spacing w:val="3"/>
        </w:rPr>
        <w:t>se </w:t>
      </w:r>
      <w:r>
        <w:rPr/>
        <w:t>avocaron a “intercambiar” con el presidente </w:t>
      </w:r>
      <w:r>
        <w:rPr>
          <w:spacing w:val="2"/>
        </w:rPr>
        <w:t>su </w:t>
      </w:r>
      <w:r>
        <w:rPr/>
        <w:t>lealtad a sus propuestas, en todas las materias, a cambio de no tocar los fueros políticos y administrativos del sindicato, los cuales se ocultaron en el discurso de </w:t>
      </w:r>
      <w:r>
        <w:rPr>
          <w:spacing w:val="-3"/>
        </w:rPr>
        <w:t>la </w:t>
      </w:r>
      <w:r>
        <w:rPr/>
        <w:t>“Defensa del Artículo Tercero” (educación básica obligatoria, laica y gratuita). Incluso, tomando en cuenta </w:t>
      </w:r>
      <w:r>
        <w:rPr>
          <w:spacing w:val="-3"/>
        </w:rPr>
        <w:t>la </w:t>
      </w:r>
      <w:r>
        <w:rPr/>
        <w:t>forma en que se pactaron diversos acuerdos </w:t>
      </w:r>
      <w:r>
        <w:rPr>
          <w:spacing w:val="-3"/>
        </w:rPr>
        <w:t>en </w:t>
      </w:r>
      <w:r>
        <w:rPr/>
        <w:t>materia educativa, se puede afirmar que  los  legisladores magisteriales, salvo que fueran integrantes del comité nacional del SNTE, no  podían involucrarse, </w:t>
      </w:r>
      <w:r>
        <w:rPr>
          <w:spacing w:val="-3"/>
        </w:rPr>
        <w:t>en </w:t>
      </w:r>
      <w:r>
        <w:rPr/>
        <w:t>modo alguno en el diseño de las reformas </w:t>
      </w:r>
      <w:r>
        <w:rPr>
          <w:i/>
        </w:rPr>
        <w:t>presidenciales  </w:t>
      </w:r>
      <w:r>
        <w:rPr/>
        <w:t>en materia de</w:t>
      </w:r>
      <w:r>
        <w:rPr>
          <w:spacing w:val="28"/>
        </w:rPr>
        <w:t> </w:t>
      </w:r>
      <w:r>
        <w:rPr/>
        <w:t>educación.</w:t>
      </w:r>
    </w:p>
    <w:p>
      <w:pPr>
        <w:pStyle w:val="BodyText"/>
        <w:spacing w:line="364" w:lineRule="auto"/>
        <w:ind w:left="115" w:right="105" w:firstLine="686"/>
        <w:jc w:val="both"/>
      </w:pPr>
      <w:r>
        <w:rPr/>
        <w:t>Por otro lado, el </w:t>
      </w:r>
      <w:r>
        <w:rPr>
          <w:i/>
        </w:rPr>
        <w:t>presidencialismo </w:t>
      </w:r>
      <w:r>
        <w:rPr/>
        <w:t>educativo alcanzó </w:t>
      </w:r>
      <w:r>
        <w:rPr>
          <w:spacing w:val="2"/>
        </w:rPr>
        <w:t>el </w:t>
      </w:r>
      <w:r>
        <w:rPr/>
        <w:t>funcionamiento de </w:t>
      </w:r>
      <w:r>
        <w:rPr>
          <w:spacing w:val="-5"/>
        </w:rPr>
        <w:t>la </w:t>
      </w:r>
      <w:r>
        <w:rPr/>
        <w:t>Comisión de Educación y Cultura </w:t>
      </w:r>
      <w:r>
        <w:rPr>
          <w:spacing w:val="2"/>
        </w:rPr>
        <w:t>de </w:t>
      </w:r>
      <w:r>
        <w:rPr/>
        <w:t>ambas cámaras legislativas.  Existen evidencias </w:t>
      </w:r>
      <w:r>
        <w:rPr>
          <w:spacing w:val="3"/>
        </w:rPr>
        <w:t>de </w:t>
      </w:r>
      <w:r>
        <w:rPr/>
        <w:t>que los diputados y senadores, los gobernadores e incluso legisladores de cámaras locales enviaron iniciativas de reforma educativa, sin embargo, ninguna fue aprobada (Muñoz, 2010). En el caso de </w:t>
      </w:r>
      <w:r>
        <w:rPr>
          <w:spacing w:val="-3"/>
        </w:rPr>
        <w:t>la </w:t>
      </w:r>
      <w:r>
        <w:rPr/>
        <w:t>Cámara de Diputados, entre el año 2000 y 2005 sólo </w:t>
      </w:r>
      <w:r>
        <w:rPr>
          <w:spacing w:val="3"/>
        </w:rPr>
        <w:t>se </w:t>
      </w:r>
      <w:r>
        <w:rPr/>
        <w:t>aprobaron siete iniciativas de un total de 636 presentadas en materia de</w:t>
      </w:r>
      <w:r>
        <w:rPr>
          <w:spacing w:val="51"/>
        </w:rPr>
        <w:t> </w:t>
      </w:r>
      <w:r>
        <w:rPr/>
        <w:t>educación.</w:t>
      </w:r>
    </w:p>
    <w:p>
      <w:pPr>
        <w:spacing w:after="0" w:line="364" w:lineRule="auto"/>
        <w:jc w:val="both"/>
        <w:sectPr>
          <w:pgSz w:w="11910" w:h="16840"/>
          <w:pgMar w:header="0" w:footer="1457" w:top="1580" w:bottom="1640" w:left="1540" w:right="1540"/>
        </w:sectPr>
      </w:pPr>
    </w:p>
    <w:p>
      <w:pPr>
        <w:pStyle w:val="BodyText"/>
        <w:rPr>
          <w:sz w:val="20"/>
        </w:rPr>
      </w:pPr>
    </w:p>
    <w:p>
      <w:pPr>
        <w:pStyle w:val="BodyText"/>
        <w:rPr>
          <w:sz w:val="20"/>
        </w:rPr>
      </w:pPr>
    </w:p>
    <w:p>
      <w:pPr>
        <w:pStyle w:val="BodyText"/>
        <w:rPr>
          <w:sz w:val="20"/>
        </w:rPr>
      </w:pPr>
    </w:p>
    <w:p>
      <w:pPr>
        <w:pStyle w:val="BodyText"/>
        <w:spacing w:before="4"/>
        <w:rPr>
          <w:sz w:val="28"/>
        </w:rPr>
      </w:pPr>
    </w:p>
    <w:p>
      <w:pPr>
        <w:pStyle w:val="Heading3"/>
        <w:spacing w:before="74"/>
        <w:ind w:left="1415" w:right="1427"/>
        <w:jc w:val="center"/>
      </w:pPr>
      <w:r>
        <w:rPr/>
        <w:t>Tabla Nº 4</w:t>
      </w:r>
    </w:p>
    <w:p>
      <w:pPr>
        <w:spacing w:line="264" w:lineRule="exact" w:before="4"/>
        <w:ind w:left="1411" w:right="1427" w:firstLine="0"/>
        <w:jc w:val="center"/>
        <w:rPr>
          <w:b/>
          <w:sz w:val="23"/>
        </w:rPr>
      </w:pPr>
      <w:r>
        <w:rPr>
          <w:b/>
          <w:sz w:val="23"/>
        </w:rPr>
        <w:t>Iniciativas de educación básica aprobadas</w:t>
      </w:r>
      <w:r>
        <w:rPr>
          <w:b/>
          <w:spacing w:val="50"/>
          <w:sz w:val="23"/>
        </w:rPr>
        <w:t> </w:t>
      </w:r>
      <w:r>
        <w:rPr>
          <w:b/>
          <w:sz w:val="23"/>
        </w:rPr>
        <w:t>en</w:t>
      </w:r>
    </w:p>
    <w:p>
      <w:pPr>
        <w:spacing w:line="264" w:lineRule="exact" w:before="0"/>
        <w:ind w:left="1412" w:right="1427" w:firstLine="0"/>
        <w:jc w:val="center"/>
        <w:rPr>
          <w:b/>
          <w:sz w:val="23"/>
        </w:rPr>
      </w:pPr>
      <w:r>
        <w:rPr>
          <w:b/>
          <w:sz w:val="23"/>
        </w:rPr>
        <w:t>las LVIII y LIX legislaturas de la Cámara de Diputados</w:t>
      </w:r>
    </w:p>
    <w:p>
      <w:pPr>
        <w:pStyle w:val="BodyText"/>
        <w:rPr>
          <w:b/>
          <w:sz w:val="20"/>
        </w:rPr>
      </w:pPr>
    </w:p>
    <w:p>
      <w:pPr>
        <w:pStyle w:val="BodyText"/>
        <w:spacing w:before="2" w:after="1"/>
        <w:rPr>
          <w:b/>
          <w:sz w:val="16"/>
        </w:rPr>
      </w:pPr>
    </w:p>
    <w:tbl>
      <w:tblPr>
        <w:tblW w:w="0" w:type="auto"/>
        <w:jc w:val="left"/>
        <w:tblInd w:w="10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80"/>
        <w:gridCol w:w="3034"/>
        <w:gridCol w:w="1656"/>
        <w:gridCol w:w="1771"/>
      </w:tblGrid>
      <w:tr>
        <w:trPr>
          <w:trHeight w:val="677" w:hRule="exact"/>
        </w:trPr>
        <w:tc>
          <w:tcPr>
            <w:tcW w:w="2280" w:type="dxa"/>
            <w:vMerge w:val="restart"/>
            <w:tcBorders>
              <w:right w:val="single" w:sz="4" w:space="0" w:color="000000"/>
            </w:tcBorders>
          </w:tcPr>
          <w:p>
            <w:pPr>
              <w:pStyle w:val="TableParagraph"/>
              <w:rPr>
                <w:b/>
                <w:sz w:val="20"/>
              </w:rPr>
            </w:pPr>
          </w:p>
          <w:p>
            <w:pPr>
              <w:pStyle w:val="TableParagraph"/>
              <w:spacing w:before="2"/>
              <w:rPr>
                <w:b/>
                <w:sz w:val="24"/>
              </w:rPr>
            </w:pPr>
          </w:p>
          <w:p>
            <w:pPr>
              <w:pStyle w:val="TableParagraph"/>
              <w:ind w:left="748"/>
              <w:rPr>
                <w:b/>
                <w:sz w:val="19"/>
              </w:rPr>
            </w:pPr>
            <w:r>
              <w:rPr>
                <w:b/>
                <w:w w:val="105"/>
                <w:sz w:val="19"/>
              </w:rPr>
              <w:t>Partidos</w:t>
            </w:r>
          </w:p>
        </w:tc>
        <w:tc>
          <w:tcPr>
            <w:tcW w:w="3034" w:type="dxa"/>
            <w:vMerge w:val="restart"/>
            <w:tcBorders>
              <w:left w:val="single" w:sz="4" w:space="0" w:color="000000"/>
              <w:right w:val="single" w:sz="4" w:space="0" w:color="000000"/>
            </w:tcBorders>
          </w:tcPr>
          <w:p>
            <w:pPr>
              <w:pStyle w:val="TableParagraph"/>
              <w:rPr>
                <w:b/>
                <w:sz w:val="20"/>
              </w:rPr>
            </w:pPr>
          </w:p>
          <w:p>
            <w:pPr>
              <w:pStyle w:val="TableParagraph"/>
              <w:spacing w:before="2"/>
              <w:rPr>
                <w:b/>
                <w:sz w:val="24"/>
              </w:rPr>
            </w:pPr>
          </w:p>
          <w:p>
            <w:pPr>
              <w:pStyle w:val="TableParagraph"/>
              <w:ind w:left="484" w:right="33"/>
              <w:rPr>
                <w:b/>
                <w:sz w:val="19"/>
              </w:rPr>
            </w:pPr>
            <w:r>
              <w:rPr>
                <w:b/>
                <w:w w:val="105"/>
                <w:sz w:val="19"/>
              </w:rPr>
              <w:t>Sujetos de legislación</w:t>
            </w:r>
          </w:p>
        </w:tc>
        <w:tc>
          <w:tcPr>
            <w:tcW w:w="3427" w:type="dxa"/>
            <w:gridSpan w:val="2"/>
            <w:tcBorders>
              <w:left w:val="single" w:sz="4" w:space="0" w:color="000000"/>
              <w:bottom w:val="single" w:sz="4" w:space="0" w:color="000000"/>
            </w:tcBorders>
          </w:tcPr>
          <w:p>
            <w:pPr>
              <w:pStyle w:val="TableParagraph"/>
              <w:spacing w:line="369" w:lineRule="auto"/>
              <w:ind w:left="1223" w:right="446" w:hanging="706"/>
              <w:rPr>
                <w:b/>
                <w:sz w:val="19"/>
              </w:rPr>
            </w:pPr>
            <w:r>
              <w:rPr>
                <w:b/>
                <w:w w:val="105"/>
                <w:sz w:val="19"/>
              </w:rPr>
              <w:t>Número de iniciativas por legislatura</w:t>
            </w:r>
          </w:p>
        </w:tc>
      </w:tr>
      <w:tr>
        <w:trPr>
          <w:trHeight w:val="682" w:hRule="exact"/>
        </w:trPr>
        <w:tc>
          <w:tcPr>
            <w:tcW w:w="2280" w:type="dxa"/>
            <w:vMerge/>
            <w:tcBorders>
              <w:bottom w:val="single" w:sz="4" w:space="0" w:color="000000"/>
              <w:right w:val="single" w:sz="4" w:space="0" w:color="000000"/>
            </w:tcBorders>
          </w:tcPr>
          <w:p>
            <w:pPr/>
          </w:p>
        </w:tc>
        <w:tc>
          <w:tcPr>
            <w:tcW w:w="3034" w:type="dxa"/>
            <w:vMerge/>
            <w:tcBorders>
              <w:left w:val="single" w:sz="4" w:space="0" w:color="000000"/>
              <w:bottom w:val="single" w:sz="4" w:space="0" w:color="000000"/>
              <w:right w:val="single" w:sz="4" w:space="0" w:color="000000"/>
            </w:tcBorders>
          </w:tcPr>
          <w:p>
            <w:pPr/>
          </w:p>
        </w:tc>
        <w:tc>
          <w:tcPr>
            <w:tcW w:w="1656" w:type="dxa"/>
            <w:tcBorders>
              <w:top w:val="single" w:sz="4" w:space="0" w:color="000000"/>
              <w:left w:val="single" w:sz="4" w:space="0" w:color="000000"/>
              <w:bottom w:val="single" w:sz="4" w:space="0" w:color="000000"/>
              <w:right w:val="single" w:sz="4" w:space="0" w:color="000000"/>
            </w:tcBorders>
          </w:tcPr>
          <w:p>
            <w:pPr>
              <w:pStyle w:val="TableParagraph"/>
              <w:spacing w:before="1"/>
              <w:rPr>
                <w:b/>
                <w:sz w:val="29"/>
              </w:rPr>
            </w:pPr>
          </w:p>
          <w:p>
            <w:pPr>
              <w:pStyle w:val="TableParagraph"/>
              <w:spacing w:before="1"/>
              <w:ind w:left="594" w:right="601"/>
              <w:jc w:val="center"/>
              <w:rPr>
                <w:sz w:val="19"/>
              </w:rPr>
            </w:pPr>
            <w:r>
              <w:rPr>
                <w:w w:val="105"/>
                <w:sz w:val="19"/>
              </w:rPr>
              <w:t>LVIII</w:t>
            </w:r>
          </w:p>
        </w:tc>
        <w:tc>
          <w:tcPr>
            <w:tcW w:w="1771" w:type="dxa"/>
            <w:tcBorders>
              <w:top w:val="single" w:sz="4" w:space="0" w:color="000000"/>
              <w:left w:val="single" w:sz="4" w:space="0" w:color="000000"/>
              <w:bottom w:val="single" w:sz="4" w:space="0" w:color="000000"/>
            </w:tcBorders>
          </w:tcPr>
          <w:p>
            <w:pPr>
              <w:pStyle w:val="TableParagraph"/>
              <w:spacing w:before="1"/>
              <w:rPr>
                <w:b/>
                <w:sz w:val="29"/>
              </w:rPr>
            </w:pPr>
          </w:p>
          <w:p>
            <w:pPr>
              <w:pStyle w:val="TableParagraph"/>
              <w:spacing w:before="1"/>
              <w:ind w:left="707" w:right="720"/>
              <w:jc w:val="center"/>
              <w:rPr>
                <w:sz w:val="19"/>
              </w:rPr>
            </w:pPr>
            <w:r>
              <w:rPr>
                <w:w w:val="105"/>
                <w:sz w:val="19"/>
              </w:rPr>
              <w:t>LIX</w:t>
            </w:r>
          </w:p>
        </w:tc>
      </w:tr>
      <w:tr>
        <w:trPr>
          <w:trHeight w:val="523" w:hRule="exact"/>
        </w:trPr>
        <w:tc>
          <w:tcPr>
            <w:tcW w:w="2280" w:type="dxa"/>
            <w:tcBorders>
              <w:top w:val="single" w:sz="4" w:space="0" w:color="000000"/>
              <w:bottom w:val="single" w:sz="4" w:space="0" w:color="000000"/>
              <w:right w:val="single" w:sz="4" w:space="0" w:color="000000"/>
            </w:tcBorders>
          </w:tcPr>
          <w:p>
            <w:pPr>
              <w:pStyle w:val="TableParagraph"/>
              <w:spacing w:before="4"/>
              <w:ind w:left="259"/>
              <w:rPr>
                <w:sz w:val="19"/>
              </w:rPr>
            </w:pPr>
            <w:r>
              <w:rPr>
                <w:w w:val="105"/>
                <w:sz w:val="19"/>
              </w:rPr>
              <w:t>PRI, PAN, PRD, PT,</w:t>
            </w:r>
          </w:p>
          <w:p>
            <w:pPr>
              <w:pStyle w:val="TableParagraph"/>
              <w:spacing w:before="40"/>
              <w:ind w:left="211"/>
              <w:rPr>
                <w:sz w:val="19"/>
              </w:rPr>
            </w:pPr>
            <w:r>
              <w:rPr>
                <w:sz w:val="19"/>
              </w:rPr>
              <w:t>PVEM, Convergencia</w:t>
            </w:r>
          </w:p>
        </w:tc>
        <w:tc>
          <w:tcPr>
            <w:tcW w:w="3034" w:type="dxa"/>
            <w:tcBorders>
              <w:top w:val="single" w:sz="4" w:space="0" w:color="000000"/>
              <w:left w:val="single" w:sz="4" w:space="0" w:color="000000"/>
              <w:bottom w:val="single" w:sz="4" w:space="0" w:color="000000"/>
              <w:right w:val="single" w:sz="4" w:space="0" w:color="000000"/>
            </w:tcBorders>
          </w:tcPr>
          <w:p>
            <w:pPr>
              <w:pStyle w:val="TableParagraph"/>
              <w:spacing w:line="285" w:lineRule="auto" w:before="4"/>
              <w:ind w:left="465" w:right="33" w:hanging="356"/>
              <w:rPr>
                <w:sz w:val="19"/>
              </w:rPr>
            </w:pPr>
            <w:r>
              <w:rPr>
                <w:w w:val="105"/>
                <w:sz w:val="19"/>
              </w:rPr>
              <w:t>Presupuesto educativo (destinar 8% de PIB a educación)</w:t>
            </w:r>
          </w:p>
        </w:tc>
        <w:tc>
          <w:tcPr>
            <w:tcW w:w="1656" w:type="dxa"/>
            <w:tcBorders>
              <w:top w:val="single" w:sz="4" w:space="0" w:color="000000"/>
              <w:left w:val="single" w:sz="4" w:space="0" w:color="000000"/>
              <w:bottom w:val="single" w:sz="4" w:space="0" w:color="000000"/>
              <w:right w:val="single" w:sz="4" w:space="0" w:color="000000"/>
            </w:tcBorders>
          </w:tcPr>
          <w:p>
            <w:pPr>
              <w:pStyle w:val="TableParagraph"/>
              <w:spacing w:before="90"/>
              <w:ind w:right="1"/>
              <w:jc w:val="center"/>
              <w:rPr>
                <w:sz w:val="19"/>
              </w:rPr>
            </w:pPr>
            <w:r>
              <w:rPr>
                <w:w w:val="103"/>
                <w:sz w:val="19"/>
              </w:rPr>
              <w:t>1</w:t>
            </w:r>
          </w:p>
        </w:tc>
        <w:tc>
          <w:tcPr>
            <w:tcW w:w="1771" w:type="dxa"/>
            <w:tcBorders>
              <w:top w:val="single" w:sz="4" w:space="0" w:color="000000"/>
              <w:left w:val="single" w:sz="4" w:space="0" w:color="000000"/>
              <w:bottom w:val="single" w:sz="4" w:space="0" w:color="000000"/>
            </w:tcBorders>
          </w:tcPr>
          <w:p>
            <w:pPr/>
          </w:p>
        </w:tc>
      </w:tr>
      <w:tr>
        <w:trPr>
          <w:trHeight w:val="523" w:hRule="exact"/>
        </w:trPr>
        <w:tc>
          <w:tcPr>
            <w:tcW w:w="2280" w:type="dxa"/>
            <w:tcBorders>
              <w:top w:val="single" w:sz="4" w:space="0" w:color="000000"/>
              <w:bottom w:val="single" w:sz="4" w:space="0" w:color="000000"/>
              <w:right w:val="single" w:sz="4" w:space="0" w:color="000000"/>
            </w:tcBorders>
          </w:tcPr>
          <w:p>
            <w:pPr>
              <w:pStyle w:val="TableParagraph"/>
              <w:spacing w:before="4"/>
              <w:ind w:left="259"/>
              <w:rPr>
                <w:sz w:val="19"/>
              </w:rPr>
            </w:pPr>
            <w:r>
              <w:rPr>
                <w:w w:val="105"/>
                <w:sz w:val="19"/>
              </w:rPr>
              <w:t>PRI, PAN, PRD, PT,</w:t>
            </w:r>
          </w:p>
          <w:p>
            <w:pPr>
              <w:pStyle w:val="TableParagraph"/>
              <w:spacing w:before="40"/>
              <w:ind w:left="211"/>
              <w:rPr>
                <w:sz w:val="19"/>
              </w:rPr>
            </w:pPr>
            <w:r>
              <w:rPr>
                <w:sz w:val="19"/>
              </w:rPr>
              <w:t>PVEM, Convergencia</w:t>
            </w:r>
          </w:p>
        </w:tc>
        <w:tc>
          <w:tcPr>
            <w:tcW w:w="3034" w:type="dxa"/>
            <w:tcBorders>
              <w:top w:val="single" w:sz="4" w:space="0" w:color="000000"/>
              <w:left w:val="single" w:sz="4" w:space="0" w:color="000000"/>
              <w:bottom w:val="single" w:sz="4" w:space="0" w:color="000000"/>
              <w:right w:val="single" w:sz="4" w:space="0" w:color="000000"/>
            </w:tcBorders>
          </w:tcPr>
          <w:p>
            <w:pPr>
              <w:pStyle w:val="TableParagraph"/>
              <w:spacing w:line="285" w:lineRule="auto" w:before="4"/>
              <w:ind w:left="480" w:right="44" w:hanging="360"/>
              <w:rPr>
                <w:sz w:val="19"/>
              </w:rPr>
            </w:pPr>
            <w:r>
              <w:rPr>
                <w:w w:val="105"/>
                <w:sz w:val="19"/>
              </w:rPr>
              <w:t>Obligatoriedad constitucional de la educación preescolar</w:t>
            </w:r>
          </w:p>
        </w:tc>
        <w:tc>
          <w:tcPr>
            <w:tcW w:w="1656" w:type="dxa"/>
            <w:tcBorders>
              <w:top w:val="single" w:sz="4" w:space="0" w:color="000000"/>
              <w:left w:val="single" w:sz="4" w:space="0" w:color="000000"/>
              <w:bottom w:val="single" w:sz="4" w:space="0" w:color="000000"/>
              <w:right w:val="single" w:sz="4" w:space="0" w:color="000000"/>
            </w:tcBorders>
          </w:tcPr>
          <w:p>
            <w:pPr>
              <w:pStyle w:val="TableParagraph"/>
              <w:spacing w:before="90"/>
              <w:ind w:right="1"/>
              <w:jc w:val="center"/>
              <w:rPr>
                <w:sz w:val="19"/>
              </w:rPr>
            </w:pPr>
            <w:r>
              <w:rPr>
                <w:w w:val="103"/>
                <w:sz w:val="19"/>
              </w:rPr>
              <w:t>1</w:t>
            </w:r>
          </w:p>
        </w:tc>
        <w:tc>
          <w:tcPr>
            <w:tcW w:w="1771" w:type="dxa"/>
            <w:tcBorders>
              <w:top w:val="single" w:sz="4" w:space="0" w:color="000000"/>
              <w:left w:val="single" w:sz="4" w:space="0" w:color="000000"/>
              <w:bottom w:val="single" w:sz="4" w:space="0" w:color="000000"/>
            </w:tcBorders>
          </w:tcPr>
          <w:p>
            <w:pPr/>
          </w:p>
        </w:tc>
      </w:tr>
      <w:tr>
        <w:trPr>
          <w:trHeight w:val="523" w:hRule="exact"/>
        </w:trPr>
        <w:tc>
          <w:tcPr>
            <w:tcW w:w="2280" w:type="dxa"/>
            <w:tcBorders>
              <w:top w:val="single" w:sz="4" w:space="0" w:color="000000"/>
              <w:bottom w:val="single" w:sz="4" w:space="0" w:color="000000"/>
              <w:right w:val="single" w:sz="4" w:space="0" w:color="000000"/>
            </w:tcBorders>
          </w:tcPr>
          <w:p>
            <w:pPr>
              <w:pStyle w:val="TableParagraph"/>
              <w:spacing w:before="133"/>
              <w:ind w:left="974"/>
              <w:rPr>
                <w:sz w:val="19"/>
              </w:rPr>
            </w:pPr>
            <w:r>
              <w:rPr>
                <w:w w:val="105"/>
                <w:sz w:val="19"/>
              </w:rPr>
              <w:t>PRI</w:t>
            </w:r>
          </w:p>
        </w:tc>
        <w:tc>
          <w:tcPr>
            <w:tcW w:w="3034" w:type="dxa"/>
            <w:tcBorders>
              <w:top w:val="single" w:sz="4" w:space="0" w:color="000000"/>
              <w:left w:val="single" w:sz="4" w:space="0" w:color="000000"/>
              <w:bottom w:val="single" w:sz="4" w:space="0" w:color="000000"/>
              <w:right w:val="single" w:sz="4" w:space="0" w:color="000000"/>
            </w:tcBorders>
          </w:tcPr>
          <w:p>
            <w:pPr>
              <w:pStyle w:val="TableParagraph"/>
              <w:spacing w:line="285" w:lineRule="auto" w:before="4"/>
              <w:ind w:left="580" w:right="229" w:hanging="279"/>
              <w:rPr>
                <w:sz w:val="19"/>
              </w:rPr>
            </w:pPr>
            <w:r>
              <w:rPr>
                <w:w w:val="105"/>
                <w:sz w:val="19"/>
              </w:rPr>
              <w:t>Apoyo para estudiantes con </w:t>
            </w:r>
            <w:r>
              <w:rPr>
                <w:sz w:val="19"/>
              </w:rPr>
              <w:t>discapacidad auditiva</w:t>
            </w:r>
          </w:p>
        </w:tc>
        <w:tc>
          <w:tcPr>
            <w:tcW w:w="1656" w:type="dxa"/>
            <w:tcBorders>
              <w:top w:val="single" w:sz="4" w:space="0" w:color="000000"/>
              <w:left w:val="single" w:sz="4" w:space="0" w:color="000000"/>
              <w:bottom w:val="single" w:sz="4" w:space="0" w:color="000000"/>
              <w:right w:val="single" w:sz="4" w:space="0" w:color="000000"/>
            </w:tcBorders>
          </w:tcPr>
          <w:p>
            <w:pPr>
              <w:pStyle w:val="TableParagraph"/>
              <w:spacing w:before="90"/>
              <w:ind w:right="1"/>
              <w:jc w:val="center"/>
              <w:rPr>
                <w:sz w:val="19"/>
              </w:rPr>
            </w:pPr>
            <w:r>
              <w:rPr>
                <w:w w:val="103"/>
                <w:sz w:val="19"/>
              </w:rPr>
              <w:t>1</w:t>
            </w:r>
          </w:p>
        </w:tc>
        <w:tc>
          <w:tcPr>
            <w:tcW w:w="1771" w:type="dxa"/>
            <w:tcBorders>
              <w:top w:val="single" w:sz="4" w:space="0" w:color="000000"/>
              <w:left w:val="single" w:sz="4" w:space="0" w:color="000000"/>
              <w:bottom w:val="single" w:sz="4" w:space="0" w:color="000000"/>
            </w:tcBorders>
          </w:tcPr>
          <w:p>
            <w:pPr/>
          </w:p>
        </w:tc>
      </w:tr>
      <w:tr>
        <w:trPr>
          <w:trHeight w:val="1301" w:hRule="exact"/>
        </w:trPr>
        <w:tc>
          <w:tcPr>
            <w:tcW w:w="2280" w:type="dxa"/>
            <w:tcBorders>
              <w:top w:val="single" w:sz="4" w:space="0" w:color="000000"/>
              <w:bottom w:val="single" w:sz="4" w:space="0" w:color="000000"/>
              <w:right w:val="single" w:sz="4" w:space="0" w:color="000000"/>
            </w:tcBorders>
          </w:tcPr>
          <w:p>
            <w:pPr>
              <w:pStyle w:val="TableParagraph"/>
              <w:rPr>
                <w:b/>
                <w:sz w:val="20"/>
              </w:rPr>
            </w:pPr>
          </w:p>
          <w:p>
            <w:pPr>
              <w:pStyle w:val="TableParagraph"/>
              <w:spacing w:before="5"/>
              <w:rPr>
                <w:b/>
                <w:sz w:val="25"/>
              </w:rPr>
            </w:pPr>
          </w:p>
          <w:p>
            <w:pPr>
              <w:pStyle w:val="TableParagraph"/>
              <w:ind w:left="974"/>
              <w:rPr>
                <w:sz w:val="19"/>
              </w:rPr>
            </w:pPr>
            <w:r>
              <w:rPr>
                <w:w w:val="105"/>
                <w:sz w:val="19"/>
              </w:rPr>
              <w:t>PRI</w:t>
            </w:r>
          </w:p>
        </w:tc>
        <w:tc>
          <w:tcPr>
            <w:tcW w:w="3034" w:type="dxa"/>
            <w:tcBorders>
              <w:top w:val="single" w:sz="4" w:space="0" w:color="000000"/>
              <w:left w:val="single" w:sz="4" w:space="0" w:color="000000"/>
              <w:bottom w:val="single" w:sz="4" w:space="0" w:color="000000"/>
              <w:right w:val="single" w:sz="4" w:space="0" w:color="000000"/>
            </w:tcBorders>
          </w:tcPr>
          <w:p>
            <w:pPr>
              <w:pStyle w:val="TableParagraph"/>
              <w:spacing w:line="283" w:lineRule="auto" w:before="9"/>
              <w:ind w:left="73" w:right="83"/>
              <w:jc w:val="center"/>
              <w:rPr>
                <w:sz w:val="19"/>
              </w:rPr>
            </w:pPr>
            <w:r>
              <w:rPr>
                <w:w w:val="105"/>
                <w:sz w:val="19"/>
              </w:rPr>
              <w:t>Símbolos patrios (obligatoriedad de enseñar en escuelas de educación básica y promoverlo en televisión en tiempos del Estado)</w:t>
            </w:r>
          </w:p>
        </w:tc>
        <w:tc>
          <w:tcPr>
            <w:tcW w:w="1656" w:type="dxa"/>
            <w:tcBorders>
              <w:top w:val="single" w:sz="4" w:space="0" w:color="000000"/>
              <w:left w:val="single" w:sz="4" w:space="0" w:color="000000"/>
              <w:bottom w:val="single" w:sz="4" w:space="0" w:color="000000"/>
              <w:right w:val="single" w:sz="4" w:space="0" w:color="000000"/>
            </w:tcBorders>
          </w:tcPr>
          <w:p>
            <w:pPr/>
          </w:p>
        </w:tc>
        <w:tc>
          <w:tcPr>
            <w:tcW w:w="1771" w:type="dxa"/>
            <w:tcBorders>
              <w:top w:val="single" w:sz="4" w:space="0" w:color="000000"/>
              <w:left w:val="single" w:sz="4" w:space="0" w:color="000000"/>
              <w:bottom w:val="single" w:sz="4" w:space="0" w:color="000000"/>
            </w:tcBorders>
          </w:tcPr>
          <w:p>
            <w:pPr>
              <w:pStyle w:val="TableParagraph"/>
              <w:rPr>
                <w:b/>
                <w:sz w:val="20"/>
              </w:rPr>
            </w:pPr>
          </w:p>
          <w:p>
            <w:pPr>
              <w:pStyle w:val="TableParagraph"/>
              <w:spacing w:before="3"/>
              <w:rPr>
                <w:b/>
                <w:sz w:val="21"/>
              </w:rPr>
            </w:pPr>
          </w:p>
          <w:p>
            <w:pPr>
              <w:pStyle w:val="TableParagraph"/>
              <w:ind w:right="4"/>
              <w:jc w:val="center"/>
              <w:rPr>
                <w:sz w:val="19"/>
              </w:rPr>
            </w:pPr>
            <w:r>
              <w:rPr>
                <w:w w:val="103"/>
                <w:sz w:val="19"/>
              </w:rPr>
              <w:t>1</w:t>
            </w:r>
          </w:p>
        </w:tc>
      </w:tr>
      <w:tr>
        <w:trPr>
          <w:trHeight w:val="1042" w:hRule="exact"/>
        </w:trPr>
        <w:tc>
          <w:tcPr>
            <w:tcW w:w="2280" w:type="dxa"/>
            <w:vMerge w:val="restart"/>
            <w:tcBorders>
              <w:top w:val="single" w:sz="4" w:space="0" w:color="000000"/>
              <w:right w:val="single" w:sz="4" w:space="0" w:color="000000"/>
            </w:tcBorders>
          </w:tcPr>
          <w:p>
            <w:pPr>
              <w:pStyle w:val="TableParagraph"/>
              <w:rPr>
                <w:b/>
                <w:sz w:val="20"/>
              </w:rPr>
            </w:pPr>
          </w:p>
          <w:p>
            <w:pPr>
              <w:pStyle w:val="TableParagraph"/>
              <w:rPr>
                <w:b/>
                <w:sz w:val="20"/>
              </w:rPr>
            </w:pPr>
          </w:p>
          <w:p>
            <w:pPr>
              <w:pStyle w:val="TableParagraph"/>
              <w:rPr>
                <w:b/>
                <w:sz w:val="20"/>
              </w:rPr>
            </w:pPr>
          </w:p>
          <w:p>
            <w:pPr>
              <w:pStyle w:val="TableParagraph"/>
              <w:spacing w:before="9"/>
              <w:rPr>
                <w:b/>
                <w:sz w:val="18"/>
              </w:rPr>
            </w:pPr>
          </w:p>
          <w:p>
            <w:pPr>
              <w:pStyle w:val="TableParagraph"/>
              <w:ind w:left="915" w:right="910"/>
              <w:jc w:val="center"/>
              <w:rPr>
                <w:sz w:val="19"/>
              </w:rPr>
            </w:pPr>
            <w:r>
              <w:rPr>
                <w:w w:val="105"/>
                <w:sz w:val="19"/>
              </w:rPr>
              <w:t>PAN</w:t>
            </w:r>
          </w:p>
        </w:tc>
        <w:tc>
          <w:tcPr>
            <w:tcW w:w="3034" w:type="dxa"/>
            <w:tcBorders>
              <w:top w:val="single" w:sz="4" w:space="0" w:color="000000"/>
              <w:left w:val="single" w:sz="4" w:space="0" w:color="000000"/>
              <w:bottom w:val="single" w:sz="4" w:space="0" w:color="000000"/>
              <w:right w:val="single" w:sz="4" w:space="0" w:color="000000"/>
            </w:tcBorders>
          </w:tcPr>
          <w:p>
            <w:pPr>
              <w:pStyle w:val="TableParagraph"/>
              <w:spacing w:line="280" w:lineRule="auto" w:before="4"/>
              <w:ind w:left="81" w:right="87" w:firstLine="3"/>
              <w:jc w:val="center"/>
              <w:rPr>
                <w:sz w:val="19"/>
              </w:rPr>
            </w:pPr>
            <w:r>
              <w:rPr>
                <w:w w:val="105"/>
                <w:sz w:val="19"/>
              </w:rPr>
              <w:t>Padres de familia (incentivos fiscales para padres que inscriban</w:t>
            </w:r>
            <w:r>
              <w:rPr>
                <w:spacing w:val="-17"/>
                <w:w w:val="105"/>
                <w:sz w:val="19"/>
              </w:rPr>
              <w:t> </w:t>
            </w:r>
            <w:r>
              <w:rPr>
                <w:w w:val="105"/>
                <w:sz w:val="19"/>
              </w:rPr>
              <w:t>a</w:t>
            </w:r>
            <w:r>
              <w:rPr>
                <w:spacing w:val="-14"/>
                <w:w w:val="105"/>
                <w:sz w:val="19"/>
              </w:rPr>
              <w:t> </w:t>
            </w:r>
            <w:r>
              <w:rPr>
                <w:w w:val="105"/>
                <w:sz w:val="19"/>
              </w:rPr>
              <w:t>sus</w:t>
            </w:r>
            <w:r>
              <w:rPr>
                <w:spacing w:val="-14"/>
                <w:w w:val="105"/>
                <w:sz w:val="19"/>
              </w:rPr>
              <w:t> </w:t>
            </w:r>
            <w:r>
              <w:rPr>
                <w:w w:val="105"/>
                <w:sz w:val="19"/>
              </w:rPr>
              <w:t>hijos</w:t>
            </w:r>
            <w:r>
              <w:rPr>
                <w:spacing w:val="-17"/>
                <w:w w:val="105"/>
                <w:sz w:val="19"/>
              </w:rPr>
              <w:t> </w:t>
            </w:r>
            <w:r>
              <w:rPr>
                <w:w w:val="105"/>
                <w:sz w:val="19"/>
              </w:rPr>
              <w:t>en</w:t>
            </w:r>
            <w:r>
              <w:rPr>
                <w:spacing w:val="-14"/>
                <w:w w:val="105"/>
                <w:sz w:val="19"/>
              </w:rPr>
              <w:t> </w:t>
            </w:r>
            <w:r>
              <w:rPr>
                <w:w w:val="105"/>
                <w:sz w:val="19"/>
              </w:rPr>
              <w:t>escuelas privadas)</w:t>
            </w:r>
          </w:p>
        </w:tc>
        <w:tc>
          <w:tcPr>
            <w:tcW w:w="1656" w:type="dxa"/>
            <w:tcBorders>
              <w:top w:val="single" w:sz="4" w:space="0" w:color="000000"/>
              <w:left w:val="single" w:sz="4" w:space="0" w:color="000000"/>
              <w:bottom w:val="single" w:sz="4" w:space="0" w:color="000000"/>
              <w:right w:val="single" w:sz="4" w:space="0" w:color="000000"/>
            </w:tcBorders>
          </w:tcPr>
          <w:p>
            <w:pPr/>
          </w:p>
        </w:tc>
        <w:tc>
          <w:tcPr>
            <w:tcW w:w="1771" w:type="dxa"/>
            <w:tcBorders>
              <w:top w:val="single" w:sz="4" w:space="0" w:color="000000"/>
              <w:left w:val="single" w:sz="4" w:space="0" w:color="000000"/>
              <w:bottom w:val="single" w:sz="4" w:space="0" w:color="000000"/>
            </w:tcBorders>
          </w:tcPr>
          <w:p>
            <w:pPr>
              <w:pStyle w:val="TableParagraph"/>
              <w:rPr>
                <w:b/>
                <w:sz w:val="20"/>
              </w:rPr>
            </w:pPr>
          </w:p>
          <w:p>
            <w:pPr>
              <w:pStyle w:val="TableParagraph"/>
              <w:spacing w:before="115"/>
              <w:ind w:right="4"/>
              <w:jc w:val="center"/>
              <w:rPr>
                <w:sz w:val="19"/>
              </w:rPr>
            </w:pPr>
            <w:r>
              <w:rPr>
                <w:w w:val="103"/>
                <w:sz w:val="19"/>
              </w:rPr>
              <w:t>1</w:t>
            </w:r>
          </w:p>
        </w:tc>
      </w:tr>
      <w:tr>
        <w:trPr>
          <w:trHeight w:val="1037" w:hRule="exact"/>
        </w:trPr>
        <w:tc>
          <w:tcPr>
            <w:tcW w:w="2280" w:type="dxa"/>
            <w:vMerge/>
            <w:tcBorders>
              <w:bottom w:val="single" w:sz="4" w:space="0" w:color="000000"/>
              <w:right w:val="single" w:sz="4" w:space="0" w:color="000000"/>
            </w:tcBorders>
          </w:tcPr>
          <w:p>
            <w:pPr/>
          </w:p>
        </w:tc>
        <w:tc>
          <w:tcPr>
            <w:tcW w:w="3034" w:type="dxa"/>
            <w:tcBorders>
              <w:top w:val="single" w:sz="4" w:space="0" w:color="000000"/>
              <w:left w:val="single" w:sz="4" w:space="0" w:color="000000"/>
              <w:bottom w:val="single" w:sz="4" w:space="0" w:color="000000"/>
              <w:right w:val="single" w:sz="4" w:space="0" w:color="000000"/>
            </w:tcBorders>
          </w:tcPr>
          <w:p>
            <w:pPr>
              <w:pStyle w:val="TableParagraph"/>
              <w:spacing w:line="280" w:lineRule="auto" w:before="4"/>
              <w:ind w:left="167" w:right="174" w:hanging="4"/>
              <w:jc w:val="center"/>
              <w:rPr>
                <w:sz w:val="19"/>
              </w:rPr>
            </w:pPr>
            <w:r>
              <w:rPr>
                <w:w w:val="105"/>
                <w:sz w:val="19"/>
              </w:rPr>
              <w:t>Presupuesto</w:t>
            </w:r>
            <w:r>
              <w:rPr>
                <w:spacing w:val="-20"/>
                <w:w w:val="105"/>
                <w:sz w:val="19"/>
              </w:rPr>
              <w:t> </w:t>
            </w:r>
            <w:r>
              <w:rPr>
                <w:w w:val="105"/>
                <w:sz w:val="19"/>
              </w:rPr>
              <w:t>educativo</w:t>
            </w:r>
            <w:r>
              <w:rPr>
                <w:spacing w:val="-20"/>
                <w:w w:val="105"/>
                <w:sz w:val="19"/>
              </w:rPr>
              <w:t> </w:t>
            </w:r>
            <w:r>
              <w:rPr>
                <w:w w:val="105"/>
                <w:sz w:val="19"/>
              </w:rPr>
              <w:t>(que</w:t>
            </w:r>
            <w:r>
              <w:rPr>
                <w:spacing w:val="-20"/>
                <w:w w:val="105"/>
                <w:sz w:val="19"/>
              </w:rPr>
              <w:t> </w:t>
            </w:r>
            <w:r>
              <w:rPr>
                <w:spacing w:val="-3"/>
                <w:w w:val="105"/>
                <w:sz w:val="19"/>
              </w:rPr>
              <w:t>la </w:t>
            </w:r>
            <w:r>
              <w:rPr>
                <w:w w:val="105"/>
                <w:sz w:val="19"/>
              </w:rPr>
              <w:t>asignación a estados no se utilice</w:t>
            </w:r>
            <w:r>
              <w:rPr>
                <w:spacing w:val="-15"/>
                <w:w w:val="105"/>
                <w:sz w:val="19"/>
              </w:rPr>
              <w:t> </w:t>
            </w:r>
            <w:r>
              <w:rPr>
                <w:w w:val="105"/>
                <w:sz w:val="19"/>
              </w:rPr>
              <w:t>para</w:t>
            </w:r>
            <w:r>
              <w:rPr>
                <w:spacing w:val="-11"/>
                <w:w w:val="105"/>
                <w:sz w:val="19"/>
              </w:rPr>
              <w:t> </w:t>
            </w:r>
            <w:r>
              <w:rPr>
                <w:w w:val="105"/>
                <w:sz w:val="19"/>
              </w:rPr>
              <w:t>otros</w:t>
            </w:r>
            <w:r>
              <w:rPr>
                <w:spacing w:val="-10"/>
                <w:w w:val="105"/>
                <w:sz w:val="19"/>
              </w:rPr>
              <w:t> </w:t>
            </w:r>
            <w:r>
              <w:rPr>
                <w:w w:val="105"/>
                <w:sz w:val="19"/>
              </w:rPr>
              <w:t>fines</w:t>
            </w:r>
            <w:r>
              <w:rPr>
                <w:spacing w:val="-15"/>
                <w:w w:val="105"/>
                <w:sz w:val="19"/>
              </w:rPr>
              <w:t> </w:t>
            </w:r>
            <w:r>
              <w:rPr>
                <w:w w:val="105"/>
                <w:sz w:val="19"/>
              </w:rPr>
              <w:t>y</w:t>
            </w:r>
            <w:r>
              <w:rPr>
                <w:spacing w:val="-15"/>
                <w:w w:val="105"/>
                <w:sz w:val="19"/>
              </w:rPr>
              <w:t> </w:t>
            </w:r>
            <w:r>
              <w:rPr>
                <w:w w:val="105"/>
                <w:sz w:val="19"/>
              </w:rPr>
              <w:t>que</w:t>
            </w:r>
            <w:r>
              <w:rPr>
                <w:spacing w:val="-11"/>
                <w:w w:val="105"/>
                <w:sz w:val="19"/>
              </w:rPr>
              <w:t> </w:t>
            </w:r>
            <w:r>
              <w:rPr>
                <w:spacing w:val="-4"/>
                <w:w w:val="105"/>
                <w:sz w:val="19"/>
              </w:rPr>
              <w:t>se </w:t>
            </w:r>
            <w:r>
              <w:rPr>
                <w:w w:val="105"/>
                <w:sz w:val="19"/>
              </w:rPr>
              <w:t>haga</w:t>
            </w:r>
            <w:r>
              <w:rPr>
                <w:spacing w:val="-20"/>
                <w:w w:val="105"/>
                <w:sz w:val="19"/>
              </w:rPr>
              <w:t> </w:t>
            </w:r>
            <w:r>
              <w:rPr>
                <w:w w:val="105"/>
                <w:sz w:val="19"/>
              </w:rPr>
              <w:t>público</w:t>
            </w:r>
            <w:r>
              <w:rPr>
                <w:spacing w:val="-16"/>
                <w:w w:val="105"/>
                <w:sz w:val="19"/>
              </w:rPr>
              <w:t> </w:t>
            </w:r>
            <w:r>
              <w:rPr>
                <w:w w:val="105"/>
                <w:sz w:val="19"/>
              </w:rPr>
              <w:t>su</w:t>
            </w:r>
            <w:r>
              <w:rPr>
                <w:spacing w:val="-20"/>
                <w:w w:val="105"/>
                <w:sz w:val="19"/>
              </w:rPr>
              <w:t> </w:t>
            </w:r>
            <w:r>
              <w:rPr>
                <w:w w:val="105"/>
                <w:sz w:val="19"/>
              </w:rPr>
              <w:t>manejo</w:t>
            </w:r>
          </w:p>
        </w:tc>
        <w:tc>
          <w:tcPr>
            <w:tcW w:w="1656" w:type="dxa"/>
            <w:tcBorders>
              <w:top w:val="single" w:sz="4" w:space="0" w:color="000000"/>
              <w:left w:val="single" w:sz="4" w:space="0" w:color="000000"/>
              <w:bottom w:val="single" w:sz="4" w:space="0" w:color="000000"/>
              <w:right w:val="single" w:sz="4" w:space="0" w:color="000000"/>
            </w:tcBorders>
          </w:tcPr>
          <w:p>
            <w:pPr/>
          </w:p>
        </w:tc>
        <w:tc>
          <w:tcPr>
            <w:tcW w:w="1771" w:type="dxa"/>
            <w:tcBorders>
              <w:top w:val="single" w:sz="4" w:space="0" w:color="000000"/>
              <w:left w:val="single" w:sz="4" w:space="0" w:color="000000"/>
              <w:bottom w:val="single" w:sz="4" w:space="0" w:color="000000"/>
            </w:tcBorders>
          </w:tcPr>
          <w:p>
            <w:pPr>
              <w:pStyle w:val="TableParagraph"/>
              <w:rPr>
                <w:b/>
                <w:sz w:val="20"/>
              </w:rPr>
            </w:pPr>
          </w:p>
          <w:p>
            <w:pPr>
              <w:pStyle w:val="TableParagraph"/>
              <w:spacing w:before="115"/>
              <w:ind w:right="4"/>
              <w:jc w:val="center"/>
              <w:rPr>
                <w:sz w:val="19"/>
              </w:rPr>
            </w:pPr>
            <w:r>
              <w:rPr>
                <w:w w:val="103"/>
                <w:sz w:val="19"/>
              </w:rPr>
              <w:t>1</w:t>
            </w:r>
          </w:p>
        </w:tc>
      </w:tr>
      <w:tr>
        <w:trPr>
          <w:trHeight w:val="778" w:hRule="exact"/>
        </w:trPr>
        <w:tc>
          <w:tcPr>
            <w:tcW w:w="2280" w:type="dxa"/>
            <w:tcBorders>
              <w:top w:val="single" w:sz="4" w:space="0" w:color="000000"/>
              <w:bottom w:val="single" w:sz="4" w:space="0" w:color="000000"/>
              <w:right w:val="single" w:sz="4" w:space="0" w:color="000000"/>
            </w:tcBorders>
          </w:tcPr>
          <w:p>
            <w:pPr>
              <w:pStyle w:val="TableParagraph"/>
              <w:spacing w:before="5"/>
              <w:rPr>
                <w:b/>
                <w:sz w:val="22"/>
              </w:rPr>
            </w:pPr>
          </w:p>
          <w:p>
            <w:pPr>
              <w:pStyle w:val="TableParagraph"/>
              <w:ind w:left="936"/>
              <w:rPr>
                <w:sz w:val="19"/>
              </w:rPr>
            </w:pPr>
            <w:r>
              <w:rPr>
                <w:w w:val="105"/>
                <w:sz w:val="19"/>
              </w:rPr>
              <w:t>PRD</w:t>
            </w:r>
          </w:p>
        </w:tc>
        <w:tc>
          <w:tcPr>
            <w:tcW w:w="3034" w:type="dxa"/>
            <w:tcBorders>
              <w:top w:val="single" w:sz="4" w:space="0" w:color="000000"/>
              <w:left w:val="single" w:sz="4" w:space="0" w:color="000000"/>
              <w:bottom w:val="single" w:sz="4" w:space="0" w:color="000000"/>
              <w:right w:val="single" w:sz="4" w:space="0" w:color="000000"/>
            </w:tcBorders>
          </w:tcPr>
          <w:p>
            <w:pPr>
              <w:pStyle w:val="TableParagraph"/>
              <w:spacing w:line="283" w:lineRule="auto" w:before="4"/>
              <w:ind w:left="29" w:right="28"/>
              <w:jc w:val="center"/>
              <w:rPr>
                <w:sz w:val="19"/>
              </w:rPr>
            </w:pPr>
            <w:r>
              <w:rPr>
                <w:w w:val="105"/>
                <w:sz w:val="19"/>
              </w:rPr>
              <w:t>Estudiantes en edad preescolar y primaria (facilitar inscripción por edad)</w:t>
            </w:r>
          </w:p>
        </w:tc>
        <w:tc>
          <w:tcPr>
            <w:tcW w:w="1656" w:type="dxa"/>
            <w:tcBorders>
              <w:top w:val="single" w:sz="4" w:space="0" w:color="000000"/>
              <w:left w:val="single" w:sz="4" w:space="0" w:color="000000"/>
              <w:bottom w:val="single" w:sz="4" w:space="0" w:color="000000"/>
              <w:right w:val="single" w:sz="4" w:space="0" w:color="000000"/>
            </w:tcBorders>
          </w:tcPr>
          <w:p>
            <w:pPr/>
          </w:p>
        </w:tc>
        <w:tc>
          <w:tcPr>
            <w:tcW w:w="1771" w:type="dxa"/>
            <w:tcBorders>
              <w:top w:val="single" w:sz="4" w:space="0" w:color="000000"/>
              <w:left w:val="single" w:sz="4" w:space="0" w:color="000000"/>
              <w:bottom w:val="single" w:sz="4" w:space="0" w:color="000000"/>
            </w:tcBorders>
          </w:tcPr>
          <w:p>
            <w:pPr>
              <w:pStyle w:val="TableParagraph"/>
              <w:spacing w:before="1"/>
              <w:rPr>
                <w:b/>
                <w:sz w:val="19"/>
              </w:rPr>
            </w:pPr>
          </w:p>
          <w:p>
            <w:pPr>
              <w:pStyle w:val="TableParagraph"/>
              <w:ind w:right="4"/>
              <w:jc w:val="center"/>
              <w:rPr>
                <w:sz w:val="19"/>
              </w:rPr>
            </w:pPr>
            <w:r>
              <w:rPr>
                <w:w w:val="103"/>
                <w:sz w:val="19"/>
              </w:rPr>
              <w:t>1</w:t>
            </w:r>
          </w:p>
        </w:tc>
      </w:tr>
      <w:tr>
        <w:trPr>
          <w:trHeight w:val="341" w:hRule="exact"/>
        </w:trPr>
        <w:tc>
          <w:tcPr>
            <w:tcW w:w="2280" w:type="dxa"/>
            <w:tcBorders>
              <w:top w:val="single" w:sz="4" w:space="0" w:color="000000"/>
              <w:right w:val="single" w:sz="4" w:space="0" w:color="000000"/>
            </w:tcBorders>
          </w:tcPr>
          <w:p>
            <w:pPr>
              <w:pStyle w:val="TableParagraph"/>
              <w:spacing w:line="218" w:lineRule="exact"/>
              <w:ind w:left="921"/>
              <w:rPr>
                <w:sz w:val="19"/>
              </w:rPr>
            </w:pPr>
            <w:r>
              <w:rPr>
                <w:w w:val="105"/>
                <w:sz w:val="19"/>
              </w:rPr>
              <w:t>Total</w:t>
            </w:r>
          </w:p>
        </w:tc>
        <w:tc>
          <w:tcPr>
            <w:tcW w:w="3034" w:type="dxa"/>
            <w:tcBorders>
              <w:top w:val="single" w:sz="4" w:space="0" w:color="000000"/>
              <w:left w:val="single" w:sz="4" w:space="0" w:color="000000"/>
              <w:right w:val="single" w:sz="4" w:space="0" w:color="000000"/>
            </w:tcBorders>
          </w:tcPr>
          <w:p>
            <w:pPr/>
          </w:p>
        </w:tc>
        <w:tc>
          <w:tcPr>
            <w:tcW w:w="1656" w:type="dxa"/>
            <w:tcBorders>
              <w:top w:val="single" w:sz="4" w:space="0" w:color="000000"/>
              <w:left w:val="single" w:sz="4" w:space="0" w:color="000000"/>
              <w:right w:val="single" w:sz="4" w:space="0" w:color="000000"/>
            </w:tcBorders>
          </w:tcPr>
          <w:p>
            <w:pPr>
              <w:pStyle w:val="TableParagraph"/>
              <w:spacing w:line="218" w:lineRule="exact"/>
              <w:ind w:right="1"/>
              <w:jc w:val="center"/>
              <w:rPr>
                <w:sz w:val="19"/>
              </w:rPr>
            </w:pPr>
            <w:r>
              <w:rPr>
                <w:w w:val="103"/>
                <w:sz w:val="19"/>
              </w:rPr>
              <w:t>3</w:t>
            </w:r>
          </w:p>
        </w:tc>
        <w:tc>
          <w:tcPr>
            <w:tcW w:w="1771" w:type="dxa"/>
            <w:tcBorders>
              <w:top w:val="single" w:sz="4" w:space="0" w:color="000000"/>
              <w:left w:val="single" w:sz="4" w:space="0" w:color="000000"/>
            </w:tcBorders>
          </w:tcPr>
          <w:p>
            <w:pPr>
              <w:pStyle w:val="TableParagraph"/>
              <w:spacing w:line="218" w:lineRule="exact"/>
              <w:ind w:right="4"/>
              <w:jc w:val="center"/>
              <w:rPr>
                <w:sz w:val="19"/>
              </w:rPr>
            </w:pPr>
            <w:r>
              <w:rPr>
                <w:w w:val="103"/>
                <w:sz w:val="19"/>
              </w:rPr>
              <w:t>4</w:t>
            </w:r>
          </w:p>
        </w:tc>
      </w:tr>
    </w:tbl>
    <w:p>
      <w:pPr>
        <w:pStyle w:val="BodyText"/>
        <w:spacing w:before="6"/>
        <w:rPr>
          <w:b/>
          <w:sz w:val="22"/>
        </w:rPr>
      </w:pPr>
    </w:p>
    <w:p>
      <w:pPr>
        <w:spacing w:line="369" w:lineRule="auto" w:before="81"/>
        <w:ind w:left="175" w:right="737" w:firstLine="0"/>
        <w:jc w:val="left"/>
        <w:rPr>
          <w:sz w:val="19"/>
        </w:rPr>
      </w:pPr>
      <w:r>
        <w:rPr>
          <w:w w:val="105"/>
          <w:sz w:val="19"/>
        </w:rPr>
        <w:t>FUENTE: Elaboración propia con base en datos del Sistema de Información Legislativa: </w:t>
      </w:r>
      <w:hyperlink r:id="rId33">
        <w:r>
          <w:rPr>
            <w:color w:val="0000FF"/>
            <w:w w:val="105"/>
            <w:sz w:val="19"/>
            <w:u w:val="single" w:color="0000FF"/>
          </w:rPr>
          <w:t>www.sil.gobernacion.gob.mx/</w:t>
        </w:r>
        <w:r>
          <w:rPr>
            <w:w w:val="105"/>
            <w:sz w:val="19"/>
          </w:rPr>
          <w:t>,</w:t>
        </w:r>
      </w:hyperlink>
      <w:r>
        <w:rPr>
          <w:w w:val="105"/>
          <w:sz w:val="19"/>
        </w:rPr>
        <w:t> consulta realizada en febrero de 2008.</w:t>
      </w:r>
    </w:p>
    <w:p>
      <w:pPr>
        <w:pStyle w:val="BodyText"/>
        <w:rPr>
          <w:sz w:val="20"/>
        </w:rPr>
      </w:pPr>
    </w:p>
    <w:p>
      <w:pPr>
        <w:pStyle w:val="BodyText"/>
        <w:rPr>
          <w:sz w:val="19"/>
        </w:rPr>
      </w:pPr>
    </w:p>
    <w:p>
      <w:pPr>
        <w:pStyle w:val="BodyText"/>
        <w:spacing w:line="364" w:lineRule="auto" w:before="73"/>
        <w:ind w:left="175" w:right="187"/>
        <w:jc w:val="both"/>
      </w:pPr>
      <w:r>
        <w:rPr/>
        <w:t>Con </w:t>
      </w:r>
      <w:r>
        <w:rPr>
          <w:spacing w:val="-4"/>
        </w:rPr>
        <w:t>la </w:t>
      </w:r>
      <w:r>
        <w:rPr/>
        <w:t>conformación de un poder legislativo plural, a partir de 1997 en </w:t>
      </w:r>
      <w:r>
        <w:rPr>
          <w:spacing w:val="-3"/>
        </w:rPr>
        <w:t>la </w:t>
      </w:r>
      <w:r>
        <w:rPr/>
        <w:t>Cámara  de Diputados y del 2000 en el Senado de </w:t>
      </w:r>
      <w:r>
        <w:rPr>
          <w:spacing w:val="-3"/>
        </w:rPr>
        <w:t>la </w:t>
      </w:r>
      <w:r>
        <w:rPr/>
        <w:t>República, el peso del Ejecutivo en materia educativa </w:t>
      </w:r>
      <w:r>
        <w:rPr>
          <w:spacing w:val="-3"/>
        </w:rPr>
        <w:t>no </w:t>
      </w:r>
      <w:r>
        <w:rPr/>
        <w:t>varió significativamente. </w:t>
      </w:r>
      <w:r>
        <w:rPr>
          <w:spacing w:val="-3"/>
        </w:rPr>
        <w:t>Las </w:t>
      </w:r>
      <w:r>
        <w:rPr/>
        <w:t>principales fuerzas políticas, incluido </w:t>
      </w:r>
      <w:r>
        <w:rPr>
          <w:spacing w:val="3"/>
        </w:rPr>
        <w:t>el </w:t>
      </w:r>
      <w:r>
        <w:rPr/>
        <w:t>PRI, no se ocuparon del tema educativo, en parte porque en ese tema sus  ganancias  electorales  </w:t>
      </w:r>
      <w:r>
        <w:rPr>
          <w:spacing w:val="-3"/>
        </w:rPr>
        <w:t>no  </w:t>
      </w:r>
      <w:r>
        <w:rPr/>
        <w:t>son  significativas  y  porque  cualquier   </w:t>
      </w:r>
      <w:r>
        <w:rPr>
          <w:spacing w:val="58"/>
        </w:rPr>
        <w:t> </w:t>
      </w:r>
      <w:r>
        <w:rPr/>
        <w:t>propuesta</w:t>
      </w:r>
    </w:p>
    <w:p>
      <w:pPr>
        <w:spacing w:after="0" w:line="364" w:lineRule="auto"/>
        <w:jc w:val="both"/>
        <w:sectPr>
          <w:footerReference w:type="default" r:id="rId32"/>
          <w:pgSz w:w="11910" w:h="16840"/>
          <w:pgMar w:footer="1457" w:header="0" w:top="1580" w:bottom="1640" w:left="1480" w:right="1460"/>
        </w:sectPr>
      </w:pPr>
    </w:p>
    <w:p>
      <w:pPr>
        <w:pStyle w:val="BodyText"/>
        <w:rPr>
          <w:sz w:val="20"/>
        </w:rPr>
      </w:pPr>
    </w:p>
    <w:p>
      <w:pPr>
        <w:pStyle w:val="BodyText"/>
        <w:spacing w:before="2"/>
        <w:rPr>
          <w:sz w:val="16"/>
        </w:rPr>
      </w:pPr>
    </w:p>
    <w:p>
      <w:pPr>
        <w:pStyle w:val="BodyText"/>
        <w:spacing w:line="364" w:lineRule="auto" w:before="74"/>
        <w:ind w:left="115" w:right="104"/>
        <w:jc w:val="both"/>
      </w:pPr>
      <w:r>
        <w:rPr/>
        <w:t>podría provocar el recelo de los líderes del SNTE, </w:t>
      </w:r>
      <w:r>
        <w:rPr>
          <w:spacing w:val="-5"/>
        </w:rPr>
        <w:t>lo </w:t>
      </w:r>
      <w:r>
        <w:rPr/>
        <w:t>cual en el contexto de competencia electoral genuina, no era muy conveniente porque el  sindicato,  a través de su maquinaria electoral, adquirió un papel relevante </w:t>
      </w:r>
      <w:r>
        <w:rPr>
          <w:spacing w:val="-4"/>
        </w:rPr>
        <w:t>en </w:t>
      </w:r>
      <w:r>
        <w:rPr/>
        <w:t>los comicios federales, estatales y municipales. Por otra parte, salvo la iniciativa del preescolar obligatorio, durante el periodo de gobierno dividido, el Presidente evitó pasar por el congreso </w:t>
      </w:r>
      <w:r>
        <w:rPr>
          <w:spacing w:val="-4"/>
        </w:rPr>
        <w:t>la </w:t>
      </w:r>
      <w:r>
        <w:rPr/>
        <w:t>mayoría de sus iniciativas en </w:t>
      </w:r>
      <w:r>
        <w:rPr>
          <w:spacing w:val="-3"/>
        </w:rPr>
        <w:t>materia </w:t>
      </w:r>
      <w:r>
        <w:rPr/>
        <w:t>de política  educativa. Lo </w:t>
      </w:r>
      <w:r>
        <w:rPr>
          <w:spacing w:val="-3"/>
        </w:rPr>
        <w:t>único </w:t>
      </w:r>
      <w:r>
        <w:rPr/>
        <w:t>que pudieron tratar los legisladores en este </w:t>
      </w:r>
      <w:r>
        <w:rPr>
          <w:spacing w:val="-3"/>
        </w:rPr>
        <w:t>tema, </w:t>
      </w:r>
      <w:r>
        <w:rPr/>
        <w:t>fue el presupuesto de </w:t>
      </w:r>
      <w:r>
        <w:rPr>
          <w:spacing w:val="41"/>
        </w:rPr>
        <w:t> </w:t>
      </w:r>
      <w:r>
        <w:rPr/>
        <w:t>egresos.</w:t>
      </w:r>
    </w:p>
    <w:p>
      <w:pPr>
        <w:pStyle w:val="BodyText"/>
        <w:spacing w:before="11"/>
        <w:rPr>
          <w:sz w:val="17"/>
        </w:rPr>
      </w:pPr>
    </w:p>
    <w:p>
      <w:pPr>
        <w:pStyle w:val="Heading3"/>
        <w:numPr>
          <w:ilvl w:val="1"/>
          <w:numId w:val="12"/>
        </w:numPr>
        <w:tabs>
          <w:tab w:pos="504" w:val="left" w:leader="none"/>
        </w:tabs>
        <w:spacing w:line="240" w:lineRule="auto" w:before="0" w:after="0"/>
        <w:ind w:left="504" w:right="0" w:hanging="388"/>
        <w:jc w:val="both"/>
      </w:pPr>
      <w:bookmarkStart w:name="_TOC_250000" w:id="32"/>
      <w:r>
        <w:rPr/>
        <w:t>El papel de las autoridades subnacionales (los </w:t>
      </w:r>
      <w:r>
        <w:rPr>
          <w:spacing w:val="14"/>
        </w:rPr>
        <w:t> </w:t>
      </w:r>
      <w:bookmarkEnd w:id="32"/>
      <w:r>
        <w:rPr/>
        <w:t>gobernadores)</w:t>
      </w:r>
    </w:p>
    <w:p>
      <w:pPr>
        <w:pStyle w:val="BodyText"/>
        <w:spacing w:line="364" w:lineRule="auto" w:before="134"/>
        <w:ind w:left="115" w:right="105"/>
        <w:jc w:val="both"/>
      </w:pPr>
      <w:r>
        <w:rPr/>
        <w:t>La base del federalismo en México y en otros países latinoamericanos </w:t>
      </w:r>
      <w:r>
        <w:rPr>
          <w:spacing w:val="-3"/>
        </w:rPr>
        <w:t>es </w:t>
      </w:r>
      <w:r>
        <w:rPr>
          <w:spacing w:val="-5"/>
        </w:rPr>
        <w:t>la </w:t>
      </w:r>
      <w:r>
        <w:rPr/>
        <w:t>existencia de niveles </w:t>
      </w:r>
      <w:r>
        <w:rPr>
          <w:spacing w:val="-2"/>
        </w:rPr>
        <w:t>duales </w:t>
      </w:r>
      <w:r>
        <w:rPr/>
        <w:t>(o múltiples) de gobierno; cada nivel ejerce autoridad exclusiva sobre determinadas áreas políticas </w:t>
      </w:r>
      <w:r>
        <w:rPr>
          <w:spacing w:val="-3"/>
        </w:rPr>
        <w:t>por </w:t>
      </w:r>
      <w:r>
        <w:rPr/>
        <w:t>mandato constitucional, pero solamente un nivel de gobierno (el gobierno central) es internacionalmente soberano (Gibson, 2004). </w:t>
      </w:r>
      <w:r>
        <w:rPr>
          <w:spacing w:val="2"/>
        </w:rPr>
        <w:t>El </w:t>
      </w:r>
      <w:r>
        <w:rPr/>
        <w:t>federalismo influye en la formulación de políticas a través del rol que las autoridades subnacionales (gobernadores) pueden desempeñar en el diseño e implementación de políticas públicas y por su  interacción con actores de nivel nacional (presidentes,</w:t>
      </w:r>
      <w:r>
        <w:rPr>
          <w:spacing w:val="58"/>
        </w:rPr>
        <w:t> </w:t>
      </w:r>
      <w:r>
        <w:rPr/>
        <w:t>legisladores).</w:t>
      </w:r>
    </w:p>
    <w:p>
      <w:pPr>
        <w:pStyle w:val="BodyText"/>
        <w:spacing w:line="364" w:lineRule="auto" w:before="5"/>
        <w:ind w:left="115" w:right="105" w:firstLine="686"/>
        <w:jc w:val="both"/>
      </w:pPr>
      <w:r>
        <w:rPr/>
        <w:t>La primera variable institucional importante es el </w:t>
      </w:r>
      <w:r>
        <w:rPr>
          <w:i/>
        </w:rPr>
        <w:t>método de selección de las </w:t>
      </w:r>
      <w:r>
        <w:rPr>
          <w:i/>
        </w:rPr>
        <w:t>autoridades subnacionales</w:t>
      </w:r>
      <w:r>
        <w:rPr/>
        <w:t>. </w:t>
      </w:r>
      <w:r>
        <w:rPr>
          <w:spacing w:val="2"/>
        </w:rPr>
        <w:t>Si </w:t>
      </w:r>
      <w:r>
        <w:rPr>
          <w:spacing w:val="-3"/>
        </w:rPr>
        <w:t>los </w:t>
      </w:r>
      <w:r>
        <w:rPr/>
        <w:t>gobernadores son elegidos por voto popular, tienen un papel más importante que </w:t>
      </w:r>
      <w:r>
        <w:rPr>
          <w:spacing w:val="3"/>
        </w:rPr>
        <w:t>si </w:t>
      </w:r>
      <w:r>
        <w:rPr/>
        <w:t>son nombrados por el gobierno central. Si  los gobernadores pueden ser reelegidos, tienen mayores incentivos para atender a su circunscripción y perseguir metas regionales a expensas de los objetivos nacionales durante negociaciones con autoridades nacionales (Monaldi, </w:t>
      </w:r>
      <w:r>
        <w:rPr>
          <w:spacing w:val="9"/>
        </w:rPr>
        <w:t> </w:t>
      </w:r>
      <w:r>
        <w:rPr/>
        <w:t>2005).</w:t>
      </w:r>
    </w:p>
    <w:p>
      <w:pPr>
        <w:pStyle w:val="BodyText"/>
        <w:spacing w:line="357" w:lineRule="auto"/>
        <w:ind w:left="115" w:right="104" w:firstLine="686"/>
        <w:jc w:val="both"/>
      </w:pPr>
      <w:r>
        <w:rPr/>
        <w:t>Otra variable institucional importante es la existencia de una </w:t>
      </w:r>
      <w:r>
        <w:rPr>
          <w:i/>
        </w:rPr>
        <w:t>cámara  </w:t>
      </w:r>
      <w:r>
        <w:rPr>
          <w:i/>
        </w:rPr>
        <w:t>territorial </w:t>
      </w:r>
      <w:r>
        <w:rPr/>
        <w:t>en el Congreso Nacional, como </w:t>
      </w:r>
      <w:r>
        <w:rPr>
          <w:spacing w:val="3"/>
        </w:rPr>
        <w:t>se </w:t>
      </w:r>
      <w:r>
        <w:rPr/>
        <w:t>analizó en la sección sobre bicameralismo. La mayoría de países federales, como es el caso </w:t>
      </w:r>
      <w:r>
        <w:rPr>
          <w:spacing w:val="2"/>
        </w:rPr>
        <w:t>de </w:t>
      </w:r>
      <w:r>
        <w:rPr/>
        <w:t>México, cuentan con </w:t>
      </w:r>
      <w:r>
        <w:rPr>
          <w:spacing w:val="-5"/>
        </w:rPr>
        <w:t>la </w:t>
      </w:r>
      <w:r>
        <w:rPr/>
        <w:t>representación de los territorios en el proceso de formulación de políticas</w:t>
      </w:r>
      <w:r>
        <w:rPr>
          <w:spacing w:val="29"/>
        </w:rPr>
        <w:t> </w:t>
      </w:r>
      <w:r>
        <w:rPr/>
        <w:t>nacionales</w:t>
      </w:r>
      <w:r>
        <w:rPr>
          <w:spacing w:val="24"/>
        </w:rPr>
        <w:t> </w:t>
      </w:r>
      <w:r>
        <w:rPr/>
        <w:t>a</w:t>
      </w:r>
      <w:r>
        <w:rPr>
          <w:spacing w:val="28"/>
        </w:rPr>
        <w:t> </w:t>
      </w:r>
      <w:r>
        <w:rPr/>
        <w:t>través</w:t>
      </w:r>
      <w:r>
        <w:rPr>
          <w:spacing w:val="30"/>
        </w:rPr>
        <w:t> </w:t>
      </w:r>
      <w:r>
        <w:rPr/>
        <w:t>del</w:t>
      </w:r>
      <w:r>
        <w:rPr>
          <w:spacing w:val="24"/>
        </w:rPr>
        <w:t> </w:t>
      </w:r>
      <w:r>
        <w:rPr/>
        <w:t>Senado.</w:t>
      </w:r>
      <w:r>
        <w:rPr>
          <w:position w:val="11"/>
          <w:sz w:val="15"/>
        </w:rPr>
        <w:t>34 </w:t>
      </w:r>
      <w:r>
        <w:rPr>
          <w:spacing w:val="6"/>
          <w:position w:val="11"/>
          <w:sz w:val="15"/>
        </w:rPr>
        <w:t> </w:t>
      </w:r>
      <w:r>
        <w:rPr/>
        <w:t>En</w:t>
      </w:r>
      <w:r>
        <w:rPr>
          <w:spacing w:val="24"/>
        </w:rPr>
        <w:t> </w:t>
      </w:r>
      <w:r>
        <w:rPr/>
        <w:t>el</w:t>
      </w:r>
      <w:r>
        <w:rPr>
          <w:spacing w:val="31"/>
        </w:rPr>
        <w:t> </w:t>
      </w:r>
      <w:r>
        <w:rPr/>
        <w:t>caso</w:t>
      </w:r>
      <w:r>
        <w:rPr>
          <w:spacing w:val="24"/>
        </w:rPr>
        <w:t> </w:t>
      </w:r>
      <w:r>
        <w:rPr/>
        <w:t>de</w:t>
      </w:r>
      <w:r>
        <w:rPr>
          <w:spacing w:val="24"/>
        </w:rPr>
        <w:t> </w:t>
      </w:r>
      <w:r>
        <w:rPr/>
        <w:t>México</w:t>
      </w:r>
      <w:r>
        <w:rPr>
          <w:spacing w:val="30"/>
        </w:rPr>
        <w:t> </w:t>
      </w:r>
      <w:r>
        <w:rPr/>
        <w:t>esto</w:t>
      </w:r>
      <w:r>
        <w:rPr>
          <w:spacing w:val="24"/>
        </w:rPr>
        <w:t> </w:t>
      </w:r>
      <w:r>
        <w:rPr/>
        <w:t>no</w:t>
      </w:r>
      <w:r>
        <w:rPr>
          <w:spacing w:val="29"/>
        </w:rPr>
        <w:t> </w:t>
      </w:r>
      <w:r>
        <w:rPr/>
        <w:t>ocurre,</w:t>
      </w:r>
    </w:p>
    <w:p>
      <w:pPr>
        <w:pStyle w:val="BodyText"/>
        <w:rPr>
          <w:sz w:val="20"/>
        </w:rPr>
      </w:pPr>
    </w:p>
    <w:p>
      <w:pPr>
        <w:pStyle w:val="BodyText"/>
        <w:spacing w:before="8"/>
        <w:rPr>
          <w:sz w:val="25"/>
        </w:rPr>
      </w:pPr>
      <w:r>
        <w:rPr/>
        <w:pict>
          <v:line style="position:absolute;mso-position-horizontal-relative:page;mso-position-vertical-relative:paragraph;z-index:2008;mso-wrap-distance-left:0;mso-wrap-distance-right:0" from="82.799004pt,17.133951pt" to="222.958004pt,17.133951pt" stroked="true" strokeweight=".72pt" strokecolor="#000000">
            <w10:wrap type="topAndBottom"/>
          </v:line>
        </w:pict>
      </w:r>
    </w:p>
    <w:p>
      <w:pPr>
        <w:spacing w:line="247" w:lineRule="auto" w:before="46"/>
        <w:ind w:left="115" w:right="104" w:firstLine="0"/>
        <w:jc w:val="both"/>
        <w:rPr>
          <w:sz w:val="19"/>
        </w:rPr>
      </w:pPr>
      <w:r>
        <w:rPr>
          <w:w w:val="105"/>
          <w:position w:val="10"/>
          <w:sz w:val="12"/>
        </w:rPr>
        <w:t>34 </w:t>
      </w:r>
      <w:r>
        <w:rPr>
          <w:w w:val="105"/>
          <w:sz w:val="19"/>
        </w:rPr>
        <w:t>Si se toma en cuenta los preceptos del marco constitucional, en teoría el Senado podría incrementar el poder de los actores políticos subnacionales, en tanto que estos suministran un punto adicional de veto en el sistema político. Esto significa que en este contexto los intereses subnacionales necesitan tenerse en cuenta cuando los actores nacionales diseñen y negocien</w:t>
      </w:r>
    </w:p>
    <w:p>
      <w:pPr>
        <w:spacing w:after="0" w:line="247" w:lineRule="auto"/>
        <w:jc w:val="both"/>
        <w:rPr>
          <w:sz w:val="19"/>
        </w:rPr>
        <w:sectPr>
          <w:footerReference w:type="default" r:id="rId34"/>
          <w:pgSz w:w="11910" w:h="16840"/>
          <w:pgMar w:footer="1457" w:header="0" w:top="1580" w:bottom="1640" w:left="1540" w:right="1540"/>
          <w:pgNumType w:start="121"/>
        </w:sectPr>
      </w:pPr>
    </w:p>
    <w:p>
      <w:pPr>
        <w:pStyle w:val="BodyText"/>
        <w:rPr>
          <w:sz w:val="20"/>
        </w:rPr>
      </w:pPr>
    </w:p>
    <w:p>
      <w:pPr>
        <w:pStyle w:val="BodyText"/>
        <w:spacing w:before="2"/>
        <w:rPr>
          <w:sz w:val="16"/>
        </w:rPr>
      </w:pPr>
    </w:p>
    <w:p>
      <w:pPr>
        <w:pStyle w:val="BodyText"/>
        <w:spacing w:line="369" w:lineRule="auto" w:before="74"/>
        <w:ind w:left="115" w:right="191"/>
      </w:pPr>
      <w:r>
        <w:rPr/>
        <w:t>entre otras cosas, porque en el Senado, los legisladores se agrupan en torno al partido y no a sus estados.</w:t>
      </w:r>
    </w:p>
    <w:p>
      <w:pPr>
        <w:pStyle w:val="BodyText"/>
        <w:spacing w:line="364" w:lineRule="auto"/>
        <w:ind w:left="115" w:right="104" w:firstLine="686"/>
        <w:jc w:val="both"/>
      </w:pPr>
      <w:r>
        <w:rPr/>
        <w:t>El </w:t>
      </w:r>
      <w:r>
        <w:rPr>
          <w:i/>
        </w:rPr>
        <w:t>método utilizado para seleccionar candidatos a la legislatura nacional </w:t>
      </w:r>
      <w:r>
        <w:rPr/>
        <w:t>es importante porque da forma a los incentivos de los representantes una vez posicionados (y de manera más general, a sus carreras políticas). </w:t>
      </w:r>
      <w:r>
        <w:rPr>
          <w:spacing w:val="3"/>
        </w:rPr>
        <w:t>Si </w:t>
      </w:r>
      <w:r>
        <w:rPr/>
        <w:t>los nombres de los candidatos y el orden están decididos en el nivel subnacional, los líderes de partidos regionales podrán utilizar más fácilmente </w:t>
      </w:r>
      <w:r>
        <w:rPr>
          <w:spacing w:val="3"/>
        </w:rPr>
        <w:t>su </w:t>
      </w:r>
      <w:r>
        <w:rPr/>
        <w:t>poder y sus recursos para influir en la elección de los legisladores. </w:t>
      </w:r>
      <w:r>
        <w:rPr>
          <w:spacing w:val="4"/>
        </w:rPr>
        <w:t>En </w:t>
      </w:r>
      <w:r>
        <w:rPr/>
        <w:t>ese caso, la delegación legislativa que representa a </w:t>
      </w:r>
      <w:r>
        <w:rPr>
          <w:spacing w:val="-5"/>
        </w:rPr>
        <w:t>la </w:t>
      </w:r>
      <w:r>
        <w:rPr/>
        <w:t>región en el congreso nacional votaría más </w:t>
      </w:r>
      <w:r>
        <w:rPr>
          <w:spacing w:val="3"/>
        </w:rPr>
        <w:t>de </w:t>
      </w:r>
      <w:r>
        <w:rPr/>
        <w:t>acuerdo con la línea del gobernador o líder partidario regional </w:t>
      </w:r>
      <w:r>
        <w:rPr>
          <w:spacing w:val="2"/>
        </w:rPr>
        <w:t>que </w:t>
      </w:r>
      <w:r>
        <w:rPr/>
        <w:t>en línea con el líder del partido nacional o el presidente; así daría otra herramienta a las regiones para influir en </w:t>
      </w:r>
      <w:r>
        <w:rPr>
          <w:spacing w:val="-5"/>
        </w:rPr>
        <w:t>la </w:t>
      </w:r>
      <w:r>
        <w:rPr/>
        <w:t>política nacional. En el caso de México, como los partidos son los que definen las candidaturas y no hay reelección, los senadores siempre apoyan los intereses de  las fuerzas políticas a las que pertenecen, los cuales casi siempre son de orden nacional.</w:t>
      </w:r>
    </w:p>
    <w:p>
      <w:pPr>
        <w:pStyle w:val="BodyText"/>
        <w:spacing w:line="364" w:lineRule="auto"/>
        <w:ind w:left="115" w:right="109" w:firstLine="686"/>
        <w:jc w:val="both"/>
      </w:pPr>
      <w:r>
        <w:rPr/>
        <w:t>Por otra parte, cuando las autoridades subnacionales (como </w:t>
      </w:r>
      <w:r>
        <w:rPr>
          <w:spacing w:val="-3"/>
        </w:rPr>
        <w:t>los </w:t>
      </w:r>
      <w:r>
        <w:rPr/>
        <w:t>go- bernadores) son jugadores políticos importantes a nivel local y los partidos son organizados a </w:t>
      </w:r>
      <w:r>
        <w:rPr>
          <w:spacing w:val="-4"/>
        </w:rPr>
        <w:t>lo </w:t>
      </w:r>
      <w:r>
        <w:rPr/>
        <w:t>largo de las líneas territoriales, las elecciones nacionales son fuertemente influidas por políticas subnacionales a medida que </w:t>
      </w:r>
      <w:r>
        <w:rPr>
          <w:spacing w:val="-3"/>
        </w:rPr>
        <w:t>los </w:t>
      </w:r>
      <w:r>
        <w:rPr/>
        <w:t>gobernadores pueden ser decisivos en las elecciones de legisladores y  presidentes  (Jones,  1997; Samuels, 2003). En casos </w:t>
      </w:r>
      <w:r>
        <w:rPr>
          <w:spacing w:val="-3"/>
        </w:rPr>
        <w:t>en </w:t>
      </w:r>
      <w:r>
        <w:rPr/>
        <w:t>que los distritos electorales coinciden con las unidades territoriales (como los estados y las provincias), el grado de “armonía partidista” </w:t>
      </w:r>
      <w:r>
        <w:rPr>
          <w:spacing w:val="-3"/>
        </w:rPr>
        <w:t>(la </w:t>
      </w:r>
      <w:r>
        <w:rPr/>
        <w:t>extensión de apoyo para el presidente a través </w:t>
      </w:r>
      <w:r>
        <w:rPr>
          <w:spacing w:val="3"/>
        </w:rPr>
        <w:t>de </w:t>
      </w:r>
      <w:r>
        <w:rPr/>
        <w:t>unidades territoriales) afecta a la formulación de</w:t>
      </w:r>
      <w:r>
        <w:rPr>
          <w:spacing w:val="54"/>
        </w:rPr>
        <w:t> </w:t>
      </w:r>
      <w:r>
        <w:rPr/>
        <w:t>políticas.</w:t>
      </w:r>
    </w:p>
    <w:p>
      <w:pPr>
        <w:pStyle w:val="BodyText"/>
        <w:spacing w:line="364" w:lineRule="auto" w:before="5"/>
        <w:ind w:left="115" w:right="106" w:firstLine="686"/>
        <w:jc w:val="both"/>
      </w:pPr>
      <w:r>
        <w:rPr/>
        <w:t>En el caso de México, esto es significativo, pero la relación de lealtad entre legisladores y gobernadores se hace muy importante en los momentos en que se discute el proyecto de presupuesto de egresos de la federación. Ello es así porque con la pérdida de influencia del Presidente sobre la dirigencia del PRI, a partir de 1994, los gobernadores se hicieron del control del partido a nivel de los estados y</w:t>
      </w:r>
    </w:p>
    <w:p>
      <w:pPr>
        <w:pStyle w:val="BodyText"/>
        <w:rPr>
          <w:sz w:val="20"/>
        </w:rPr>
      </w:pPr>
    </w:p>
    <w:p>
      <w:pPr>
        <w:pStyle w:val="BodyText"/>
        <w:rPr>
          <w:sz w:val="12"/>
        </w:rPr>
      </w:pPr>
      <w:r>
        <w:rPr/>
        <w:pict>
          <v:line style="position:absolute;mso-position-horizontal-relative:page;mso-position-vertical-relative:paragraph;z-index:2032;mso-wrap-distance-left:0;mso-wrap-distance-right:0" from="82.799004pt,9.268185pt" to="512.638004pt,9.268185pt" stroked="true" strokeweight=".72pt" strokecolor="#000000">
            <w10:wrap type="topAndBottom"/>
          </v:line>
        </w:pict>
      </w:r>
    </w:p>
    <w:p>
      <w:pPr>
        <w:spacing w:line="247" w:lineRule="auto" w:before="80"/>
        <w:ind w:left="115" w:right="110" w:firstLine="0"/>
        <w:jc w:val="left"/>
        <w:rPr>
          <w:sz w:val="19"/>
        </w:rPr>
      </w:pPr>
      <w:r>
        <w:rPr>
          <w:w w:val="105"/>
          <w:sz w:val="19"/>
        </w:rPr>
        <w:t>sobre las políticas. El problema es que no siempre los senadores dependen políticamente de los territorios, como es el caso de México.</w:t>
      </w:r>
    </w:p>
    <w:p>
      <w:pPr>
        <w:spacing w:after="0" w:line="247" w:lineRule="auto"/>
        <w:jc w:val="left"/>
        <w:rPr>
          <w:sz w:val="19"/>
        </w:rPr>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6"/>
        <w:jc w:val="both"/>
      </w:pPr>
      <w:r>
        <w:rPr/>
        <w:t>ganaron mucha independencia del comité nacional. </w:t>
      </w:r>
      <w:r>
        <w:rPr>
          <w:spacing w:val="2"/>
        </w:rPr>
        <w:t>Por </w:t>
      </w:r>
      <w:r>
        <w:rPr/>
        <w:t>su parte, tanto el PAN  como </w:t>
      </w:r>
      <w:r>
        <w:rPr>
          <w:spacing w:val="3"/>
        </w:rPr>
        <w:t>el </w:t>
      </w:r>
      <w:r>
        <w:rPr/>
        <w:t>PRD surgen como partidos descentralizados, de manera que los gobernadores </w:t>
      </w:r>
      <w:r>
        <w:rPr>
          <w:spacing w:val="-3"/>
        </w:rPr>
        <w:t>de </w:t>
      </w:r>
      <w:r>
        <w:rPr/>
        <w:t>estas fuerzas políticas ganan independencia de los comités nacionales partidistas para promover candidatos a diputados federales, a  senadores y para el congreso local y los diferentes municipios. A través de este mecanismo, </w:t>
      </w:r>
      <w:r>
        <w:rPr>
          <w:spacing w:val="-3"/>
        </w:rPr>
        <w:t>los </w:t>
      </w:r>
      <w:r>
        <w:rPr/>
        <w:t>gobernadores han </w:t>
      </w:r>
      <w:r>
        <w:rPr>
          <w:spacing w:val="-2"/>
        </w:rPr>
        <w:t>tejido </w:t>
      </w:r>
      <w:r>
        <w:rPr/>
        <w:t>redes electorales de apoyo que van </w:t>
      </w:r>
      <w:r>
        <w:rPr>
          <w:spacing w:val="-3"/>
        </w:rPr>
        <w:t>más allá </w:t>
      </w:r>
      <w:r>
        <w:rPr/>
        <w:t>de su periodo, con el fin de mantener cierta influencia en las entidades que gobiernan una vez que han dejado </w:t>
      </w:r>
      <w:r>
        <w:rPr>
          <w:spacing w:val="3"/>
        </w:rPr>
        <w:t>su </w:t>
      </w:r>
      <w:r>
        <w:rPr/>
        <w:t>cargo. Es probable que esta práctica </w:t>
      </w:r>
      <w:r>
        <w:rPr>
          <w:spacing w:val="3"/>
        </w:rPr>
        <w:t>se </w:t>
      </w:r>
      <w:r>
        <w:rPr/>
        <w:t>acentúe porque no hay</w:t>
      </w:r>
      <w:r>
        <w:rPr>
          <w:spacing w:val="31"/>
        </w:rPr>
        <w:t> </w:t>
      </w:r>
      <w:r>
        <w:rPr/>
        <w:t>reelección.</w:t>
      </w:r>
    </w:p>
    <w:p>
      <w:pPr>
        <w:pStyle w:val="BodyText"/>
        <w:spacing w:before="6"/>
        <w:rPr>
          <w:sz w:val="17"/>
        </w:rPr>
      </w:pPr>
    </w:p>
    <w:p>
      <w:pPr>
        <w:pStyle w:val="Heading3"/>
        <w:numPr>
          <w:ilvl w:val="2"/>
          <w:numId w:val="12"/>
        </w:numPr>
        <w:tabs>
          <w:tab w:pos="700" w:val="left" w:leader="none"/>
        </w:tabs>
        <w:spacing w:line="240" w:lineRule="auto" w:before="0" w:after="0"/>
        <w:ind w:left="699" w:right="0" w:hanging="583"/>
        <w:jc w:val="both"/>
      </w:pPr>
      <w:r>
        <w:rPr/>
        <w:t>El marco institucional de los gobiernos estatales </w:t>
      </w:r>
      <w:r>
        <w:rPr>
          <w:spacing w:val="-3"/>
        </w:rPr>
        <w:t>en </w:t>
      </w:r>
      <w:r>
        <w:rPr>
          <w:spacing w:val="9"/>
        </w:rPr>
        <w:t> </w:t>
      </w:r>
      <w:r>
        <w:rPr/>
        <w:t>México</w:t>
      </w:r>
    </w:p>
    <w:p>
      <w:pPr>
        <w:pStyle w:val="BodyText"/>
        <w:spacing w:line="364" w:lineRule="auto" w:before="143"/>
        <w:ind w:left="115" w:right="107"/>
        <w:jc w:val="both"/>
      </w:pPr>
      <w:r>
        <w:rPr/>
        <w:t>El sistema de distribución de competencias entre los  distintos  órdenes  </w:t>
      </w:r>
      <w:r>
        <w:rPr>
          <w:spacing w:val="-3"/>
        </w:rPr>
        <w:t>de  </w:t>
      </w:r>
      <w:r>
        <w:rPr/>
        <w:t>gobierno establece ciertas materias como concurrentes o coincidentes. Una competencia es concurrente cuando </w:t>
      </w:r>
      <w:r>
        <w:rPr>
          <w:spacing w:val="-3"/>
        </w:rPr>
        <w:t>es </w:t>
      </w:r>
      <w:r>
        <w:rPr/>
        <w:t>otorgada a dos o  </w:t>
      </w:r>
      <w:r>
        <w:rPr>
          <w:spacing w:val="-3"/>
        </w:rPr>
        <w:t>más  </w:t>
      </w:r>
      <w:r>
        <w:rPr/>
        <w:t>órdenes jurídicos  por </w:t>
      </w:r>
      <w:r>
        <w:rPr>
          <w:spacing w:val="-4"/>
        </w:rPr>
        <w:t>la</w:t>
      </w:r>
      <w:r>
        <w:rPr>
          <w:spacing w:val="55"/>
        </w:rPr>
        <w:t> </w:t>
      </w:r>
      <w:r>
        <w:rPr/>
        <w:t>norma constitucional. En este sentido, los órdenes jurídicos son  considerados en un rango de igualdad para el ejercicio de dicha competencia. De acuerdo con </w:t>
      </w:r>
      <w:r>
        <w:rPr>
          <w:spacing w:val="-3"/>
        </w:rPr>
        <w:t>la </w:t>
      </w:r>
      <w:r>
        <w:rPr/>
        <w:t>Constitución, tales </w:t>
      </w:r>
      <w:r>
        <w:rPr>
          <w:spacing w:val="3"/>
        </w:rPr>
        <w:t>son </w:t>
      </w:r>
      <w:r>
        <w:rPr>
          <w:spacing w:val="-4"/>
        </w:rPr>
        <w:t>los </w:t>
      </w:r>
      <w:r>
        <w:rPr/>
        <w:t>casos de las materias de educación (artículo 3o.), salud (artículo 4o.), seguridad pública (artículo 73, fracción XXIII), asentamientos humanos (artículo 73, fracción XXIX-C), ecología (artículo 73, fracción XXIX-G), protección civil (artículo 73, fracción  XXIX-I), deporte (artículo   73,</w:t>
      </w:r>
      <w:r>
        <w:rPr>
          <w:spacing w:val="41"/>
        </w:rPr>
        <w:t> </w:t>
      </w:r>
      <w:r>
        <w:rPr/>
        <w:t>fracción</w:t>
      </w:r>
      <w:r>
        <w:rPr>
          <w:spacing w:val="41"/>
        </w:rPr>
        <w:t> </w:t>
      </w:r>
      <w:r>
        <w:rPr/>
        <w:t>XXIX-J),</w:t>
      </w:r>
      <w:r>
        <w:rPr>
          <w:spacing w:val="41"/>
        </w:rPr>
        <w:t> </w:t>
      </w:r>
      <w:r>
        <w:rPr/>
        <w:t>turismo</w:t>
      </w:r>
      <w:r>
        <w:rPr>
          <w:spacing w:val="41"/>
        </w:rPr>
        <w:t> </w:t>
      </w:r>
      <w:r>
        <w:rPr/>
        <w:t>(artículo</w:t>
      </w:r>
      <w:r>
        <w:rPr>
          <w:spacing w:val="41"/>
        </w:rPr>
        <w:t> </w:t>
      </w:r>
      <w:r>
        <w:rPr/>
        <w:t>73,</w:t>
      </w:r>
      <w:r>
        <w:rPr>
          <w:spacing w:val="41"/>
        </w:rPr>
        <w:t> </w:t>
      </w:r>
      <w:r>
        <w:rPr/>
        <w:t>fracción</w:t>
      </w:r>
      <w:r>
        <w:rPr>
          <w:spacing w:val="41"/>
        </w:rPr>
        <w:t> </w:t>
      </w:r>
      <w:r>
        <w:rPr/>
        <w:t>XXIX-K),</w:t>
      </w:r>
      <w:r>
        <w:rPr>
          <w:spacing w:val="41"/>
        </w:rPr>
        <w:t> </w:t>
      </w:r>
      <w:r>
        <w:rPr/>
        <w:t>pesca</w:t>
      </w:r>
      <w:r>
        <w:rPr>
          <w:spacing w:val="41"/>
        </w:rPr>
        <w:t> </w:t>
      </w:r>
      <w:r>
        <w:rPr/>
        <w:t>y</w:t>
      </w:r>
      <w:r>
        <w:rPr>
          <w:spacing w:val="35"/>
        </w:rPr>
        <w:t> </w:t>
      </w:r>
      <w:r>
        <w:rPr/>
        <w:t>acuacultura</w:t>
      </w:r>
    </w:p>
    <w:p>
      <w:pPr>
        <w:pStyle w:val="BodyText"/>
        <w:spacing w:line="270" w:lineRule="exact"/>
        <w:ind w:left="115"/>
        <w:jc w:val="both"/>
        <w:rPr>
          <w:sz w:val="15"/>
        </w:rPr>
      </w:pPr>
      <w:r>
        <w:rPr/>
        <w:t>(artículo 73, fracción XXIX-L), entre otras.</w:t>
      </w:r>
      <w:r>
        <w:rPr>
          <w:position w:val="11"/>
          <w:sz w:val="15"/>
        </w:rPr>
        <w:t>35</w:t>
      </w:r>
    </w:p>
    <w:p>
      <w:pPr>
        <w:pStyle w:val="BodyText"/>
        <w:spacing w:line="364" w:lineRule="auto" w:before="138"/>
        <w:ind w:left="115" w:right="104" w:firstLine="686"/>
        <w:jc w:val="both"/>
      </w:pPr>
      <w:r>
        <w:rPr/>
        <w:t>Desde el punto de vista de la doctrina constitucional, aparentemente, el federalismo mexicano establece un sistema de distribución igualitario de competencias entre todos los participantes de una misma clase o conjunto  de sujetos que conforman un orden jurídico, por ejemplo, entre todas las entidades</w:t>
      </w:r>
    </w:p>
    <w:p>
      <w:pPr>
        <w:pStyle w:val="BodyText"/>
        <w:spacing w:before="1"/>
        <w:rPr>
          <w:sz w:val="19"/>
        </w:rPr>
      </w:pPr>
      <w:r>
        <w:rPr/>
        <w:pict>
          <v:line style="position:absolute;mso-position-horizontal-relative:page;mso-position-vertical-relative:paragraph;z-index:2056;mso-wrap-distance-left:0;mso-wrap-distance-right:0" from="82.799004pt,13.326704pt" to="222.958004pt,13.326704pt" stroked="true" strokeweight=".719pt" strokecolor="#000000">
            <w10:wrap type="topAndBottom"/>
          </v:line>
        </w:pict>
      </w:r>
    </w:p>
    <w:p>
      <w:pPr>
        <w:spacing w:line="247" w:lineRule="auto" w:before="41"/>
        <w:ind w:left="115" w:right="103" w:firstLine="0"/>
        <w:jc w:val="both"/>
        <w:rPr>
          <w:sz w:val="19"/>
        </w:rPr>
      </w:pPr>
      <w:r>
        <w:rPr>
          <w:spacing w:val="-4"/>
          <w:w w:val="105"/>
          <w:position w:val="10"/>
          <w:sz w:val="12"/>
        </w:rPr>
        <w:t>35 </w:t>
      </w:r>
      <w:r>
        <w:rPr>
          <w:w w:val="105"/>
          <w:sz w:val="19"/>
        </w:rPr>
        <w:t>Es importante considerar que la materia fiscal no constituye </w:t>
      </w:r>
      <w:r>
        <w:rPr>
          <w:spacing w:val="2"/>
          <w:w w:val="105"/>
          <w:sz w:val="19"/>
        </w:rPr>
        <w:t>un </w:t>
      </w:r>
      <w:r>
        <w:rPr>
          <w:w w:val="105"/>
          <w:sz w:val="19"/>
        </w:rPr>
        <w:t>caso expreso de competencia concurrente o coincidente entre </w:t>
      </w:r>
      <w:r>
        <w:rPr>
          <w:spacing w:val="-3"/>
          <w:w w:val="105"/>
          <w:sz w:val="19"/>
        </w:rPr>
        <w:t>la </w:t>
      </w:r>
      <w:r>
        <w:rPr>
          <w:w w:val="105"/>
          <w:sz w:val="19"/>
        </w:rPr>
        <w:t>federación y los estados. Al respecto, cabe señalar que la Constitución otorga competencia al Congreso de la Unión para </w:t>
      </w:r>
      <w:r>
        <w:rPr>
          <w:spacing w:val="-3"/>
          <w:w w:val="105"/>
          <w:sz w:val="19"/>
        </w:rPr>
        <w:t>emitir </w:t>
      </w:r>
      <w:r>
        <w:rPr>
          <w:w w:val="105"/>
          <w:sz w:val="19"/>
        </w:rPr>
        <w:t>las leyes necesarias para establecer</w:t>
      </w:r>
      <w:r>
        <w:rPr>
          <w:spacing w:val="-17"/>
          <w:w w:val="105"/>
          <w:sz w:val="19"/>
        </w:rPr>
        <w:t> </w:t>
      </w:r>
      <w:r>
        <w:rPr>
          <w:w w:val="105"/>
          <w:sz w:val="19"/>
        </w:rPr>
        <w:t>los</w:t>
      </w:r>
      <w:r>
        <w:rPr>
          <w:spacing w:val="-23"/>
          <w:w w:val="105"/>
          <w:sz w:val="19"/>
        </w:rPr>
        <w:t> </w:t>
      </w:r>
      <w:r>
        <w:rPr>
          <w:w w:val="105"/>
          <w:sz w:val="19"/>
        </w:rPr>
        <w:t>mecanismos</w:t>
      </w:r>
      <w:r>
        <w:rPr>
          <w:spacing w:val="-20"/>
          <w:w w:val="105"/>
          <w:sz w:val="19"/>
        </w:rPr>
        <w:t> </w:t>
      </w:r>
      <w:r>
        <w:rPr>
          <w:w w:val="105"/>
          <w:sz w:val="19"/>
        </w:rPr>
        <w:t>de</w:t>
      </w:r>
      <w:r>
        <w:rPr>
          <w:spacing w:val="-17"/>
          <w:w w:val="105"/>
          <w:sz w:val="19"/>
        </w:rPr>
        <w:t> </w:t>
      </w:r>
      <w:r>
        <w:rPr>
          <w:w w:val="105"/>
          <w:sz w:val="19"/>
        </w:rPr>
        <w:t>colaboración</w:t>
      </w:r>
      <w:r>
        <w:rPr>
          <w:spacing w:val="-13"/>
          <w:w w:val="105"/>
          <w:sz w:val="19"/>
        </w:rPr>
        <w:t> </w:t>
      </w:r>
      <w:r>
        <w:rPr>
          <w:w w:val="105"/>
          <w:sz w:val="19"/>
        </w:rPr>
        <w:t>y</w:t>
      </w:r>
      <w:r>
        <w:rPr>
          <w:spacing w:val="-20"/>
          <w:w w:val="105"/>
          <w:sz w:val="19"/>
        </w:rPr>
        <w:t> </w:t>
      </w:r>
      <w:r>
        <w:rPr>
          <w:w w:val="105"/>
          <w:sz w:val="19"/>
        </w:rPr>
        <w:t>coordinación</w:t>
      </w:r>
      <w:r>
        <w:rPr>
          <w:spacing w:val="-13"/>
          <w:w w:val="105"/>
          <w:sz w:val="19"/>
        </w:rPr>
        <w:t> </w:t>
      </w:r>
      <w:r>
        <w:rPr>
          <w:w w:val="105"/>
          <w:sz w:val="19"/>
        </w:rPr>
        <w:t>entre</w:t>
      </w:r>
      <w:r>
        <w:rPr>
          <w:spacing w:val="-17"/>
          <w:w w:val="105"/>
          <w:sz w:val="19"/>
        </w:rPr>
        <w:t> </w:t>
      </w:r>
      <w:r>
        <w:rPr>
          <w:w w:val="105"/>
          <w:sz w:val="19"/>
        </w:rPr>
        <w:t>los</w:t>
      </w:r>
      <w:r>
        <w:rPr>
          <w:spacing w:val="-17"/>
          <w:w w:val="105"/>
          <w:sz w:val="19"/>
        </w:rPr>
        <w:t> </w:t>
      </w:r>
      <w:r>
        <w:rPr>
          <w:w w:val="105"/>
          <w:sz w:val="19"/>
        </w:rPr>
        <w:t>distintos</w:t>
      </w:r>
      <w:r>
        <w:rPr>
          <w:spacing w:val="-17"/>
          <w:w w:val="105"/>
          <w:sz w:val="19"/>
        </w:rPr>
        <w:t> </w:t>
      </w:r>
      <w:r>
        <w:rPr>
          <w:w w:val="105"/>
          <w:sz w:val="19"/>
        </w:rPr>
        <w:t>órdenes</w:t>
      </w:r>
      <w:r>
        <w:rPr>
          <w:spacing w:val="-20"/>
          <w:w w:val="105"/>
          <w:sz w:val="19"/>
        </w:rPr>
        <w:t> </w:t>
      </w:r>
      <w:r>
        <w:rPr>
          <w:w w:val="105"/>
          <w:sz w:val="19"/>
        </w:rPr>
        <w:t>jurídicos</w:t>
      </w:r>
      <w:r>
        <w:rPr>
          <w:spacing w:val="-17"/>
          <w:w w:val="105"/>
          <w:sz w:val="19"/>
        </w:rPr>
        <w:t> </w:t>
      </w:r>
      <w:r>
        <w:rPr>
          <w:w w:val="105"/>
          <w:sz w:val="19"/>
        </w:rPr>
        <w:t>que comparten una competencia concurrente o coincidente. Estas leyes, llamadas “generales” o </w:t>
      </w:r>
      <w:r>
        <w:rPr>
          <w:spacing w:val="-3"/>
          <w:w w:val="105"/>
          <w:sz w:val="19"/>
        </w:rPr>
        <w:t>“de </w:t>
      </w:r>
      <w:r>
        <w:rPr>
          <w:w w:val="105"/>
          <w:sz w:val="19"/>
        </w:rPr>
        <w:t>bases de coordinación”, establecen el marco normativo necesario para la división del ejercicio de las competencias concurrentes tanto en sentido formal, como material. Este mismo esquema normativo</w:t>
      </w:r>
      <w:r>
        <w:rPr>
          <w:spacing w:val="-12"/>
          <w:w w:val="105"/>
          <w:sz w:val="19"/>
        </w:rPr>
        <w:t> </w:t>
      </w:r>
      <w:r>
        <w:rPr>
          <w:w w:val="105"/>
          <w:sz w:val="19"/>
        </w:rPr>
        <w:t>lo</w:t>
      </w:r>
      <w:r>
        <w:rPr>
          <w:spacing w:val="-16"/>
          <w:w w:val="105"/>
          <w:sz w:val="19"/>
        </w:rPr>
        <w:t> </w:t>
      </w:r>
      <w:r>
        <w:rPr>
          <w:w w:val="105"/>
          <w:sz w:val="19"/>
        </w:rPr>
        <w:t>encontramos</w:t>
      </w:r>
      <w:r>
        <w:rPr>
          <w:spacing w:val="-19"/>
          <w:w w:val="105"/>
          <w:sz w:val="19"/>
        </w:rPr>
        <w:t> </w:t>
      </w:r>
      <w:r>
        <w:rPr>
          <w:w w:val="105"/>
          <w:sz w:val="19"/>
        </w:rPr>
        <w:t>al</w:t>
      </w:r>
      <w:r>
        <w:rPr>
          <w:spacing w:val="-16"/>
          <w:w w:val="105"/>
          <w:sz w:val="19"/>
        </w:rPr>
        <w:t> </w:t>
      </w:r>
      <w:r>
        <w:rPr>
          <w:w w:val="105"/>
          <w:sz w:val="19"/>
        </w:rPr>
        <w:t>interior</w:t>
      </w:r>
      <w:r>
        <w:rPr>
          <w:spacing w:val="-12"/>
          <w:w w:val="105"/>
          <w:sz w:val="19"/>
        </w:rPr>
        <w:t> </w:t>
      </w:r>
      <w:r>
        <w:rPr>
          <w:w w:val="105"/>
          <w:sz w:val="19"/>
        </w:rPr>
        <w:t>de</w:t>
      </w:r>
      <w:r>
        <w:rPr>
          <w:spacing w:val="-16"/>
          <w:w w:val="105"/>
          <w:sz w:val="19"/>
        </w:rPr>
        <w:t> </w:t>
      </w:r>
      <w:r>
        <w:rPr>
          <w:w w:val="105"/>
          <w:sz w:val="19"/>
        </w:rPr>
        <w:t>las</w:t>
      </w:r>
      <w:r>
        <w:rPr>
          <w:spacing w:val="-16"/>
          <w:w w:val="105"/>
          <w:sz w:val="19"/>
        </w:rPr>
        <w:t> </w:t>
      </w:r>
      <w:r>
        <w:rPr>
          <w:w w:val="105"/>
          <w:sz w:val="19"/>
        </w:rPr>
        <w:t>entidades</w:t>
      </w:r>
      <w:r>
        <w:rPr>
          <w:spacing w:val="-19"/>
          <w:w w:val="105"/>
          <w:sz w:val="19"/>
        </w:rPr>
        <w:t> </w:t>
      </w:r>
      <w:r>
        <w:rPr>
          <w:w w:val="105"/>
          <w:sz w:val="19"/>
        </w:rPr>
        <w:t>cuando</w:t>
      </w:r>
      <w:r>
        <w:rPr>
          <w:spacing w:val="-16"/>
          <w:w w:val="105"/>
          <w:sz w:val="19"/>
        </w:rPr>
        <w:t> </w:t>
      </w:r>
      <w:r>
        <w:rPr>
          <w:w w:val="105"/>
          <w:sz w:val="19"/>
        </w:rPr>
        <w:t>la</w:t>
      </w:r>
      <w:r>
        <w:rPr>
          <w:spacing w:val="-16"/>
          <w:w w:val="105"/>
          <w:sz w:val="19"/>
        </w:rPr>
        <w:t> </w:t>
      </w:r>
      <w:r>
        <w:rPr>
          <w:w w:val="105"/>
          <w:sz w:val="19"/>
        </w:rPr>
        <w:t>competencia</w:t>
      </w:r>
      <w:r>
        <w:rPr>
          <w:spacing w:val="-16"/>
          <w:w w:val="105"/>
          <w:sz w:val="19"/>
        </w:rPr>
        <w:t> </w:t>
      </w:r>
      <w:r>
        <w:rPr>
          <w:w w:val="105"/>
          <w:sz w:val="19"/>
        </w:rPr>
        <w:t>concurrente</w:t>
      </w:r>
      <w:r>
        <w:rPr>
          <w:spacing w:val="-12"/>
          <w:w w:val="105"/>
          <w:sz w:val="19"/>
        </w:rPr>
        <w:t> </w:t>
      </w:r>
      <w:r>
        <w:rPr>
          <w:w w:val="105"/>
          <w:sz w:val="19"/>
        </w:rPr>
        <w:t>objeto</w:t>
      </w:r>
      <w:r>
        <w:rPr>
          <w:spacing w:val="-12"/>
          <w:w w:val="105"/>
          <w:sz w:val="19"/>
        </w:rPr>
        <w:t> </w:t>
      </w:r>
      <w:r>
        <w:rPr>
          <w:w w:val="105"/>
          <w:sz w:val="19"/>
        </w:rPr>
        <w:t>de una</w:t>
      </w:r>
      <w:r>
        <w:rPr>
          <w:spacing w:val="-18"/>
          <w:w w:val="105"/>
          <w:sz w:val="19"/>
        </w:rPr>
        <w:t> </w:t>
      </w:r>
      <w:r>
        <w:rPr>
          <w:spacing w:val="2"/>
          <w:w w:val="105"/>
          <w:sz w:val="19"/>
        </w:rPr>
        <w:t>ley</w:t>
      </w:r>
      <w:r>
        <w:rPr>
          <w:spacing w:val="-22"/>
          <w:w w:val="105"/>
          <w:sz w:val="19"/>
        </w:rPr>
        <w:t> </w:t>
      </w:r>
      <w:r>
        <w:rPr>
          <w:w w:val="105"/>
          <w:sz w:val="19"/>
        </w:rPr>
        <w:t>de</w:t>
      </w:r>
      <w:r>
        <w:rPr>
          <w:spacing w:val="-16"/>
          <w:w w:val="105"/>
          <w:sz w:val="19"/>
        </w:rPr>
        <w:t> </w:t>
      </w:r>
      <w:r>
        <w:rPr>
          <w:w w:val="105"/>
          <w:sz w:val="19"/>
        </w:rPr>
        <w:t>bases</w:t>
      </w:r>
      <w:r>
        <w:rPr>
          <w:spacing w:val="-18"/>
          <w:w w:val="105"/>
          <w:sz w:val="19"/>
        </w:rPr>
        <w:t> </w:t>
      </w:r>
      <w:r>
        <w:rPr>
          <w:w w:val="105"/>
          <w:sz w:val="19"/>
        </w:rPr>
        <w:t>de</w:t>
      </w:r>
      <w:r>
        <w:rPr>
          <w:spacing w:val="-18"/>
          <w:w w:val="105"/>
          <w:sz w:val="19"/>
        </w:rPr>
        <w:t> </w:t>
      </w:r>
      <w:r>
        <w:rPr>
          <w:w w:val="105"/>
          <w:sz w:val="19"/>
        </w:rPr>
        <w:t>coordinación</w:t>
      </w:r>
      <w:r>
        <w:rPr>
          <w:spacing w:val="-18"/>
          <w:w w:val="105"/>
          <w:sz w:val="19"/>
        </w:rPr>
        <w:t> </w:t>
      </w:r>
      <w:r>
        <w:rPr>
          <w:w w:val="105"/>
          <w:sz w:val="19"/>
        </w:rPr>
        <w:t>está</w:t>
      </w:r>
      <w:r>
        <w:rPr>
          <w:spacing w:val="-16"/>
          <w:w w:val="105"/>
          <w:sz w:val="19"/>
        </w:rPr>
        <w:t> </w:t>
      </w:r>
      <w:r>
        <w:rPr>
          <w:w w:val="105"/>
          <w:sz w:val="19"/>
        </w:rPr>
        <w:t>distribuida</w:t>
      </w:r>
      <w:r>
        <w:rPr>
          <w:spacing w:val="-16"/>
          <w:w w:val="105"/>
          <w:sz w:val="19"/>
        </w:rPr>
        <w:t> </w:t>
      </w:r>
      <w:r>
        <w:rPr>
          <w:w w:val="105"/>
          <w:sz w:val="19"/>
        </w:rPr>
        <w:t>también</w:t>
      </w:r>
      <w:r>
        <w:rPr>
          <w:spacing w:val="-16"/>
          <w:w w:val="105"/>
          <w:sz w:val="19"/>
        </w:rPr>
        <w:t> </w:t>
      </w:r>
      <w:r>
        <w:rPr>
          <w:w w:val="105"/>
          <w:sz w:val="19"/>
        </w:rPr>
        <w:t>a</w:t>
      </w:r>
      <w:r>
        <w:rPr>
          <w:spacing w:val="-16"/>
          <w:w w:val="105"/>
          <w:sz w:val="19"/>
        </w:rPr>
        <w:t> </w:t>
      </w:r>
      <w:r>
        <w:rPr>
          <w:w w:val="105"/>
          <w:sz w:val="19"/>
        </w:rPr>
        <w:t>los</w:t>
      </w:r>
      <w:r>
        <w:rPr>
          <w:spacing w:val="-23"/>
          <w:w w:val="105"/>
          <w:sz w:val="19"/>
        </w:rPr>
        <w:t> </w:t>
      </w:r>
      <w:r>
        <w:rPr>
          <w:w w:val="105"/>
          <w:sz w:val="19"/>
        </w:rPr>
        <w:t>municipios.</w:t>
      </w:r>
    </w:p>
    <w:p>
      <w:pPr>
        <w:spacing w:after="0" w:line="247" w:lineRule="auto"/>
        <w:jc w:val="both"/>
        <w:rPr>
          <w:sz w:val="19"/>
        </w:rPr>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7"/>
        <w:jc w:val="both"/>
      </w:pPr>
      <w:r>
        <w:rPr/>
        <w:t>federativas que pertenecen al orden local; sin embargo, nuestro sistema no prevé condiciones de igualdad material entre dichos participantes para que puedan de hecho ejercer </w:t>
      </w:r>
      <w:r>
        <w:rPr>
          <w:spacing w:val="-3"/>
        </w:rPr>
        <w:t>las  </w:t>
      </w:r>
      <w:r>
        <w:rPr/>
        <w:t>competencias que tienen constitucionalmente asignadas  y </w:t>
      </w:r>
      <w:r>
        <w:rPr>
          <w:spacing w:val="-4"/>
        </w:rPr>
        <w:t>ese</w:t>
      </w:r>
      <w:r>
        <w:rPr>
          <w:spacing w:val="55"/>
        </w:rPr>
        <w:t> </w:t>
      </w:r>
      <w:r>
        <w:rPr/>
        <w:t>es </w:t>
      </w:r>
      <w:r>
        <w:rPr>
          <w:spacing w:val="3"/>
        </w:rPr>
        <w:t>el </w:t>
      </w:r>
      <w:r>
        <w:rPr/>
        <w:t>caso </w:t>
      </w:r>
      <w:r>
        <w:rPr>
          <w:spacing w:val="-4"/>
        </w:rPr>
        <w:t>de </w:t>
      </w:r>
      <w:r>
        <w:rPr/>
        <w:t>la educación básica y normal. En este sentido,  </w:t>
      </w:r>
      <w:r>
        <w:rPr>
          <w:spacing w:val="-3"/>
        </w:rPr>
        <w:t>la  </w:t>
      </w:r>
      <w:r>
        <w:rPr/>
        <w:t>Constitución dispone  de  un  sistema  basado  en  una  simetría  normativa  aun  cuando  en  </w:t>
      </w:r>
      <w:r>
        <w:rPr>
          <w:spacing w:val="63"/>
        </w:rPr>
        <w:t> </w:t>
      </w:r>
      <w:r>
        <w:rPr>
          <w:spacing w:val="-5"/>
        </w:rPr>
        <w:t>la</w:t>
      </w:r>
    </w:p>
    <w:p>
      <w:pPr>
        <w:pStyle w:val="BodyText"/>
        <w:spacing w:line="333" w:lineRule="auto" w:before="5"/>
        <w:ind w:left="115" w:right="112"/>
        <w:jc w:val="both"/>
        <w:rPr>
          <w:sz w:val="15"/>
        </w:rPr>
      </w:pPr>
      <w:r>
        <w:rPr/>
        <w:t>realidad nos enfrentamos a una pronunciada asimetría estructural entre los  diversos actores de una clase (Serna, J.M.:</w:t>
      </w:r>
      <w:r>
        <w:rPr>
          <w:spacing w:val="50"/>
        </w:rPr>
        <w:t> </w:t>
      </w:r>
      <w:r>
        <w:rPr/>
        <w:t>2001).</w:t>
      </w:r>
      <w:r>
        <w:rPr>
          <w:position w:val="11"/>
          <w:sz w:val="15"/>
        </w:rPr>
        <w:t>36</w:t>
      </w:r>
    </w:p>
    <w:p>
      <w:pPr>
        <w:pStyle w:val="BodyText"/>
        <w:spacing w:line="364" w:lineRule="auto" w:before="24"/>
        <w:ind w:left="115" w:right="106" w:firstLine="686"/>
        <w:jc w:val="both"/>
      </w:pPr>
      <w:r>
        <w:rPr/>
        <w:t>De hecho, la experiencia de las últimas dos décadas de reformas constitucionales nos indica que de poco sirve ampliar las competencias de las entidades de la federación, el Distrito Federal o los municipios, cuando no se han creado las bases estructurales para su pleno ejercicio, o bien cuando no se cuenta con los recursos financieros para cumplir con las competencias  asignadas.</w:t>
      </w:r>
    </w:p>
    <w:p>
      <w:pPr>
        <w:pStyle w:val="BodyText"/>
        <w:spacing w:line="367" w:lineRule="auto"/>
        <w:ind w:left="115" w:right="109" w:firstLine="686"/>
        <w:jc w:val="both"/>
      </w:pPr>
      <w:r>
        <w:rPr/>
        <w:t>El problema de fondo, es el origen político del pacto federal. En la medida que el régimen revolucionario perseguía objetivos diversos, donde destaca el programa social, dio pie a que el Presidente acumulara una serie de facultades normativas y otras “metaconstitucionales”, lo </w:t>
      </w:r>
      <w:r>
        <w:rPr>
          <w:spacing w:val="2"/>
        </w:rPr>
        <w:t>cual </w:t>
      </w:r>
      <w:r>
        <w:rPr/>
        <w:t>convirtió </w:t>
      </w:r>
      <w:r>
        <w:rPr>
          <w:spacing w:val="2"/>
        </w:rPr>
        <w:t>al </w:t>
      </w:r>
      <w:r>
        <w:rPr/>
        <w:t>Ejecutivo, y por tanto  a </w:t>
      </w:r>
      <w:r>
        <w:rPr>
          <w:spacing w:val="-3"/>
        </w:rPr>
        <w:t>los </w:t>
      </w:r>
      <w:r>
        <w:rPr/>
        <w:t>poderes federales, en el núcleo fundamental </w:t>
      </w:r>
      <w:r>
        <w:rPr>
          <w:spacing w:val="2"/>
        </w:rPr>
        <w:t>del </w:t>
      </w:r>
      <w:r>
        <w:rPr/>
        <w:t>pacto territorial entre  gobierno     central     y     entidades     federativas.     Incluso,     muchas  </w:t>
      </w:r>
      <w:r>
        <w:rPr>
          <w:spacing w:val="57"/>
        </w:rPr>
        <w:t> </w:t>
      </w:r>
      <w:r>
        <w:rPr/>
        <w:t>reformas</w:t>
      </w:r>
    </w:p>
    <w:p>
      <w:pPr>
        <w:pStyle w:val="BodyText"/>
        <w:spacing w:line="328" w:lineRule="auto" w:before="2"/>
        <w:ind w:left="115" w:right="113"/>
        <w:jc w:val="both"/>
        <w:rPr>
          <w:sz w:val="15"/>
        </w:rPr>
      </w:pPr>
      <w:r>
        <w:rPr/>
        <w:t>constitucionales han acentuado el centralismo del Ejecutivo y el de las competencias</w:t>
      </w:r>
      <w:r>
        <w:rPr>
          <w:spacing w:val="27"/>
        </w:rPr>
        <w:t> </w:t>
      </w:r>
      <w:r>
        <w:rPr/>
        <w:t>federales.</w:t>
      </w:r>
      <w:r>
        <w:rPr>
          <w:position w:val="11"/>
          <w:sz w:val="15"/>
        </w:rPr>
        <w:t>37</w:t>
      </w:r>
    </w:p>
    <w:p>
      <w:pPr>
        <w:pStyle w:val="BodyText"/>
        <w:rPr>
          <w:sz w:val="20"/>
        </w:rPr>
      </w:pPr>
    </w:p>
    <w:p>
      <w:pPr>
        <w:pStyle w:val="BodyText"/>
        <w:rPr>
          <w:sz w:val="20"/>
        </w:rPr>
      </w:pPr>
    </w:p>
    <w:p>
      <w:pPr>
        <w:pStyle w:val="BodyText"/>
        <w:rPr>
          <w:sz w:val="20"/>
        </w:rPr>
      </w:pPr>
    </w:p>
    <w:p>
      <w:pPr>
        <w:pStyle w:val="BodyText"/>
        <w:spacing w:before="2"/>
        <w:rPr>
          <w:sz w:val="17"/>
        </w:rPr>
      </w:pPr>
      <w:r>
        <w:rPr/>
        <w:pict>
          <v:line style="position:absolute;mso-position-horizontal-relative:page;mso-position-vertical-relative:paragraph;z-index:2080;mso-wrap-distance-left:0;mso-wrap-distance-right:0" from="82.799004pt,12.221094pt" to="222.958004pt,12.221094pt" stroked="true" strokeweight=".72pt" strokecolor="#000000">
            <w10:wrap type="topAndBottom"/>
          </v:line>
        </w:pict>
      </w:r>
    </w:p>
    <w:p>
      <w:pPr>
        <w:spacing w:line="247" w:lineRule="auto" w:before="46"/>
        <w:ind w:left="115" w:right="104" w:firstLine="0"/>
        <w:jc w:val="both"/>
        <w:rPr>
          <w:sz w:val="19"/>
        </w:rPr>
      </w:pPr>
      <w:r>
        <w:rPr>
          <w:spacing w:val="-4"/>
          <w:w w:val="105"/>
          <w:position w:val="10"/>
          <w:sz w:val="12"/>
        </w:rPr>
        <w:t>36</w:t>
      </w:r>
      <w:r>
        <w:rPr>
          <w:spacing w:val="9"/>
          <w:w w:val="105"/>
          <w:position w:val="10"/>
          <w:sz w:val="12"/>
        </w:rPr>
        <w:t> </w:t>
      </w:r>
      <w:r>
        <w:rPr>
          <w:w w:val="105"/>
          <w:sz w:val="19"/>
        </w:rPr>
        <w:t>Esto</w:t>
      </w:r>
      <w:r>
        <w:rPr>
          <w:spacing w:val="-8"/>
          <w:w w:val="105"/>
          <w:sz w:val="19"/>
        </w:rPr>
        <w:t> </w:t>
      </w:r>
      <w:r>
        <w:rPr>
          <w:spacing w:val="-4"/>
          <w:w w:val="105"/>
          <w:sz w:val="19"/>
        </w:rPr>
        <w:t>se</w:t>
      </w:r>
      <w:r>
        <w:rPr>
          <w:spacing w:val="-8"/>
          <w:w w:val="105"/>
          <w:sz w:val="19"/>
        </w:rPr>
        <w:t> </w:t>
      </w:r>
      <w:r>
        <w:rPr>
          <w:w w:val="105"/>
          <w:sz w:val="19"/>
        </w:rPr>
        <w:t>refleja</w:t>
      </w:r>
      <w:r>
        <w:rPr>
          <w:spacing w:val="-11"/>
          <w:w w:val="105"/>
          <w:sz w:val="19"/>
        </w:rPr>
        <w:t> </w:t>
      </w:r>
      <w:r>
        <w:rPr>
          <w:w w:val="105"/>
          <w:sz w:val="19"/>
        </w:rPr>
        <w:t>en</w:t>
      </w:r>
      <w:r>
        <w:rPr>
          <w:spacing w:val="-11"/>
          <w:w w:val="105"/>
          <w:sz w:val="19"/>
        </w:rPr>
        <w:t> </w:t>
      </w:r>
      <w:r>
        <w:rPr>
          <w:w w:val="105"/>
          <w:sz w:val="19"/>
        </w:rPr>
        <w:t>el</w:t>
      </w:r>
      <w:r>
        <w:rPr>
          <w:spacing w:val="-11"/>
          <w:w w:val="105"/>
          <w:sz w:val="19"/>
        </w:rPr>
        <w:t> </w:t>
      </w:r>
      <w:r>
        <w:rPr>
          <w:w w:val="105"/>
          <w:sz w:val="19"/>
        </w:rPr>
        <w:t>hecho</w:t>
      </w:r>
      <w:r>
        <w:rPr>
          <w:spacing w:val="-8"/>
          <w:w w:val="105"/>
          <w:sz w:val="19"/>
        </w:rPr>
        <w:t> </w:t>
      </w:r>
      <w:r>
        <w:rPr>
          <w:w w:val="105"/>
          <w:sz w:val="19"/>
        </w:rPr>
        <w:t>de</w:t>
      </w:r>
      <w:r>
        <w:rPr>
          <w:spacing w:val="-11"/>
          <w:w w:val="105"/>
          <w:sz w:val="19"/>
        </w:rPr>
        <w:t> </w:t>
      </w:r>
      <w:r>
        <w:rPr>
          <w:w w:val="105"/>
          <w:sz w:val="19"/>
        </w:rPr>
        <w:t>que</w:t>
      </w:r>
      <w:r>
        <w:rPr>
          <w:spacing w:val="-8"/>
          <w:w w:val="105"/>
          <w:sz w:val="19"/>
        </w:rPr>
        <w:t> </w:t>
      </w:r>
      <w:r>
        <w:rPr>
          <w:w w:val="105"/>
          <w:sz w:val="19"/>
        </w:rPr>
        <w:t>los</w:t>
      </w:r>
      <w:r>
        <w:rPr>
          <w:spacing w:val="-11"/>
          <w:w w:val="105"/>
          <w:sz w:val="19"/>
        </w:rPr>
        <w:t> </w:t>
      </w:r>
      <w:r>
        <w:rPr>
          <w:w w:val="105"/>
          <w:sz w:val="19"/>
        </w:rPr>
        <w:t>niveles</w:t>
      </w:r>
      <w:r>
        <w:rPr>
          <w:spacing w:val="-11"/>
          <w:w w:val="105"/>
          <w:sz w:val="19"/>
        </w:rPr>
        <w:t> </w:t>
      </w:r>
      <w:r>
        <w:rPr>
          <w:spacing w:val="-3"/>
          <w:w w:val="105"/>
          <w:sz w:val="19"/>
        </w:rPr>
        <w:t>de</w:t>
      </w:r>
      <w:r>
        <w:rPr>
          <w:spacing w:val="-11"/>
          <w:w w:val="105"/>
          <w:sz w:val="19"/>
        </w:rPr>
        <w:t> </w:t>
      </w:r>
      <w:r>
        <w:rPr>
          <w:w w:val="105"/>
          <w:sz w:val="19"/>
        </w:rPr>
        <w:t>desarrollo</w:t>
      </w:r>
      <w:r>
        <w:rPr>
          <w:spacing w:val="-11"/>
          <w:w w:val="105"/>
          <w:sz w:val="19"/>
        </w:rPr>
        <w:t> </w:t>
      </w:r>
      <w:r>
        <w:rPr>
          <w:w w:val="105"/>
          <w:sz w:val="19"/>
        </w:rPr>
        <w:t>de</w:t>
      </w:r>
      <w:r>
        <w:rPr>
          <w:spacing w:val="-11"/>
          <w:w w:val="105"/>
          <w:sz w:val="19"/>
        </w:rPr>
        <w:t> </w:t>
      </w:r>
      <w:r>
        <w:rPr>
          <w:w w:val="105"/>
          <w:sz w:val="19"/>
        </w:rPr>
        <w:t>las</w:t>
      </w:r>
      <w:r>
        <w:rPr>
          <w:spacing w:val="-11"/>
          <w:w w:val="105"/>
          <w:sz w:val="19"/>
        </w:rPr>
        <w:t> </w:t>
      </w:r>
      <w:r>
        <w:rPr>
          <w:w w:val="105"/>
          <w:sz w:val="19"/>
        </w:rPr>
        <w:t>entidades</w:t>
      </w:r>
      <w:r>
        <w:rPr>
          <w:spacing w:val="-11"/>
          <w:w w:val="105"/>
          <w:sz w:val="19"/>
        </w:rPr>
        <w:t> </w:t>
      </w:r>
      <w:r>
        <w:rPr>
          <w:w w:val="105"/>
          <w:sz w:val="19"/>
        </w:rPr>
        <w:t>de</w:t>
      </w:r>
      <w:r>
        <w:rPr>
          <w:spacing w:val="-8"/>
          <w:w w:val="105"/>
          <w:sz w:val="19"/>
        </w:rPr>
        <w:t> </w:t>
      </w:r>
      <w:r>
        <w:rPr>
          <w:w w:val="105"/>
          <w:sz w:val="19"/>
        </w:rPr>
        <w:t>la</w:t>
      </w:r>
      <w:r>
        <w:rPr>
          <w:spacing w:val="-11"/>
          <w:w w:val="105"/>
          <w:sz w:val="19"/>
        </w:rPr>
        <w:t> </w:t>
      </w:r>
      <w:r>
        <w:rPr>
          <w:w w:val="105"/>
          <w:sz w:val="19"/>
        </w:rPr>
        <w:t>federación,</w:t>
      </w:r>
      <w:r>
        <w:rPr>
          <w:spacing w:val="-14"/>
          <w:w w:val="105"/>
          <w:sz w:val="19"/>
        </w:rPr>
        <w:t> </w:t>
      </w:r>
      <w:r>
        <w:rPr>
          <w:spacing w:val="2"/>
          <w:w w:val="105"/>
          <w:sz w:val="19"/>
        </w:rPr>
        <w:t>así </w:t>
      </w:r>
      <w:r>
        <w:rPr>
          <w:w w:val="105"/>
          <w:sz w:val="19"/>
        </w:rPr>
        <w:t>como el </w:t>
      </w:r>
      <w:r>
        <w:rPr>
          <w:spacing w:val="-3"/>
          <w:w w:val="105"/>
          <w:sz w:val="19"/>
        </w:rPr>
        <w:t>del </w:t>
      </w:r>
      <w:r>
        <w:rPr>
          <w:w w:val="105"/>
          <w:sz w:val="19"/>
        </w:rPr>
        <w:t>Distrito Federal, </w:t>
      </w:r>
      <w:r>
        <w:rPr>
          <w:spacing w:val="-4"/>
          <w:w w:val="105"/>
          <w:sz w:val="19"/>
        </w:rPr>
        <w:t>son </w:t>
      </w:r>
      <w:r>
        <w:rPr>
          <w:w w:val="105"/>
          <w:sz w:val="19"/>
        </w:rPr>
        <w:t>muy dispares entre sí, sin embargo, buena parte de las propuestas</w:t>
      </w:r>
      <w:r>
        <w:rPr>
          <w:spacing w:val="-16"/>
          <w:w w:val="105"/>
          <w:sz w:val="19"/>
        </w:rPr>
        <w:t> </w:t>
      </w:r>
      <w:r>
        <w:rPr>
          <w:w w:val="105"/>
          <w:sz w:val="19"/>
        </w:rPr>
        <w:t>de</w:t>
      </w:r>
      <w:r>
        <w:rPr>
          <w:spacing w:val="-10"/>
          <w:w w:val="105"/>
          <w:sz w:val="19"/>
        </w:rPr>
        <w:t> </w:t>
      </w:r>
      <w:r>
        <w:rPr>
          <w:w w:val="105"/>
          <w:sz w:val="19"/>
        </w:rPr>
        <w:t>reforma</w:t>
      </w:r>
      <w:r>
        <w:rPr>
          <w:spacing w:val="-17"/>
          <w:w w:val="105"/>
          <w:sz w:val="19"/>
        </w:rPr>
        <w:t> </w:t>
      </w:r>
      <w:r>
        <w:rPr>
          <w:w w:val="105"/>
          <w:sz w:val="19"/>
        </w:rPr>
        <w:t>constitucional</w:t>
      </w:r>
      <w:r>
        <w:rPr>
          <w:spacing w:val="-8"/>
          <w:w w:val="105"/>
          <w:sz w:val="19"/>
        </w:rPr>
        <w:t> </w:t>
      </w:r>
      <w:r>
        <w:rPr>
          <w:w w:val="105"/>
          <w:sz w:val="19"/>
        </w:rPr>
        <w:t>sobre</w:t>
      </w:r>
      <w:r>
        <w:rPr>
          <w:spacing w:val="-12"/>
          <w:w w:val="105"/>
          <w:sz w:val="19"/>
        </w:rPr>
        <w:t> </w:t>
      </w:r>
      <w:r>
        <w:rPr>
          <w:w w:val="105"/>
          <w:sz w:val="19"/>
        </w:rPr>
        <w:t>este</w:t>
      </w:r>
      <w:r>
        <w:rPr>
          <w:spacing w:val="-10"/>
          <w:w w:val="105"/>
          <w:sz w:val="19"/>
        </w:rPr>
        <w:t> </w:t>
      </w:r>
      <w:r>
        <w:rPr>
          <w:w w:val="105"/>
          <w:sz w:val="19"/>
        </w:rPr>
        <w:t>tema</w:t>
      </w:r>
      <w:r>
        <w:rPr>
          <w:spacing w:val="-10"/>
          <w:w w:val="105"/>
          <w:sz w:val="19"/>
        </w:rPr>
        <w:t> </w:t>
      </w:r>
      <w:r>
        <w:rPr>
          <w:w w:val="105"/>
          <w:sz w:val="19"/>
        </w:rPr>
        <w:t>han</w:t>
      </w:r>
      <w:r>
        <w:rPr>
          <w:spacing w:val="-12"/>
          <w:w w:val="105"/>
          <w:sz w:val="19"/>
        </w:rPr>
        <w:t> </w:t>
      </w:r>
      <w:r>
        <w:rPr>
          <w:w w:val="105"/>
          <w:sz w:val="19"/>
        </w:rPr>
        <w:t>obviado</w:t>
      </w:r>
      <w:r>
        <w:rPr>
          <w:spacing w:val="-12"/>
          <w:w w:val="105"/>
          <w:sz w:val="19"/>
        </w:rPr>
        <w:t> </w:t>
      </w:r>
      <w:r>
        <w:rPr>
          <w:w w:val="105"/>
          <w:sz w:val="19"/>
        </w:rPr>
        <w:t>esta</w:t>
      </w:r>
      <w:r>
        <w:rPr>
          <w:spacing w:val="-10"/>
          <w:w w:val="105"/>
          <w:sz w:val="19"/>
        </w:rPr>
        <w:t> </w:t>
      </w:r>
      <w:r>
        <w:rPr>
          <w:w w:val="105"/>
          <w:sz w:val="19"/>
        </w:rPr>
        <w:t>realidad,</w:t>
      </w:r>
      <w:r>
        <w:rPr>
          <w:spacing w:val="-19"/>
          <w:w w:val="105"/>
          <w:sz w:val="19"/>
        </w:rPr>
        <w:t> </w:t>
      </w:r>
      <w:r>
        <w:rPr>
          <w:w w:val="105"/>
          <w:sz w:val="19"/>
        </w:rPr>
        <w:t>centrándose</w:t>
      </w:r>
      <w:r>
        <w:rPr>
          <w:spacing w:val="-6"/>
          <w:w w:val="105"/>
          <w:sz w:val="19"/>
        </w:rPr>
        <w:t> </w:t>
      </w:r>
      <w:r>
        <w:rPr>
          <w:spacing w:val="-3"/>
          <w:w w:val="105"/>
          <w:sz w:val="19"/>
        </w:rPr>
        <w:t>sólo </w:t>
      </w:r>
      <w:r>
        <w:rPr>
          <w:w w:val="105"/>
          <w:sz w:val="19"/>
        </w:rPr>
        <w:t>en consideraciones estrictamente formales. Por ello, conviene analizar las propuestas de reconstrucción </w:t>
      </w:r>
      <w:r>
        <w:rPr>
          <w:spacing w:val="-3"/>
          <w:w w:val="105"/>
          <w:sz w:val="19"/>
        </w:rPr>
        <w:t>del </w:t>
      </w:r>
      <w:r>
        <w:rPr>
          <w:w w:val="105"/>
          <w:sz w:val="19"/>
        </w:rPr>
        <w:t>sistema federal a partir </w:t>
      </w:r>
      <w:r>
        <w:rPr>
          <w:spacing w:val="3"/>
          <w:w w:val="105"/>
          <w:sz w:val="19"/>
        </w:rPr>
        <w:t>de </w:t>
      </w:r>
      <w:r>
        <w:rPr>
          <w:w w:val="105"/>
          <w:sz w:val="19"/>
        </w:rPr>
        <w:t>las causas y consecuencias de </w:t>
      </w:r>
      <w:r>
        <w:rPr>
          <w:spacing w:val="-4"/>
          <w:w w:val="105"/>
          <w:sz w:val="19"/>
        </w:rPr>
        <w:t>la </w:t>
      </w:r>
      <w:r>
        <w:rPr>
          <w:w w:val="105"/>
          <w:sz w:val="19"/>
        </w:rPr>
        <w:t>asimetría estructural</w:t>
      </w:r>
      <w:r>
        <w:rPr>
          <w:spacing w:val="-21"/>
          <w:w w:val="105"/>
          <w:sz w:val="19"/>
        </w:rPr>
        <w:t> </w:t>
      </w:r>
      <w:r>
        <w:rPr>
          <w:w w:val="105"/>
          <w:sz w:val="19"/>
        </w:rPr>
        <w:t>de</w:t>
      </w:r>
      <w:r>
        <w:rPr>
          <w:spacing w:val="-16"/>
          <w:w w:val="105"/>
          <w:sz w:val="19"/>
        </w:rPr>
        <w:t> </w:t>
      </w:r>
      <w:r>
        <w:rPr>
          <w:w w:val="105"/>
          <w:sz w:val="19"/>
        </w:rPr>
        <w:t>las</w:t>
      </w:r>
      <w:r>
        <w:rPr>
          <w:spacing w:val="-21"/>
          <w:w w:val="105"/>
          <w:sz w:val="19"/>
        </w:rPr>
        <w:t> </w:t>
      </w:r>
      <w:r>
        <w:rPr>
          <w:w w:val="105"/>
          <w:sz w:val="19"/>
        </w:rPr>
        <w:t>entidades</w:t>
      </w:r>
      <w:r>
        <w:rPr>
          <w:spacing w:val="-21"/>
          <w:w w:val="105"/>
          <w:sz w:val="19"/>
        </w:rPr>
        <w:t> </w:t>
      </w:r>
      <w:r>
        <w:rPr>
          <w:w w:val="105"/>
          <w:sz w:val="19"/>
        </w:rPr>
        <w:t>federativas</w:t>
      </w:r>
      <w:r>
        <w:rPr>
          <w:spacing w:val="-21"/>
          <w:w w:val="105"/>
          <w:sz w:val="19"/>
        </w:rPr>
        <w:t> </w:t>
      </w:r>
      <w:r>
        <w:rPr>
          <w:w w:val="105"/>
          <w:sz w:val="19"/>
        </w:rPr>
        <w:t>y</w:t>
      </w:r>
      <w:r>
        <w:rPr>
          <w:spacing w:val="-21"/>
          <w:w w:val="105"/>
          <w:sz w:val="19"/>
        </w:rPr>
        <w:t> </w:t>
      </w:r>
      <w:r>
        <w:rPr>
          <w:w w:val="105"/>
          <w:sz w:val="19"/>
        </w:rPr>
        <w:t>el</w:t>
      </w:r>
      <w:r>
        <w:rPr>
          <w:spacing w:val="-16"/>
          <w:w w:val="105"/>
          <w:sz w:val="19"/>
        </w:rPr>
        <w:t> </w:t>
      </w:r>
      <w:r>
        <w:rPr>
          <w:w w:val="105"/>
          <w:sz w:val="19"/>
        </w:rPr>
        <w:t>Distrito</w:t>
      </w:r>
      <w:r>
        <w:rPr>
          <w:spacing w:val="-19"/>
          <w:w w:val="105"/>
          <w:sz w:val="19"/>
        </w:rPr>
        <w:t> </w:t>
      </w:r>
      <w:r>
        <w:rPr>
          <w:w w:val="105"/>
          <w:sz w:val="19"/>
        </w:rPr>
        <w:t>Federal.</w:t>
      </w:r>
    </w:p>
    <w:p>
      <w:pPr>
        <w:spacing w:line="214" w:lineRule="exact" w:before="0"/>
        <w:ind w:left="115" w:right="0" w:firstLine="0"/>
        <w:jc w:val="both"/>
        <w:rPr>
          <w:sz w:val="19"/>
        </w:rPr>
      </w:pPr>
      <w:r>
        <w:rPr>
          <w:w w:val="105"/>
          <w:position w:val="10"/>
          <w:sz w:val="12"/>
        </w:rPr>
        <w:t>37 </w:t>
      </w:r>
      <w:r>
        <w:rPr>
          <w:w w:val="105"/>
          <w:sz w:val="19"/>
        </w:rPr>
        <w:t>Desde febrero de 1917, y hasta diciembre de 2000, las reformas constitucionales ascendieron a</w:t>
      </w:r>
    </w:p>
    <w:p>
      <w:pPr>
        <w:spacing w:line="247" w:lineRule="auto" w:before="2"/>
        <w:ind w:left="115" w:right="100" w:firstLine="0"/>
        <w:jc w:val="both"/>
        <w:rPr>
          <w:sz w:val="19"/>
        </w:rPr>
      </w:pPr>
      <w:r>
        <w:rPr>
          <w:w w:val="105"/>
          <w:sz w:val="19"/>
        </w:rPr>
        <w:t>113, </w:t>
      </w:r>
      <w:r>
        <w:rPr>
          <w:spacing w:val="-4"/>
          <w:w w:val="105"/>
          <w:sz w:val="19"/>
        </w:rPr>
        <w:t>según </w:t>
      </w:r>
      <w:r>
        <w:rPr>
          <w:w w:val="105"/>
          <w:sz w:val="19"/>
        </w:rPr>
        <w:t>el cómputo de la Secretaría de Gobernación. Destacan entre ellas las relativas </w:t>
      </w:r>
      <w:r>
        <w:rPr>
          <w:spacing w:val="2"/>
          <w:w w:val="105"/>
          <w:sz w:val="19"/>
        </w:rPr>
        <w:t>al </w:t>
      </w:r>
      <w:r>
        <w:rPr>
          <w:w w:val="105"/>
          <w:sz w:val="19"/>
        </w:rPr>
        <w:t>artículo 73, </w:t>
      </w:r>
      <w:r>
        <w:rPr>
          <w:spacing w:val="-2"/>
          <w:w w:val="105"/>
          <w:sz w:val="19"/>
        </w:rPr>
        <w:t>que </w:t>
      </w:r>
      <w:r>
        <w:rPr>
          <w:w w:val="105"/>
          <w:sz w:val="19"/>
        </w:rPr>
        <w:t>enumera las facultades del Congreso (y que establece el carácter federal de las materias</w:t>
      </w:r>
      <w:r>
        <w:rPr>
          <w:spacing w:val="-13"/>
          <w:w w:val="105"/>
          <w:sz w:val="19"/>
        </w:rPr>
        <w:t> </w:t>
      </w:r>
      <w:r>
        <w:rPr>
          <w:w w:val="105"/>
          <w:sz w:val="19"/>
        </w:rPr>
        <w:t>en</w:t>
      </w:r>
      <w:r>
        <w:rPr>
          <w:spacing w:val="-13"/>
          <w:w w:val="105"/>
          <w:sz w:val="19"/>
        </w:rPr>
        <w:t> </w:t>
      </w:r>
      <w:r>
        <w:rPr>
          <w:w w:val="105"/>
          <w:sz w:val="19"/>
        </w:rPr>
        <w:t>cuestión),</w:t>
      </w:r>
      <w:r>
        <w:rPr>
          <w:spacing w:val="-19"/>
          <w:w w:val="105"/>
          <w:sz w:val="19"/>
        </w:rPr>
        <w:t> </w:t>
      </w:r>
      <w:r>
        <w:rPr>
          <w:w w:val="105"/>
          <w:sz w:val="19"/>
        </w:rPr>
        <w:t>con</w:t>
      </w:r>
      <w:r>
        <w:rPr>
          <w:spacing w:val="-13"/>
          <w:w w:val="105"/>
          <w:sz w:val="19"/>
        </w:rPr>
        <w:t> </w:t>
      </w:r>
      <w:r>
        <w:rPr>
          <w:spacing w:val="3"/>
          <w:w w:val="105"/>
          <w:sz w:val="19"/>
        </w:rPr>
        <w:t>38</w:t>
      </w:r>
      <w:r>
        <w:rPr>
          <w:spacing w:val="-17"/>
          <w:w w:val="105"/>
          <w:sz w:val="19"/>
        </w:rPr>
        <w:t> </w:t>
      </w:r>
      <w:r>
        <w:rPr>
          <w:w w:val="105"/>
          <w:sz w:val="19"/>
        </w:rPr>
        <w:t>modificaciones,</w:t>
      </w:r>
      <w:r>
        <w:rPr>
          <w:spacing w:val="-13"/>
          <w:w w:val="105"/>
          <w:sz w:val="19"/>
        </w:rPr>
        <w:t> </w:t>
      </w:r>
      <w:r>
        <w:rPr>
          <w:w w:val="105"/>
          <w:sz w:val="19"/>
        </w:rPr>
        <w:t>es</w:t>
      </w:r>
      <w:r>
        <w:rPr>
          <w:spacing w:val="-13"/>
          <w:w w:val="105"/>
          <w:sz w:val="19"/>
        </w:rPr>
        <w:t> </w:t>
      </w:r>
      <w:r>
        <w:rPr>
          <w:w w:val="105"/>
          <w:sz w:val="19"/>
        </w:rPr>
        <w:t>decir,</w:t>
      </w:r>
      <w:r>
        <w:rPr>
          <w:spacing w:val="-13"/>
          <w:w w:val="105"/>
          <w:sz w:val="19"/>
        </w:rPr>
        <w:t> </w:t>
      </w:r>
      <w:r>
        <w:rPr>
          <w:w w:val="105"/>
          <w:sz w:val="19"/>
        </w:rPr>
        <w:t>un</w:t>
      </w:r>
      <w:r>
        <w:rPr>
          <w:spacing w:val="-13"/>
          <w:w w:val="105"/>
          <w:sz w:val="19"/>
        </w:rPr>
        <w:t> </w:t>
      </w:r>
      <w:r>
        <w:rPr>
          <w:w w:val="105"/>
          <w:sz w:val="19"/>
        </w:rPr>
        <w:t>tercio</w:t>
      </w:r>
      <w:r>
        <w:rPr>
          <w:spacing w:val="-13"/>
          <w:w w:val="105"/>
          <w:sz w:val="19"/>
        </w:rPr>
        <w:t> </w:t>
      </w:r>
      <w:r>
        <w:rPr>
          <w:spacing w:val="-3"/>
          <w:w w:val="105"/>
          <w:sz w:val="19"/>
        </w:rPr>
        <w:t>del</w:t>
      </w:r>
      <w:r>
        <w:rPr>
          <w:spacing w:val="-6"/>
          <w:w w:val="105"/>
          <w:sz w:val="19"/>
        </w:rPr>
        <w:t> </w:t>
      </w:r>
      <w:r>
        <w:rPr>
          <w:w w:val="105"/>
          <w:sz w:val="19"/>
        </w:rPr>
        <w:t>total.</w:t>
      </w:r>
      <w:r>
        <w:rPr>
          <w:spacing w:val="-13"/>
          <w:w w:val="105"/>
          <w:sz w:val="19"/>
        </w:rPr>
        <w:t> </w:t>
      </w:r>
      <w:r>
        <w:rPr>
          <w:spacing w:val="-4"/>
          <w:w w:val="105"/>
          <w:sz w:val="19"/>
        </w:rPr>
        <w:t>La</w:t>
      </w:r>
      <w:r>
        <w:rPr>
          <w:spacing w:val="-13"/>
          <w:w w:val="105"/>
          <w:sz w:val="19"/>
        </w:rPr>
        <w:t> </w:t>
      </w:r>
      <w:r>
        <w:rPr>
          <w:w w:val="105"/>
          <w:sz w:val="19"/>
        </w:rPr>
        <w:t>mayor</w:t>
      </w:r>
      <w:r>
        <w:rPr>
          <w:spacing w:val="-16"/>
          <w:w w:val="105"/>
          <w:sz w:val="19"/>
        </w:rPr>
        <w:t> </w:t>
      </w:r>
      <w:r>
        <w:rPr>
          <w:w w:val="105"/>
          <w:sz w:val="19"/>
        </w:rPr>
        <w:t>parte</w:t>
      </w:r>
      <w:r>
        <w:rPr>
          <w:spacing w:val="-13"/>
          <w:w w:val="105"/>
          <w:sz w:val="19"/>
        </w:rPr>
        <w:t> </w:t>
      </w:r>
      <w:r>
        <w:rPr>
          <w:w w:val="105"/>
          <w:sz w:val="19"/>
        </w:rPr>
        <w:t>de</w:t>
      </w:r>
      <w:r>
        <w:rPr>
          <w:spacing w:val="-13"/>
          <w:w w:val="105"/>
          <w:sz w:val="19"/>
        </w:rPr>
        <w:t> </w:t>
      </w:r>
      <w:r>
        <w:rPr>
          <w:w w:val="105"/>
          <w:sz w:val="19"/>
        </w:rPr>
        <w:t>dichas enmiendas centralizaron materias hasta entonces reservadas al ámbito estatal. Muchas de las reformas a otros artículos han introducido modificaciones relativas a educación, trabajo, reforma agraria, desarrollo económico, rectoría del Estado, planeación, Poder Ejecutivo, gobiernos estatales,</w:t>
      </w:r>
      <w:r>
        <w:rPr>
          <w:spacing w:val="-15"/>
          <w:w w:val="105"/>
          <w:sz w:val="19"/>
        </w:rPr>
        <w:t> </w:t>
      </w:r>
      <w:r>
        <w:rPr>
          <w:w w:val="105"/>
          <w:sz w:val="19"/>
        </w:rPr>
        <w:t>municipio,</w:t>
      </w:r>
      <w:r>
        <w:rPr>
          <w:spacing w:val="-15"/>
          <w:w w:val="105"/>
          <w:sz w:val="19"/>
        </w:rPr>
        <w:t> </w:t>
      </w:r>
      <w:r>
        <w:rPr>
          <w:w w:val="105"/>
          <w:sz w:val="19"/>
        </w:rPr>
        <w:t>seguridad</w:t>
      </w:r>
      <w:r>
        <w:rPr>
          <w:spacing w:val="-11"/>
          <w:w w:val="105"/>
          <w:sz w:val="19"/>
        </w:rPr>
        <w:t> </w:t>
      </w:r>
      <w:r>
        <w:rPr>
          <w:w w:val="105"/>
          <w:sz w:val="19"/>
        </w:rPr>
        <w:t>nacional</w:t>
      </w:r>
      <w:r>
        <w:rPr>
          <w:spacing w:val="-11"/>
          <w:w w:val="105"/>
          <w:sz w:val="19"/>
        </w:rPr>
        <w:t> </w:t>
      </w:r>
      <w:r>
        <w:rPr>
          <w:w w:val="105"/>
          <w:sz w:val="19"/>
        </w:rPr>
        <w:t>y</w:t>
      </w:r>
      <w:r>
        <w:rPr>
          <w:spacing w:val="-11"/>
          <w:w w:val="105"/>
          <w:sz w:val="19"/>
        </w:rPr>
        <w:t> </w:t>
      </w:r>
      <w:r>
        <w:rPr>
          <w:w w:val="105"/>
          <w:sz w:val="19"/>
        </w:rPr>
        <w:t>pública,</w:t>
      </w:r>
      <w:r>
        <w:rPr>
          <w:spacing w:val="-14"/>
          <w:w w:val="105"/>
          <w:sz w:val="19"/>
        </w:rPr>
        <w:t> </w:t>
      </w:r>
      <w:r>
        <w:rPr>
          <w:w w:val="105"/>
          <w:sz w:val="19"/>
        </w:rPr>
        <w:t>Poder</w:t>
      </w:r>
      <w:r>
        <w:rPr>
          <w:spacing w:val="-16"/>
          <w:w w:val="105"/>
          <w:sz w:val="19"/>
        </w:rPr>
        <w:t> </w:t>
      </w:r>
      <w:r>
        <w:rPr>
          <w:w w:val="105"/>
          <w:sz w:val="19"/>
        </w:rPr>
        <w:t>Judicial</w:t>
      </w:r>
      <w:r>
        <w:rPr>
          <w:spacing w:val="-11"/>
          <w:w w:val="105"/>
          <w:sz w:val="19"/>
        </w:rPr>
        <w:t> </w:t>
      </w:r>
      <w:r>
        <w:rPr>
          <w:w w:val="105"/>
          <w:sz w:val="19"/>
        </w:rPr>
        <w:t>y</w:t>
      </w:r>
      <w:r>
        <w:rPr>
          <w:spacing w:val="-15"/>
          <w:w w:val="105"/>
          <w:sz w:val="19"/>
        </w:rPr>
        <w:t> </w:t>
      </w:r>
      <w:r>
        <w:rPr>
          <w:w w:val="105"/>
          <w:sz w:val="19"/>
        </w:rPr>
        <w:t>amparo,</w:t>
      </w:r>
      <w:r>
        <w:rPr>
          <w:spacing w:val="-11"/>
          <w:w w:val="105"/>
          <w:sz w:val="19"/>
        </w:rPr>
        <w:t> </w:t>
      </w:r>
      <w:r>
        <w:rPr>
          <w:w w:val="105"/>
          <w:sz w:val="19"/>
        </w:rPr>
        <w:t>procesos</w:t>
      </w:r>
      <w:r>
        <w:rPr>
          <w:spacing w:val="-16"/>
          <w:w w:val="105"/>
          <w:sz w:val="19"/>
        </w:rPr>
        <w:t> </w:t>
      </w:r>
      <w:r>
        <w:rPr>
          <w:w w:val="105"/>
          <w:sz w:val="19"/>
        </w:rPr>
        <w:t>electorales</w:t>
      </w:r>
      <w:r>
        <w:rPr>
          <w:spacing w:val="-11"/>
          <w:w w:val="105"/>
          <w:sz w:val="19"/>
        </w:rPr>
        <w:t> </w:t>
      </w:r>
      <w:r>
        <w:rPr>
          <w:w w:val="105"/>
          <w:sz w:val="19"/>
        </w:rPr>
        <w:t>y justicia electoral, que han modificado también el equilibrio federal, al concentrar nuevas atribuciones</w:t>
      </w:r>
      <w:r>
        <w:rPr>
          <w:spacing w:val="-24"/>
          <w:w w:val="105"/>
          <w:sz w:val="19"/>
        </w:rPr>
        <w:t> </w:t>
      </w:r>
      <w:r>
        <w:rPr>
          <w:spacing w:val="2"/>
          <w:w w:val="105"/>
          <w:sz w:val="19"/>
        </w:rPr>
        <w:t>en</w:t>
      </w:r>
      <w:r>
        <w:rPr>
          <w:spacing w:val="-21"/>
          <w:w w:val="105"/>
          <w:sz w:val="19"/>
        </w:rPr>
        <w:t> </w:t>
      </w:r>
      <w:r>
        <w:rPr>
          <w:w w:val="105"/>
          <w:sz w:val="19"/>
        </w:rPr>
        <w:t>el</w:t>
      </w:r>
      <w:r>
        <w:rPr>
          <w:spacing w:val="-19"/>
          <w:w w:val="105"/>
          <w:sz w:val="19"/>
        </w:rPr>
        <w:t> </w:t>
      </w:r>
      <w:r>
        <w:rPr>
          <w:w w:val="105"/>
          <w:sz w:val="19"/>
        </w:rPr>
        <w:t>ámbito</w:t>
      </w:r>
      <w:r>
        <w:rPr>
          <w:spacing w:val="-18"/>
          <w:w w:val="105"/>
          <w:sz w:val="19"/>
        </w:rPr>
        <w:t> </w:t>
      </w:r>
      <w:r>
        <w:rPr>
          <w:w w:val="105"/>
          <w:sz w:val="19"/>
        </w:rPr>
        <w:t>central.</w:t>
      </w:r>
    </w:p>
    <w:p>
      <w:pPr>
        <w:spacing w:after="0" w:line="247" w:lineRule="auto"/>
        <w:jc w:val="both"/>
        <w:rPr>
          <w:sz w:val="19"/>
        </w:rPr>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6" w:right="105" w:firstLine="686"/>
        <w:jc w:val="both"/>
      </w:pPr>
      <w:r>
        <w:rPr/>
        <w:t>Así, el proyecto nacional contenido en la Revolución asignó al titular del Ejecutivo un conjunto de competencias y atribuciones decisivas. Entre </w:t>
      </w:r>
      <w:r>
        <w:rPr>
          <w:spacing w:val="-3"/>
        </w:rPr>
        <w:t>ellas </w:t>
      </w:r>
      <w:r>
        <w:rPr/>
        <w:t>sobresalen el </w:t>
      </w:r>
      <w:r>
        <w:rPr>
          <w:spacing w:val="-3"/>
        </w:rPr>
        <w:t>desarrollo </w:t>
      </w:r>
      <w:r>
        <w:rPr/>
        <w:t>económico y el comercio exterior. Es </w:t>
      </w:r>
      <w:r>
        <w:rPr>
          <w:spacing w:val="-3"/>
        </w:rPr>
        <w:t>de </w:t>
      </w:r>
      <w:r>
        <w:rPr/>
        <w:t>destacar  </w:t>
      </w:r>
      <w:r>
        <w:rPr>
          <w:spacing w:val="-6"/>
        </w:rPr>
        <w:t>la  </w:t>
      </w:r>
      <w:r>
        <w:rPr/>
        <w:t>reforma agraria, que implicó el establecimiento de instituciones, procesos y resoluciones que transformaron masivamente </w:t>
      </w:r>
      <w:r>
        <w:rPr>
          <w:spacing w:val="-4"/>
        </w:rPr>
        <w:t>la</w:t>
      </w:r>
      <w:r>
        <w:rPr>
          <w:spacing w:val="55"/>
        </w:rPr>
        <w:t> </w:t>
      </w:r>
      <w:r>
        <w:rPr/>
        <w:t>tenencia de </w:t>
      </w:r>
      <w:r>
        <w:rPr>
          <w:spacing w:val="-3"/>
        </w:rPr>
        <w:t>la </w:t>
      </w:r>
      <w:r>
        <w:rPr/>
        <w:t>tierra y </w:t>
      </w:r>
      <w:r>
        <w:rPr>
          <w:spacing w:val="-3"/>
        </w:rPr>
        <w:t>la </w:t>
      </w:r>
      <w:r>
        <w:rPr/>
        <w:t>infraestructura productiva. Análogas consecuencias tuvo </w:t>
      </w:r>
      <w:r>
        <w:rPr>
          <w:spacing w:val="-5"/>
        </w:rPr>
        <w:t>la </w:t>
      </w:r>
      <w:r>
        <w:rPr/>
        <w:t>legislación laboral, proyectada </w:t>
      </w:r>
      <w:r>
        <w:rPr>
          <w:spacing w:val="-3"/>
        </w:rPr>
        <w:t>por </w:t>
      </w:r>
      <w:r>
        <w:rPr/>
        <w:t>el artículo 123 constitucional, que conllevó </w:t>
      </w:r>
      <w:r>
        <w:rPr>
          <w:spacing w:val="-3"/>
        </w:rPr>
        <w:t>la </w:t>
      </w:r>
      <w:r>
        <w:rPr/>
        <w:t>gradual construcción de un sistema de planteamiento y solución de discrepancias individuales y  colectivas y el registro de organizaciones</w:t>
      </w:r>
      <w:r>
        <w:rPr>
          <w:spacing w:val="43"/>
        </w:rPr>
        <w:t> </w:t>
      </w:r>
      <w:r>
        <w:rPr/>
        <w:t>sociales.</w:t>
      </w:r>
    </w:p>
    <w:p>
      <w:pPr>
        <w:pStyle w:val="BodyText"/>
        <w:spacing w:line="364" w:lineRule="auto" w:before="5"/>
        <w:ind w:left="116" w:right="105" w:firstLine="686"/>
        <w:jc w:val="both"/>
      </w:pPr>
      <w:r>
        <w:rPr/>
        <w:t>Esta tendencia centralizadora se agudizó con el transcurso de </w:t>
      </w:r>
      <w:r>
        <w:rPr>
          <w:spacing w:val="-3"/>
        </w:rPr>
        <w:t>los </w:t>
      </w:r>
      <w:r>
        <w:rPr/>
        <w:t>años. Simultáneamente </w:t>
      </w:r>
      <w:r>
        <w:rPr>
          <w:spacing w:val="2"/>
        </w:rPr>
        <w:t>se </w:t>
      </w:r>
      <w:r>
        <w:rPr/>
        <w:t>impulsó </w:t>
      </w:r>
      <w:r>
        <w:rPr>
          <w:spacing w:val="-4"/>
        </w:rPr>
        <w:t>la </w:t>
      </w:r>
      <w:r>
        <w:rPr/>
        <w:t>expansión de  </w:t>
      </w:r>
      <w:r>
        <w:rPr>
          <w:spacing w:val="-5"/>
        </w:rPr>
        <w:t>la  </w:t>
      </w:r>
      <w:r>
        <w:rPr/>
        <w:t>administración  pública  federal, que </w:t>
      </w:r>
      <w:r>
        <w:rPr>
          <w:spacing w:val="-3"/>
        </w:rPr>
        <w:t>incluyó </w:t>
      </w:r>
      <w:r>
        <w:rPr/>
        <w:t>la construcción, </w:t>
      </w:r>
      <w:r>
        <w:rPr>
          <w:spacing w:val="-3"/>
        </w:rPr>
        <w:t>en </w:t>
      </w:r>
      <w:r>
        <w:rPr/>
        <w:t>virtualmente todos </w:t>
      </w:r>
      <w:r>
        <w:rPr>
          <w:spacing w:val="-3"/>
        </w:rPr>
        <w:t>los </w:t>
      </w:r>
      <w:r>
        <w:rPr/>
        <w:t>sectores y ramos de </w:t>
      </w:r>
      <w:r>
        <w:rPr>
          <w:spacing w:val="-3"/>
        </w:rPr>
        <w:t>la </w:t>
      </w:r>
      <w:r>
        <w:rPr/>
        <w:t>economía y la sociedad, de un vastísimo sector descentralizado y paraestatal, y  más aún, el injerto y desarrollo de las oficinas delegadas, </w:t>
      </w:r>
      <w:r>
        <w:rPr>
          <w:spacing w:val="-3"/>
        </w:rPr>
        <w:t>que </w:t>
      </w:r>
      <w:r>
        <w:rPr/>
        <w:t>a la postre desplazaron a </w:t>
      </w:r>
      <w:r>
        <w:rPr>
          <w:spacing w:val="-4"/>
        </w:rPr>
        <w:t>la </w:t>
      </w:r>
      <w:r>
        <w:rPr/>
        <w:t>administración local. Adicionalmente, el presidente, de suyo jefe  de Estado, se hizo cargo del ejercicio de las facultades económicas que le confirió  </w:t>
      </w:r>
      <w:r>
        <w:rPr>
          <w:spacing w:val="-5"/>
        </w:rPr>
        <w:t>la </w:t>
      </w:r>
      <w:r>
        <w:rPr/>
        <w:t>Constitución, en materias tales </w:t>
      </w:r>
      <w:r>
        <w:rPr>
          <w:spacing w:val="2"/>
        </w:rPr>
        <w:t>como </w:t>
      </w:r>
      <w:r>
        <w:rPr/>
        <w:t>comercio internacional, banca, finanzas y seguros; comercio interior y abasto, planeación y desarrollo, educación, salud, vivienda, ecología, población, en fin, gestión del patrimonio nacional. La profesionalización de las fuerzas armadas y la conformación de una compleja red de organizaciones sociales e instituciones políticas deben tenerse presentes para redondear la idea sobre la magnitud del nuevo  presidencialismo.</w:t>
      </w:r>
    </w:p>
    <w:p>
      <w:pPr>
        <w:pStyle w:val="BodyText"/>
        <w:spacing w:line="364" w:lineRule="auto"/>
        <w:ind w:left="116" w:right="108" w:firstLine="686"/>
        <w:jc w:val="right"/>
      </w:pPr>
      <w:r>
        <w:rPr/>
        <w:t>El triunfo de la oposición en las entidades federativas, a partir de 1989, </w:t>
      </w:r>
      <w:r>
        <w:rPr>
          <w:spacing w:val="-3"/>
        </w:rPr>
        <w:t>es</w:t>
      </w:r>
      <w:r>
        <w:rPr>
          <w:w w:val="101"/>
        </w:rPr>
        <w:t> </w:t>
      </w:r>
      <w:r>
        <w:rPr/>
        <w:t>un factor que </w:t>
      </w:r>
      <w:r>
        <w:rPr>
          <w:spacing w:val="-3"/>
        </w:rPr>
        <w:t>ha </w:t>
      </w:r>
      <w:r>
        <w:rPr/>
        <w:t>hecho irresistibles los objetivos de la vuelta al equilibrio</w:t>
      </w:r>
      <w:r>
        <w:rPr>
          <w:w w:val="101"/>
        </w:rPr>
        <w:t> </w:t>
      </w:r>
      <w:r>
        <w:rPr/>
        <w:t>competencial y a la descentralización. Sin embargo, continúan nuevas líneas</w:t>
      </w:r>
      <w:r>
        <w:rPr>
          <w:spacing w:val="-1"/>
          <w:w w:val="101"/>
        </w:rPr>
        <w:t> </w:t>
      </w:r>
      <w:r>
        <w:rPr/>
        <w:t>centralizadoras, entre las que destacan recientemente  </w:t>
      </w:r>
      <w:r>
        <w:rPr>
          <w:spacing w:val="-4"/>
        </w:rPr>
        <w:t>la </w:t>
      </w:r>
      <w:r>
        <w:rPr/>
        <w:t>administración  de</w:t>
      </w:r>
      <w:r>
        <w:rPr>
          <w:spacing w:val="-1"/>
          <w:w w:val="101"/>
        </w:rPr>
        <w:t> </w:t>
      </w:r>
      <w:r>
        <w:rPr/>
        <w:t>justicia, seguridad pública, procesos e instituciones electorales y comercio exterior.</w:t>
      </w:r>
      <w:r>
        <w:rPr>
          <w:spacing w:val="-1"/>
          <w:w w:val="101"/>
        </w:rPr>
        <w:t> </w:t>
      </w:r>
      <w:r>
        <w:rPr/>
        <w:t>Con todo, frente al proceso centralizador descrito, </w:t>
      </w:r>
      <w:r>
        <w:rPr>
          <w:spacing w:val="3"/>
        </w:rPr>
        <w:t>se </w:t>
      </w:r>
      <w:r>
        <w:rPr/>
        <w:t>han abierto  paso</w:t>
      </w:r>
      <w:r>
        <w:rPr>
          <w:spacing w:val="-1"/>
          <w:w w:val="101"/>
        </w:rPr>
        <w:t>  </w:t>
      </w:r>
      <w:r>
        <w:rPr/>
        <w:t>desde la década de los ochenta</w:t>
      </w:r>
      <w:r>
        <w:rPr>
          <w:spacing w:val="54"/>
        </w:rPr>
        <w:t> </w:t>
      </w:r>
      <w:r>
        <w:rPr/>
        <w:t>diversas tendencias para restablecer la vocación</w:t>
      </w:r>
      <w:r>
        <w:rPr>
          <w:spacing w:val="-1"/>
          <w:w w:val="101"/>
        </w:rPr>
        <w:t> </w:t>
      </w:r>
      <w:r>
        <w:rPr/>
        <w:t>gubernativa de los estados y municipios. Destacan tres planos distintos en los </w:t>
      </w:r>
      <w:r>
        <w:rPr>
          <w:spacing w:val="-3"/>
        </w:rPr>
        <w:t>que</w:t>
      </w:r>
      <w:r>
        <w:rPr>
          <w:spacing w:val="-1"/>
          <w:w w:val="101"/>
        </w:rPr>
        <w:t> </w:t>
      </w:r>
      <w:r>
        <w:rPr/>
        <w:t>se</w:t>
      </w:r>
      <w:r>
        <w:rPr>
          <w:spacing w:val="55"/>
        </w:rPr>
        <w:t> </w:t>
      </w:r>
      <w:r>
        <w:rPr/>
        <w:t>ha producido</w:t>
      </w:r>
      <w:r>
        <w:rPr>
          <w:spacing w:val="52"/>
        </w:rPr>
        <w:t> </w:t>
      </w:r>
      <w:r>
        <w:rPr/>
        <w:t>este proceso. Uno</w:t>
      </w:r>
      <w:r>
        <w:rPr>
          <w:spacing w:val="53"/>
        </w:rPr>
        <w:t> </w:t>
      </w:r>
      <w:r>
        <w:rPr/>
        <w:t>ha sido el</w:t>
      </w:r>
      <w:r>
        <w:rPr>
          <w:spacing w:val="51"/>
        </w:rPr>
        <w:t> </w:t>
      </w:r>
      <w:r>
        <w:rPr/>
        <w:t>plano institucional, </w:t>
      </w:r>
      <w:r>
        <w:rPr>
          <w:spacing w:val="3"/>
        </w:rPr>
        <w:t>en </w:t>
      </w:r>
      <w:r>
        <w:rPr/>
        <w:t>donde</w:t>
      </w:r>
      <w:r>
        <w:rPr>
          <w:spacing w:val="52"/>
        </w:rPr>
        <w:t> </w:t>
      </w:r>
      <w:r>
        <w:rPr/>
        <w:t>se</w:t>
      </w:r>
    </w:p>
    <w:p>
      <w:pPr>
        <w:spacing w:after="0" w:line="364" w:lineRule="auto"/>
        <w:jc w:val="right"/>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6"/>
        <w:jc w:val="both"/>
      </w:pPr>
      <w:r>
        <w:rPr/>
        <w:t>registran reformas significativas, como las reformas municipales de 1982 y 1999, o las reformas políticas de 1977 a 1996. Desde luego, resaltan también </w:t>
      </w:r>
      <w:r>
        <w:rPr>
          <w:spacing w:val="-2"/>
        </w:rPr>
        <w:t>las </w:t>
      </w:r>
      <w:r>
        <w:rPr/>
        <w:t>descentralizaciones emprendidas a principios de la década de los noventa en materia de educación, salud </w:t>
      </w:r>
      <w:r>
        <w:rPr>
          <w:spacing w:val="-5"/>
        </w:rPr>
        <w:t>y, </w:t>
      </w:r>
      <w:r>
        <w:rPr/>
        <w:t>con menos vigor, de política social.  En  estos  rubros, empero, </w:t>
      </w:r>
      <w:r>
        <w:rPr>
          <w:spacing w:val="-4"/>
        </w:rPr>
        <w:t>la </w:t>
      </w:r>
      <w:r>
        <w:rPr/>
        <w:t>descentralización, no implicó mejor situación presupuestal para las entidades</w:t>
      </w:r>
      <w:r>
        <w:rPr>
          <w:spacing w:val="29"/>
        </w:rPr>
        <w:t> </w:t>
      </w:r>
      <w:r>
        <w:rPr/>
        <w:t>federativas.</w:t>
      </w:r>
    </w:p>
    <w:p>
      <w:pPr>
        <w:pStyle w:val="BodyText"/>
        <w:spacing w:line="362" w:lineRule="auto" w:before="5"/>
        <w:ind w:left="115" w:right="105" w:firstLine="686"/>
        <w:jc w:val="both"/>
        <w:rPr>
          <w:sz w:val="15"/>
        </w:rPr>
      </w:pPr>
      <w:r>
        <w:rPr/>
        <w:t>Ahora bien, la pluralidad política, </w:t>
      </w:r>
      <w:r>
        <w:rPr>
          <w:spacing w:val="2"/>
        </w:rPr>
        <w:t>ha </w:t>
      </w:r>
      <w:r>
        <w:rPr/>
        <w:t>generado, de facto, un proceso de descentralización política. Así, el pluralismo, la competencia electoral, las reformas políticas (de 1977, 1985, 1989, 1990, 1991, 1993 y 1996) que a la  postre  generaron cohabitación y alternancia y un sistema de partidos plural y diverso, han dado lugar a que los gobernadores tengan un papel más significativo en </w:t>
      </w:r>
      <w:r>
        <w:rPr>
          <w:spacing w:val="3"/>
        </w:rPr>
        <w:t>el </w:t>
      </w:r>
      <w:r>
        <w:rPr/>
        <w:t>pacto federal. Esto dio lugar a </w:t>
      </w:r>
      <w:r>
        <w:rPr>
          <w:spacing w:val="-5"/>
        </w:rPr>
        <w:t>la </w:t>
      </w:r>
      <w:r>
        <w:rPr/>
        <w:t>formación de la Asociación Nacional de Gobernadores (Anago) en 1999, organismo que en 2002 se convirtió en la Conferencia Nacional de Gobernadores</w:t>
      </w:r>
      <w:r>
        <w:rPr>
          <w:spacing w:val="22"/>
        </w:rPr>
        <w:t> </w:t>
      </w:r>
      <w:r>
        <w:rPr/>
        <w:t>(Conago).</w:t>
      </w:r>
      <w:r>
        <w:rPr>
          <w:position w:val="11"/>
          <w:sz w:val="15"/>
        </w:rPr>
        <w:t>38</w:t>
      </w:r>
    </w:p>
    <w:p>
      <w:pPr>
        <w:pStyle w:val="BodyText"/>
        <w:spacing w:line="364" w:lineRule="auto"/>
        <w:ind w:left="115" w:right="110" w:firstLine="686"/>
        <w:jc w:val="both"/>
      </w:pPr>
      <w:r>
        <w:rPr>
          <w:spacing w:val="-3"/>
        </w:rPr>
        <w:t>Sin </w:t>
      </w:r>
      <w:r>
        <w:rPr/>
        <w:t>embargo, los gobernadores, en lo individual o como colectivo  no  cuentan con atribuciones relacionadas con la promulgación de normas constitucionales, o el control de la constitucionalidad de los actos de otras autoridades, </w:t>
      </w:r>
      <w:r>
        <w:rPr>
          <w:spacing w:val="-4"/>
        </w:rPr>
        <w:t>más </w:t>
      </w:r>
      <w:r>
        <w:rPr>
          <w:spacing w:val="-3"/>
        </w:rPr>
        <w:t>allá </w:t>
      </w:r>
      <w:r>
        <w:rPr/>
        <w:t>de las acciones que pueden interponer ante la </w:t>
      </w:r>
      <w:r>
        <w:rPr>
          <w:spacing w:val="45"/>
        </w:rPr>
        <w:t> </w:t>
      </w:r>
      <w:r>
        <w:rPr/>
        <w:t>SCJN.</w:t>
      </w:r>
    </w:p>
    <w:p>
      <w:pPr>
        <w:pStyle w:val="BodyText"/>
        <w:spacing w:line="364" w:lineRule="auto" w:before="5"/>
        <w:ind w:left="115" w:right="108" w:firstLine="686"/>
        <w:jc w:val="both"/>
      </w:pPr>
      <w:r>
        <w:rPr/>
        <w:t>Diversos observadores políticos y académicos consideran que el peso del gobierno federal en diversas materias administrativas, y entre otras, la oferta educativa, es correlativo a que en las entidades federativas es más que visible la presencia de aparatos burocráticos ineficaces que coexisten con esferas de poder autónomas y con bases territoriales propias. Incluso se afirma que son burocracias de gobierno incapaces de asegurar la efectividad de sus leyes y de sus políticas públicas  dentro  del  territorio  y  dentro  de  las  relaciones  sociales  que  pretende</w:t>
      </w:r>
    </w:p>
    <w:p>
      <w:pPr>
        <w:pStyle w:val="BodyText"/>
        <w:spacing w:before="7"/>
        <w:rPr>
          <w:sz w:val="16"/>
        </w:rPr>
      </w:pPr>
      <w:r>
        <w:rPr/>
        <w:pict>
          <v:line style="position:absolute;mso-position-horizontal-relative:page;mso-position-vertical-relative:paragraph;z-index:2104;mso-wrap-distance-left:0;mso-wrap-distance-right:0" from="82.799004pt,11.8872pt" to="222.958004pt,11.8872pt" stroked="true" strokeweight=".72pt" strokecolor="#000000">
            <w10:wrap type="topAndBottom"/>
          </v:line>
        </w:pict>
      </w:r>
    </w:p>
    <w:p>
      <w:pPr>
        <w:spacing w:line="247" w:lineRule="auto" w:before="46"/>
        <w:ind w:left="115" w:right="98" w:firstLine="0"/>
        <w:jc w:val="both"/>
        <w:rPr>
          <w:sz w:val="19"/>
        </w:rPr>
      </w:pPr>
      <w:r>
        <w:rPr>
          <w:spacing w:val="-4"/>
          <w:w w:val="105"/>
          <w:position w:val="10"/>
          <w:sz w:val="12"/>
        </w:rPr>
        <w:t>38</w:t>
      </w:r>
      <w:r>
        <w:rPr>
          <w:spacing w:val="7"/>
          <w:w w:val="105"/>
          <w:position w:val="10"/>
          <w:sz w:val="12"/>
        </w:rPr>
        <w:t> </w:t>
      </w:r>
      <w:r>
        <w:rPr>
          <w:w w:val="105"/>
          <w:sz w:val="19"/>
        </w:rPr>
        <w:t>La</w:t>
      </w:r>
      <w:r>
        <w:rPr>
          <w:spacing w:val="-10"/>
          <w:w w:val="105"/>
          <w:sz w:val="19"/>
        </w:rPr>
        <w:t> </w:t>
      </w:r>
      <w:r>
        <w:rPr>
          <w:w w:val="105"/>
          <w:sz w:val="19"/>
        </w:rPr>
        <w:t>Conago</w:t>
      </w:r>
      <w:r>
        <w:rPr>
          <w:spacing w:val="-7"/>
          <w:w w:val="105"/>
          <w:sz w:val="19"/>
        </w:rPr>
        <w:t> </w:t>
      </w:r>
      <w:r>
        <w:rPr>
          <w:spacing w:val="-4"/>
          <w:w w:val="105"/>
          <w:sz w:val="19"/>
        </w:rPr>
        <w:t>se</w:t>
      </w:r>
      <w:r>
        <w:rPr>
          <w:spacing w:val="-10"/>
          <w:w w:val="105"/>
          <w:sz w:val="19"/>
        </w:rPr>
        <w:t> </w:t>
      </w:r>
      <w:r>
        <w:rPr>
          <w:w w:val="105"/>
          <w:sz w:val="19"/>
        </w:rPr>
        <w:t>autodefine</w:t>
      </w:r>
      <w:r>
        <w:rPr>
          <w:spacing w:val="-10"/>
          <w:w w:val="105"/>
          <w:sz w:val="19"/>
        </w:rPr>
        <w:t> </w:t>
      </w:r>
      <w:r>
        <w:rPr>
          <w:w w:val="105"/>
          <w:sz w:val="19"/>
        </w:rPr>
        <w:t>como</w:t>
      </w:r>
      <w:r>
        <w:rPr>
          <w:spacing w:val="-10"/>
          <w:w w:val="105"/>
          <w:sz w:val="19"/>
        </w:rPr>
        <w:t> </w:t>
      </w:r>
      <w:r>
        <w:rPr>
          <w:w w:val="105"/>
          <w:sz w:val="19"/>
        </w:rPr>
        <w:t>un</w:t>
      </w:r>
      <w:r>
        <w:rPr>
          <w:spacing w:val="-7"/>
          <w:w w:val="105"/>
          <w:sz w:val="19"/>
        </w:rPr>
        <w:t> </w:t>
      </w:r>
      <w:r>
        <w:rPr>
          <w:w w:val="105"/>
          <w:sz w:val="19"/>
        </w:rPr>
        <w:t>“foro</w:t>
      </w:r>
      <w:r>
        <w:rPr>
          <w:spacing w:val="-10"/>
          <w:w w:val="105"/>
          <w:sz w:val="19"/>
        </w:rPr>
        <w:t> </w:t>
      </w:r>
      <w:r>
        <w:rPr>
          <w:w w:val="105"/>
          <w:sz w:val="19"/>
        </w:rPr>
        <w:t>permanente</w:t>
      </w:r>
      <w:r>
        <w:rPr>
          <w:spacing w:val="-10"/>
          <w:w w:val="105"/>
          <w:sz w:val="19"/>
        </w:rPr>
        <w:t> </w:t>
      </w:r>
      <w:r>
        <w:rPr>
          <w:w w:val="105"/>
          <w:sz w:val="19"/>
        </w:rPr>
        <w:t>de</w:t>
      </w:r>
      <w:r>
        <w:rPr>
          <w:spacing w:val="-10"/>
          <w:w w:val="105"/>
          <w:sz w:val="19"/>
        </w:rPr>
        <w:t> </w:t>
      </w:r>
      <w:r>
        <w:rPr>
          <w:w w:val="105"/>
          <w:sz w:val="19"/>
        </w:rPr>
        <w:t>diálogo,</w:t>
      </w:r>
      <w:r>
        <w:rPr>
          <w:spacing w:val="-16"/>
          <w:w w:val="105"/>
          <w:sz w:val="19"/>
        </w:rPr>
        <w:t> </w:t>
      </w:r>
      <w:r>
        <w:rPr>
          <w:w w:val="105"/>
          <w:sz w:val="19"/>
        </w:rPr>
        <w:t>concertación</w:t>
      </w:r>
      <w:r>
        <w:rPr>
          <w:spacing w:val="-7"/>
          <w:w w:val="105"/>
          <w:sz w:val="19"/>
        </w:rPr>
        <w:t> </w:t>
      </w:r>
      <w:r>
        <w:rPr>
          <w:w w:val="105"/>
          <w:sz w:val="19"/>
        </w:rPr>
        <w:t>y</w:t>
      </w:r>
      <w:r>
        <w:rPr>
          <w:spacing w:val="-13"/>
          <w:w w:val="105"/>
          <w:sz w:val="19"/>
        </w:rPr>
        <w:t> </w:t>
      </w:r>
      <w:r>
        <w:rPr>
          <w:w w:val="105"/>
          <w:sz w:val="19"/>
        </w:rPr>
        <w:t>encuentro”</w:t>
      </w:r>
      <w:r>
        <w:rPr>
          <w:spacing w:val="-14"/>
          <w:w w:val="105"/>
          <w:sz w:val="19"/>
        </w:rPr>
        <w:t> </w:t>
      </w:r>
      <w:r>
        <w:rPr>
          <w:w w:val="105"/>
          <w:sz w:val="19"/>
        </w:rPr>
        <w:t>entre los titulares de los ejecutivos estatales y otros actores, con el compromiso de impulsar </w:t>
      </w:r>
      <w:r>
        <w:rPr>
          <w:spacing w:val="-3"/>
          <w:w w:val="105"/>
          <w:sz w:val="19"/>
        </w:rPr>
        <w:t>una </w:t>
      </w:r>
      <w:r>
        <w:rPr>
          <w:w w:val="105"/>
          <w:sz w:val="19"/>
        </w:rPr>
        <w:t>visión democrática y federalista desde el seno de las entidades federativas. </w:t>
      </w:r>
      <w:r>
        <w:rPr>
          <w:spacing w:val="2"/>
          <w:w w:val="105"/>
          <w:sz w:val="19"/>
        </w:rPr>
        <w:t>Se </w:t>
      </w:r>
      <w:r>
        <w:rPr>
          <w:w w:val="105"/>
          <w:sz w:val="19"/>
        </w:rPr>
        <w:t>constituyó el </w:t>
      </w:r>
      <w:r>
        <w:rPr>
          <w:spacing w:val="-3"/>
          <w:w w:val="105"/>
          <w:sz w:val="19"/>
        </w:rPr>
        <w:t>13 </w:t>
      </w:r>
      <w:r>
        <w:rPr>
          <w:w w:val="105"/>
          <w:sz w:val="19"/>
        </w:rPr>
        <w:t>de Julio de 2002 en Cancún, Quintana Roo, con la participación de gobernadores del PRI y PRD. Posteriormente,</w:t>
      </w:r>
      <w:r>
        <w:rPr>
          <w:spacing w:val="-10"/>
          <w:w w:val="105"/>
          <w:sz w:val="19"/>
        </w:rPr>
        <w:t> </w:t>
      </w:r>
      <w:r>
        <w:rPr>
          <w:w w:val="105"/>
          <w:sz w:val="19"/>
        </w:rPr>
        <w:t>el</w:t>
      </w:r>
      <w:r>
        <w:rPr>
          <w:spacing w:val="-7"/>
          <w:w w:val="105"/>
          <w:sz w:val="19"/>
        </w:rPr>
        <w:t> </w:t>
      </w:r>
      <w:r>
        <w:rPr>
          <w:w w:val="105"/>
          <w:sz w:val="19"/>
        </w:rPr>
        <w:t>21</w:t>
      </w:r>
      <w:r>
        <w:rPr>
          <w:spacing w:val="-7"/>
          <w:w w:val="105"/>
          <w:sz w:val="19"/>
        </w:rPr>
        <w:t> </w:t>
      </w:r>
      <w:r>
        <w:rPr>
          <w:w w:val="105"/>
          <w:sz w:val="19"/>
        </w:rPr>
        <w:t>de</w:t>
      </w:r>
      <w:r>
        <w:rPr>
          <w:spacing w:val="-10"/>
          <w:w w:val="105"/>
          <w:sz w:val="19"/>
        </w:rPr>
        <w:t> </w:t>
      </w:r>
      <w:r>
        <w:rPr>
          <w:w w:val="105"/>
          <w:sz w:val="19"/>
        </w:rPr>
        <w:t>febrero</w:t>
      </w:r>
      <w:r>
        <w:rPr>
          <w:spacing w:val="-7"/>
          <w:w w:val="105"/>
          <w:sz w:val="19"/>
        </w:rPr>
        <w:t> </w:t>
      </w:r>
      <w:r>
        <w:rPr>
          <w:w w:val="105"/>
          <w:sz w:val="19"/>
        </w:rPr>
        <w:t>de</w:t>
      </w:r>
      <w:r>
        <w:rPr>
          <w:spacing w:val="-7"/>
          <w:w w:val="105"/>
          <w:sz w:val="19"/>
        </w:rPr>
        <w:t> </w:t>
      </w:r>
      <w:r>
        <w:rPr>
          <w:w w:val="105"/>
          <w:sz w:val="19"/>
        </w:rPr>
        <w:t>2003</w:t>
      </w:r>
      <w:r>
        <w:rPr>
          <w:spacing w:val="-4"/>
          <w:w w:val="105"/>
          <w:sz w:val="19"/>
        </w:rPr>
        <w:t> se</w:t>
      </w:r>
      <w:r>
        <w:rPr>
          <w:spacing w:val="-7"/>
          <w:w w:val="105"/>
          <w:sz w:val="19"/>
        </w:rPr>
        <w:t> </w:t>
      </w:r>
      <w:r>
        <w:rPr>
          <w:w w:val="105"/>
          <w:sz w:val="19"/>
        </w:rPr>
        <w:t>sumaron</w:t>
      </w:r>
      <w:r>
        <w:rPr>
          <w:spacing w:val="-7"/>
          <w:w w:val="105"/>
          <w:sz w:val="19"/>
        </w:rPr>
        <w:t> </w:t>
      </w:r>
      <w:r>
        <w:rPr>
          <w:w w:val="105"/>
          <w:sz w:val="19"/>
        </w:rPr>
        <w:t>los</w:t>
      </w:r>
      <w:r>
        <w:rPr>
          <w:spacing w:val="-10"/>
          <w:w w:val="105"/>
          <w:sz w:val="19"/>
        </w:rPr>
        <w:t> </w:t>
      </w:r>
      <w:r>
        <w:rPr>
          <w:w w:val="105"/>
          <w:sz w:val="19"/>
        </w:rPr>
        <w:t>gobernadores</w:t>
      </w:r>
      <w:r>
        <w:rPr>
          <w:spacing w:val="-10"/>
          <w:w w:val="105"/>
          <w:sz w:val="19"/>
        </w:rPr>
        <w:t> </w:t>
      </w:r>
      <w:r>
        <w:rPr>
          <w:w w:val="105"/>
          <w:sz w:val="19"/>
        </w:rPr>
        <w:t>del</w:t>
      </w:r>
      <w:r>
        <w:rPr>
          <w:spacing w:val="-7"/>
          <w:w w:val="105"/>
          <w:sz w:val="19"/>
        </w:rPr>
        <w:t> </w:t>
      </w:r>
      <w:r>
        <w:rPr>
          <w:w w:val="105"/>
          <w:sz w:val="19"/>
        </w:rPr>
        <w:t>PAN.</w:t>
      </w:r>
      <w:r>
        <w:rPr>
          <w:spacing w:val="-7"/>
          <w:w w:val="105"/>
          <w:sz w:val="19"/>
        </w:rPr>
        <w:t> </w:t>
      </w:r>
      <w:r>
        <w:rPr>
          <w:w w:val="105"/>
          <w:sz w:val="19"/>
        </w:rPr>
        <w:t>En</w:t>
      </w:r>
      <w:r>
        <w:rPr>
          <w:spacing w:val="44"/>
          <w:w w:val="105"/>
          <w:sz w:val="19"/>
        </w:rPr>
        <w:t> </w:t>
      </w:r>
      <w:r>
        <w:rPr>
          <w:w w:val="105"/>
          <w:sz w:val="19"/>
        </w:rPr>
        <w:t>la</w:t>
      </w:r>
      <w:r>
        <w:rPr>
          <w:spacing w:val="-7"/>
          <w:w w:val="105"/>
          <w:sz w:val="19"/>
        </w:rPr>
        <w:t> </w:t>
      </w:r>
      <w:r>
        <w:rPr>
          <w:w w:val="105"/>
          <w:sz w:val="19"/>
        </w:rPr>
        <w:t>Conago</w:t>
      </w:r>
      <w:r>
        <w:rPr>
          <w:spacing w:val="-7"/>
          <w:w w:val="105"/>
          <w:sz w:val="19"/>
        </w:rPr>
        <w:t> </w:t>
      </w:r>
      <w:r>
        <w:rPr>
          <w:w w:val="105"/>
          <w:sz w:val="19"/>
        </w:rPr>
        <w:t>la participación de los gobernadores es voluntaria; la relación entre ellos </w:t>
      </w:r>
      <w:r>
        <w:rPr>
          <w:spacing w:val="-3"/>
          <w:w w:val="105"/>
          <w:sz w:val="19"/>
        </w:rPr>
        <w:t>se </w:t>
      </w:r>
      <w:r>
        <w:rPr>
          <w:w w:val="105"/>
          <w:sz w:val="19"/>
        </w:rPr>
        <w:t>considera paritaria; </w:t>
      </w:r>
      <w:r>
        <w:rPr>
          <w:spacing w:val="2"/>
          <w:w w:val="105"/>
          <w:sz w:val="19"/>
        </w:rPr>
        <w:t>los </w:t>
      </w:r>
      <w:r>
        <w:rPr>
          <w:w w:val="105"/>
          <w:sz w:val="19"/>
        </w:rPr>
        <w:t>acuerdos</w:t>
      </w:r>
      <w:r>
        <w:rPr>
          <w:spacing w:val="-4"/>
          <w:w w:val="105"/>
          <w:sz w:val="19"/>
        </w:rPr>
        <w:t> se</w:t>
      </w:r>
      <w:r>
        <w:rPr>
          <w:spacing w:val="-6"/>
          <w:w w:val="105"/>
          <w:sz w:val="19"/>
        </w:rPr>
        <w:t> </w:t>
      </w:r>
      <w:r>
        <w:rPr>
          <w:w w:val="105"/>
          <w:sz w:val="19"/>
        </w:rPr>
        <w:t>establecen</w:t>
      </w:r>
      <w:r>
        <w:rPr>
          <w:spacing w:val="-4"/>
          <w:w w:val="105"/>
          <w:sz w:val="19"/>
        </w:rPr>
        <w:t> </w:t>
      </w:r>
      <w:r>
        <w:rPr>
          <w:w w:val="105"/>
          <w:sz w:val="19"/>
        </w:rPr>
        <w:t>por</w:t>
      </w:r>
      <w:r>
        <w:rPr>
          <w:spacing w:val="-10"/>
          <w:w w:val="105"/>
          <w:sz w:val="19"/>
        </w:rPr>
        <w:t> </w:t>
      </w:r>
      <w:r>
        <w:rPr>
          <w:w w:val="105"/>
          <w:sz w:val="19"/>
        </w:rPr>
        <w:t>consenso;</w:t>
      </w:r>
      <w:r>
        <w:rPr>
          <w:spacing w:val="-10"/>
          <w:w w:val="105"/>
          <w:sz w:val="19"/>
        </w:rPr>
        <w:t> </w:t>
      </w:r>
      <w:r>
        <w:rPr>
          <w:w w:val="105"/>
          <w:sz w:val="19"/>
        </w:rPr>
        <w:t>y</w:t>
      </w:r>
      <w:r>
        <w:rPr>
          <w:spacing w:val="-7"/>
          <w:w w:val="105"/>
          <w:sz w:val="19"/>
        </w:rPr>
        <w:t> </w:t>
      </w:r>
      <w:r>
        <w:rPr>
          <w:w w:val="105"/>
          <w:sz w:val="19"/>
        </w:rPr>
        <w:t>que</w:t>
      </w:r>
      <w:r>
        <w:rPr>
          <w:spacing w:val="-6"/>
          <w:w w:val="105"/>
          <w:sz w:val="19"/>
        </w:rPr>
        <w:t> </w:t>
      </w:r>
      <w:r>
        <w:rPr>
          <w:spacing w:val="-4"/>
          <w:w w:val="105"/>
          <w:sz w:val="19"/>
        </w:rPr>
        <w:t>su</w:t>
      </w:r>
      <w:r>
        <w:rPr>
          <w:spacing w:val="-6"/>
          <w:w w:val="105"/>
          <w:sz w:val="19"/>
        </w:rPr>
        <w:t> </w:t>
      </w:r>
      <w:r>
        <w:rPr>
          <w:w w:val="105"/>
          <w:sz w:val="19"/>
        </w:rPr>
        <w:t>propósito</w:t>
      </w:r>
      <w:r>
        <w:rPr>
          <w:spacing w:val="-2"/>
          <w:w w:val="105"/>
          <w:sz w:val="19"/>
        </w:rPr>
        <w:t> </w:t>
      </w:r>
      <w:r>
        <w:rPr>
          <w:w w:val="105"/>
          <w:sz w:val="19"/>
        </w:rPr>
        <w:t>fundamental</w:t>
      </w:r>
      <w:r>
        <w:rPr>
          <w:spacing w:val="-2"/>
          <w:w w:val="105"/>
          <w:sz w:val="19"/>
        </w:rPr>
        <w:t> </w:t>
      </w:r>
      <w:r>
        <w:rPr>
          <w:w w:val="105"/>
          <w:sz w:val="19"/>
        </w:rPr>
        <w:t>no</w:t>
      </w:r>
      <w:r>
        <w:rPr>
          <w:spacing w:val="-6"/>
          <w:w w:val="105"/>
          <w:sz w:val="19"/>
        </w:rPr>
        <w:t> </w:t>
      </w:r>
      <w:r>
        <w:rPr>
          <w:spacing w:val="2"/>
          <w:w w:val="105"/>
          <w:sz w:val="19"/>
        </w:rPr>
        <w:t>es</w:t>
      </w:r>
      <w:r>
        <w:rPr>
          <w:spacing w:val="-12"/>
          <w:w w:val="105"/>
          <w:sz w:val="19"/>
        </w:rPr>
        <w:t> </w:t>
      </w:r>
      <w:r>
        <w:rPr>
          <w:w w:val="105"/>
          <w:sz w:val="19"/>
        </w:rPr>
        <w:t>generar</w:t>
      </w:r>
      <w:r>
        <w:rPr>
          <w:spacing w:val="-5"/>
          <w:w w:val="105"/>
          <w:sz w:val="19"/>
        </w:rPr>
        <w:t> </w:t>
      </w:r>
      <w:r>
        <w:rPr>
          <w:spacing w:val="-3"/>
          <w:w w:val="105"/>
          <w:sz w:val="19"/>
        </w:rPr>
        <w:t>una</w:t>
      </w:r>
      <w:r>
        <w:rPr>
          <w:spacing w:val="-6"/>
          <w:w w:val="105"/>
          <w:sz w:val="19"/>
        </w:rPr>
        <w:t> </w:t>
      </w:r>
      <w:r>
        <w:rPr>
          <w:w w:val="105"/>
          <w:sz w:val="19"/>
        </w:rPr>
        <w:t>alianza, tratado o coalición (prohibido por el artículo 117 de la Constitución), sino deliberar y tomar decisiones no vinculantes “pero si propositivas, que se sustentan en el compromiso y voluntad política</w:t>
      </w:r>
      <w:r>
        <w:rPr>
          <w:spacing w:val="-17"/>
          <w:w w:val="105"/>
          <w:sz w:val="19"/>
        </w:rPr>
        <w:t> </w:t>
      </w:r>
      <w:r>
        <w:rPr>
          <w:w w:val="105"/>
          <w:sz w:val="19"/>
        </w:rPr>
        <w:t>que</w:t>
      </w:r>
      <w:r>
        <w:rPr>
          <w:spacing w:val="-17"/>
          <w:w w:val="105"/>
          <w:sz w:val="19"/>
        </w:rPr>
        <w:t> </w:t>
      </w:r>
      <w:r>
        <w:rPr>
          <w:w w:val="105"/>
          <w:sz w:val="19"/>
        </w:rPr>
        <w:t>suscita</w:t>
      </w:r>
      <w:r>
        <w:rPr>
          <w:spacing w:val="-17"/>
          <w:w w:val="105"/>
          <w:sz w:val="19"/>
        </w:rPr>
        <w:t> </w:t>
      </w:r>
      <w:r>
        <w:rPr>
          <w:w w:val="105"/>
          <w:sz w:val="19"/>
        </w:rPr>
        <w:t>el</w:t>
      </w:r>
      <w:r>
        <w:rPr>
          <w:spacing w:val="-13"/>
          <w:w w:val="105"/>
          <w:sz w:val="19"/>
        </w:rPr>
        <w:t> </w:t>
      </w:r>
      <w:r>
        <w:rPr>
          <w:w w:val="105"/>
          <w:sz w:val="19"/>
        </w:rPr>
        <w:t>encuentro</w:t>
      </w:r>
      <w:r>
        <w:rPr>
          <w:spacing w:val="-17"/>
          <w:w w:val="105"/>
          <w:sz w:val="19"/>
        </w:rPr>
        <w:t> </w:t>
      </w:r>
      <w:r>
        <w:rPr>
          <w:w w:val="105"/>
          <w:sz w:val="19"/>
        </w:rPr>
        <w:t>de</w:t>
      </w:r>
      <w:r>
        <w:rPr>
          <w:spacing w:val="-17"/>
          <w:w w:val="105"/>
          <w:sz w:val="19"/>
        </w:rPr>
        <w:t> </w:t>
      </w:r>
      <w:r>
        <w:rPr>
          <w:w w:val="105"/>
          <w:sz w:val="19"/>
        </w:rPr>
        <w:t>los</w:t>
      </w:r>
      <w:r>
        <w:rPr>
          <w:spacing w:val="-17"/>
          <w:w w:val="105"/>
          <w:sz w:val="19"/>
        </w:rPr>
        <w:t> </w:t>
      </w:r>
      <w:r>
        <w:rPr>
          <w:w w:val="105"/>
          <w:sz w:val="19"/>
        </w:rPr>
        <w:t>titulares</w:t>
      </w:r>
      <w:r>
        <w:rPr>
          <w:spacing w:val="-17"/>
          <w:w w:val="105"/>
          <w:sz w:val="19"/>
        </w:rPr>
        <w:t> </w:t>
      </w:r>
      <w:r>
        <w:rPr>
          <w:spacing w:val="-3"/>
          <w:w w:val="105"/>
          <w:sz w:val="19"/>
        </w:rPr>
        <w:t>de</w:t>
      </w:r>
      <w:r>
        <w:rPr>
          <w:spacing w:val="-17"/>
          <w:w w:val="105"/>
          <w:sz w:val="19"/>
        </w:rPr>
        <w:t> </w:t>
      </w:r>
      <w:r>
        <w:rPr>
          <w:w w:val="105"/>
          <w:sz w:val="19"/>
        </w:rPr>
        <w:t>los</w:t>
      </w:r>
      <w:r>
        <w:rPr>
          <w:spacing w:val="-17"/>
          <w:w w:val="105"/>
          <w:sz w:val="19"/>
        </w:rPr>
        <w:t> </w:t>
      </w:r>
      <w:r>
        <w:rPr>
          <w:w w:val="105"/>
          <w:sz w:val="19"/>
        </w:rPr>
        <w:t>ejecutivos</w:t>
      </w:r>
      <w:r>
        <w:rPr>
          <w:spacing w:val="-17"/>
          <w:w w:val="105"/>
          <w:sz w:val="19"/>
        </w:rPr>
        <w:t> </w:t>
      </w:r>
      <w:r>
        <w:rPr>
          <w:w w:val="105"/>
          <w:sz w:val="19"/>
        </w:rPr>
        <w:t>estatales”.</w:t>
      </w:r>
    </w:p>
    <w:p>
      <w:pPr>
        <w:spacing w:after="0" w:line="247" w:lineRule="auto"/>
        <w:jc w:val="both"/>
        <w:rPr>
          <w:sz w:val="19"/>
        </w:rPr>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10"/>
        <w:jc w:val="both"/>
      </w:pPr>
      <w:r>
        <w:rPr/>
        <w:t>regular; administraciones públicas donde </w:t>
      </w:r>
      <w:r>
        <w:rPr>
          <w:spacing w:val="-3"/>
        </w:rPr>
        <w:t>la </w:t>
      </w:r>
      <w:r>
        <w:rPr/>
        <w:t>efectividad de un orden nacional encarnado en </w:t>
      </w:r>
      <w:r>
        <w:rPr>
          <w:spacing w:val="-4"/>
        </w:rPr>
        <w:t>la </w:t>
      </w:r>
      <w:r>
        <w:rPr/>
        <w:t>ley se desvanece en cuanto se alejan un </w:t>
      </w:r>
      <w:r>
        <w:rPr>
          <w:spacing w:val="2"/>
        </w:rPr>
        <w:t>poco </w:t>
      </w:r>
      <w:r>
        <w:rPr/>
        <w:t>de </w:t>
      </w:r>
      <w:r>
        <w:rPr>
          <w:spacing w:val="-3"/>
        </w:rPr>
        <w:t>los </w:t>
      </w:r>
      <w:r>
        <w:rPr/>
        <w:t>centros nacionales y urbanos; gobiernos donde las periferias al centro nacional, que  cuentan con burocracias más débiles que el centro, crean y refuerzan sistemas  </w:t>
      </w:r>
      <w:r>
        <w:rPr>
          <w:spacing w:val="26"/>
        </w:rPr>
        <w:t> </w:t>
      </w:r>
      <w:r>
        <w:rPr/>
        <w:t>de</w:t>
      </w:r>
    </w:p>
    <w:p>
      <w:pPr>
        <w:pStyle w:val="BodyText"/>
        <w:spacing w:line="333" w:lineRule="auto" w:before="5"/>
        <w:ind w:left="115" w:right="110"/>
        <w:jc w:val="both"/>
        <w:rPr>
          <w:sz w:val="15"/>
        </w:rPr>
      </w:pPr>
      <w:r>
        <w:rPr/>
        <w:t>poder local que tiende a alcanzar grados extremos de dominación personalista (Retos de la democracia: 2003).</w:t>
      </w:r>
      <w:r>
        <w:rPr>
          <w:position w:val="11"/>
          <w:sz w:val="15"/>
        </w:rPr>
        <w:t>39</w:t>
      </w:r>
    </w:p>
    <w:p>
      <w:pPr>
        <w:pStyle w:val="BodyText"/>
        <w:spacing w:line="364" w:lineRule="auto" w:before="24"/>
        <w:ind w:left="116" w:right="105" w:firstLine="686"/>
        <w:jc w:val="both"/>
      </w:pPr>
      <w:r>
        <w:rPr/>
        <w:t>De hecho, la alternancia en las entidades federativas no resolvió el  problema. En muchos casos, generó competencia político-electoral </w:t>
      </w:r>
      <w:r>
        <w:rPr>
          <w:spacing w:val="2"/>
        </w:rPr>
        <w:t>por  </w:t>
      </w:r>
      <w:r>
        <w:rPr>
          <w:spacing w:val="-3"/>
        </w:rPr>
        <w:t>los  </w:t>
      </w:r>
      <w:r>
        <w:rPr/>
        <w:t>votantes sin que </w:t>
      </w:r>
      <w:r>
        <w:rPr>
          <w:spacing w:val="-3"/>
        </w:rPr>
        <w:t>ello </w:t>
      </w:r>
      <w:r>
        <w:rPr/>
        <w:t>implicara modernización. Más bien apareció otro fenómeno asociado a </w:t>
      </w:r>
      <w:r>
        <w:rPr>
          <w:spacing w:val="-3"/>
        </w:rPr>
        <w:t>la </w:t>
      </w:r>
      <w:r>
        <w:rPr/>
        <w:t>concentración de competencias en </w:t>
      </w:r>
      <w:r>
        <w:rPr>
          <w:spacing w:val="3"/>
        </w:rPr>
        <w:t>el </w:t>
      </w:r>
      <w:r>
        <w:rPr/>
        <w:t>gobierno federal: </w:t>
      </w:r>
      <w:r>
        <w:rPr>
          <w:spacing w:val="-5"/>
        </w:rPr>
        <w:t>la </w:t>
      </w:r>
      <w:r>
        <w:rPr/>
        <w:t>duplicación de la oferta de diversos programas sociales. Pues gobierno central y </w:t>
      </w:r>
      <w:r>
        <w:rPr>
          <w:spacing w:val="-3"/>
        </w:rPr>
        <w:t>los </w:t>
      </w:r>
      <w:r>
        <w:rPr/>
        <w:t>gobernadores empezaron a buscar ganar adeptos y clientelas para procesos electorales nacionales y</w:t>
      </w:r>
      <w:r>
        <w:rPr>
          <w:spacing w:val="37"/>
        </w:rPr>
        <w:t> </w:t>
      </w:r>
      <w:r>
        <w:rPr/>
        <w:t>estatales.</w:t>
      </w:r>
    </w:p>
    <w:p>
      <w:pPr>
        <w:pStyle w:val="BodyText"/>
        <w:spacing w:line="364" w:lineRule="auto" w:before="10"/>
        <w:ind w:left="116" w:right="105" w:firstLine="686"/>
        <w:jc w:val="both"/>
      </w:pPr>
      <w:r>
        <w:rPr/>
        <w:t>Pero en lugar de representar </w:t>
      </w:r>
      <w:r>
        <w:rPr>
          <w:spacing w:val="-3"/>
        </w:rPr>
        <w:t>mejoras </w:t>
      </w:r>
      <w:r>
        <w:rPr/>
        <w:t>para los grupos </w:t>
      </w:r>
      <w:r>
        <w:rPr>
          <w:spacing w:val="-3"/>
        </w:rPr>
        <w:t>de </w:t>
      </w:r>
      <w:r>
        <w:rPr/>
        <w:t>población beneficiarios, la duplicación de funciones y estructuras burocráticas fue en detrimento de la asignación de recursos en áreas prioritarias para los ciudadanos    o de </w:t>
      </w:r>
      <w:r>
        <w:rPr>
          <w:spacing w:val="-3"/>
        </w:rPr>
        <w:t>la </w:t>
      </w:r>
      <w:r>
        <w:rPr/>
        <w:t>mejora en </w:t>
      </w:r>
      <w:r>
        <w:rPr>
          <w:spacing w:val="-5"/>
        </w:rPr>
        <w:t>la </w:t>
      </w:r>
      <w:r>
        <w:rPr/>
        <w:t>calidad de los servicios públicos. Asimismo, </w:t>
      </w:r>
      <w:r>
        <w:rPr>
          <w:spacing w:val="-5"/>
        </w:rPr>
        <w:t>la </w:t>
      </w:r>
      <w:r>
        <w:rPr/>
        <w:t>duplicación de programas </w:t>
      </w:r>
      <w:r>
        <w:rPr>
          <w:spacing w:val="2"/>
        </w:rPr>
        <w:t>con </w:t>
      </w:r>
      <w:r>
        <w:rPr/>
        <w:t>los mismos destinatarios generó una situación </w:t>
      </w:r>
      <w:r>
        <w:rPr>
          <w:i/>
        </w:rPr>
        <w:t>bifronte </w:t>
      </w:r>
      <w:r>
        <w:rPr/>
        <w:t>de transferencias y</w:t>
      </w:r>
      <w:r>
        <w:rPr>
          <w:spacing w:val="17"/>
        </w:rPr>
        <w:t> </w:t>
      </w:r>
      <w:r>
        <w:rPr/>
        <w:t>subsidios.</w:t>
      </w:r>
    </w:p>
    <w:p>
      <w:pPr>
        <w:pStyle w:val="BodyText"/>
        <w:spacing w:line="364" w:lineRule="auto"/>
        <w:ind w:left="116" w:right="109" w:firstLine="686"/>
        <w:jc w:val="both"/>
      </w:pPr>
      <w:r>
        <w:rPr/>
        <w:t>En este sentido, se puede decir que uno de los saldos de la competencia político-electoral entre gobierno federal y gobernadores, generó distorsiones administrativas, sobre todo por la instalación de oficinas y estructuras burocráticas “federales” con baja capacidad de coordinación con el gobierno local e impedidas</w:t>
      </w:r>
    </w:p>
    <w:p>
      <w:pPr>
        <w:pStyle w:val="BodyText"/>
        <w:spacing w:line="364" w:lineRule="auto" w:before="5"/>
        <w:ind w:left="116" w:right="104"/>
        <w:jc w:val="both"/>
      </w:pPr>
      <w:r>
        <w:rPr/>
        <w:t>–por </w:t>
      </w:r>
      <w:r>
        <w:rPr>
          <w:spacing w:val="3"/>
        </w:rPr>
        <w:t>su </w:t>
      </w:r>
      <w:r>
        <w:rPr/>
        <w:t>estructura orgánica– </w:t>
      </w:r>
      <w:r>
        <w:rPr>
          <w:spacing w:val="-3"/>
        </w:rPr>
        <w:t>de </w:t>
      </w:r>
      <w:r>
        <w:rPr/>
        <w:t>tomar decisiones inmediatas y conjuntas. En este sentido, la presencia de acciones del gobierno federal, </w:t>
      </w:r>
      <w:r>
        <w:rPr>
          <w:spacing w:val="2"/>
        </w:rPr>
        <w:t>no </w:t>
      </w:r>
      <w:r>
        <w:rPr/>
        <w:t>sólo  </w:t>
      </w:r>
      <w:r>
        <w:rPr>
          <w:spacing w:val="3"/>
        </w:rPr>
        <w:t>se  </w:t>
      </w:r>
      <w:r>
        <w:rPr/>
        <w:t>presenta  algunas</w:t>
      </w:r>
      <w:r>
        <w:rPr>
          <w:spacing w:val="53"/>
        </w:rPr>
        <w:t> </w:t>
      </w:r>
      <w:r>
        <w:rPr/>
        <w:t>veces</w:t>
      </w:r>
      <w:r>
        <w:rPr>
          <w:spacing w:val="57"/>
        </w:rPr>
        <w:t> </w:t>
      </w:r>
      <w:r>
        <w:rPr/>
        <w:t>ineficiente</w:t>
      </w:r>
      <w:r>
        <w:rPr>
          <w:spacing w:val="57"/>
        </w:rPr>
        <w:t> </w:t>
      </w:r>
      <w:r>
        <w:rPr/>
        <w:t>por</w:t>
      </w:r>
      <w:r>
        <w:rPr>
          <w:spacing w:val="60"/>
        </w:rPr>
        <w:t> </w:t>
      </w:r>
      <w:r>
        <w:rPr/>
        <w:t>la</w:t>
      </w:r>
      <w:r>
        <w:rPr>
          <w:spacing w:val="53"/>
        </w:rPr>
        <w:t> </w:t>
      </w:r>
      <w:r>
        <w:rPr/>
        <w:t>duplicidad</w:t>
      </w:r>
      <w:r>
        <w:rPr>
          <w:spacing w:val="53"/>
        </w:rPr>
        <w:t> </w:t>
      </w:r>
      <w:r>
        <w:rPr/>
        <w:t>de</w:t>
      </w:r>
      <w:r>
        <w:rPr>
          <w:spacing w:val="53"/>
        </w:rPr>
        <w:t> </w:t>
      </w:r>
      <w:r>
        <w:rPr/>
        <w:t>recursos</w:t>
      </w:r>
      <w:r>
        <w:rPr>
          <w:spacing w:val="59"/>
        </w:rPr>
        <w:t> </w:t>
      </w:r>
      <w:r>
        <w:rPr/>
        <w:t>asignados</w:t>
      </w:r>
      <w:r>
        <w:rPr>
          <w:spacing w:val="59"/>
        </w:rPr>
        <w:t> </w:t>
      </w:r>
      <w:r>
        <w:rPr/>
        <w:t>a</w:t>
      </w:r>
      <w:r>
        <w:rPr>
          <w:spacing w:val="53"/>
        </w:rPr>
        <w:t> </w:t>
      </w:r>
      <w:r>
        <w:rPr/>
        <w:t>un</w:t>
      </w:r>
      <w:r>
        <w:rPr>
          <w:spacing w:val="53"/>
        </w:rPr>
        <w:t> </w:t>
      </w:r>
      <w:r>
        <w:rPr/>
        <w:t>mismo</w:t>
      </w:r>
    </w:p>
    <w:p>
      <w:pPr>
        <w:pStyle w:val="BodyText"/>
        <w:spacing w:before="2"/>
        <w:rPr>
          <w:sz w:val="21"/>
        </w:rPr>
      </w:pPr>
      <w:r>
        <w:rPr/>
        <w:pict>
          <v:line style="position:absolute;mso-position-horizontal-relative:page;mso-position-vertical-relative:paragraph;z-index:2128;mso-wrap-distance-left:0;mso-wrap-distance-right:0" from="82.799004pt,14.527202pt" to="222.958004pt,14.527202pt" stroked="true" strokeweight=".72pt" strokecolor="#000000">
            <w10:wrap type="topAndBottom"/>
          </v:line>
        </w:pict>
      </w:r>
    </w:p>
    <w:p>
      <w:pPr>
        <w:spacing w:line="247" w:lineRule="auto" w:before="41"/>
        <w:ind w:left="115" w:right="102" w:firstLine="0"/>
        <w:jc w:val="both"/>
        <w:rPr>
          <w:sz w:val="19"/>
        </w:rPr>
      </w:pPr>
      <w:r>
        <w:rPr>
          <w:spacing w:val="-4"/>
          <w:w w:val="105"/>
          <w:position w:val="10"/>
          <w:sz w:val="12"/>
        </w:rPr>
        <w:t>39</w:t>
      </w:r>
      <w:r>
        <w:rPr>
          <w:spacing w:val="4"/>
          <w:w w:val="105"/>
          <w:position w:val="10"/>
          <w:sz w:val="12"/>
        </w:rPr>
        <w:t> </w:t>
      </w:r>
      <w:r>
        <w:rPr>
          <w:w w:val="105"/>
          <w:sz w:val="19"/>
        </w:rPr>
        <w:t>Por</w:t>
      </w:r>
      <w:r>
        <w:rPr>
          <w:spacing w:val="-17"/>
          <w:w w:val="105"/>
          <w:sz w:val="19"/>
        </w:rPr>
        <w:t> </w:t>
      </w:r>
      <w:r>
        <w:rPr>
          <w:w w:val="105"/>
          <w:sz w:val="19"/>
        </w:rPr>
        <w:t>ello,</w:t>
      </w:r>
      <w:r>
        <w:rPr>
          <w:spacing w:val="-18"/>
          <w:w w:val="105"/>
          <w:sz w:val="19"/>
        </w:rPr>
        <w:t> </w:t>
      </w:r>
      <w:r>
        <w:rPr>
          <w:w w:val="105"/>
          <w:sz w:val="19"/>
        </w:rPr>
        <w:t>diversos</w:t>
      </w:r>
      <w:r>
        <w:rPr>
          <w:spacing w:val="-13"/>
          <w:w w:val="105"/>
          <w:sz w:val="19"/>
        </w:rPr>
        <w:t> </w:t>
      </w:r>
      <w:r>
        <w:rPr>
          <w:w w:val="105"/>
          <w:sz w:val="19"/>
        </w:rPr>
        <w:t>especialistas</w:t>
      </w:r>
      <w:r>
        <w:rPr>
          <w:spacing w:val="-13"/>
          <w:w w:val="105"/>
          <w:sz w:val="19"/>
        </w:rPr>
        <w:t> </w:t>
      </w:r>
      <w:r>
        <w:rPr>
          <w:w w:val="105"/>
          <w:sz w:val="19"/>
        </w:rPr>
        <w:t>señalan</w:t>
      </w:r>
      <w:r>
        <w:rPr>
          <w:spacing w:val="-16"/>
          <w:w w:val="105"/>
          <w:sz w:val="19"/>
        </w:rPr>
        <w:t> </w:t>
      </w:r>
      <w:r>
        <w:rPr>
          <w:w w:val="105"/>
          <w:sz w:val="19"/>
        </w:rPr>
        <w:t>que</w:t>
      </w:r>
      <w:r>
        <w:rPr>
          <w:spacing w:val="-16"/>
          <w:w w:val="105"/>
          <w:sz w:val="19"/>
        </w:rPr>
        <w:t> </w:t>
      </w:r>
      <w:r>
        <w:rPr>
          <w:w w:val="105"/>
          <w:sz w:val="19"/>
        </w:rPr>
        <w:t>la</w:t>
      </w:r>
      <w:r>
        <w:rPr>
          <w:spacing w:val="-16"/>
          <w:w w:val="105"/>
          <w:sz w:val="19"/>
        </w:rPr>
        <w:t> </w:t>
      </w:r>
      <w:r>
        <w:rPr>
          <w:w w:val="105"/>
          <w:sz w:val="19"/>
        </w:rPr>
        <w:t>descentralización</w:t>
      </w:r>
      <w:r>
        <w:rPr>
          <w:spacing w:val="-16"/>
          <w:w w:val="105"/>
          <w:sz w:val="19"/>
        </w:rPr>
        <w:t> </w:t>
      </w:r>
      <w:r>
        <w:rPr>
          <w:w w:val="105"/>
          <w:sz w:val="19"/>
        </w:rPr>
        <w:t>debe</w:t>
      </w:r>
      <w:r>
        <w:rPr>
          <w:spacing w:val="-13"/>
          <w:w w:val="105"/>
          <w:sz w:val="19"/>
        </w:rPr>
        <w:t> </w:t>
      </w:r>
      <w:r>
        <w:rPr>
          <w:w w:val="105"/>
          <w:sz w:val="19"/>
        </w:rPr>
        <w:t>procurar</w:t>
      </w:r>
      <w:r>
        <w:rPr>
          <w:spacing w:val="-16"/>
          <w:w w:val="105"/>
          <w:sz w:val="19"/>
        </w:rPr>
        <w:t> </w:t>
      </w:r>
      <w:r>
        <w:rPr>
          <w:w w:val="105"/>
          <w:sz w:val="19"/>
        </w:rPr>
        <w:t>la</w:t>
      </w:r>
      <w:r>
        <w:rPr>
          <w:spacing w:val="-10"/>
          <w:w w:val="105"/>
          <w:sz w:val="19"/>
        </w:rPr>
        <w:t> </w:t>
      </w:r>
      <w:r>
        <w:rPr>
          <w:w w:val="105"/>
          <w:sz w:val="19"/>
        </w:rPr>
        <w:t>transformación de</w:t>
      </w:r>
      <w:r>
        <w:rPr>
          <w:spacing w:val="-14"/>
          <w:w w:val="105"/>
          <w:sz w:val="19"/>
        </w:rPr>
        <w:t> </w:t>
      </w:r>
      <w:r>
        <w:rPr>
          <w:w w:val="105"/>
          <w:sz w:val="19"/>
        </w:rPr>
        <w:t>los</w:t>
      </w:r>
      <w:r>
        <w:rPr>
          <w:spacing w:val="-20"/>
          <w:w w:val="105"/>
          <w:sz w:val="19"/>
        </w:rPr>
        <w:t> </w:t>
      </w:r>
      <w:r>
        <w:rPr>
          <w:w w:val="105"/>
          <w:sz w:val="19"/>
        </w:rPr>
        <w:t>aparatos</w:t>
      </w:r>
      <w:r>
        <w:rPr>
          <w:spacing w:val="-18"/>
          <w:w w:val="105"/>
          <w:sz w:val="19"/>
        </w:rPr>
        <w:t> </w:t>
      </w:r>
      <w:r>
        <w:rPr>
          <w:w w:val="105"/>
          <w:sz w:val="19"/>
        </w:rPr>
        <w:t>administrativos</w:t>
      </w:r>
      <w:r>
        <w:rPr>
          <w:spacing w:val="-14"/>
          <w:w w:val="105"/>
          <w:sz w:val="19"/>
        </w:rPr>
        <w:t> </w:t>
      </w:r>
      <w:r>
        <w:rPr>
          <w:w w:val="105"/>
          <w:sz w:val="19"/>
        </w:rPr>
        <w:t>y</w:t>
      </w:r>
      <w:r>
        <w:rPr>
          <w:spacing w:val="-17"/>
          <w:w w:val="105"/>
          <w:sz w:val="19"/>
        </w:rPr>
        <w:t> </w:t>
      </w:r>
      <w:r>
        <w:rPr>
          <w:w w:val="105"/>
          <w:sz w:val="19"/>
        </w:rPr>
        <w:t>burocráticos</w:t>
      </w:r>
      <w:r>
        <w:rPr>
          <w:spacing w:val="-18"/>
          <w:w w:val="105"/>
          <w:sz w:val="19"/>
        </w:rPr>
        <w:t> </w:t>
      </w:r>
      <w:r>
        <w:rPr>
          <w:w w:val="105"/>
          <w:sz w:val="19"/>
        </w:rPr>
        <w:t>locales</w:t>
      </w:r>
      <w:r>
        <w:rPr>
          <w:spacing w:val="-19"/>
          <w:w w:val="105"/>
          <w:sz w:val="19"/>
        </w:rPr>
        <w:t> </w:t>
      </w:r>
      <w:r>
        <w:rPr>
          <w:w w:val="105"/>
          <w:sz w:val="19"/>
        </w:rPr>
        <w:t>a</w:t>
      </w:r>
      <w:r>
        <w:rPr>
          <w:spacing w:val="-14"/>
          <w:w w:val="105"/>
          <w:sz w:val="19"/>
        </w:rPr>
        <w:t> </w:t>
      </w:r>
      <w:r>
        <w:rPr>
          <w:w w:val="105"/>
          <w:sz w:val="19"/>
        </w:rPr>
        <w:t>fin</w:t>
      </w:r>
      <w:r>
        <w:rPr>
          <w:spacing w:val="-14"/>
          <w:w w:val="105"/>
          <w:sz w:val="19"/>
        </w:rPr>
        <w:t> </w:t>
      </w:r>
      <w:r>
        <w:rPr>
          <w:spacing w:val="-3"/>
          <w:w w:val="105"/>
          <w:sz w:val="19"/>
        </w:rPr>
        <w:t>de</w:t>
      </w:r>
      <w:r>
        <w:rPr>
          <w:spacing w:val="-14"/>
          <w:w w:val="105"/>
          <w:sz w:val="19"/>
        </w:rPr>
        <w:t> </w:t>
      </w:r>
      <w:r>
        <w:rPr>
          <w:w w:val="105"/>
          <w:sz w:val="19"/>
        </w:rPr>
        <w:t>garantizar</w:t>
      </w:r>
      <w:r>
        <w:rPr>
          <w:spacing w:val="-14"/>
          <w:w w:val="105"/>
          <w:sz w:val="19"/>
        </w:rPr>
        <w:t> </w:t>
      </w:r>
      <w:r>
        <w:rPr>
          <w:w w:val="105"/>
          <w:sz w:val="19"/>
        </w:rPr>
        <w:t>la</w:t>
      </w:r>
      <w:r>
        <w:rPr>
          <w:spacing w:val="-17"/>
          <w:w w:val="105"/>
          <w:sz w:val="19"/>
        </w:rPr>
        <w:t> </w:t>
      </w:r>
      <w:r>
        <w:rPr>
          <w:w w:val="105"/>
          <w:sz w:val="19"/>
        </w:rPr>
        <w:t>mejora</w:t>
      </w:r>
      <w:r>
        <w:rPr>
          <w:spacing w:val="-14"/>
          <w:w w:val="105"/>
          <w:sz w:val="19"/>
        </w:rPr>
        <w:t> </w:t>
      </w:r>
      <w:r>
        <w:rPr>
          <w:w w:val="105"/>
          <w:sz w:val="19"/>
        </w:rPr>
        <w:t>constante</w:t>
      </w:r>
      <w:r>
        <w:rPr>
          <w:spacing w:val="-14"/>
          <w:w w:val="105"/>
          <w:sz w:val="19"/>
        </w:rPr>
        <w:t> </w:t>
      </w:r>
      <w:r>
        <w:rPr>
          <w:spacing w:val="-3"/>
          <w:w w:val="105"/>
          <w:sz w:val="19"/>
        </w:rPr>
        <w:t>de</w:t>
      </w:r>
      <w:r>
        <w:rPr>
          <w:spacing w:val="-11"/>
          <w:w w:val="105"/>
          <w:sz w:val="19"/>
        </w:rPr>
        <w:t> </w:t>
      </w:r>
      <w:r>
        <w:rPr>
          <w:w w:val="105"/>
          <w:sz w:val="19"/>
        </w:rPr>
        <w:t>sus acciones. Para esto son necesarios nuevamente recursos públicos para crear la infraestructura institucional requerida. Pero ello genera una paradoja: </w:t>
      </w:r>
      <w:r>
        <w:rPr>
          <w:spacing w:val="-4"/>
          <w:w w:val="105"/>
          <w:sz w:val="19"/>
        </w:rPr>
        <w:t>sólo se </w:t>
      </w:r>
      <w:r>
        <w:rPr>
          <w:w w:val="105"/>
          <w:sz w:val="19"/>
        </w:rPr>
        <w:t>puede obtener los recursos necesarios para transformar a las administraciones locales si éstas incrementan sus niveles de recaudación, pero para poder conseguir estos incrementos requieren de aparatos administrativos eficientes. Diversos análisis sostienen que la única forma de superar este círculo vicioso es reorientar</w:t>
      </w:r>
      <w:r>
        <w:rPr>
          <w:spacing w:val="-19"/>
          <w:w w:val="105"/>
          <w:sz w:val="19"/>
        </w:rPr>
        <w:t> </w:t>
      </w:r>
      <w:r>
        <w:rPr>
          <w:w w:val="105"/>
          <w:sz w:val="19"/>
        </w:rPr>
        <w:t>parte</w:t>
      </w:r>
      <w:r>
        <w:rPr>
          <w:spacing w:val="-19"/>
          <w:w w:val="105"/>
          <w:sz w:val="19"/>
        </w:rPr>
        <w:t> </w:t>
      </w:r>
      <w:r>
        <w:rPr>
          <w:spacing w:val="-3"/>
          <w:w w:val="105"/>
          <w:sz w:val="19"/>
        </w:rPr>
        <w:t>del</w:t>
      </w:r>
      <w:r>
        <w:rPr>
          <w:spacing w:val="-16"/>
          <w:w w:val="105"/>
          <w:sz w:val="19"/>
        </w:rPr>
        <w:t> </w:t>
      </w:r>
      <w:r>
        <w:rPr>
          <w:w w:val="105"/>
          <w:sz w:val="19"/>
        </w:rPr>
        <w:t>gasto</w:t>
      </w:r>
      <w:r>
        <w:rPr>
          <w:spacing w:val="-19"/>
          <w:w w:val="105"/>
          <w:sz w:val="19"/>
        </w:rPr>
        <w:t> </w:t>
      </w:r>
      <w:r>
        <w:rPr>
          <w:w w:val="105"/>
          <w:sz w:val="19"/>
        </w:rPr>
        <w:t>corriente</w:t>
      </w:r>
      <w:r>
        <w:rPr>
          <w:spacing w:val="-19"/>
          <w:w w:val="105"/>
          <w:sz w:val="19"/>
        </w:rPr>
        <w:t> </w:t>
      </w:r>
      <w:r>
        <w:rPr>
          <w:w w:val="105"/>
          <w:sz w:val="19"/>
        </w:rPr>
        <w:t>a</w:t>
      </w:r>
      <w:r>
        <w:rPr>
          <w:spacing w:val="-19"/>
          <w:w w:val="105"/>
          <w:sz w:val="19"/>
        </w:rPr>
        <w:t> </w:t>
      </w:r>
      <w:r>
        <w:rPr>
          <w:w w:val="105"/>
          <w:sz w:val="19"/>
        </w:rPr>
        <w:t>la</w:t>
      </w:r>
      <w:r>
        <w:rPr>
          <w:spacing w:val="-19"/>
          <w:w w:val="105"/>
          <w:sz w:val="19"/>
        </w:rPr>
        <w:t> </w:t>
      </w:r>
      <w:r>
        <w:rPr>
          <w:w w:val="105"/>
          <w:sz w:val="19"/>
        </w:rPr>
        <w:t>modernización</w:t>
      </w:r>
      <w:r>
        <w:rPr>
          <w:spacing w:val="-19"/>
          <w:w w:val="105"/>
          <w:sz w:val="19"/>
        </w:rPr>
        <w:t> </w:t>
      </w:r>
      <w:r>
        <w:rPr>
          <w:w w:val="105"/>
          <w:sz w:val="19"/>
        </w:rPr>
        <w:t>de</w:t>
      </w:r>
      <w:r>
        <w:rPr>
          <w:spacing w:val="-19"/>
          <w:w w:val="105"/>
          <w:sz w:val="19"/>
        </w:rPr>
        <w:t> </w:t>
      </w:r>
      <w:r>
        <w:rPr>
          <w:w w:val="105"/>
          <w:sz w:val="19"/>
        </w:rPr>
        <w:t>la</w:t>
      </w:r>
      <w:r>
        <w:rPr>
          <w:spacing w:val="-19"/>
          <w:w w:val="105"/>
          <w:sz w:val="19"/>
        </w:rPr>
        <w:t> </w:t>
      </w:r>
      <w:r>
        <w:rPr>
          <w:w w:val="105"/>
          <w:sz w:val="19"/>
        </w:rPr>
        <w:t>gestión</w:t>
      </w:r>
      <w:r>
        <w:rPr>
          <w:spacing w:val="-19"/>
          <w:w w:val="105"/>
          <w:sz w:val="19"/>
        </w:rPr>
        <w:t> </w:t>
      </w:r>
      <w:r>
        <w:rPr>
          <w:w w:val="105"/>
          <w:sz w:val="19"/>
        </w:rPr>
        <w:t>administrativa.</w:t>
      </w:r>
    </w:p>
    <w:p>
      <w:pPr>
        <w:spacing w:after="0" w:line="247" w:lineRule="auto"/>
        <w:jc w:val="both"/>
        <w:rPr>
          <w:sz w:val="19"/>
        </w:rPr>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8"/>
        <w:jc w:val="both"/>
      </w:pPr>
      <w:r>
        <w:rPr/>
        <w:t>problema social, sino costosa en términos de la coordinación y la toma de decisiones. En el mejor de los casos, los gobernadores del partido del Presidente, pudieron negociar que los representantes de la federación en los estados, fueran funcionarios del equipo político-administrativo de los gobiernos  locales.</w:t>
      </w:r>
    </w:p>
    <w:p>
      <w:pPr>
        <w:pStyle w:val="BodyText"/>
        <w:rPr>
          <w:sz w:val="22"/>
        </w:rPr>
      </w:pPr>
    </w:p>
    <w:p>
      <w:pPr>
        <w:pStyle w:val="Heading3"/>
        <w:numPr>
          <w:ilvl w:val="2"/>
          <w:numId w:val="12"/>
        </w:numPr>
        <w:tabs>
          <w:tab w:pos="699" w:val="left" w:leader="none"/>
        </w:tabs>
        <w:spacing w:line="240" w:lineRule="auto" w:before="155" w:after="0"/>
        <w:ind w:left="698" w:right="0" w:hanging="582"/>
        <w:jc w:val="both"/>
      </w:pPr>
      <w:r>
        <w:rPr/>
        <w:t>Los gobernadores y </w:t>
      </w:r>
      <w:r>
        <w:rPr>
          <w:spacing w:val="-3"/>
        </w:rPr>
        <w:t>el </w:t>
      </w:r>
      <w:r>
        <w:rPr/>
        <w:t>federalismo</w:t>
      </w:r>
      <w:r>
        <w:rPr>
          <w:spacing w:val="61"/>
        </w:rPr>
        <w:t> </w:t>
      </w:r>
      <w:r>
        <w:rPr/>
        <w:t>educativo</w:t>
      </w:r>
    </w:p>
    <w:p>
      <w:pPr>
        <w:pStyle w:val="BodyText"/>
        <w:spacing w:line="364" w:lineRule="auto" w:before="138"/>
        <w:ind w:left="115" w:right="105"/>
        <w:jc w:val="both"/>
      </w:pPr>
      <w:r>
        <w:rPr/>
        <w:t>A partir de 1973 inició el proceso </w:t>
      </w:r>
      <w:r>
        <w:rPr>
          <w:spacing w:val="-3"/>
        </w:rPr>
        <w:t>de </w:t>
      </w:r>
      <w:r>
        <w:rPr/>
        <w:t>desconcentración de las estructuras administrativas de la SEP, con el establecimiento </w:t>
      </w:r>
      <w:r>
        <w:rPr>
          <w:spacing w:val="3"/>
        </w:rPr>
        <w:t>de </w:t>
      </w:r>
      <w:r>
        <w:rPr/>
        <w:t>delegaciones regionales y oficinas locales (subsedes) en las capitales de las  entidades  federativas, destinadas a atender los procesos administrativos de los servicios educativos federales. Hacia 1978 se creó una Delegación General de </w:t>
      </w:r>
      <w:r>
        <w:rPr>
          <w:spacing w:val="-5"/>
        </w:rPr>
        <w:t>la </w:t>
      </w:r>
      <w:r>
        <w:rPr/>
        <w:t>SEP en cada estado, oficina que integró más de una decena </w:t>
      </w:r>
      <w:r>
        <w:rPr>
          <w:spacing w:val="-3"/>
        </w:rPr>
        <w:t>de </w:t>
      </w:r>
      <w:r>
        <w:rPr/>
        <w:t>dependencias de </w:t>
      </w:r>
      <w:r>
        <w:rPr>
          <w:spacing w:val="-5"/>
        </w:rPr>
        <w:t>la </w:t>
      </w:r>
      <w:r>
        <w:rPr/>
        <w:t>SEP de  cada entidad, bajo un mando unificado. Esto significó que se articularon las distintas funciones </w:t>
      </w:r>
      <w:r>
        <w:rPr>
          <w:spacing w:val="-3"/>
        </w:rPr>
        <w:t>del </w:t>
      </w:r>
      <w:r>
        <w:rPr/>
        <w:t>proceso administrativo en una sola entidad con la  suficiente  autoridad a nivel local bajo la responsabilidad de una </w:t>
      </w:r>
      <w:r>
        <w:rPr>
          <w:spacing w:val="-3"/>
        </w:rPr>
        <w:t>sola </w:t>
      </w:r>
      <w:r>
        <w:rPr/>
        <w:t>oficina. Sin embargo </w:t>
      </w:r>
      <w:r>
        <w:rPr>
          <w:spacing w:val="-2"/>
        </w:rPr>
        <w:t>las </w:t>
      </w:r>
      <w:r>
        <w:rPr/>
        <w:t>acciones de cada nivel educativo se realizaban de manera fragmentada y aisladas entre</w:t>
      </w:r>
      <w:r>
        <w:rPr>
          <w:spacing w:val="6"/>
        </w:rPr>
        <w:t> </w:t>
      </w:r>
      <w:r>
        <w:rPr>
          <w:spacing w:val="2"/>
        </w:rPr>
        <w:t>sí.</w:t>
      </w:r>
    </w:p>
    <w:p>
      <w:pPr>
        <w:pStyle w:val="BodyText"/>
        <w:spacing w:line="364" w:lineRule="auto" w:before="10"/>
        <w:ind w:left="115" w:right="107" w:firstLine="686"/>
        <w:jc w:val="both"/>
      </w:pPr>
      <w:r>
        <w:rPr/>
        <w:t>Hasta 1992, </w:t>
      </w:r>
      <w:r>
        <w:rPr>
          <w:spacing w:val="-5"/>
        </w:rPr>
        <w:t>la </w:t>
      </w:r>
      <w:r>
        <w:rPr/>
        <w:t>mayor parte de la oferta educativa era administrada por el gobierno federal. La mayor parte de las entidades no contaban  recursos económicos para cubrir </w:t>
      </w:r>
      <w:r>
        <w:rPr>
          <w:spacing w:val="-3"/>
        </w:rPr>
        <w:t>la </w:t>
      </w:r>
      <w:r>
        <w:rPr/>
        <w:t>creciente demanda de la población en los niveles de preescolar, primaria, secundaria y educación</w:t>
      </w:r>
      <w:r>
        <w:rPr>
          <w:spacing w:val="59"/>
        </w:rPr>
        <w:t> </w:t>
      </w:r>
      <w:r>
        <w:rPr/>
        <w:t>normalista.</w:t>
      </w:r>
    </w:p>
    <w:p>
      <w:pPr>
        <w:spacing w:after="0" w:line="364" w:lineRule="auto"/>
        <w:jc w:val="both"/>
        <w:sectPr>
          <w:pgSz w:w="11910" w:h="16840"/>
          <w:pgMar w:header="0" w:footer="1457" w:top="1580" w:bottom="1640" w:left="1540" w:right="1540"/>
        </w:sectPr>
      </w:pPr>
    </w:p>
    <w:p>
      <w:pPr>
        <w:pStyle w:val="BodyText"/>
        <w:rPr>
          <w:sz w:val="20"/>
        </w:rPr>
      </w:pPr>
    </w:p>
    <w:p>
      <w:pPr>
        <w:pStyle w:val="BodyText"/>
        <w:rPr>
          <w:sz w:val="20"/>
        </w:rPr>
      </w:pPr>
    </w:p>
    <w:p>
      <w:pPr>
        <w:pStyle w:val="BodyText"/>
        <w:rPr>
          <w:sz w:val="20"/>
        </w:rPr>
      </w:pPr>
    </w:p>
    <w:p>
      <w:pPr>
        <w:pStyle w:val="BodyText"/>
        <w:rPr>
          <w:sz w:val="18"/>
        </w:rPr>
      </w:pPr>
    </w:p>
    <w:p>
      <w:pPr>
        <w:pStyle w:val="Heading3"/>
        <w:spacing w:line="264" w:lineRule="exact" w:before="1"/>
        <w:ind w:left="1491" w:right="1427"/>
        <w:jc w:val="center"/>
      </w:pPr>
      <w:r>
        <w:rPr/>
        <w:t>Tabla N° 5</w:t>
      </w:r>
    </w:p>
    <w:p>
      <w:pPr>
        <w:spacing w:line="247" w:lineRule="auto" w:before="0"/>
        <w:ind w:left="1490" w:right="1427" w:firstLine="0"/>
        <w:jc w:val="center"/>
        <w:rPr>
          <w:b/>
          <w:sz w:val="23"/>
        </w:rPr>
      </w:pPr>
      <w:r>
        <w:rPr>
          <w:b/>
          <w:sz w:val="23"/>
        </w:rPr>
        <w:t>Nivel </w:t>
      </w:r>
      <w:r>
        <w:rPr>
          <w:b/>
          <w:spacing w:val="4"/>
          <w:sz w:val="23"/>
        </w:rPr>
        <w:t>de </w:t>
      </w:r>
      <w:r>
        <w:rPr>
          <w:b/>
          <w:sz w:val="23"/>
        </w:rPr>
        <w:t>involucramiento de las entidades federativas en la educación básica antes de la</w:t>
      </w:r>
      <w:r>
        <w:rPr>
          <w:b/>
          <w:spacing w:val="62"/>
          <w:sz w:val="23"/>
        </w:rPr>
        <w:t> </w:t>
      </w:r>
      <w:r>
        <w:rPr>
          <w:b/>
          <w:sz w:val="23"/>
        </w:rPr>
        <w:t>descentralización</w:t>
      </w:r>
    </w:p>
    <w:p>
      <w:pPr>
        <w:pStyle w:val="BodyText"/>
        <w:rPr>
          <w:b/>
          <w:sz w:val="20"/>
        </w:rPr>
      </w:pPr>
    </w:p>
    <w:p>
      <w:pPr>
        <w:pStyle w:val="BodyText"/>
        <w:spacing w:before="8"/>
        <w:rPr>
          <w:b/>
          <w:sz w:val="14"/>
        </w:r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47"/>
        <w:gridCol w:w="1747"/>
        <w:gridCol w:w="1306"/>
        <w:gridCol w:w="1378"/>
        <w:gridCol w:w="2563"/>
      </w:tblGrid>
      <w:tr>
        <w:trPr>
          <w:trHeight w:val="912" w:hRule="exact"/>
        </w:trPr>
        <w:tc>
          <w:tcPr>
            <w:tcW w:w="1747" w:type="dxa"/>
            <w:tcBorders>
              <w:bottom w:val="single" w:sz="4" w:space="0" w:color="000000"/>
              <w:right w:val="single" w:sz="4" w:space="0" w:color="000000"/>
            </w:tcBorders>
          </w:tcPr>
          <w:p>
            <w:pPr>
              <w:pStyle w:val="TableParagraph"/>
              <w:spacing w:line="372" w:lineRule="auto"/>
              <w:ind w:left="211" w:right="28" w:firstLine="302"/>
              <w:rPr>
                <w:sz w:val="17"/>
              </w:rPr>
            </w:pPr>
            <w:r>
              <w:rPr>
                <w:w w:val="105"/>
                <w:sz w:val="17"/>
              </w:rPr>
              <w:t>Situación previa al ANMEB</w:t>
            </w:r>
          </w:p>
          <w:p>
            <w:pPr>
              <w:pStyle w:val="TableParagraph"/>
              <w:spacing w:before="7"/>
              <w:ind w:left="662" w:right="643"/>
              <w:jc w:val="center"/>
              <w:rPr>
                <w:sz w:val="17"/>
              </w:rPr>
            </w:pPr>
            <w:r>
              <w:rPr>
                <w:w w:val="105"/>
                <w:sz w:val="17"/>
              </w:rPr>
              <w:t>1990</w:t>
            </w:r>
          </w:p>
        </w:tc>
        <w:tc>
          <w:tcPr>
            <w:tcW w:w="1747" w:type="dxa"/>
            <w:tcBorders>
              <w:left w:val="single" w:sz="4" w:space="0" w:color="000000"/>
              <w:bottom w:val="single" w:sz="4" w:space="0" w:color="000000"/>
              <w:right w:val="single" w:sz="4" w:space="0" w:color="000000"/>
            </w:tcBorders>
          </w:tcPr>
          <w:p>
            <w:pPr>
              <w:pStyle w:val="TableParagraph"/>
              <w:spacing w:line="364" w:lineRule="auto" w:before="152"/>
              <w:ind w:left="446" w:firstLine="33"/>
              <w:rPr>
                <w:sz w:val="17"/>
              </w:rPr>
            </w:pPr>
            <w:r>
              <w:rPr>
                <w:w w:val="105"/>
                <w:sz w:val="17"/>
              </w:rPr>
              <w:t>Entidades federativas</w:t>
            </w:r>
          </w:p>
        </w:tc>
        <w:tc>
          <w:tcPr>
            <w:tcW w:w="1306" w:type="dxa"/>
            <w:tcBorders>
              <w:left w:val="single" w:sz="4" w:space="0" w:color="000000"/>
              <w:bottom w:val="single" w:sz="4" w:space="0" w:color="000000"/>
              <w:right w:val="single" w:sz="4" w:space="0" w:color="000000"/>
            </w:tcBorders>
          </w:tcPr>
          <w:p>
            <w:pPr>
              <w:pStyle w:val="TableParagraph"/>
              <w:spacing w:line="374" w:lineRule="auto"/>
              <w:ind w:left="120" w:right="105" w:hanging="14"/>
              <w:jc w:val="center"/>
              <w:rPr>
                <w:sz w:val="17"/>
              </w:rPr>
            </w:pPr>
            <w:r>
              <w:rPr>
                <w:w w:val="105"/>
                <w:sz w:val="17"/>
              </w:rPr>
              <w:t>% </w:t>
            </w:r>
            <w:r>
              <w:rPr>
                <w:spacing w:val="-3"/>
                <w:w w:val="105"/>
                <w:sz w:val="17"/>
              </w:rPr>
              <w:t>escuelas </w:t>
            </w:r>
            <w:r>
              <w:rPr>
                <w:w w:val="105"/>
                <w:sz w:val="17"/>
              </w:rPr>
              <w:t>de EB</w:t>
            </w:r>
            <w:r>
              <w:rPr>
                <w:spacing w:val="-16"/>
                <w:w w:val="105"/>
                <w:sz w:val="17"/>
              </w:rPr>
              <w:t> </w:t>
            </w:r>
            <w:r>
              <w:rPr>
                <w:w w:val="105"/>
                <w:sz w:val="17"/>
              </w:rPr>
              <w:t>federal 1990</w:t>
            </w:r>
          </w:p>
        </w:tc>
        <w:tc>
          <w:tcPr>
            <w:tcW w:w="1378" w:type="dxa"/>
            <w:tcBorders>
              <w:left w:val="single" w:sz="4" w:space="0" w:color="000000"/>
              <w:bottom w:val="single" w:sz="4" w:space="0" w:color="000000"/>
              <w:right w:val="single" w:sz="4" w:space="0" w:color="000000"/>
            </w:tcBorders>
          </w:tcPr>
          <w:p>
            <w:pPr>
              <w:pStyle w:val="TableParagraph"/>
              <w:spacing w:line="374" w:lineRule="auto"/>
              <w:ind w:left="153" w:right="150" w:firstLine="3"/>
              <w:jc w:val="center"/>
              <w:rPr>
                <w:sz w:val="17"/>
              </w:rPr>
            </w:pPr>
            <w:r>
              <w:rPr>
                <w:w w:val="105"/>
                <w:sz w:val="17"/>
              </w:rPr>
              <w:t>% escuelas de </w:t>
            </w:r>
            <w:r>
              <w:rPr>
                <w:spacing w:val="-3"/>
                <w:w w:val="105"/>
                <w:sz w:val="17"/>
              </w:rPr>
              <w:t>EB</w:t>
            </w:r>
            <w:r>
              <w:rPr>
                <w:spacing w:val="-17"/>
                <w:w w:val="105"/>
                <w:sz w:val="17"/>
              </w:rPr>
              <w:t> </w:t>
            </w:r>
            <w:r>
              <w:rPr>
                <w:w w:val="105"/>
                <w:sz w:val="17"/>
              </w:rPr>
              <w:t>Estatal 1990</w:t>
            </w:r>
            <w:r>
              <w:rPr>
                <w:spacing w:val="-9"/>
                <w:w w:val="105"/>
                <w:sz w:val="17"/>
              </w:rPr>
              <w:t> </w:t>
            </w:r>
            <w:r>
              <w:rPr>
                <w:spacing w:val="-3"/>
                <w:w w:val="105"/>
                <w:sz w:val="17"/>
              </w:rPr>
              <w:t>a/</w:t>
            </w:r>
          </w:p>
        </w:tc>
        <w:tc>
          <w:tcPr>
            <w:tcW w:w="2563" w:type="dxa"/>
            <w:tcBorders>
              <w:left w:val="single" w:sz="4" w:space="0" w:color="000000"/>
              <w:bottom w:val="single" w:sz="4" w:space="0" w:color="000000"/>
            </w:tcBorders>
          </w:tcPr>
          <w:p>
            <w:pPr>
              <w:pStyle w:val="TableParagraph"/>
              <w:spacing w:line="374" w:lineRule="auto"/>
              <w:ind w:left="782" w:right="791" w:firstLine="9"/>
              <w:jc w:val="center"/>
              <w:rPr>
                <w:sz w:val="17"/>
              </w:rPr>
            </w:pPr>
            <w:r>
              <w:rPr>
                <w:w w:val="105"/>
                <w:sz w:val="17"/>
              </w:rPr>
              <w:t>Entidad receptora</w:t>
            </w:r>
            <w:r>
              <w:rPr>
                <w:spacing w:val="-18"/>
                <w:w w:val="105"/>
                <w:sz w:val="17"/>
              </w:rPr>
              <w:t> </w:t>
            </w:r>
            <w:r>
              <w:rPr>
                <w:spacing w:val="-3"/>
                <w:w w:val="105"/>
                <w:sz w:val="17"/>
              </w:rPr>
              <w:t>en </w:t>
            </w:r>
            <w:r>
              <w:rPr>
                <w:w w:val="105"/>
                <w:sz w:val="17"/>
              </w:rPr>
              <w:t>1992</w:t>
            </w:r>
          </w:p>
        </w:tc>
      </w:tr>
      <w:tr>
        <w:trPr>
          <w:trHeight w:val="312" w:hRule="exact"/>
        </w:trPr>
        <w:tc>
          <w:tcPr>
            <w:tcW w:w="1747" w:type="dxa"/>
            <w:vMerge w:val="restart"/>
            <w:tcBorders>
              <w:top w:val="single" w:sz="4" w:space="0" w:color="000000"/>
              <w:right w:val="single" w:sz="4" w:space="0" w:color="000000"/>
            </w:tcBorders>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3"/>
              <w:rPr>
                <w:b/>
                <w:sz w:val="24"/>
              </w:rPr>
            </w:pPr>
          </w:p>
          <w:p>
            <w:pPr>
              <w:pStyle w:val="TableParagraph"/>
              <w:spacing w:line="372" w:lineRule="auto" w:before="1"/>
              <w:ind w:left="177" w:right="168" w:firstLine="3"/>
              <w:jc w:val="center"/>
              <w:rPr>
                <w:sz w:val="17"/>
              </w:rPr>
            </w:pPr>
            <w:r>
              <w:rPr>
                <w:w w:val="105"/>
                <w:sz w:val="17"/>
              </w:rPr>
              <w:t>Con sistema estatal </w:t>
            </w:r>
            <w:r>
              <w:rPr>
                <w:spacing w:val="6"/>
                <w:w w:val="105"/>
                <w:sz w:val="17"/>
              </w:rPr>
              <w:t>de </w:t>
            </w:r>
            <w:r>
              <w:rPr>
                <w:w w:val="105"/>
                <w:sz w:val="17"/>
              </w:rPr>
              <w:t>educación inexistente o</w:t>
            </w:r>
            <w:r>
              <w:rPr>
                <w:spacing w:val="-22"/>
                <w:w w:val="105"/>
                <w:sz w:val="17"/>
              </w:rPr>
              <w:t> </w:t>
            </w:r>
            <w:r>
              <w:rPr>
                <w:w w:val="105"/>
                <w:sz w:val="17"/>
              </w:rPr>
              <w:t>muy poco</w:t>
            </w:r>
            <w:r>
              <w:rPr>
                <w:spacing w:val="-30"/>
                <w:w w:val="105"/>
                <w:sz w:val="17"/>
              </w:rPr>
              <w:t> </w:t>
            </w:r>
            <w:r>
              <w:rPr>
                <w:w w:val="105"/>
                <w:sz w:val="17"/>
              </w:rPr>
              <w:t>desarrollado</w:t>
            </w:r>
          </w:p>
        </w:tc>
        <w:tc>
          <w:tcPr>
            <w:tcW w:w="1747" w:type="dxa"/>
            <w:tcBorders>
              <w:top w:val="single" w:sz="4" w:space="0" w:color="000000"/>
              <w:left w:val="single" w:sz="4" w:space="0" w:color="000000"/>
              <w:bottom w:val="single" w:sz="4" w:space="0" w:color="000000"/>
              <w:right w:val="single" w:sz="4" w:space="0" w:color="000000"/>
            </w:tcBorders>
          </w:tcPr>
          <w:p>
            <w:pPr>
              <w:pStyle w:val="TableParagraph"/>
              <w:spacing w:before="3"/>
              <w:ind w:left="108" w:right="94"/>
              <w:jc w:val="center"/>
              <w:rPr>
                <w:sz w:val="17"/>
              </w:rPr>
            </w:pPr>
            <w:r>
              <w:rPr>
                <w:w w:val="105"/>
                <w:sz w:val="17"/>
              </w:rPr>
              <w:t>Oaxaca</w:t>
            </w:r>
          </w:p>
        </w:tc>
        <w:tc>
          <w:tcPr>
            <w:tcW w:w="1306" w:type="dxa"/>
            <w:tcBorders>
              <w:top w:val="single" w:sz="4" w:space="0" w:color="000000"/>
              <w:left w:val="single" w:sz="4" w:space="0" w:color="000000"/>
              <w:bottom w:val="single" w:sz="4" w:space="0" w:color="000000"/>
              <w:right w:val="single" w:sz="4" w:space="0" w:color="000000"/>
            </w:tcBorders>
          </w:tcPr>
          <w:p>
            <w:pPr>
              <w:pStyle w:val="TableParagraph"/>
              <w:spacing w:before="3"/>
              <w:ind w:left="452" w:right="453"/>
              <w:jc w:val="center"/>
              <w:rPr>
                <w:sz w:val="17"/>
              </w:rPr>
            </w:pPr>
            <w:r>
              <w:rPr>
                <w:w w:val="105"/>
                <w:sz w:val="17"/>
              </w:rPr>
              <w:t>98.4</w:t>
            </w:r>
          </w:p>
        </w:tc>
        <w:tc>
          <w:tcPr>
            <w:tcW w:w="1378" w:type="dxa"/>
            <w:tcBorders>
              <w:top w:val="single" w:sz="4" w:space="0" w:color="000000"/>
              <w:left w:val="single" w:sz="4" w:space="0" w:color="000000"/>
              <w:bottom w:val="single" w:sz="4" w:space="0" w:color="000000"/>
              <w:right w:val="single" w:sz="4" w:space="0" w:color="000000"/>
            </w:tcBorders>
          </w:tcPr>
          <w:p>
            <w:pPr>
              <w:pStyle w:val="TableParagraph"/>
              <w:spacing w:before="3"/>
              <w:ind w:right="563"/>
              <w:jc w:val="right"/>
              <w:rPr>
                <w:sz w:val="17"/>
              </w:rPr>
            </w:pPr>
            <w:r>
              <w:rPr>
                <w:w w:val="105"/>
                <w:sz w:val="17"/>
              </w:rPr>
              <w:t>0.2</w:t>
            </w:r>
          </w:p>
        </w:tc>
        <w:tc>
          <w:tcPr>
            <w:tcW w:w="2563" w:type="dxa"/>
            <w:tcBorders>
              <w:top w:val="single" w:sz="4" w:space="0" w:color="000000"/>
              <w:left w:val="single" w:sz="4" w:space="0" w:color="000000"/>
              <w:bottom w:val="single" w:sz="4" w:space="0" w:color="000000"/>
            </w:tcBorders>
          </w:tcPr>
          <w:p>
            <w:pPr>
              <w:pStyle w:val="TableParagraph"/>
              <w:spacing w:before="3"/>
              <w:ind w:right="215"/>
              <w:jc w:val="right"/>
              <w:rPr>
                <w:sz w:val="17"/>
              </w:rPr>
            </w:pPr>
            <w:r>
              <w:rPr>
                <w:w w:val="105"/>
                <w:sz w:val="17"/>
              </w:rPr>
              <w:t>Organismo descentralizado</w:t>
            </w:r>
          </w:p>
        </w:tc>
      </w:tr>
      <w:tr>
        <w:trPr>
          <w:trHeight w:val="312" w:hRule="exact"/>
        </w:trPr>
        <w:tc>
          <w:tcPr>
            <w:tcW w:w="1747" w:type="dxa"/>
            <w:vMerge/>
            <w:tcBorders>
              <w:right w:val="single" w:sz="4" w:space="0" w:color="000000"/>
            </w:tcBorders>
          </w:tcPr>
          <w:p>
            <w:pPr/>
          </w:p>
        </w:tc>
        <w:tc>
          <w:tcPr>
            <w:tcW w:w="1747"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left="107" w:right="100"/>
              <w:jc w:val="center"/>
              <w:rPr>
                <w:sz w:val="17"/>
              </w:rPr>
            </w:pPr>
            <w:r>
              <w:rPr>
                <w:w w:val="105"/>
                <w:sz w:val="17"/>
              </w:rPr>
              <w:t>Hidalgo</w:t>
            </w:r>
          </w:p>
        </w:tc>
        <w:tc>
          <w:tcPr>
            <w:tcW w:w="1306"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left="452" w:right="453"/>
              <w:jc w:val="center"/>
              <w:rPr>
                <w:sz w:val="17"/>
              </w:rPr>
            </w:pPr>
            <w:r>
              <w:rPr>
                <w:w w:val="105"/>
                <w:sz w:val="17"/>
              </w:rPr>
              <w:t>97.4</w:t>
            </w:r>
          </w:p>
        </w:tc>
        <w:tc>
          <w:tcPr>
            <w:tcW w:w="1378"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right="633"/>
              <w:jc w:val="right"/>
              <w:rPr>
                <w:sz w:val="17"/>
              </w:rPr>
            </w:pPr>
            <w:r>
              <w:rPr>
                <w:w w:val="104"/>
                <w:sz w:val="17"/>
              </w:rPr>
              <w:t>0</w:t>
            </w:r>
          </w:p>
        </w:tc>
        <w:tc>
          <w:tcPr>
            <w:tcW w:w="2563" w:type="dxa"/>
            <w:tcBorders>
              <w:top w:val="single" w:sz="4" w:space="0" w:color="000000"/>
              <w:left w:val="single" w:sz="4" w:space="0" w:color="000000"/>
              <w:bottom w:val="single" w:sz="4" w:space="0" w:color="000000"/>
            </w:tcBorders>
          </w:tcPr>
          <w:p>
            <w:pPr>
              <w:pStyle w:val="TableParagraph"/>
              <w:spacing w:line="194" w:lineRule="exact"/>
              <w:ind w:right="215"/>
              <w:jc w:val="right"/>
              <w:rPr>
                <w:sz w:val="17"/>
              </w:rPr>
            </w:pPr>
            <w:r>
              <w:rPr>
                <w:w w:val="105"/>
                <w:sz w:val="17"/>
              </w:rPr>
              <w:t>Organismo descentralizado</w:t>
            </w:r>
          </w:p>
        </w:tc>
      </w:tr>
      <w:tr>
        <w:trPr>
          <w:trHeight w:val="312" w:hRule="exact"/>
        </w:trPr>
        <w:tc>
          <w:tcPr>
            <w:tcW w:w="1747" w:type="dxa"/>
            <w:vMerge/>
            <w:tcBorders>
              <w:right w:val="single" w:sz="4" w:space="0" w:color="000000"/>
            </w:tcBorders>
          </w:tcPr>
          <w:p>
            <w:pPr/>
          </w:p>
        </w:tc>
        <w:tc>
          <w:tcPr>
            <w:tcW w:w="1747"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left="99" w:right="100"/>
              <w:jc w:val="center"/>
              <w:rPr>
                <w:sz w:val="17"/>
              </w:rPr>
            </w:pPr>
            <w:r>
              <w:rPr>
                <w:w w:val="105"/>
                <w:sz w:val="17"/>
              </w:rPr>
              <w:t>Tamaulipas</w:t>
            </w:r>
          </w:p>
        </w:tc>
        <w:tc>
          <w:tcPr>
            <w:tcW w:w="1306"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left="452" w:right="453"/>
              <w:jc w:val="center"/>
              <w:rPr>
                <w:sz w:val="17"/>
              </w:rPr>
            </w:pPr>
            <w:r>
              <w:rPr>
                <w:w w:val="105"/>
                <w:sz w:val="17"/>
              </w:rPr>
              <w:t>95.1</w:t>
            </w:r>
          </w:p>
        </w:tc>
        <w:tc>
          <w:tcPr>
            <w:tcW w:w="1378"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right="563"/>
              <w:jc w:val="right"/>
              <w:rPr>
                <w:sz w:val="17"/>
              </w:rPr>
            </w:pPr>
            <w:r>
              <w:rPr>
                <w:w w:val="105"/>
                <w:sz w:val="17"/>
              </w:rPr>
              <w:t>0.1</w:t>
            </w:r>
          </w:p>
        </w:tc>
        <w:tc>
          <w:tcPr>
            <w:tcW w:w="2563" w:type="dxa"/>
            <w:tcBorders>
              <w:top w:val="single" w:sz="4" w:space="0" w:color="000000"/>
              <w:left w:val="single" w:sz="4" w:space="0" w:color="000000"/>
              <w:bottom w:val="single" w:sz="4" w:space="0" w:color="000000"/>
            </w:tcBorders>
          </w:tcPr>
          <w:p>
            <w:pPr>
              <w:pStyle w:val="TableParagraph"/>
              <w:spacing w:line="194" w:lineRule="exact"/>
              <w:ind w:right="215"/>
              <w:jc w:val="right"/>
              <w:rPr>
                <w:sz w:val="17"/>
              </w:rPr>
            </w:pPr>
            <w:r>
              <w:rPr>
                <w:w w:val="105"/>
                <w:sz w:val="17"/>
              </w:rPr>
              <w:t>Organismo descentralizado</w:t>
            </w:r>
          </w:p>
        </w:tc>
      </w:tr>
      <w:tr>
        <w:trPr>
          <w:trHeight w:val="312" w:hRule="exact"/>
        </w:trPr>
        <w:tc>
          <w:tcPr>
            <w:tcW w:w="1747" w:type="dxa"/>
            <w:vMerge/>
            <w:tcBorders>
              <w:right w:val="single" w:sz="4" w:space="0" w:color="000000"/>
            </w:tcBorders>
          </w:tcPr>
          <w:p>
            <w:pPr/>
          </w:p>
        </w:tc>
        <w:tc>
          <w:tcPr>
            <w:tcW w:w="1747"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left="108" w:right="97"/>
              <w:jc w:val="center"/>
              <w:rPr>
                <w:sz w:val="17"/>
              </w:rPr>
            </w:pPr>
            <w:r>
              <w:rPr>
                <w:w w:val="105"/>
                <w:sz w:val="17"/>
              </w:rPr>
              <w:t>Campeche</w:t>
            </w:r>
          </w:p>
        </w:tc>
        <w:tc>
          <w:tcPr>
            <w:tcW w:w="1306"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left="452" w:right="453"/>
              <w:jc w:val="center"/>
              <w:rPr>
                <w:sz w:val="17"/>
              </w:rPr>
            </w:pPr>
            <w:r>
              <w:rPr>
                <w:w w:val="105"/>
                <w:sz w:val="17"/>
              </w:rPr>
              <w:t>94.8</w:t>
            </w:r>
          </w:p>
        </w:tc>
        <w:tc>
          <w:tcPr>
            <w:tcW w:w="1378"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right="563"/>
              <w:jc w:val="right"/>
              <w:rPr>
                <w:sz w:val="17"/>
              </w:rPr>
            </w:pPr>
            <w:r>
              <w:rPr>
                <w:w w:val="105"/>
                <w:sz w:val="17"/>
              </w:rPr>
              <w:t>2.8</w:t>
            </w:r>
          </w:p>
        </w:tc>
        <w:tc>
          <w:tcPr>
            <w:tcW w:w="2563" w:type="dxa"/>
            <w:tcBorders>
              <w:top w:val="single" w:sz="4" w:space="0" w:color="000000"/>
              <w:left w:val="single" w:sz="4" w:space="0" w:color="000000"/>
              <w:bottom w:val="single" w:sz="4" w:space="0" w:color="000000"/>
            </w:tcBorders>
          </w:tcPr>
          <w:p>
            <w:pPr>
              <w:pStyle w:val="TableParagraph"/>
              <w:spacing w:line="194" w:lineRule="exact"/>
              <w:ind w:right="215"/>
              <w:jc w:val="right"/>
              <w:rPr>
                <w:sz w:val="17"/>
              </w:rPr>
            </w:pPr>
            <w:r>
              <w:rPr>
                <w:w w:val="105"/>
                <w:sz w:val="17"/>
              </w:rPr>
              <w:t>Organismo descentralizado</w:t>
            </w:r>
          </w:p>
        </w:tc>
      </w:tr>
      <w:tr>
        <w:trPr>
          <w:trHeight w:val="312" w:hRule="exact"/>
        </w:trPr>
        <w:tc>
          <w:tcPr>
            <w:tcW w:w="1747" w:type="dxa"/>
            <w:vMerge/>
            <w:tcBorders>
              <w:right w:val="single" w:sz="4" w:space="0" w:color="000000"/>
            </w:tcBorders>
          </w:tcPr>
          <w:p>
            <w:pPr/>
          </w:p>
        </w:tc>
        <w:tc>
          <w:tcPr>
            <w:tcW w:w="1747" w:type="dxa"/>
            <w:tcBorders>
              <w:top w:val="single" w:sz="4" w:space="0" w:color="000000"/>
              <w:left w:val="single" w:sz="4" w:space="0" w:color="000000"/>
              <w:bottom w:val="single" w:sz="4" w:space="0" w:color="000000"/>
              <w:right w:val="single" w:sz="4" w:space="0" w:color="000000"/>
            </w:tcBorders>
          </w:tcPr>
          <w:p>
            <w:pPr>
              <w:pStyle w:val="TableParagraph"/>
              <w:spacing w:before="3"/>
              <w:ind w:left="108" w:right="100"/>
              <w:jc w:val="center"/>
              <w:rPr>
                <w:sz w:val="17"/>
              </w:rPr>
            </w:pPr>
            <w:r>
              <w:rPr>
                <w:w w:val="105"/>
                <w:sz w:val="17"/>
              </w:rPr>
              <w:t>Baja California Sur</w:t>
            </w:r>
          </w:p>
        </w:tc>
        <w:tc>
          <w:tcPr>
            <w:tcW w:w="1306" w:type="dxa"/>
            <w:tcBorders>
              <w:top w:val="single" w:sz="4" w:space="0" w:color="000000"/>
              <w:left w:val="single" w:sz="4" w:space="0" w:color="000000"/>
              <w:bottom w:val="single" w:sz="4" w:space="0" w:color="000000"/>
              <w:right w:val="single" w:sz="4" w:space="0" w:color="000000"/>
            </w:tcBorders>
          </w:tcPr>
          <w:p>
            <w:pPr>
              <w:pStyle w:val="TableParagraph"/>
              <w:spacing w:before="3"/>
              <w:ind w:left="452" w:right="453"/>
              <w:jc w:val="center"/>
              <w:rPr>
                <w:sz w:val="17"/>
              </w:rPr>
            </w:pPr>
            <w:r>
              <w:rPr>
                <w:w w:val="105"/>
                <w:sz w:val="17"/>
              </w:rPr>
              <w:t>93.6</w:t>
            </w:r>
          </w:p>
        </w:tc>
        <w:tc>
          <w:tcPr>
            <w:tcW w:w="1378" w:type="dxa"/>
            <w:tcBorders>
              <w:top w:val="single" w:sz="4" w:space="0" w:color="000000"/>
              <w:left w:val="single" w:sz="4" w:space="0" w:color="000000"/>
              <w:bottom w:val="single" w:sz="4" w:space="0" w:color="000000"/>
              <w:right w:val="single" w:sz="4" w:space="0" w:color="000000"/>
            </w:tcBorders>
          </w:tcPr>
          <w:p>
            <w:pPr>
              <w:pStyle w:val="TableParagraph"/>
              <w:spacing w:before="3"/>
              <w:ind w:right="563"/>
              <w:jc w:val="right"/>
              <w:rPr>
                <w:sz w:val="17"/>
              </w:rPr>
            </w:pPr>
            <w:r>
              <w:rPr>
                <w:w w:val="105"/>
                <w:sz w:val="17"/>
              </w:rPr>
              <w:t>0.4</w:t>
            </w:r>
          </w:p>
        </w:tc>
        <w:tc>
          <w:tcPr>
            <w:tcW w:w="2563" w:type="dxa"/>
            <w:tcBorders>
              <w:top w:val="single" w:sz="4" w:space="0" w:color="000000"/>
              <w:left w:val="single" w:sz="4" w:space="0" w:color="000000"/>
              <w:bottom w:val="single" w:sz="4" w:space="0" w:color="000000"/>
            </w:tcBorders>
          </w:tcPr>
          <w:p>
            <w:pPr>
              <w:pStyle w:val="TableParagraph"/>
              <w:spacing w:before="3"/>
              <w:ind w:right="283"/>
              <w:jc w:val="right"/>
              <w:rPr>
                <w:sz w:val="17"/>
              </w:rPr>
            </w:pPr>
            <w:r>
              <w:rPr>
                <w:w w:val="105"/>
                <w:sz w:val="17"/>
              </w:rPr>
              <w:t>Sistema estatal educativo</w:t>
            </w:r>
          </w:p>
        </w:tc>
      </w:tr>
      <w:tr>
        <w:trPr>
          <w:trHeight w:val="312" w:hRule="exact"/>
        </w:trPr>
        <w:tc>
          <w:tcPr>
            <w:tcW w:w="1747" w:type="dxa"/>
            <w:vMerge/>
            <w:tcBorders>
              <w:right w:val="single" w:sz="4" w:space="0" w:color="000000"/>
            </w:tcBorders>
          </w:tcPr>
          <w:p>
            <w:pPr/>
          </w:p>
        </w:tc>
        <w:tc>
          <w:tcPr>
            <w:tcW w:w="1747"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left="107" w:right="100"/>
              <w:jc w:val="center"/>
              <w:rPr>
                <w:sz w:val="17"/>
              </w:rPr>
            </w:pPr>
            <w:r>
              <w:rPr>
                <w:w w:val="105"/>
                <w:sz w:val="17"/>
              </w:rPr>
              <w:t>Querétaro</w:t>
            </w:r>
          </w:p>
        </w:tc>
        <w:tc>
          <w:tcPr>
            <w:tcW w:w="1306"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left="452" w:right="453"/>
              <w:jc w:val="center"/>
              <w:rPr>
                <w:sz w:val="17"/>
              </w:rPr>
            </w:pPr>
            <w:r>
              <w:rPr>
                <w:w w:val="105"/>
                <w:sz w:val="17"/>
              </w:rPr>
              <w:t>92.2</w:t>
            </w:r>
          </w:p>
        </w:tc>
        <w:tc>
          <w:tcPr>
            <w:tcW w:w="1378"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right="563"/>
              <w:jc w:val="right"/>
              <w:rPr>
                <w:sz w:val="17"/>
              </w:rPr>
            </w:pPr>
            <w:r>
              <w:rPr>
                <w:w w:val="105"/>
                <w:sz w:val="17"/>
              </w:rPr>
              <w:t>0.4</w:t>
            </w:r>
          </w:p>
        </w:tc>
        <w:tc>
          <w:tcPr>
            <w:tcW w:w="2563" w:type="dxa"/>
            <w:tcBorders>
              <w:top w:val="single" w:sz="4" w:space="0" w:color="000000"/>
              <w:left w:val="single" w:sz="4" w:space="0" w:color="000000"/>
              <w:bottom w:val="single" w:sz="4" w:space="0" w:color="000000"/>
            </w:tcBorders>
          </w:tcPr>
          <w:p>
            <w:pPr>
              <w:pStyle w:val="TableParagraph"/>
              <w:spacing w:line="194" w:lineRule="exact"/>
              <w:ind w:right="215"/>
              <w:jc w:val="right"/>
              <w:rPr>
                <w:sz w:val="17"/>
              </w:rPr>
            </w:pPr>
            <w:r>
              <w:rPr>
                <w:w w:val="105"/>
                <w:sz w:val="17"/>
              </w:rPr>
              <w:t>Organismo descentralizado</w:t>
            </w:r>
          </w:p>
        </w:tc>
      </w:tr>
      <w:tr>
        <w:trPr>
          <w:trHeight w:val="312" w:hRule="exact"/>
        </w:trPr>
        <w:tc>
          <w:tcPr>
            <w:tcW w:w="1747" w:type="dxa"/>
            <w:vMerge/>
            <w:tcBorders>
              <w:right w:val="single" w:sz="4" w:space="0" w:color="000000"/>
            </w:tcBorders>
          </w:tcPr>
          <w:p>
            <w:pPr/>
          </w:p>
        </w:tc>
        <w:tc>
          <w:tcPr>
            <w:tcW w:w="1747"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left="108" w:right="94"/>
              <w:jc w:val="center"/>
              <w:rPr>
                <w:sz w:val="17"/>
              </w:rPr>
            </w:pPr>
            <w:r>
              <w:rPr>
                <w:w w:val="105"/>
                <w:sz w:val="17"/>
              </w:rPr>
              <w:t>Quintana Roo</w:t>
            </w:r>
          </w:p>
        </w:tc>
        <w:tc>
          <w:tcPr>
            <w:tcW w:w="1306"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left="452" w:right="453"/>
              <w:jc w:val="center"/>
              <w:rPr>
                <w:sz w:val="17"/>
              </w:rPr>
            </w:pPr>
            <w:r>
              <w:rPr>
                <w:w w:val="105"/>
                <w:sz w:val="17"/>
              </w:rPr>
              <w:t>87.9</w:t>
            </w:r>
          </w:p>
        </w:tc>
        <w:tc>
          <w:tcPr>
            <w:tcW w:w="1378"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right="563"/>
              <w:jc w:val="right"/>
              <w:rPr>
                <w:sz w:val="17"/>
              </w:rPr>
            </w:pPr>
            <w:r>
              <w:rPr>
                <w:w w:val="105"/>
                <w:sz w:val="17"/>
              </w:rPr>
              <w:t>5.3</w:t>
            </w:r>
          </w:p>
        </w:tc>
        <w:tc>
          <w:tcPr>
            <w:tcW w:w="2563" w:type="dxa"/>
            <w:tcBorders>
              <w:top w:val="single" w:sz="4" w:space="0" w:color="000000"/>
              <w:left w:val="single" w:sz="4" w:space="0" w:color="000000"/>
              <w:bottom w:val="single" w:sz="4" w:space="0" w:color="000000"/>
            </w:tcBorders>
          </w:tcPr>
          <w:p>
            <w:pPr>
              <w:pStyle w:val="TableParagraph"/>
              <w:spacing w:line="194" w:lineRule="exact"/>
              <w:ind w:right="215"/>
              <w:jc w:val="right"/>
              <w:rPr>
                <w:sz w:val="17"/>
              </w:rPr>
            </w:pPr>
            <w:r>
              <w:rPr>
                <w:w w:val="105"/>
                <w:sz w:val="17"/>
              </w:rPr>
              <w:t>Organismo descentralizado</w:t>
            </w:r>
          </w:p>
        </w:tc>
      </w:tr>
      <w:tr>
        <w:trPr>
          <w:trHeight w:val="314" w:hRule="exact"/>
        </w:trPr>
        <w:tc>
          <w:tcPr>
            <w:tcW w:w="1747" w:type="dxa"/>
            <w:vMerge/>
            <w:tcBorders>
              <w:right w:val="single" w:sz="4" w:space="0" w:color="000000"/>
            </w:tcBorders>
          </w:tcPr>
          <w:p>
            <w:pPr/>
          </w:p>
        </w:tc>
        <w:tc>
          <w:tcPr>
            <w:tcW w:w="1747" w:type="dxa"/>
            <w:tcBorders>
              <w:top w:val="single" w:sz="4" w:space="0" w:color="000000"/>
              <w:left w:val="single" w:sz="4" w:space="0" w:color="000000"/>
              <w:bottom w:val="single" w:sz="2" w:space="0" w:color="000000"/>
              <w:right w:val="single" w:sz="4" w:space="0" w:color="000000"/>
            </w:tcBorders>
          </w:tcPr>
          <w:p>
            <w:pPr>
              <w:pStyle w:val="TableParagraph"/>
              <w:spacing w:line="194" w:lineRule="exact"/>
              <w:ind w:left="102" w:right="100"/>
              <w:jc w:val="center"/>
              <w:rPr>
                <w:sz w:val="17"/>
              </w:rPr>
            </w:pPr>
            <w:r>
              <w:rPr>
                <w:w w:val="105"/>
                <w:sz w:val="17"/>
              </w:rPr>
              <w:t>Aguascalientes</w:t>
            </w:r>
          </w:p>
        </w:tc>
        <w:tc>
          <w:tcPr>
            <w:tcW w:w="1306" w:type="dxa"/>
            <w:tcBorders>
              <w:top w:val="single" w:sz="4" w:space="0" w:color="000000"/>
              <w:left w:val="single" w:sz="4" w:space="0" w:color="000000"/>
              <w:bottom w:val="single" w:sz="2" w:space="0" w:color="000000"/>
              <w:right w:val="single" w:sz="4" w:space="0" w:color="000000"/>
            </w:tcBorders>
          </w:tcPr>
          <w:p>
            <w:pPr>
              <w:pStyle w:val="TableParagraph"/>
              <w:spacing w:line="194" w:lineRule="exact"/>
              <w:ind w:left="452" w:right="453"/>
              <w:jc w:val="center"/>
              <w:rPr>
                <w:sz w:val="17"/>
              </w:rPr>
            </w:pPr>
            <w:r>
              <w:rPr>
                <w:w w:val="105"/>
                <w:sz w:val="17"/>
              </w:rPr>
              <w:t>87.1</w:t>
            </w:r>
          </w:p>
        </w:tc>
        <w:tc>
          <w:tcPr>
            <w:tcW w:w="1378" w:type="dxa"/>
            <w:tcBorders>
              <w:top w:val="single" w:sz="4" w:space="0" w:color="000000"/>
              <w:left w:val="single" w:sz="4" w:space="0" w:color="000000"/>
              <w:bottom w:val="single" w:sz="2" w:space="0" w:color="000000"/>
              <w:right w:val="single" w:sz="4" w:space="0" w:color="000000"/>
            </w:tcBorders>
          </w:tcPr>
          <w:p>
            <w:pPr>
              <w:pStyle w:val="TableParagraph"/>
              <w:spacing w:line="194" w:lineRule="exact"/>
              <w:ind w:right="563"/>
              <w:jc w:val="right"/>
              <w:rPr>
                <w:sz w:val="17"/>
              </w:rPr>
            </w:pPr>
            <w:r>
              <w:rPr>
                <w:w w:val="105"/>
                <w:sz w:val="17"/>
              </w:rPr>
              <w:t>5.9</w:t>
            </w:r>
          </w:p>
        </w:tc>
        <w:tc>
          <w:tcPr>
            <w:tcW w:w="2563" w:type="dxa"/>
            <w:tcBorders>
              <w:top w:val="single" w:sz="4" w:space="0" w:color="000000"/>
              <w:left w:val="single" w:sz="4" w:space="0" w:color="000000"/>
              <w:bottom w:val="single" w:sz="2" w:space="0" w:color="000000"/>
            </w:tcBorders>
          </w:tcPr>
          <w:p>
            <w:pPr>
              <w:pStyle w:val="TableParagraph"/>
              <w:spacing w:line="194" w:lineRule="exact"/>
              <w:ind w:right="215"/>
              <w:jc w:val="right"/>
              <w:rPr>
                <w:sz w:val="17"/>
              </w:rPr>
            </w:pPr>
            <w:r>
              <w:rPr>
                <w:w w:val="105"/>
                <w:sz w:val="17"/>
              </w:rPr>
              <w:t>Organismo descentralizado</w:t>
            </w:r>
          </w:p>
        </w:tc>
      </w:tr>
      <w:tr>
        <w:trPr>
          <w:trHeight w:val="310" w:hRule="exact"/>
        </w:trPr>
        <w:tc>
          <w:tcPr>
            <w:tcW w:w="1747" w:type="dxa"/>
            <w:vMerge/>
            <w:tcBorders>
              <w:right w:val="single" w:sz="4" w:space="0" w:color="000000"/>
            </w:tcBorders>
          </w:tcPr>
          <w:p>
            <w:pPr/>
          </w:p>
        </w:tc>
        <w:tc>
          <w:tcPr>
            <w:tcW w:w="1747" w:type="dxa"/>
            <w:tcBorders>
              <w:top w:val="single" w:sz="2" w:space="0" w:color="000000"/>
              <w:left w:val="single" w:sz="4" w:space="0" w:color="000000"/>
              <w:bottom w:val="single" w:sz="4" w:space="0" w:color="000000"/>
              <w:right w:val="single" w:sz="4" w:space="0" w:color="000000"/>
            </w:tcBorders>
          </w:tcPr>
          <w:p>
            <w:pPr>
              <w:pStyle w:val="TableParagraph"/>
              <w:spacing w:before="3"/>
              <w:ind w:left="100" w:right="100"/>
              <w:jc w:val="center"/>
              <w:rPr>
                <w:sz w:val="17"/>
              </w:rPr>
            </w:pPr>
            <w:r>
              <w:rPr>
                <w:w w:val="105"/>
                <w:sz w:val="17"/>
              </w:rPr>
              <w:t>Michoacán</w:t>
            </w:r>
          </w:p>
        </w:tc>
        <w:tc>
          <w:tcPr>
            <w:tcW w:w="1306" w:type="dxa"/>
            <w:tcBorders>
              <w:top w:val="single" w:sz="2" w:space="0" w:color="000000"/>
              <w:left w:val="single" w:sz="4" w:space="0" w:color="000000"/>
              <w:bottom w:val="single" w:sz="4" w:space="0" w:color="000000"/>
              <w:right w:val="single" w:sz="4" w:space="0" w:color="000000"/>
            </w:tcBorders>
          </w:tcPr>
          <w:p>
            <w:pPr>
              <w:pStyle w:val="TableParagraph"/>
              <w:spacing w:before="3"/>
              <w:ind w:left="451" w:right="454"/>
              <w:jc w:val="center"/>
              <w:rPr>
                <w:sz w:val="17"/>
              </w:rPr>
            </w:pPr>
            <w:r>
              <w:rPr>
                <w:w w:val="105"/>
                <w:sz w:val="17"/>
              </w:rPr>
              <w:t>86.7</w:t>
            </w:r>
          </w:p>
        </w:tc>
        <w:tc>
          <w:tcPr>
            <w:tcW w:w="1378" w:type="dxa"/>
            <w:tcBorders>
              <w:top w:val="single" w:sz="2" w:space="0" w:color="000000"/>
              <w:left w:val="single" w:sz="4" w:space="0" w:color="000000"/>
              <w:bottom w:val="single" w:sz="4" w:space="0" w:color="000000"/>
              <w:right w:val="single" w:sz="4" w:space="0" w:color="000000"/>
            </w:tcBorders>
          </w:tcPr>
          <w:p>
            <w:pPr>
              <w:pStyle w:val="TableParagraph"/>
              <w:spacing w:before="3"/>
              <w:ind w:right="563"/>
              <w:jc w:val="right"/>
              <w:rPr>
                <w:sz w:val="17"/>
              </w:rPr>
            </w:pPr>
            <w:r>
              <w:rPr>
                <w:w w:val="105"/>
                <w:sz w:val="17"/>
              </w:rPr>
              <w:t>8.4</w:t>
            </w:r>
          </w:p>
        </w:tc>
        <w:tc>
          <w:tcPr>
            <w:tcW w:w="2563" w:type="dxa"/>
            <w:tcBorders>
              <w:top w:val="single" w:sz="2" w:space="0" w:color="000000"/>
              <w:left w:val="single" w:sz="4" w:space="0" w:color="000000"/>
              <w:bottom w:val="single" w:sz="4" w:space="0" w:color="000000"/>
            </w:tcBorders>
          </w:tcPr>
          <w:p>
            <w:pPr>
              <w:pStyle w:val="TableParagraph"/>
              <w:spacing w:before="3"/>
              <w:ind w:right="288"/>
              <w:jc w:val="right"/>
              <w:rPr>
                <w:sz w:val="17"/>
              </w:rPr>
            </w:pPr>
            <w:r>
              <w:rPr>
                <w:w w:val="105"/>
                <w:sz w:val="17"/>
              </w:rPr>
              <w:t>Sistema estatal educativo</w:t>
            </w:r>
          </w:p>
        </w:tc>
      </w:tr>
      <w:tr>
        <w:trPr>
          <w:trHeight w:val="312" w:hRule="exact"/>
        </w:trPr>
        <w:tc>
          <w:tcPr>
            <w:tcW w:w="1747" w:type="dxa"/>
            <w:vMerge/>
            <w:tcBorders>
              <w:right w:val="single" w:sz="4" w:space="0" w:color="000000"/>
            </w:tcBorders>
          </w:tcPr>
          <w:p>
            <w:pPr/>
          </w:p>
        </w:tc>
        <w:tc>
          <w:tcPr>
            <w:tcW w:w="1747"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left="108" w:right="95"/>
              <w:jc w:val="center"/>
              <w:rPr>
                <w:sz w:val="17"/>
              </w:rPr>
            </w:pPr>
            <w:r>
              <w:rPr>
                <w:w w:val="105"/>
                <w:sz w:val="17"/>
              </w:rPr>
              <w:t>Morelos</w:t>
            </w:r>
          </w:p>
        </w:tc>
        <w:tc>
          <w:tcPr>
            <w:tcW w:w="1306"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left="452" w:right="453"/>
              <w:jc w:val="center"/>
              <w:rPr>
                <w:sz w:val="17"/>
              </w:rPr>
            </w:pPr>
            <w:r>
              <w:rPr>
                <w:w w:val="105"/>
                <w:sz w:val="17"/>
              </w:rPr>
              <w:t>85.8</w:t>
            </w:r>
          </w:p>
        </w:tc>
        <w:tc>
          <w:tcPr>
            <w:tcW w:w="1378"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right="563"/>
              <w:jc w:val="right"/>
              <w:rPr>
                <w:sz w:val="17"/>
              </w:rPr>
            </w:pPr>
            <w:r>
              <w:rPr>
                <w:w w:val="105"/>
                <w:sz w:val="17"/>
              </w:rPr>
              <w:t>2.5</w:t>
            </w:r>
          </w:p>
        </w:tc>
        <w:tc>
          <w:tcPr>
            <w:tcW w:w="2563" w:type="dxa"/>
            <w:tcBorders>
              <w:top w:val="single" w:sz="4" w:space="0" w:color="000000"/>
              <w:left w:val="single" w:sz="4" w:space="0" w:color="000000"/>
              <w:bottom w:val="single" w:sz="4" w:space="0" w:color="000000"/>
            </w:tcBorders>
          </w:tcPr>
          <w:p>
            <w:pPr>
              <w:pStyle w:val="TableParagraph"/>
              <w:spacing w:line="194" w:lineRule="exact"/>
              <w:ind w:right="215"/>
              <w:jc w:val="right"/>
              <w:rPr>
                <w:sz w:val="17"/>
              </w:rPr>
            </w:pPr>
            <w:r>
              <w:rPr>
                <w:w w:val="105"/>
                <w:sz w:val="17"/>
              </w:rPr>
              <w:t>Organismo descentralizado</w:t>
            </w:r>
          </w:p>
        </w:tc>
      </w:tr>
      <w:tr>
        <w:trPr>
          <w:trHeight w:val="312" w:hRule="exact"/>
        </w:trPr>
        <w:tc>
          <w:tcPr>
            <w:tcW w:w="1747" w:type="dxa"/>
            <w:vMerge/>
            <w:tcBorders>
              <w:bottom w:val="single" w:sz="4" w:space="0" w:color="000000"/>
              <w:right w:val="single" w:sz="4" w:space="0" w:color="000000"/>
            </w:tcBorders>
          </w:tcPr>
          <w:p>
            <w:pPr/>
          </w:p>
        </w:tc>
        <w:tc>
          <w:tcPr>
            <w:tcW w:w="1747"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left="108" w:right="100"/>
              <w:jc w:val="center"/>
              <w:rPr>
                <w:sz w:val="17"/>
              </w:rPr>
            </w:pPr>
            <w:r>
              <w:rPr>
                <w:w w:val="105"/>
                <w:sz w:val="17"/>
              </w:rPr>
              <w:t>Colima</w:t>
            </w:r>
          </w:p>
        </w:tc>
        <w:tc>
          <w:tcPr>
            <w:tcW w:w="1306"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left="452" w:right="453"/>
              <w:jc w:val="center"/>
              <w:rPr>
                <w:sz w:val="17"/>
              </w:rPr>
            </w:pPr>
            <w:r>
              <w:rPr>
                <w:w w:val="105"/>
                <w:sz w:val="17"/>
              </w:rPr>
              <w:t>85.6</w:t>
            </w:r>
          </w:p>
        </w:tc>
        <w:tc>
          <w:tcPr>
            <w:tcW w:w="1378"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right="563"/>
              <w:jc w:val="right"/>
              <w:rPr>
                <w:sz w:val="17"/>
              </w:rPr>
            </w:pPr>
            <w:r>
              <w:rPr>
                <w:w w:val="105"/>
                <w:sz w:val="17"/>
              </w:rPr>
              <w:t>7.6</w:t>
            </w:r>
          </w:p>
        </w:tc>
        <w:tc>
          <w:tcPr>
            <w:tcW w:w="2563" w:type="dxa"/>
            <w:tcBorders>
              <w:top w:val="single" w:sz="4" w:space="0" w:color="000000"/>
              <w:left w:val="single" w:sz="4" w:space="0" w:color="000000"/>
              <w:bottom w:val="single" w:sz="4" w:space="0" w:color="000000"/>
            </w:tcBorders>
          </w:tcPr>
          <w:p>
            <w:pPr>
              <w:pStyle w:val="TableParagraph"/>
              <w:spacing w:line="194" w:lineRule="exact"/>
              <w:ind w:right="215"/>
              <w:jc w:val="right"/>
              <w:rPr>
                <w:sz w:val="17"/>
              </w:rPr>
            </w:pPr>
            <w:r>
              <w:rPr>
                <w:w w:val="105"/>
                <w:sz w:val="17"/>
              </w:rPr>
              <w:t>Organismo descentralizado</w:t>
            </w:r>
          </w:p>
        </w:tc>
      </w:tr>
      <w:tr>
        <w:trPr>
          <w:trHeight w:val="312" w:hRule="exact"/>
        </w:trPr>
        <w:tc>
          <w:tcPr>
            <w:tcW w:w="1747" w:type="dxa"/>
            <w:vMerge w:val="restart"/>
            <w:tcBorders>
              <w:top w:val="single" w:sz="4" w:space="0" w:color="000000"/>
              <w:right w:val="single" w:sz="4" w:space="0" w:color="000000"/>
            </w:tcBorders>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8"/>
              <w:rPr>
                <w:b/>
                <w:sz w:val="15"/>
              </w:rPr>
            </w:pPr>
          </w:p>
          <w:p>
            <w:pPr>
              <w:pStyle w:val="TableParagraph"/>
              <w:spacing w:line="372" w:lineRule="auto"/>
              <w:ind w:left="216" w:right="197" w:hanging="2"/>
              <w:jc w:val="center"/>
              <w:rPr>
                <w:sz w:val="17"/>
              </w:rPr>
            </w:pPr>
            <w:r>
              <w:rPr>
                <w:w w:val="105"/>
                <w:sz w:val="17"/>
              </w:rPr>
              <w:t>Coexistencia de sistema federal</w:t>
            </w:r>
            <w:r>
              <w:rPr>
                <w:spacing w:val="-27"/>
                <w:w w:val="105"/>
                <w:sz w:val="17"/>
              </w:rPr>
              <w:t> </w:t>
            </w:r>
            <w:r>
              <w:rPr>
                <w:w w:val="105"/>
                <w:sz w:val="17"/>
              </w:rPr>
              <w:t>y estatal, con predominio del federal</w:t>
            </w:r>
          </w:p>
        </w:tc>
        <w:tc>
          <w:tcPr>
            <w:tcW w:w="1747"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left="105" w:right="100"/>
              <w:jc w:val="center"/>
              <w:rPr>
                <w:sz w:val="17"/>
              </w:rPr>
            </w:pPr>
            <w:r>
              <w:rPr>
                <w:w w:val="105"/>
                <w:sz w:val="17"/>
              </w:rPr>
              <w:t>Tabasco</w:t>
            </w:r>
          </w:p>
        </w:tc>
        <w:tc>
          <w:tcPr>
            <w:tcW w:w="1306"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left="452" w:right="453"/>
              <w:jc w:val="center"/>
              <w:rPr>
                <w:sz w:val="17"/>
              </w:rPr>
            </w:pPr>
            <w:r>
              <w:rPr>
                <w:w w:val="105"/>
                <w:sz w:val="17"/>
              </w:rPr>
              <w:t>80.8</w:t>
            </w:r>
          </w:p>
        </w:tc>
        <w:tc>
          <w:tcPr>
            <w:tcW w:w="1378"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right="525"/>
              <w:jc w:val="right"/>
              <w:rPr>
                <w:sz w:val="17"/>
              </w:rPr>
            </w:pPr>
            <w:r>
              <w:rPr>
                <w:sz w:val="17"/>
              </w:rPr>
              <w:t>15.4</w:t>
            </w:r>
          </w:p>
        </w:tc>
        <w:tc>
          <w:tcPr>
            <w:tcW w:w="2563" w:type="dxa"/>
            <w:tcBorders>
              <w:top w:val="single" w:sz="4" w:space="0" w:color="000000"/>
              <w:left w:val="single" w:sz="4" w:space="0" w:color="000000"/>
              <w:bottom w:val="single" w:sz="4" w:space="0" w:color="000000"/>
            </w:tcBorders>
          </w:tcPr>
          <w:p>
            <w:pPr>
              <w:pStyle w:val="TableParagraph"/>
              <w:spacing w:line="194" w:lineRule="exact"/>
              <w:ind w:right="283"/>
              <w:jc w:val="right"/>
              <w:rPr>
                <w:sz w:val="17"/>
              </w:rPr>
            </w:pPr>
            <w:r>
              <w:rPr>
                <w:w w:val="105"/>
                <w:sz w:val="17"/>
              </w:rPr>
              <w:t>Sistema estatal educativo</w:t>
            </w:r>
          </w:p>
        </w:tc>
      </w:tr>
      <w:tr>
        <w:trPr>
          <w:trHeight w:val="312" w:hRule="exact"/>
        </w:trPr>
        <w:tc>
          <w:tcPr>
            <w:tcW w:w="1747" w:type="dxa"/>
            <w:vMerge/>
            <w:tcBorders>
              <w:right w:val="single" w:sz="4" w:space="0" w:color="000000"/>
            </w:tcBorders>
          </w:tcPr>
          <w:p>
            <w:pPr/>
          </w:p>
        </w:tc>
        <w:tc>
          <w:tcPr>
            <w:tcW w:w="1747"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left="103" w:right="100"/>
              <w:jc w:val="center"/>
              <w:rPr>
                <w:sz w:val="17"/>
              </w:rPr>
            </w:pPr>
            <w:r>
              <w:rPr>
                <w:w w:val="105"/>
                <w:sz w:val="17"/>
              </w:rPr>
              <w:t>Guerrero</w:t>
            </w:r>
          </w:p>
        </w:tc>
        <w:tc>
          <w:tcPr>
            <w:tcW w:w="1306"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left="452" w:right="453"/>
              <w:jc w:val="center"/>
              <w:rPr>
                <w:sz w:val="17"/>
              </w:rPr>
            </w:pPr>
            <w:r>
              <w:rPr>
                <w:w w:val="105"/>
                <w:sz w:val="17"/>
              </w:rPr>
              <w:t>79.8</w:t>
            </w:r>
          </w:p>
        </w:tc>
        <w:tc>
          <w:tcPr>
            <w:tcW w:w="1378"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right="525"/>
              <w:jc w:val="right"/>
              <w:rPr>
                <w:sz w:val="17"/>
              </w:rPr>
            </w:pPr>
            <w:r>
              <w:rPr>
                <w:sz w:val="17"/>
              </w:rPr>
              <w:t>18.4</w:t>
            </w:r>
          </w:p>
        </w:tc>
        <w:tc>
          <w:tcPr>
            <w:tcW w:w="2563" w:type="dxa"/>
            <w:tcBorders>
              <w:top w:val="single" w:sz="4" w:space="0" w:color="000000"/>
              <w:left w:val="single" w:sz="4" w:space="0" w:color="000000"/>
              <w:bottom w:val="single" w:sz="4" w:space="0" w:color="000000"/>
            </w:tcBorders>
          </w:tcPr>
          <w:p>
            <w:pPr>
              <w:pStyle w:val="TableParagraph"/>
              <w:spacing w:line="194" w:lineRule="exact"/>
              <w:ind w:right="214"/>
              <w:jc w:val="right"/>
              <w:rPr>
                <w:sz w:val="17"/>
              </w:rPr>
            </w:pPr>
            <w:r>
              <w:rPr>
                <w:w w:val="105"/>
                <w:sz w:val="17"/>
              </w:rPr>
              <w:t>Organismo descentralizado</w:t>
            </w:r>
          </w:p>
        </w:tc>
      </w:tr>
      <w:tr>
        <w:trPr>
          <w:trHeight w:val="312" w:hRule="exact"/>
        </w:trPr>
        <w:tc>
          <w:tcPr>
            <w:tcW w:w="1747" w:type="dxa"/>
            <w:vMerge/>
            <w:tcBorders>
              <w:right w:val="single" w:sz="4" w:space="0" w:color="000000"/>
            </w:tcBorders>
          </w:tcPr>
          <w:p>
            <w:pPr/>
          </w:p>
        </w:tc>
        <w:tc>
          <w:tcPr>
            <w:tcW w:w="1747"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left="106" w:right="100"/>
              <w:jc w:val="center"/>
              <w:rPr>
                <w:sz w:val="17"/>
              </w:rPr>
            </w:pPr>
            <w:r>
              <w:rPr>
                <w:w w:val="105"/>
                <w:sz w:val="17"/>
              </w:rPr>
              <w:t>Nayarit</w:t>
            </w:r>
          </w:p>
        </w:tc>
        <w:tc>
          <w:tcPr>
            <w:tcW w:w="1306"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left="452" w:right="453"/>
              <w:jc w:val="center"/>
              <w:rPr>
                <w:sz w:val="17"/>
              </w:rPr>
            </w:pPr>
            <w:r>
              <w:rPr>
                <w:w w:val="105"/>
                <w:sz w:val="17"/>
              </w:rPr>
              <w:t>79.7</w:t>
            </w:r>
          </w:p>
        </w:tc>
        <w:tc>
          <w:tcPr>
            <w:tcW w:w="1378"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right="525"/>
              <w:jc w:val="right"/>
              <w:rPr>
                <w:sz w:val="17"/>
              </w:rPr>
            </w:pPr>
            <w:r>
              <w:rPr>
                <w:sz w:val="17"/>
              </w:rPr>
              <w:t>18.0</w:t>
            </w:r>
          </w:p>
        </w:tc>
        <w:tc>
          <w:tcPr>
            <w:tcW w:w="2563" w:type="dxa"/>
            <w:tcBorders>
              <w:top w:val="single" w:sz="4" w:space="0" w:color="000000"/>
              <w:left w:val="single" w:sz="4" w:space="0" w:color="000000"/>
              <w:bottom w:val="single" w:sz="4" w:space="0" w:color="000000"/>
            </w:tcBorders>
          </w:tcPr>
          <w:p>
            <w:pPr>
              <w:pStyle w:val="TableParagraph"/>
              <w:spacing w:line="194" w:lineRule="exact"/>
              <w:ind w:right="215"/>
              <w:jc w:val="right"/>
              <w:rPr>
                <w:sz w:val="17"/>
              </w:rPr>
            </w:pPr>
            <w:r>
              <w:rPr>
                <w:w w:val="105"/>
                <w:sz w:val="17"/>
              </w:rPr>
              <w:t>Organismo descentralizado</w:t>
            </w:r>
          </w:p>
        </w:tc>
      </w:tr>
      <w:tr>
        <w:trPr>
          <w:trHeight w:val="312" w:hRule="exact"/>
        </w:trPr>
        <w:tc>
          <w:tcPr>
            <w:tcW w:w="1747" w:type="dxa"/>
            <w:vMerge/>
            <w:tcBorders>
              <w:right w:val="single" w:sz="4" w:space="0" w:color="000000"/>
            </w:tcBorders>
          </w:tcPr>
          <w:p>
            <w:pPr/>
          </w:p>
        </w:tc>
        <w:tc>
          <w:tcPr>
            <w:tcW w:w="1747"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left="94" w:right="100"/>
              <w:jc w:val="center"/>
              <w:rPr>
                <w:sz w:val="17"/>
              </w:rPr>
            </w:pPr>
            <w:r>
              <w:rPr>
                <w:w w:val="105"/>
                <w:sz w:val="17"/>
              </w:rPr>
              <w:t>Coahuila</w:t>
            </w:r>
          </w:p>
        </w:tc>
        <w:tc>
          <w:tcPr>
            <w:tcW w:w="1306"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left="452" w:right="453"/>
              <w:jc w:val="center"/>
              <w:rPr>
                <w:sz w:val="17"/>
              </w:rPr>
            </w:pPr>
            <w:r>
              <w:rPr>
                <w:w w:val="105"/>
                <w:sz w:val="17"/>
              </w:rPr>
              <w:t>79.9</w:t>
            </w:r>
          </w:p>
        </w:tc>
        <w:tc>
          <w:tcPr>
            <w:tcW w:w="1378"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right="525"/>
              <w:jc w:val="right"/>
              <w:rPr>
                <w:sz w:val="17"/>
              </w:rPr>
            </w:pPr>
            <w:r>
              <w:rPr>
                <w:sz w:val="17"/>
              </w:rPr>
              <w:t>12.6</w:t>
            </w:r>
          </w:p>
        </w:tc>
        <w:tc>
          <w:tcPr>
            <w:tcW w:w="2563" w:type="dxa"/>
            <w:tcBorders>
              <w:top w:val="single" w:sz="4" w:space="0" w:color="000000"/>
              <w:left w:val="single" w:sz="4" w:space="0" w:color="000000"/>
              <w:bottom w:val="single" w:sz="4" w:space="0" w:color="000000"/>
            </w:tcBorders>
          </w:tcPr>
          <w:p>
            <w:pPr>
              <w:pStyle w:val="TableParagraph"/>
              <w:spacing w:line="194" w:lineRule="exact"/>
              <w:ind w:right="215"/>
              <w:jc w:val="right"/>
              <w:rPr>
                <w:sz w:val="17"/>
              </w:rPr>
            </w:pPr>
            <w:r>
              <w:rPr>
                <w:w w:val="105"/>
                <w:sz w:val="17"/>
              </w:rPr>
              <w:t>Organismo descentralizado</w:t>
            </w:r>
          </w:p>
        </w:tc>
      </w:tr>
      <w:tr>
        <w:trPr>
          <w:trHeight w:val="312" w:hRule="exact"/>
        </w:trPr>
        <w:tc>
          <w:tcPr>
            <w:tcW w:w="1747" w:type="dxa"/>
            <w:vMerge/>
            <w:tcBorders>
              <w:right w:val="single" w:sz="4" w:space="0" w:color="000000"/>
            </w:tcBorders>
          </w:tcPr>
          <w:p>
            <w:pPr/>
          </w:p>
        </w:tc>
        <w:tc>
          <w:tcPr>
            <w:tcW w:w="1747"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left="99" w:right="100"/>
              <w:jc w:val="center"/>
              <w:rPr>
                <w:sz w:val="17"/>
              </w:rPr>
            </w:pPr>
            <w:r>
              <w:rPr>
                <w:w w:val="105"/>
                <w:sz w:val="17"/>
              </w:rPr>
              <w:t>Yucatán</w:t>
            </w:r>
          </w:p>
        </w:tc>
        <w:tc>
          <w:tcPr>
            <w:tcW w:w="1306"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left="452" w:right="453"/>
              <w:jc w:val="center"/>
              <w:rPr>
                <w:sz w:val="17"/>
              </w:rPr>
            </w:pPr>
            <w:r>
              <w:rPr>
                <w:w w:val="105"/>
                <w:sz w:val="17"/>
              </w:rPr>
              <w:t>77.6</w:t>
            </w:r>
          </w:p>
        </w:tc>
        <w:tc>
          <w:tcPr>
            <w:tcW w:w="1378"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right="525"/>
              <w:jc w:val="right"/>
              <w:rPr>
                <w:sz w:val="17"/>
              </w:rPr>
            </w:pPr>
            <w:r>
              <w:rPr>
                <w:sz w:val="17"/>
              </w:rPr>
              <w:t>15.6</w:t>
            </w:r>
          </w:p>
        </w:tc>
        <w:tc>
          <w:tcPr>
            <w:tcW w:w="2563" w:type="dxa"/>
            <w:tcBorders>
              <w:top w:val="single" w:sz="4" w:space="0" w:color="000000"/>
              <w:left w:val="single" w:sz="4" w:space="0" w:color="000000"/>
              <w:bottom w:val="single" w:sz="4" w:space="0" w:color="000000"/>
            </w:tcBorders>
          </w:tcPr>
          <w:p>
            <w:pPr>
              <w:pStyle w:val="TableParagraph"/>
              <w:spacing w:line="194" w:lineRule="exact"/>
              <w:ind w:right="277"/>
              <w:jc w:val="right"/>
              <w:rPr>
                <w:sz w:val="17"/>
              </w:rPr>
            </w:pPr>
            <w:r>
              <w:rPr>
                <w:w w:val="105"/>
                <w:sz w:val="17"/>
              </w:rPr>
              <w:t>Sistema educativo estatal</w:t>
            </w:r>
          </w:p>
        </w:tc>
      </w:tr>
      <w:tr>
        <w:trPr>
          <w:trHeight w:val="310" w:hRule="exact"/>
        </w:trPr>
        <w:tc>
          <w:tcPr>
            <w:tcW w:w="1747" w:type="dxa"/>
            <w:vMerge/>
            <w:tcBorders>
              <w:right w:val="single" w:sz="4" w:space="0" w:color="000000"/>
            </w:tcBorders>
          </w:tcPr>
          <w:p>
            <w:pPr/>
          </w:p>
        </w:tc>
        <w:tc>
          <w:tcPr>
            <w:tcW w:w="1747" w:type="dxa"/>
            <w:tcBorders>
              <w:top w:val="single" w:sz="4" w:space="0" w:color="000000"/>
              <w:left w:val="single" w:sz="4" w:space="0" w:color="000000"/>
              <w:bottom w:val="single" w:sz="2" w:space="0" w:color="000000"/>
              <w:right w:val="single" w:sz="4" w:space="0" w:color="000000"/>
            </w:tcBorders>
          </w:tcPr>
          <w:p>
            <w:pPr>
              <w:pStyle w:val="TableParagraph"/>
              <w:spacing w:line="194" w:lineRule="exact"/>
              <w:ind w:left="108" w:right="99"/>
              <w:jc w:val="center"/>
              <w:rPr>
                <w:sz w:val="17"/>
              </w:rPr>
            </w:pPr>
            <w:r>
              <w:rPr>
                <w:w w:val="105"/>
                <w:sz w:val="17"/>
              </w:rPr>
              <w:t>Chiapas</w:t>
            </w:r>
          </w:p>
        </w:tc>
        <w:tc>
          <w:tcPr>
            <w:tcW w:w="1306" w:type="dxa"/>
            <w:tcBorders>
              <w:top w:val="single" w:sz="4" w:space="0" w:color="000000"/>
              <w:left w:val="single" w:sz="4" w:space="0" w:color="000000"/>
              <w:bottom w:val="single" w:sz="2" w:space="0" w:color="000000"/>
              <w:right w:val="single" w:sz="4" w:space="0" w:color="000000"/>
            </w:tcBorders>
          </w:tcPr>
          <w:p>
            <w:pPr>
              <w:pStyle w:val="TableParagraph"/>
              <w:spacing w:line="194" w:lineRule="exact"/>
              <w:ind w:left="452" w:right="453"/>
              <w:jc w:val="center"/>
              <w:rPr>
                <w:sz w:val="17"/>
              </w:rPr>
            </w:pPr>
            <w:r>
              <w:rPr>
                <w:w w:val="105"/>
                <w:sz w:val="17"/>
              </w:rPr>
              <w:t>77.1</w:t>
            </w:r>
          </w:p>
        </w:tc>
        <w:tc>
          <w:tcPr>
            <w:tcW w:w="1378" w:type="dxa"/>
            <w:tcBorders>
              <w:top w:val="single" w:sz="4" w:space="0" w:color="000000"/>
              <w:left w:val="single" w:sz="4" w:space="0" w:color="000000"/>
              <w:bottom w:val="single" w:sz="2" w:space="0" w:color="000000"/>
              <w:right w:val="single" w:sz="4" w:space="0" w:color="000000"/>
            </w:tcBorders>
          </w:tcPr>
          <w:p>
            <w:pPr>
              <w:pStyle w:val="TableParagraph"/>
              <w:spacing w:line="194" w:lineRule="exact"/>
              <w:ind w:right="525"/>
              <w:jc w:val="right"/>
              <w:rPr>
                <w:sz w:val="17"/>
              </w:rPr>
            </w:pPr>
            <w:r>
              <w:rPr>
                <w:sz w:val="17"/>
              </w:rPr>
              <w:t>20.5</w:t>
            </w:r>
          </w:p>
        </w:tc>
        <w:tc>
          <w:tcPr>
            <w:tcW w:w="2563" w:type="dxa"/>
            <w:tcBorders>
              <w:top w:val="single" w:sz="4" w:space="0" w:color="000000"/>
              <w:left w:val="single" w:sz="4" w:space="0" w:color="000000"/>
              <w:bottom w:val="single" w:sz="2" w:space="0" w:color="000000"/>
            </w:tcBorders>
          </w:tcPr>
          <w:p>
            <w:pPr>
              <w:pStyle w:val="TableParagraph"/>
              <w:spacing w:line="194" w:lineRule="exact"/>
              <w:ind w:right="215"/>
              <w:jc w:val="right"/>
              <w:rPr>
                <w:sz w:val="17"/>
              </w:rPr>
            </w:pPr>
            <w:r>
              <w:rPr>
                <w:w w:val="105"/>
                <w:sz w:val="17"/>
              </w:rPr>
              <w:t>Organismo descentralizado</w:t>
            </w:r>
          </w:p>
        </w:tc>
      </w:tr>
      <w:tr>
        <w:trPr>
          <w:trHeight w:val="314" w:hRule="exact"/>
        </w:trPr>
        <w:tc>
          <w:tcPr>
            <w:tcW w:w="1747" w:type="dxa"/>
            <w:vMerge/>
            <w:tcBorders>
              <w:right w:val="single" w:sz="4" w:space="0" w:color="000000"/>
            </w:tcBorders>
          </w:tcPr>
          <w:p>
            <w:pPr/>
          </w:p>
        </w:tc>
        <w:tc>
          <w:tcPr>
            <w:tcW w:w="1747" w:type="dxa"/>
            <w:tcBorders>
              <w:top w:val="single" w:sz="2" w:space="0" w:color="000000"/>
              <w:left w:val="single" w:sz="4" w:space="0" w:color="000000"/>
              <w:bottom w:val="single" w:sz="4" w:space="0" w:color="000000"/>
              <w:right w:val="single" w:sz="4" w:space="0" w:color="000000"/>
            </w:tcBorders>
          </w:tcPr>
          <w:p>
            <w:pPr>
              <w:pStyle w:val="TableParagraph"/>
              <w:spacing w:before="8"/>
              <w:ind w:left="108" w:right="94"/>
              <w:jc w:val="center"/>
              <w:rPr>
                <w:sz w:val="17"/>
              </w:rPr>
            </w:pPr>
            <w:r>
              <w:rPr>
                <w:w w:val="105"/>
                <w:sz w:val="17"/>
              </w:rPr>
              <w:t>Sinaloa</w:t>
            </w:r>
          </w:p>
        </w:tc>
        <w:tc>
          <w:tcPr>
            <w:tcW w:w="1306" w:type="dxa"/>
            <w:tcBorders>
              <w:top w:val="single" w:sz="2" w:space="0" w:color="000000"/>
              <w:left w:val="single" w:sz="4" w:space="0" w:color="000000"/>
              <w:bottom w:val="single" w:sz="4" w:space="0" w:color="000000"/>
              <w:right w:val="single" w:sz="4" w:space="0" w:color="000000"/>
            </w:tcBorders>
          </w:tcPr>
          <w:p>
            <w:pPr>
              <w:pStyle w:val="TableParagraph"/>
              <w:spacing w:before="8"/>
              <w:ind w:left="451" w:right="454"/>
              <w:jc w:val="center"/>
              <w:rPr>
                <w:sz w:val="17"/>
              </w:rPr>
            </w:pPr>
            <w:r>
              <w:rPr>
                <w:w w:val="105"/>
                <w:sz w:val="17"/>
              </w:rPr>
              <w:t>76.8</w:t>
            </w:r>
          </w:p>
        </w:tc>
        <w:tc>
          <w:tcPr>
            <w:tcW w:w="1378" w:type="dxa"/>
            <w:tcBorders>
              <w:top w:val="single" w:sz="2" w:space="0" w:color="000000"/>
              <w:left w:val="single" w:sz="4" w:space="0" w:color="000000"/>
              <w:bottom w:val="single" w:sz="4" w:space="0" w:color="000000"/>
              <w:right w:val="single" w:sz="4" w:space="0" w:color="000000"/>
            </w:tcBorders>
          </w:tcPr>
          <w:p>
            <w:pPr>
              <w:pStyle w:val="TableParagraph"/>
              <w:spacing w:before="8"/>
              <w:ind w:right="525"/>
              <w:jc w:val="right"/>
              <w:rPr>
                <w:sz w:val="17"/>
              </w:rPr>
            </w:pPr>
            <w:r>
              <w:rPr>
                <w:sz w:val="17"/>
              </w:rPr>
              <w:t>19.6</w:t>
            </w:r>
          </w:p>
        </w:tc>
        <w:tc>
          <w:tcPr>
            <w:tcW w:w="2563" w:type="dxa"/>
            <w:tcBorders>
              <w:top w:val="single" w:sz="2" w:space="0" w:color="000000"/>
              <w:left w:val="single" w:sz="4" w:space="0" w:color="000000"/>
              <w:bottom w:val="single" w:sz="4" w:space="0" w:color="000000"/>
            </w:tcBorders>
          </w:tcPr>
          <w:p>
            <w:pPr>
              <w:pStyle w:val="TableParagraph"/>
              <w:spacing w:before="8"/>
              <w:ind w:right="215"/>
              <w:jc w:val="right"/>
              <w:rPr>
                <w:sz w:val="17"/>
              </w:rPr>
            </w:pPr>
            <w:r>
              <w:rPr>
                <w:w w:val="105"/>
                <w:sz w:val="17"/>
              </w:rPr>
              <w:t>Organismo descentralizado</w:t>
            </w:r>
          </w:p>
        </w:tc>
      </w:tr>
      <w:tr>
        <w:trPr>
          <w:trHeight w:val="312" w:hRule="exact"/>
        </w:trPr>
        <w:tc>
          <w:tcPr>
            <w:tcW w:w="1747" w:type="dxa"/>
            <w:vMerge/>
            <w:tcBorders>
              <w:right w:val="single" w:sz="4" w:space="0" w:color="000000"/>
            </w:tcBorders>
          </w:tcPr>
          <w:p>
            <w:pPr/>
          </w:p>
        </w:tc>
        <w:tc>
          <w:tcPr>
            <w:tcW w:w="1747"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left="108" w:right="95"/>
              <w:jc w:val="center"/>
              <w:rPr>
                <w:sz w:val="17"/>
              </w:rPr>
            </w:pPr>
            <w:r>
              <w:rPr>
                <w:w w:val="105"/>
                <w:sz w:val="17"/>
              </w:rPr>
              <w:t>San Luis Potosí</w:t>
            </w:r>
          </w:p>
        </w:tc>
        <w:tc>
          <w:tcPr>
            <w:tcW w:w="1306"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left="452" w:right="453"/>
              <w:jc w:val="center"/>
              <w:rPr>
                <w:sz w:val="17"/>
              </w:rPr>
            </w:pPr>
            <w:r>
              <w:rPr>
                <w:w w:val="105"/>
                <w:sz w:val="17"/>
              </w:rPr>
              <w:t>76.5</w:t>
            </w:r>
          </w:p>
        </w:tc>
        <w:tc>
          <w:tcPr>
            <w:tcW w:w="1378"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right="525"/>
              <w:jc w:val="right"/>
              <w:rPr>
                <w:sz w:val="17"/>
              </w:rPr>
            </w:pPr>
            <w:r>
              <w:rPr>
                <w:sz w:val="17"/>
              </w:rPr>
              <w:t>20.5</w:t>
            </w:r>
          </w:p>
        </w:tc>
        <w:tc>
          <w:tcPr>
            <w:tcW w:w="2563" w:type="dxa"/>
            <w:tcBorders>
              <w:top w:val="single" w:sz="4" w:space="0" w:color="000000"/>
              <w:left w:val="single" w:sz="4" w:space="0" w:color="000000"/>
              <w:bottom w:val="single" w:sz="4" w:space="0" w:color="000000"/>
            </w:tcBorders>
          </w:tcPr>
          <w:p>
            <w:pPr>
              <w:pStyle w:val="TableParagraph"/>
              <w:spacing w:line="194" w:lineRule="exact"/>
              <w:ind w:right="215"/>
              <w:jc w:val="right"/>
              <w:rPr>
                <w:sz w:val="17"/>
              </w:rPr>
            </w:pPr>
            <w:r>
              <w:rPr>
                <w:w w:val="105"/>
                <w:sz w:val="17"/>
              </w:rPr>
              <w:t>Organismo descentralizado</w:t>
            </w:r>
          </w:p>
        </w:tc>
      </w:tr>
      <w:tr>
        <w:trPr>
          <w:trHeight w:val="312" w:hRule="exact"/>
        </w:trPr>
        <w:tc>
          <w:tcPr>
            <w:tcW w:w="1747" w:type="dxa"/>
            <w:vMerge/>
            <w:tcBorders>
              <w:right w:val="single" w:sz="4" w:space="0" w:color="000000"/>
            </w:tcBorders>
          </w:tcPr>
          <w:p>
            <w:pPr/>
          </w:p>
        </w:tc>
        <w:tc>
          <w:tcPr>
            <w:tcW w:w="1747"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left="102" w:right="100"/>
              <w:jc w:val="center"/>
              <w:rPr>
                <w:sz w:val="17"/>
              </w:rPr>
            </w:pPr>
            <w:r>
              <w:rPr>
                <w:w w:val="105"/>
                <w:sz w:val="17"/>
              </w:rPr>
              <w:t>Guanajuato</w:t>
            </w:r>
          </w:p>
        </w:tc>
        <w:tc>
          <w:tcPr>
            <w:tcW w:w="1306"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left="452" w:right="453"/>
              <w:jc w:val="center"/>
              <w:rPr>
                <w:sz w:val="17"/>
              </w:rPr>
            </w:pPr>
            <w:r>
              <w:rPr>
                <w:w w:val="105"/>
                <w:sz w:val="17"/>
              </w:rPr>
              <w:t>75.1</w:t>
            </w:r>
          </w:p>
        </w:tc>
        <w:tc>
          <w:tcPr>
            <w:tcW w:w="1378"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right="525"/>
              <w:jc w:val="right"/>
              <w:rPr>
                <w:sz w:val="17"/>
              </w:rPr>
            </w:pPr>
            <w:r>
              <w:rPr>
                <w:sz w:val="17"/>
              </w:rPr>
              <w:t>18.7</w:t>
            </w:r>
          </w:p>
        </w:tc>
        <w:tc>
          <w:tcPr>
            <w:tcW w:w="2563" w:type="dxa"/>
            <w:tcBorders>
              <w:top w:val="single" w:sz="4" w:space="0" w:color="000000"/>
              <w:left w:val="single" w:sz="4" w:space="0" w:color="000000"/>
              <w:bottom w:val="single" w:sz="4" w:space="0" w:color="000000"/>
            </w:tcBorders>
          </w:tcPr>
          <w:p>
            <w:pPr>
              <w:pStyle w:val="TableParagraph"/>
              <w:spacing w:line="194" w:lineRule="exact"/>
              <w:ind w:right="215"/>
              <w:jc w:val="right"/>
              <w:rPr>
                <w:sz w:val="17"/>
              </w:rPr>
            </w:pPr>
            <w:r>
              <w:rPr>
                <w:w w:val="105"/>
                <w:sz w:val="17"/>
              </w:rPr>
              <w:t>Organismo descentralizado</w:t>
            </w:r>
          </w:p>
        </w:tc>
      </w:tr>
      <w:tr>
        <w:trPr>
          <w:trHeight w:val="312" w:hRule="exact"/>
        </w:trPr>
        <w:tc>
          <w:tcPr>
            <w:tcW w:w="1747" w:type="dxa"/>
            <w:vMerge/>
            <w:tcBorders>
              <w:right w:val="single" w:sz="4" w:space="0" w:color="000000"/>
            </w:tcBorders>
          </w:tcPr>
          <w:p>
            <w:pPr/>
          </w:p>
        </w:tc>
        <w:tc>
          <w:tcPr>
            <w:tcW w:w="1747"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left="101" w:right="100"/>
              <w:jc w:val="center"/>
              <w:rPr>
                <w:sz w:val="17"/>
              </w:rPr>
            </w:pPr>
            <w:r>
              <w:rPr>
                <w:w w:val="105"/>
                <w:sz w:val="17"/>
              </w:rPr>
              <w:t>Puebla</w:t>
            </w:r>
          </w:p>
        </w:tc>
        <w:tc>
          <w:tcPr>
            <w:tcW w:w="1306"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left="452" w:right="453"/>
              <w:jc w:val="center"/>
              <w:rPr>
                <w:sz w:val="17"/>
              </w:rPr>
            </w:pPr>
            <w:r>
              <w:rPr>
                <w:w w:val="105"/>
                <w:sz w:val="17"/>
              </w:rPr>
              <w:t>72.5</w:t>
            </w:r>
          </w:p>
        </w:tc>
        <w:tc>
          <w:tcPr>
            <w:tcW w:w="1378"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right="525"/>
              <w:jc w:val="right"/>
              <w:rPr>
                <w:sz w:val="17"/>
              </w:rPr>
            </w:pPr>
            <w:r>
              <w:rPr>
                <w:sz w:val="17"/>
              </w:rPr>
              <w:t>20.6</w:t>
            </w:r>
          </w:p>
        </w:tc>
        <w:tc>
          <w:tcPr>
            <w:tcW w:w="2563" w:type="dxa"/>
            <w:tcBorders>
              <w:top w:val="single" w:sz="4" w:space="0" w:color="000000"/>
              <w:left w:val="single" w:sz="4" w:space="0" w:color="000000"/>
              <w:bottom w:val="single" w:sz="4" w:space="0" w:color="000000"/>
            </w:tcBorders>
          </w:tcPr>
          <w:p>
            <w:pPr>
              <w:pStyle w:val="TableParagraph"/>
              <w:spacing w:line="194" w:lineRule="exact"/>
              <w:ind w:right="215"/>
              <w:jc w:val="right"/>
              <w:rPr>
                <w:sz w:val="17"/>
              </w:rPr>
            </w:pPr>
            <w:r>
              <w:rPr>
                <w:w w:val="105"/>
                <w:sz w:val="17"/>
              </w:rPr>
              <w:t>Organismo descentralizado</w:t>
            </w:r>
          </w:p>
        </w:tc>
      </w:tr>
      <w:tr>
        <w:trPr>
          <w:trHeight w:val="312" w:hRule="exact"/>
        </w:trPr>
        <w:tc>
          <w:tcPr>
            <w:tcW w:w="1747" w:type="dxa"/>
            <w:vMerge/>
            <w:tcBorders>
              <w:right w:val="single" w:sz="4" w:space="0" w:color="000000"/>
            </w:tcBorders>
          </w:tcPr>
          <w:p>
            <w:pPr/>
          </w:p>
        </w:tc>
        <w:tc>
          <w:tcPr>
            <w:tcW w:w="1747"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left="108" w:right="100"/>
              <w:jc w:val="center"/>
              <w:rPr>
                <w:sz w:val="17"/>
              </w:rPr>
            </w:pPr>
            <w:r>
              <w:rPr>
                <w:w w:val="105"/>
                <w:sz w:val="17"/>
              </w:rPr>
              <w:t>Zacatecas</w:t>
            </w:r>
          </w:p>
        </w:tc>
        <w:tc>
          <w:tcPr>
            <w:tcW w:w="1306"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left="452" w:right="453"/>
              <w:jc w:val="center"/>
              <w:rPr>
                <w:sz w:val="17"/>
              </w:rPr>
            </w:pPr>
            <w:r>
              <w:rPr>
                <w:w w:val="105"/>
                <w:sz w:val="17"/>
              </w:rPr>
              <w:t>71.0</w:t>
            </w:r>
          </w:p>
        </w:tc>
        <w:tc>
          <w:tcPr>
            <w:tcW w:w="1378"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right="525"/>
              <w:jc w:val="right"/>
              <w:rPr>
                <w:sz w:val="17"/>
              </w:rPr>
            </w:pPr>
            <w:r>
              <w:rPr>
                <w:sz w:val="17"/>
              </w:rPr>
              <w:t>27.0</w:t>
            </w:r>
          </w:p>
        </w:tc>
        <w:tc>
          <w:tcPr>
            <w:tcW w:w="2563" w:type="dxa"/>
            <w:tcBorders>
              <w:top w:val="single" w:sz="4" w:space="0" w:color="000000"/>
              <w:left w:val="single" w:sz="4" w:space="0" w:color="000000"/>
              <w:bottom w:val="single" w:sz="4" w:space="0" w:color="000000"/>
            </w:tcBorders>
          </w:tcPr>
          <w:p>
            <w:pPr>
              <w:pStyle w:val="TableParagraph"/>
              <w:spacing w:line="194" w:lineRule="exact"/>
              <w:ind w:right="215"/>
              <w:jc w:val="right"/>
              <w:rPr>
                <w:sz w:val="17"/>
              </w:rPr>
            </w:pPr>
            <w:r>
              <w:rPr>
                <w:w w:val="105"/>
                <w:sz w:val="17"/>
              </w:rPr>
              <w:t>Organismo descentralizado</w:t>
            </w:r>
          </w:p>
        </w:tc>
      </w:tr>
      <w:tr>
        <w:trPr>
          <w:trHeight w:val="312" w:hRule="exact"/>
        </w:trPr>
        <w:tc>
          <w:tcPr>
            <w:tcW w:w="1747" w:type="dxa"/>
            <w:vMerge/>
            <w:tcBorders>
              <w:right w:val="single" w:sz="4" w:space="0" w:color="000000"/>
            </w:tcBorders>
          </w:tcPr>
          <w:p>
            <w:pPr/>
          </w:p>
        </w:tc>
        <w:tc>
          <w:tcPr>
            <w:tcW w:w="1747"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left="108" w:right="96"/>
              <w:jc w:val="center"/>
              <w:rPr>
                <w:sz w:val="17"/>
              </w:rPr>
            </w:pPr>
            <w:r>
              <w:rPr>
                <w:w w:val="105"/>
                <w:sz w:val="17"/>
              </w:rPr>
              <w:t>Sonora</w:t>
            </w:r>
          </w:p>
        </w:tc>
        <w:tc>
          <w:tcPr>
            <w:tcW w:w="1306"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left="452" w:right="453"/>
              <w:jc w:val="center"/>
              <w:rPr>
                <w:sz w:val="17"/>
              </w:rPr>
            </w:pPr>
            <w:r>
              <w:rPr>
                <w:w w:val="105"/>
                <w:sz w:val="17"/>
              </w:rPr>
              <w:t>70.7</w:t>
            </w:r>
          </w:p>
        </w:tc>
        <w:tc>
          <w:tcPr>
            <w:tcW w:w="1378"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right="525"/>
              <w:jc w:val="right"/>
              <w:rPr>
                <w:sz w:val="17"/>
              </w:rPr>
            </w:pPr>
            <w:r>
              <w:rPr>
                <w:sz w:val="17"/>
              </w:rPr>
              <w:t>20.7</w:t>
            </w:r>
          </w:p>
        </w:tc>
        <w:tc>
          <w:tcPr>
            <w:tcW w:w="2563" w:type="dxa"/>
            <w:tcBorders>
              <w:top w:val="single" w:sz="4" w:space="0" w:color="000000"/>
              <w:left w:val="single" w:sz="4" w:space="0" w:color="000000"/>
              <w:bottom w:val="single" w:sz="4" w:space="0" w:color="000000"/>
            </w:tcBorders>
          </w:tcPr>
          <w:p>
            <w:pPr>
              <w:pStyle w:val="TableParagraph"/>
              <w:spacing w:line="194" w:lineRule="exact"/>
              <w:ind w:right="215"/>
              <w:jc w:val="right"/>
              <w:rPr>
                <w:sz w:val="17"/>
              </w:rPr>
            </w:pPr>
            <w:r>
              <w:rPr>
                <w:w w:val="105"/>
                <w:sz w:val="17"/>
              </w:rPr>
              <w:t>Organismo descentralizado</w:t>
            </w:r>
          </w:p>
        </w:tc>
      </w:tr>
      <w:tr>
        <w:trPr>
          <w:trHeight w:val="312" w:hRule="exact"/>
        </w:trPr>
        <w:tc>
          <w:tcPr>
            <w:tcW w:w="1747" w:type="dxa"/>
            <w:vMerge/>
            <w:tcBorders>
              <w:right w:val="single" w:sz="4" w:space="0" w:color="000000"/>
            </w:tcBorders>
          </w:tcPr>
          <w:p>
            <w:pPr/>
          </w:p>
        </w:tc>
        <w:tc>
          <w:tcPr>
            <w:tcW w:w="1747"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left="94" w:right="100"/>
              <w:jc w:val="center"/>
              <w:rPr>
                <w:sz w:val="17"/>
              </w:rPr>
            </w:pPr>
            <w:r>
              <w:rPr>
                <w:w w:val="105"/>
                <w:sz w:val="17"/>
              </w:rPr>
              <w:t>Tlaxcala</w:t>
            </w:r>
          </w:p>
        </w:tc>
        <w:tc>
          <w:tcPr>
            <w:tcW w:w="1306"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left="452" w:right="453"/>
              <w:jc w:val="center"/>
              <w:rPr>
                <w:sz w:val="17"/>
              </w:rPr>
            </w:pPr>
            <w:r>
              <w:rPr>
                <w:w w:val="105"/>
                <w:sz w:val="17"/>
              </w:rPr>
              <w:t>70.6</w:t>
            </w:r>
          </w:p>
        </w:tc>
        <w:tc>
          <w:tcPr>
            <w:tcW w:w="1378"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right="525"/>
              <w:jc w:val="right"/>
              <w:rPr>
                <w:sz w:val="17"/>
              </w:rPr>
            </w:pPr>
            <w:r>
              <w:rPr>
                <w:sz w:val="17"/>
              </w:rPr>
              <w:t>24.0</w:t>
            </w:r>
          </w:p>
        </w:tc>
        <w:tc>
          <w:tcPr>
            <w:tcW w:w="2563" w:type="dxa"/>
            <w:tcBorders>
              <w:top w:val="single" w:sz="4" w:space="0" w:color="000000"/>
              <w:left w:val="single" w:sz="4" w:space="0" w:color="000000"/>
              <w:bottom w:val="single" w:sz="4" w:space="0" w:color="000000"/>
            </w:tcBorders>
          </w:tcPr>
          <w:p>
            <w:pPr>
              <w:pStyle w:val="TableParagraph"/>
              <w:spacing w:line="194" w:lineRule="exact"/>
              <w:ind w:right="215"/>
              <w:jc w:val="right"/>
              <w:rPr>
                <w:sz w:val="17"/>
              </w:rPr>
            </w:pPr>
            <w:r>
              <w:rPr>
                <w:w w:val="105"/>
                <w:sz w:val="17"/>
              </w:rPr>
              <w:t>Organismo descentralizado</w:t>
            </w:r>
          </w:p>
        </w:tc>
      </w:tr>
      <w:tr>
        <w:trPr>
          <w:trHeight w:val="312" w:hRule="exact"/>
        </w:trPr>
        <w:tc>
          <w:tcPr>
            <w:tcW w:w="1747" w:type="dxa"/>
            <w:vMerge/>
            <w:tcBorders>
              <w:right w:val="single" w:sz="4" w:space="0" w:color="000000"/>
            </w:tcBorders>
          </w:tcPr>
          <w:p>
            <w:pPr/>
          </w:p>
        </w:tc>
        <w:tc>
          <w:tcPr>
            <w:tcW w:w="1747"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left="108" w:right="96"/>
              <w:jc w:val="center"/>
              <w:rPr>
                <w:sz w:val="17"/>
              </w:rPr>
            </w:pPr>
            <w:r>
              <w:rPr>
                <w:w w:val="105"/>
                <w:sz w:val="17"/>
              </w:rPr>
              <w:t>Chihuahua</w:t>
            </w:r>
          </w:p>
        </w:tc>
        <w:tc>
          <w:tcPr>
            <w:tcW w:w="1306"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left="452" w:right="453"/>
              <w:jc w:val="center"/>
              <w:rPr>
                <w:sz w:val="17"/>
              </w:rPr>
            </w:pPr>
            <w:r>
              <w:rPr>
                <w:w w:val="105"/>
                <w:sz w:val="17"/>
              </w:rPr>
              <w:t>69.8</w:t>
            </w:r>
          </w:p>
        </w:tc>
        <w:tc>
          <w:tcPr>
            <w:tcW w:w="1378"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right="525"/>
              <w:jc w:val="right"/>
              <w:rPr>
                <w:sz w:val="17"/>
              </w:rPr>
            </w:pPr>
            <w:r>
              <w:rPr>
                <w:sz w:val="17"/>
              </w:rPr>
              <w:t>24.3</w:t>
            </w:r>
          </w:p>
        </w:tc>
        <w:tc>
          <w:tcPr>
            <w:tcW w:w="2563" w:type="dxa"/>
            <w:tcBorders>
              <w:top w:val="single" w:sz="4" w:space="0" w:color="000000"/>
              <w:left w:val="single" w:sz="4" w:space="0" w:color="000000"/>
              <w:bottom w:val="single" w:sz="4" w:space="0" w:color="000000"/>
            </w:tcBorders>
          </w:tcPr>
          <w:p>
            <w:pPr>
              <w:pStyle w:val="TableParagraph"/>
              <w:spacing w:line="194" w:lineRule="exact"/>
              <w:ind w:right="215"/>
              <w:jc w:val="right"/>
              <w:rPr>
                <w:sz w:val="17"/>
              </w:rPr>
            </w:pPr>
            <w:r>
              <w:rPr>
                <w:w w:val="105"/>
                <w:sz w:val="17"/>
              </w:rPr>
              <w:t>Organismo descentralizado</w:t>
            </w:r>
          </w:p>
        </w:tc>
      </w:tr>
      <w:tr>
        <w:trPr>
          <w:trHeight w:val="307" w:hRule="exact"/>
        </w:trPr>
        <w:tc>
          <w:tcPr>
            <w:tcW w:w="1747" w:type="dxa"/>
            <w:vMerge/>
            <w:tcBorders>
              <w:right w:val="single" w:sz="4" w:space="0" w:color="000000"/>
            </w:tcBorders>
          </w:tcPr>
          <w:p>
            <w:pPr/>
          </w:p>
        </w:tc>
        <w:tc>
          <w:tcPr>
            <w:tcW w:w="1747"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left="108" w:right="94"/>
              <w:jc w:val="center"/>
              <w:rPr>
                <w:sz w:val="17"/>
              </w:rPr>
            </w:pPr>
            <w:r>
              <w:rPr>
                <w:w w:val="105"/>
                <w:sz w:val="17"/>
              </w:rPr>
              <w:t>Veracruz</w:t>
            </w:r>
          </w:p>
        </w:tc>
        <w:tc>
          <w:tcPr>
            <w:tcW w:w="1306"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left="452" w:right="453"/>
              <w:jc w:val="center"/>
              <w:rPr>
                <w:sz w:val="17"/>
              </w:rPr>
            </w:pPr>
            <w:r>
              <w:rPr>
                <w:w w:val="105"/>
                <w:sz w:val="17"/>
              </w:rPr>
              <w:t>69.8</w:t>
            </w:r>
          </w:p>
        </w:tc>
        <w:tc>
          <w:tcPr>
            <w:tcW w:w="1378"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right="525"/>
              <w:jc w:val="right"/>
              <w:rPr>
                <w:sz w:val="17"/>
              </w:rPr>
            </w:pPr>
            <w:r>
              <w:rPr>
                <w:sz w:val="17"/>
              </w:rPr>
              <w:t>27.4</w:t>
            </w:r>
          </w:p>
        </w:tc>
        <w:tc>
          <w:tcPr>
            <w:tcW w:w="2563" w:type="dxa"/>
            <w:tcBorders>
              <w:top w:val="single" w:sz="4" w:space="0" w:color="000000"/>
              <w:left w:val="single" w:sz="4" w:space="0" w:color="000000"/>
              <w:bottom w:val="single" w:sz="4" w:space="0" w:color="000000"/>
            </w:tcBorders>
          </w:tcPr>
          <w:p>
            <w:pPr>
              <w:pStyle w:val="TableParagraph"/>
              <w:spacing w:line="194" w:lineRule="exact"/>
              <w:ind w:right="277"/>
              <w:jc w:val="right"/>
              <w:rPr>
                <w:sz w:val="17"/>
              </w:rPr>
            </w:pPr>
            <w:r>
              <w:rPr>
                <w:w w:val="105"/>
                <w:sz w:val="17"/>
              </w:rPr>
              <w:t>Sistema educativo estatal</w:t>
            </w:r>
          </w:p>
        </w:tc>
      </w:tr>
      <w:tr>
        <w:trPr>
          <w:trHeight w:val="317" w:hRule="exact"/>
        </w:trPr>
        <w:tc>
          <w:tcPr>
            <w:tcW w:w="1747" w:type="dxa"/>
            <w:vMerge/>
            <w:tcBorders>
              <w:right w:val="single" w:sz="4" w:space="0" w:color="000000"/>
            </w:tcBorders>
          </w:tcPr>
          <w:p>
            <w:pPr/>
          </w:p>
        </w:tc>
        <w:tc>
          <w:tcPr>
            <w:tcW w:w="1747" w:type="dxa"/>
            <w:tcBorders>
              <w:top w:val="single" w:sz="4" w:space="0" w:color="000000"/>
              <w:left w:val="single" w:sz="4" w:space="0" w:color="000000"/>
              <w:bottom w:val="single" w:sz="4" w:space="0" w:color="000000"/>
              <w:right w:val="single" w:sz="4" w:space="0" w:color="000000"/>
            </w:tcBorders>
          </w:tcPr>
          <w:p>
            <w:pPr>
              <w:pStyle w:val="TableParagraph"/>
              <w:spacing w:before="3"/>
              <w:ind w:left="104" w:right="100"/>
              <w:jc w:val="center"/>
              <w:rPr>
                <w:sz w:val="17"/>
              </w:rPr>
            </w:pPr>
            <w:r>
              <w:rPr>
                <w:w w:val="105"/>
                <w:sz w:val="17"/>
              </w:rPr>
              <w:t>Durango</w:t>
            </w:r>
          </w:p>
        </w:tc>
        <w:tc>
          <w:tcPr>
            <w:tcW w:w="1306" w:type="dxa"/>
            <w:tcBorders>
              <w:top w:val="single" w:sz="4" w:space="0" w:color="000000"/>
              <w:left w:val="single" w:sz="4" w:space="0" w:color="000000"/>
              <w:bottom w:val="single" w:sz="4" w:space="0" w:color="000000"/>
              <w:right w:val="single" w:sz="4" w:space="0" w:color="000000"/>
            </w:tcBorders>
          </w:tcPr>
          <w:p>
            <w:pPr>
              <w:pStyle w:val="TableParagraph"/>
              <w:spacing w:before="3"/>
              <w:ind w:left="452" w:right="453"/>
              <w:jc w:val="center"/>
              <w:rPr>
                <w:sz w:val="17"/>
              </w:rPr>
            </w:pPr>
            <w:r>
              <w:rPr>
                <w:w w:val="105"/>
                <w:sz w:val="17"/>
              </w:rPr>
              <w:t>69.9</w:t>
            </w:r>
          </w:p>
        </w:tc>
        <w:tc>
          <w:tcPr>
            <w:tcW w:w="1378" w:type="dxa"/>
            <w:tcBorders>
              <w:top w:val="single" w:sz="4" w:space="0" w:color="000000"/>
              <w:left w:val="single" w:sz="4" w:space="0" w:color="000000"/>
              <w:bottom w:val="single" w:sz="4" w:space="0" w:color="000000"/>
              <w:right w:val="single" w:sz="4" w:space="0" w:color="000000"/>
            </w:tcBorders>
          </w:tcPr>
          <w:p>
            <w:pPr>
              <w:pStyle w:val="TableParagraph"/>
              <w:spacing w:before="3"/>
              <w:ind w:right="525"/>
              <w:jc w:val="right"/>
              <w:rPr>
                <w:sz w:val="17"/>
              </w:rPr>
            </w:pPr>
            <w:r>
              <w:rPr>
                <w:sz w:val="17"/>
              </w:rPr>
              <w:t>27.6</w:t>
            </w:r>
          </w:p>
        </w:tc>
        <w:tc>
          <w:tcPr>
            <w:tcW w:w="2563" w:type="dxa"/>
            <w:tcBorders>
              <w:top w:val="single" w:sz="4" w:space="0" w:color="000000"/>
              <w:left w:val="single" w:sz="4" w:space="0" w:color="000000"/>
              <w:bottom w:val="single" w:sz="4" w:space="0" w:color="000000"/>
            </w:tcBorders>
          </w:tcPr>
          <w:p>
            <w:pPr>
              <w:pStyle w:val="TableParagraph"/>
              <w:spacing w:before="3"/>
              <w:ind w:right="215"/>
              <w:jc w:val="right"/>
              <w:rPr>
                <w:sz w:val="17"/>
              </w:rPr>
            </w:pPr>
            <w:r>
              <w:rPr>
                <w:w w:val="105"/>
                <w:sz w:val="17"/>
              </w:rPr>
              <w:t>Organismo descentralizado</w:t>
            </w:r>
          </w:p>
        </w:tc>
      </w:tr>
      <w:tr>
        <w:trPr>
          <w:trHeight w:val="312" w:hRule="exact"/>
        </w:trPr>
        <w:tc>
          <w:tcPr>
            <w:tcW w:w="1747" w:type="dxa"/>
            <w:vMerge/>
            <w:tcBorders>
              <w:bottom w:val="single" w:sz="4" w:space="0" w:color="000000"/>
              <w:right w:val="single" w:sz="4" w:space="0" w:color="000000"/>
            </w:tcBorders>
          </w:tcPr>
          <w:p>
            <w:pPr/>
          </w:p>
        </w:tc>
        <w:tc>
          <w:tcPr>
            <w:tcW w:w="1747"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left="108" w:right="98"/>
              <w:jc w:val="center"/>
              <w:rPr>
                <w:sz w:val="17"/>
              </w:rPr>
            </w:pPr>
            <w:r>
              <w:rPr>
                <w:w w:val="105"/>
                <w:sz w:val="17"/>
              </w:rPr>
              <w:t>Jalisco</w:t>
            </w:r>
          </w:p>
        </w:tc>
        <w:tc>
          <w:tcPr>
            <w:tcW w:w="1306"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left="452" w:right="453"/>
              <w:jc w:val="center"/>
              <w:rPr>
                <w:sz w:val="17"/>
              </w:rPr>
            </w:pPr>
            <w:r>
              <w:rPr>
                <w:w w:val="105"/>
                <w:sz w:val="17"/>
              </w:rPr>
              <w:t>67.5</w:t>
            </w:r>
          </w:p>
        </w:tc>
        <w:tc>
          <w:tcPr>
            <w:tcW w:w="1378"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right="525"/>
              <w:jc w:val="right"/>
              <w:rPr>
                <w:sz w:val="17"/>
              </w:rPr>
            </w:pPr>
            <w:r>
              <w:rPr>
                <w:sz w:val="17"/>
              </w:rPr>
              <w:t>25.1</w:t>
            </w:r>
          </w:p>
        </w:tc>
        <w:tc>
          <w:tcPr>
            <w:tcW w:w="2563" w:type="dxa"/>
            <w:tcBorders>
              <w:top w:val="single" w:sz="4" w:space="0" w:color="000000"/>
              <w:left w:val="single" w:sz="4" w:space="0" w:color="000000"/>
              <w:bottom w:val="single" w:sz="4" w:space="0" w:color="000000"/>
            </w:tcBorders>
          </w:tcPr>
          <w:p>
            <w:pPr>
              <w:pStyle w:val="TableParagraph"/>
              <w:spacing w:line="194" w:lineRule="exact"/>
              <w:ind w:right="215"/>
              <w:jc w:val="right"/>
              <w:rPr>
                <w:sz w:val="17"/>
              </w:rPr>
            </w:pPr>
            <w:r>
              <w:rPr>
                <w:w w:val="105"/>
                <w:sz w:val="17"/>
              </w:rPr>
              <w:t>Organismo descentralizado</w:t>
            </w:r>
          </w:p>
        </w:tc>
      </w:tr>
      <w:tr>
        <w:trPr>
          <w:trHeight w:val="312" w:hRule="exact"/>
        </w:trPr>
        <w:tc>
          <w:tcPr>
            <w:tcW w:w="1747" w:type="dxa"/>
            <w:vMerge w:val="restart"/>
            <w:tcBorders>
              <w:top w:val="single" w:sz="4" w:space="0" w:color="000000"/>
              <w:right w:val="single" w:sz="4" w:space="0" w:color="000000"/>
            </w:tcBorders>
          </w:tcPr>
          <w:p>
            <w:pPr>
              <w:pStyle w:val="TableParagraph"/>
              <w:spacing w:line="367" w:lineRule="auto" w:before="8"/>
              <w:ind w:left="216" w:right="197" w:hanging="16"/>
              <w:jc w:val="center"/>
              <w:rPr>
                <w:sz w:val="17"/>
              </w:rPr>
            </w:pPr>
            <w:r>
              <w:rPr>
                <w:spacing w:val="-3"/>
                <w:w w:val="105"/>
                <w:sz w:val="17"/>
              </w:rPr>
              <w:t>Equilibrio </w:t>
            </w:r>
            <w:r>
              <w:rPr>
                <w:w w:val="105"/>
                <w:sz w:val="17"/>
              </w:rPr>
              <w:t>entre sistema federal</w:t>
            </w:r>
            <w:r>
              <w:rPr>
                <w:spacing w:val="-27"/>
                <w:w w:val="105"/>
                <w:sz w:val="17"/>
              </w:rPr>
              <w:t> </w:t>
            </w:r>
            <w:r>
              <w:rPr>
                <w:w w:val="105"/>
                <w:sz w:val="17"/>
              </w:rPr>
              <w:t>y sistema</w:t>
            </w:r>
            <w:r>
              <w:rPr>
                <w:spacing w:val="-26"/>
                <w:w w:val="105"/>
                <w:sz w:val="17"/>
              </w:rPr>
              <w:t> </w:t>
            </w:r>
            <w:r>
              <w:rPr>
                <w:w w:val="105"/>
                <w:sz w:val="17"/>
              </w:rPr>
              <w:t>estatal</w:t>
            </w:r>
          </w:p>
        </w:tc>
        <w:tc>
          <w:tcPr>
            <w:tcW w:w="1747"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left="104" w:right="100"/>
              <w:jc w:val="center"/>
              <w:rPr>
                <w:sz w:val="17"/>
              </w:rPr>
            </w:pPr>
            <w:r>
              <w:rPr>
                <w:w w:val="105"/>
                <w:sz w:val="17"/>
              </w:rPr>
              <w:t>Nuevo León</w:t>
            </w:r>
          </w:p>
        </w:tc>
        <w:tc>
          <w:tcPr>
            <w:tcW w:w="1306"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left="452" w:right="453"/>
              <w:jc w:val="center"/>
              <w:rPr>
                <w:sz w:val="17"/>
              </w:rPr>
            </w:pPr>
            <w:r>
              <w:rPr>
                <w:w w:val="105"/>
                <w:sz w:val="17"/>
              </w:rPr>
              <w:t>55.8</w:t>
            </w:r>
          </w:p>
        </w:tc>
        <w:tc>
          <w:tcPr>
            <w:tcW w:w="1378"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right="525"/>
              <w:jc w:val="right"/>
              <w:rPr>
                <w:sz w:val="17"/>
              </w:rPr>
            </w:pPr>
            <w:r>
              <w:rPr>
                <w:sz w:val="17"/>
              </w:rPr>
              <w:t>34.9</w:t>
            </w:r>
          </w:p>
        </w:tc>
        <w:tc>
          <w:tcPr>
            <w:tcW w:w="2563" w:type="dxa"/>
            <w:tcBorders>
              <w:top w:val="single" w:sz="4" w:space="0" w:color="000000"/>
              <w:left w:val="single" w:sz="4" w:space="0" w:color="000000"/>
              <w:bottom w:val="single" w:sz="4" w:space="0" w:color="000000"/>
            </w:tcBorders>
          </w:tcPr>
          <w:p>
            <w:pPr>
              <w:pStyle w:val="TableParagraph"/>
              <w:spacing w:line="194" w:lineRule="exact"/>
              <w:ind w:right="215"/>
              <w:jc w:val="right"/>
              <w:rPr>
                <w:sz w:val="17"/>
              </w:rPr>
            </w:pPr>
            <w:r>
              <w:rPr>
                <w:w w:val="105"/>
                <w:sz w:val="17"/>
              </w:rPr>
              <w:t>Organismo descentralizado</w:t>
            </w:r>
          </w:p>
        </w:tc>
      </w:tr>
      <w:tr>
        <w:trPr>
          <w:trHeight w:val="307" w:hRule="exact"/>
        </w:trPr>
        <w:tc>
          <w:tcPr>
            <w:tcW w:w="1747" w:type="dxa"/>
            <w:vMerge/>
            <w:tcBorders>
              <w:right w:val="single" w:sz="4" w:space="0" w:color="000000"/>
            </w:tcBorders>
          </w:tcPr>
          <w:p>
            <w:pPr/>
          </w:p>
        </w:tc>
        <w:tc>
          <w:tcPr>
            <w:tcW w:w="1747"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left="99" w:right="100"/>
              <w:jc w:val="center"/>
              <w:rPr>
                <w:sz w:val="17"/>
              </w:rPr>
            </w:pPr>
            <w:r>
              <w:rPr>
                <w:w w:val="105"/>
                <w:sz w:val="17"/>
              </w:rPr>
              <w:t>Baja California</w:t>
            </w:r>
          </w:p>
        </w:tc>
        <w:tc>
          <w:tcPr>
            <w:tcW w:w="1306"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left="452" w:right="453"/>
              <w:jc w:val="center"/>
              <w:rPr>
                <w:sz w:val="17"/>
              </w:rPr>
            </w:pPr>
            <w:r>
              <w:rPr>
                <w:w w:val="105"/>
                <w:sz w:val="17"/>
              </w:rPr>
              <w:t>53.2</w:t>
            </w:r>
          </w:p>
        </w:tc>
        <w:tc>
          <w:tcPr>
            <w:tcW w:w="1378"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right="525"/>
              <w:jc w:val="right"/>
              <w:rPr>
                <w:sz w:val="17"/>
              </w:rPr>
            </w:pPr>
            <w:r>
              <w:rPr>
                <w:sz w:val="17"/>
              </w:rPr>
              <w:t>34.3</w:t>
            </w:r>
          </w:p>
        </w:tc>
        <w:tc>
          <w:tcPr>
            <w:tcW w:w="2563" w:type="dxa"/>
            <w:tcBorders>
              <w:top w:val="single" w:sz="4" w:space="0" w:color="000000"/>
              <w:left w:val="single" w:sz="4" w:space="0" w:color="000000"/>
              <w:bottom w:val="single" w:sz="4" w:space="0" w:color="000000"/>
            </w:tcBorders>
          </w:tcPr>
          <w:p>
            <w:pPr>
              <w:pStyle w:val="TableParagraph"/>
              <w:spacing w:line="194" w:lineRule="exact"/>
              <w:ind w:right="215"/>
              <w:jc w:val="right"/>
              <w:rPr>
                <w:sz w:val="17"/>
              </w:rPr>
            </w:pPr>
            <w:r>
              <w:rPr>
                <w:w w:val="105"/>
                <w:sz w:val="17"/>
              </w:rPr>
              <w:t>Organismo descentralizado</w:t>
            </w:r>
          </w:p>
        </w:tc>
      </w:tr>
      <w:tr>
        <w:trPr>
          <w:trHeight w:val="312" w:hRule="exact"/>
        </w:trPr>
        <w:tc>
          <w:tcPr>
            <w:tcW w:w="1747" w:type="dxa"/>
            <w:vMerge/>
            <w:tcBorders>
              <w:right w:val="single" w:sz="4" w:space="0" w:color="000000"/>
            </w:tcBorders>
          </w:tcPr>
          <w:p>
            <w:pPr/>
          </w:p>
        </w:tc>
        <w:tc>
          <w:tcPr>
            <w:tcW w:w="1747" w:type="dxa"/>
            <w:tcBorders>
              <w:top w:val="single" w:sz="4" w:space="0" w:color="000000"/>
              <w:left w:val="single" w:sz="4" w:space="0" w:color="000000"/>
              <w:right w:val="single" w:sz="4" w:space="0" w:color="000000"/>
            </w:tcBorders>
          </w:tcPr>
          <w:p>
            <w:pPr>
              <w:pStyle w:val="TableParagraph"/>
              <w:spacing w:line="194" w:lineRule="exact"/>
              <w:ind w:left="102" w:right="100"/>
              <w:jc w:val="center"/>
              <w:rPr>
                <w:sz w:val="17"/>
              </w:rPr>
            </w:pPr>
            <w:r>
              <w:rPr>
                <w:w w:val="105"/>
                <w:sz w:val="17"/>
              </w:rPr>
              <w:t>Estado de México</w:t>
            </w:r>
          </w:p>
        </w:tc>
        <w:tc>
          <w:tcPr>
            <w:tcW w:w="1306" w:type="dxa"/>
            <w:tcBorders>
              <w:top w:val="single" w:sz="4" w:space="0" w:color="000000"/>
              <w:left w:val="single" w:sz="4" w:space="0" w:color="000000"/>
              <w:right w:val="single" w:sz="4" w:space="0" w:color="000000"/>
            </w:tcBorders>
          </w:tcPr>
          <w:p>
            <w:pPr>
              <w:pStyle w:val="TableParagraph"/>
              <w:spacing w:line="194" w:lineRule="exact"/>
              <w:ind w:left="452" w:right="453"/>
              <w:jc w:val="center"/>
              <w:rPr>
                <w:sz w:val="17"/>
              </w:rPr>
            </w:pPr>
            <w:r>
              <w:rPr>
                <w:w w:val="105"/>
                <w:sz w:val="17"/>
              </w:rPr>
              <w:t>42.8</w:t>
            </w:r>
          </w:p>
        </w:tc>
        <w:tc>
          <w:tcPr>
            <w:tcW w:w="1378" w:type="dxa"/>
            <w:tcBorders>
              <w:top w:val="single" w:sz="4" w:space="0" w:color="000000"/>
              <w:left w:val="single" w:sz="4" w:space="0" w:color="000000"/>
              <w:right w:val="single" w:sz="4" w:space="0" w:color="000000"/>
            </w:tcBorders>
          </w:tcPr>
          <w:p>
            <w:pPr>
              <w:pStyle w:val="TableParagraph"/>
              <w:spacing w:line="194" w:lineRule="exact"/>
              <w:ind w:right="525"/>
              <w:jc w:val="right"/>
              <w:rPr>
                <w:sz w:val="17"/>
              </w:rPr>
            </w:pPr>
            <w:r>
              <w:rPr>
                <w:sz w:val="17"/>
              </w:rPr>
              <w:t>49.7</w:t>
            </w:r>
          </w:p>
        </w:tc>
        <w:tc>
          <w:tcPr>
            <w:tcW w:w="2563" w:type="dxa"/>
            <w:tcBorders>
              <w:top w:val="single" w:sz="4" w:space="0" w:color="000000"/>
              <w:left w:val="single" w:sz="4" w:space="0" w:color="000000"/>
            </w:tcBorders>
          </w:tcPr>
          <w:p>
            <w:pPr>
              <w:pStyle w:val="TableParagraph"/>
              <w:spacing w:line="194" w:lineRule="exact"/>
              <w:ind w:right="215"/>
              <w:jc w:val="right"/>
              <w:rPr>
                <w:sz w:val="17"/>
              </w:rPr>
            </w:pPr>
            <w:r>
              <w:rPr>
                <w:w w:val="105"/>
                <w:sz w:val="17"/>
              </w:rPr>
              <w:t>Organismo descentralizado</w:t>
            </w:r>
          </w:p>
        </w:tc>
      </w:tr>
    </w:tbl>
    <w:p>
      <w:pPr>
        <w:spacing w:after="0" w:line="194" w:lineRule="exact"/>
        <w:jc w:val="right"/>
        <w:rPr>
          <w:sz w:val="17"/>
        </w:rPr>
        <w:sectPr>
          <w:pgSz w:w="11910" w:h="16840"/>
          <w:pgMar w:header="0" w:footer="1457" w:top="1580" w:bottom="1640" w:left="1440" w:right="1500"/>
        </w:sectPr>
      </w:pPr>
    </w:p>
    <w:p>
      <w:pPr>
        <w:pStyle w:val="BodyText"/>
        <w:rPr>
          <w:b/>
          <w:sz w:val="20"/>
        </w:rPr>
      </w:pPr>
    </w:p>
    <w:p>
      <w:pPr>
        <w:pStyle w:val="BodyText"/>
        <w:spacing w:before="10"/>
        <w:rPr>
          <w:b/>
          <w:sz w:val="15"/>
        </w:rPr>
      </w:pPr>
    </w:p>
    <w:p>
      <w:pPr>
        <w:spacing w:line="247" w:lineRule="auto" w:before="81"/>
        <w:ind w:left="115" w:right="104" w:firstLine="0"/>
        <w:jc w:val="both"/>
        <w:rPr>
          <w:sz w:val="19"/>
        </w:rPr>
      </w:pPr>
      <w:r>
        <w:rPr>
          <w:w w:val="105"/>
          <w:sz w:val="19"/>
        </w:rPr>
        <w:t>FUENTE: OCDE (2009); Arnaut, 1999. a/ La diferencia con respecto al 100% corresponde al sector privado</w:t>
      </w:r>
    </w:p>
    <w:p>
      <w:pPr>
        <w:pStyle w:val="BodyText"/>
        <w:rPr>
          <w:sz w:val="20"/>
        </w:rPr>
      </w:pPr>
    </w:p>
    <w:p>
      <w:pPr>
        <w:pStyle w:val="BodyText"/>
        <w:spacing w:line="364" w:lineRule="auto" w:before="165"/>
        <w:ind w:left="115" w:right="105" w:firstLine="686"/>
        <w:jc w:val="both"/>
      </w:pPr>
      <w:r>
        <w:rPr/>
        <w:t>Durante </w:t>
      </w:r>
      <w:r>
        <w:rPr>
          <w:spacing w:val="-3"/>
        </w:rPr>
        <w:t>los </w:t>
      </w:r>
      <w:r>
        <w:rPr/>
        <w:t>gobiernos de los presidentes Miguel de la Madrid y  Carlos Salinas se llevó a cabo un complejo proceso de descentralización en materia de educación a las entidades federativas. Dicho proceso concluyó con </w:t>
      </w:r>
      <w:r>
        <w:rPr>
          <w:spacing w:val="-3"/>
        </w:rPr>
        <w:t>la </w:t>
      </w:r>
      <w:r>
        <w:rPr/>
        <w:t>firma del Acuerdo de Modernización de </w:t>
      </w:r>
      <w:r>
        <w:rPr>
          <w:spacing w:val="-3"/>
        </w:rPr>
        <w:t>la </w:t>
      </w:r>
      <w:r>
        <w:rPr/>
        <w:t>Educación Básica en 1992. El argumento  esgrimido en </w:t>
      </w:r>
      <w:r>
        <w:rPr>
          <w:spacing w:val="4"/>
        </w:rPr>
        <w:t>el </w:t>
      </w:r>
      <w:r>
        <w:rPr/>
        <w:t>decreto presidencial publicado </w:t>
      </w:r>
      <w:r>
        <w:rPr>
          <w:spacing w:val="3"/>
        </w:rPr>
        <w:t>el </w:t>
      </w:r>
      <w:r>
        <w:rPr/>
        <w:t>19 de mayo </w:t>
      </w:r>
      <w:r>
        <w:rPr>
          <w:spacing w:val="3"/>
        </w:rPr>
        <w:t>del </w:t>
      </w:r>
      <w:r>
        <w:rPr/>
        <w:t>año referido, es que se trataba de “corregir” </w:t>
      </w:r>
      <w:r>
        <w:rPr>
          <w:spacing w:val="2"/>
        </w:rPr>
        <w:t>el </w:t>
      </w:r>
      <w:r>
        <w:rPr/>
        <w:t>centralismo y burocratismo del sistema educativo. Así, se estableció que a partir de esa fecha, correspondería a </w:t>
      </w:r>
      <w:r>
        <w:rPr>
          <w:spacing w:val="-4"/>
        </w:rPr>
        <w:t>los </w:t>
      </w:r>
      <w:r>
        <w:rPr/>
        <w:t>gobiernos estatales encargarse de la dirección de los establecimientos educativos  con los  que la SEP prestaba sus servicios en cada estado en </w:t>
      </w:r>
      <w:r>
        <w:rPr>
          <w:spacing w:val="-3"/>
        </w:rPr>
        <w:t>todas </w:t>
      </w:r>
      <w:r>
        <w:rPr/>
        <w:t>sus modalidades y  tipos,  tales  como  </w:t>
      </w:r>
      <w:r>
        <w:rPr>
          <w:spacing w:val="-3"/>
        </w:rPr>
        <w:t>los  </w:t>
      </w:r>
      <w:r>
        <w:rPr/>
        <w:t>servicios  de  educación  preescolar,  primaria,  secundaria</w:t>
      </w:r>
      <w:r>
        <w:rPr>
          <w:spacing w:val="-9"/>
        </w:rPr>
        <w:t> </w:t>
      </w:r>
      <w:r>
        <w:rPr/>
        <w:t>y</w:t>
      </w:r>
    </w:p>
    <w:p>
      <w:pPr>
        <w:pStyle w:val="BodyText"/>
        <w:spacing w:line="355" w:lineRule="auto" w:before="5"/>
        <w:ind w:left="115" w:right="106"/>
        <w:jc w:val="both"/>
      </w:pPr>
      <w:r>
        <w:rPr/>
        <w:t>para </w:t>
      </w:r>
      <w:r>
        <w:rPr>
          <w:spacing w:val="-4"/>
        </w:rPr>
        <w:t>la </w:t>
      </w:r>
      <w:r>
        <w:rPr/>
        <w:t>formación de maestros, incluyendo la educación normal, la educación indígena y </w:t>
      </w:r>
      <w:r>
        <w:rPr>
          <w:spacing w:val="-3"/>
        </w:rPr>
        <w:t>los </w:t>
      </w:r>
      <w:r>
        <w:rPr/>
        <w:t>de educación especial.</w:t>
      </w:r>
      <w:r>
        <w:rPr>
          <w:position w:val="11"/>
          <w:sz w:val="15"/>
        </w:rPr>
        <w:t>40 </w:t>
      </w:r>
      <w:r>
        <w:rPr/>
        <w:t>Como este proceso administrativo fue orquestado desde la Presidencia y no pasó por el legislativo, los estados, no adquirieron nuevas competencias o</w:t>
      </w:r>
      <w:r>
        <w:rPr>
          <w:spacing w:val="50"/>
        </w:rPr>
        <w:t> </w:t>
      </w:r>
      <w:r>
        <w:rPr/>
        <w:t>facultades.</w:t>
      </w:r>
    </w:p>
    <w:p>
      <w:pPr>
        <w:pStyle w:val="BodyText"/>
        <w:spacing w:line="364" w:lineRule="auto" w:before="15"/>
        <w:ind w:left="115" w:right="107" w:firstLine="686"/>
        <w:jc w:val="both"/>
      </w:pPr>
      <w:r>
        <w:rPr/>
        <w:t>De esta forma, en lo sucesivo, cada gobierno estatal, por conducto de su dependencia u organismo competente, sustituyó al titular de la SEP en las relaciones jurídicas existentes con los trabajadores adscritos a los planteles  y demás servicios que se incorporaron al sistema educativo estatal. Otro aspecto clave de este acuerdo fue que los gobiernos de los estados quedaron obligados a “reconocer” al SNTE como el titular de las relaciones laborales colectivas de los trabajadores transferidos.   Asimismo, los gobiernos estatales, por conducto de    su</w:t>
      </w:r>
    </w:p>
    <w:p>
      <w:pPr>
        <w:pStyle w:val="BodyText"/>
        <w:spacing w:line="328" w:lineRule="auto" w:before="10"/>
        <w:ind w:left="115" w:right="111"/>
        <w:jc w:val="both"/>
        <w:rPr>
          <w:sz w:val="15"/>
        </w:rPr>
      </w:pPr>
      <w:r>
        <w:rPr/>
        <w:t>autoridad competente, se vieron obligados a reconocer y “respetar” los derechos laborales de los trabajadores transferidos.</w:t>
      </w:r>
      <w:r>
        <w:rPr>
          <w:position w:val="11"/>
          <w:sz w:val="15"/>
        </w:rPr>
        <w:t>41</w:t>
      </w:r>
    </w:p>
    <w:p>
      <w:pPr>
        <w:pStyle w:val="BodyText"/>
        <w:spacing w:line="364" w:lineRule="auto" w:before="29"/>
        <w:ind w:left="115" w:right="113" w:firstLine="686"/>
        <w:jc w:val="both"/>
      </w:pPr>
      <w:r>
        <w:rPr/>
        <w:t>El Acuerdo, por otra parte, proyectó involucrar a los municipios, lo cual, por cierto,  hasta  el  momento,  no  ha  ocurrido:  “Se  conviene  en  involucrar  a      los</w:t>
      </w:r>
    </w:p>
    <w:p>
      <w:pPr>
        <w:pStyle w:val="BodyText"/>
        <w:spacing w:before="4"/>
        <w:rPr>
          <w:sz w:val="20"/>
        </w:rPr>
      </w:pPr>
      <w:r>
        <w:rPr/>
        <w:pict>
          <v:line style="position:absolute;mso-position-horizontal-relative:page;mso-position-vertical-relative:paragraph;z-index:2152;mso-wrap-distance-left:0;mso-wrap-distance-right:0" from="82.799004pt,14.046205pt" to="222.958004pt,14.046205pt" stroked="true" strokeweight=".72pt" strokecolor="#000000">
            <w10:wrap type="topAndBottom"/>
          </v:line>
        </w:pict>
      </w:r>
    </w:p>
    <w:p>
      <w:pPr>
        <w:spacing w:line="244" w:lineRule="auto" w:before="51"/>
        <w:ind w:left="115" w:right="112" w:firstLine="0"/>
        <w:jc w:val="both"/>
        <w:rPr>
          <w:sz w:val="19"/>
        </w:rPr>
      </w:pPr>
      <w:r>
        <w:rPr>
          <w:spacing w:val="-4"/>
          <w:w w:val="105"/>
          <w:position w:val="10"/>
          <w:sz w:val="12"/>
        </w:rPr>
        <w:t>40</w:t>
      </w:r>
      <w:r>
        <w:rPr>
          <w:spacing w:val="8"/>
          <w:w w:val="105"/>
          <w:position w:val="10"/>
          <w:sz w:val="12"/>
        </w:rPr>
        <w:t> </w:t>
      </w:r>
      <w:r>
        <w:rPr>
          <w:w w:val="105"/>
          <w:sz w:val="19"/>
        </w:rPr>
        <w:t>La</w:t>
      </w:r>
      <w:r>
        <w:rPr>
          <w:spacing w:val="-10"/>
          <w:w w:val="105"/>
          <w:sz w:val="19"/>
        </w:rPr>
        <w:t> </w:t>
      </w:r>
      <w:r>
        <w:rPr>
          <w:w w:val="105"/>
          <w:sz w:val="19"/>
        </w:rPr>
        <w:t>nueva</w:t>
      </w:r>
      <w:r>
        <w:rPr>
          <w:spacing w:val="-7"/>
          <w:w w:val="105"/>
          <w:sz w:val="19"/>
        </w:rPr>
        <w:t> </w:t>
      </w:r>
      <w:r>
        <w:rPr>
          <w:w w:val="105"/>
          <w:sz w:val="19"/>
        </w:rPr>
        <w:t>organización</w:t>
      </w:r>
      <w:r>
        <w:rPr>
          <w:spacing w:val="-7"/>
          <w:w w:val="105"/>
          <w:sz w:val="19"/>
        </w:rPr>
        <w:t> </w:t>
      </w:r>
      <w:r>
        <w:rPr>
          <w:w w:val="105"/>
          <w:sz w:val="19"/>
        </w:rPr>
        <w:t>requirió</w:t>
      </w:r>
      <w:r>
        <w:rPr>
          <w:spacing w:val="-7"/>
          <w:w w:val="105"/>
          <w:sz w:val="19"/>
        </w:rPr>
        <w:t> </w:t>
      </w:r>
      <w:r>
        <w:rPr>
          <w:w w:val="105"/>
          <w:sz w:val="19"/>
        </w:rPr>
        <w:t>de</w:t>
      </w:r>
      <w:r>
        <w:rPr>
          <w:spacing w:val="-7"/>
          <w:w w:val="105"/>
          <w:sz w:val="19"/>
        </w:rPr>
        <w:t> </w:t>
      </w:r>
      <w:r>
        <w:rPr>
          <w:w w:val="105"/>
          <w:sz w:val="19"/>
        </w:rPr>
        <w:t>la</w:t>
      </w:r>
      <w:r>
        <w:rPr>
          <w:spacing w:val="-10"/>
          <w:w w:val="105"/>
          <w:sz w:val="19"/>
        </w:rPr>
        <w:t> </w:t>
      </w:r>
      <w:r>
        <w:rPr>
          <w:w w:val="105"/>
          <w:sz w:val="19"/>
        </w:rPr>
        <w:t>transferencia</w:t>
      </w:r>
      <w:r>
        <w:rPr>
          <w:spacing w:val="-10"/>
          <w:w w:val="105"/>
          <w:sz w:val="19"/>
        </w:rPr>
        <w:t> </w:t>
      </w:r>
      <w:r>
        <w:rPr>
          <w:w w:val="105"/>
          <w:sz w:val="19"/>
        </w:rPr>
        <w:t>del</w:t>
      </w:r>
      <w:r>
        <w:rPr>
          <w:spacing w:val="-10"/>
          <w:w w:val="105"/>
          <w:sz w:val="19"/>
        </w:rPr>
        <w:t> </w:t>
      </w:r>
      <w:r>
        <w:rPr>
          <w:w w:val="105"/>
          <w:sz w:val="19"/>
        </w:rPr>
        <w:t>gobierno</w:t>
      </w:r>
      <w:r>
        <w:rPr>
          <w:spacing w:val="-7"/>
          <w:w w:val="105"/>
          <w:sz w:val="19"/>
        </w:rPr>
        <w:t> </w:t>
      </w:r>
      <w:r>
        <w:rPr>
          <w:w w:val="105"/>
          <w:sz w:val="19"/>
        </w:rPr>
        <w:t>federal</w:t>
      </w:r>
      <w:r>
        <w:rPr>
          <w:spacing w:val="-10"/>
          <w:w w:val="105"/>
          <w:sz w:val="19"/>
        </w:rPr>
        <w:t> </w:t>
      </w:r>
      <w:r>
        <w:rPr>
          <w:w w:val="105"/>
          <w:sz w:val="19"/>
        </w:rPr>
        <w:t>a</w:t>
      </w:r>
      <w:r>
        <w:rPr>
          <w:spacing w:val="-10"/>
          <w:w w:val="105"/>
          <w:sz w:val="19"/>
        </w:rPr>
        <w:t> </w:t>
      </w:r>
      <w:r>
        <w:rPr>
          <w:w w:val="105"/>
          <w:sz w:val="19"/>
        </w:rPr>
        <w:t>los</w:t>
      </w:r>
      <w:r>
        <w:rPr>
          <w:spacing w:val="-13"/>
          <w:w w:val="105"/>
          <w:sz w:val="19"/>
        </w:rPr>
        <w:t> </w:t>
      </w:r>
      <w:r>
        <w:rPr>
          <w:w w:val="105"/>
          <w:sz w:val="19"/>
        </w:rPr>
        <w:t>gobiernos</w:t>
      </w:r>
      <w:r>
        <w:rPr>
          <w:spacing w:val="-13"/>
          <w:w w:val="105"/>
          <w:sz w:val="19"/>
        </w:rPr>
        <w:t> </w:t>
      </w:r>
      <w:r>
        <w:rPr>
          <w:w w:val="105"/>
          <w:sz w:val="19"/>
        </w:rPr>
        <w:t>estatales de 700 mil empleados, 513 mil 974 plazas docentes, 116 mil 054 puestos administrativos y 3 millones</w:t>
      </w:r>
      <w:r>
        <w:rPr>
          <w:spacing w:val="-16"/>
          <w:w w:val="105"/>
          <w:sz w:val="19"/>
        </w:rPr>
        <w:t> </w:t>
      </w:r>
      <w:r>
        <w:rPr>
          <w:w w:val="105"/>
          <w:sz w:val="19"/>
        </w:rPr>
        <w:t>954</w:t>
      </w:r>
      <w:r>
        <w:rPr>
          <w:spacing w:val="-17"/>
          <w:w w:val="105"/>
          <w:sz w:val="19"/>
        </w:rPr>
        <w:t> </w:t>
      </w:r>
      <w:r>
        <w:rPr>
          <w:w w:val="105"/>
          <w:sz w:val="19"/>
        </w:rPr>
        <w:t>mil</w:t>
      </w:r>
      <w:r>
        <w:rPr>
          <w:spacing w:val="-19"/>
          <w:w w:val="105"/>
          <w:sz w:val="19"/>
        </w:rPr>
        <w:t> </w:t>
      </w:r>
      <w:r>
        <w:rPr>
          <w:w w:val="105"/>
          <w:sz w:val="19"/>
        </w:rPr>
        <w:t>horas</w:t>
      </w:r>
      <w:r>
        <w:rPr>
          <w:spacing w:val="-16"/>
          <w:w w:val="105"/>
          <w:sz w:val="19"/>
        </w:rPr>
        <w:t> </w:t>
      </w:r>
      <w:r>
        <w:rPr>
          <w:w w:val="105"/>
          <w:sz w:val="19"/>
        </w:rPr>
        <w:t>salario,</w:t>
      </w:r>
      <w:r>
        <w:rPr>
          <w:spacing w:val="-19"/>
          <w:w w:val="105"/>
          <w:sz w:val="19"/>
        </w:rPr>
        <w:t> </w:t>
      </w:r>
      <w:r>
        <w:rPr>
          <w:w w:val="105"/>
          <w:sz w:val="19"/>
        </w:rPr>
        <w:t>100</w:t>
      </w:r>
      <w:r>
        <w:rPr>
          <w:spacing w:val="-17"/>
          <w:w w:val="105"/>
          <w:sz w:val="19"/>
        </w:rPr>
        <w:t> </w:t>
      </w:r>
      <w:r>
        <w:rPr>
          <w:w w:val="105"/>
          <w:sz w:val="19"/>
        </w:rPr>
        <w:t>mil</w:t>
      </w:r>
      <w:r>
        <w:rPr>
          <w:spacing w:val="-16"/>
          <w:w w:val="105"/>
          <w:sz w:val="19"/>
        </w:rPr>
        <w:t> </w:t>
      </w:r>
      <w:r>
        <w:rPr>
          <w:w w:val="105"/>
          <w:sz w:val="19"/>
        </w:rPr>
        <w:t>bienes</w:t>
      </w:r>
      <w:r>
        <w:rPr>
          <w:spacing w:val="-16"/>
          <w:w w:val="105"/>
          <w:sz w:val="19"/>
        </w:rPr>
        <w:t> </w:t>
      </w:r>
      <w:r>
        <w:rPr>
          <w:spacing w:val="-2"/>
          <w:w w:val="105"/>
          <w:sz w:val="19"/>
        </w:rPr>
        <w:t>inmuebles</w:t>
      </w:r>
      <w:r>
        <w:rPr>
          <w:spacing w:val="-12"/>
          <w:w w:val="105"/>
          <w:sz w:val="19"/>
        </w:rPr>
        <w:t> </w:t>
      </w:r>
      <w:r>
        <w:rPr>
          <w:w w:val="105"/>
          <w:sz w:val="19"/>
        </w:rPr>
        <w:t>y</w:t>
      </w:r>
      <w:r>
        <w:rPr>
          <w:spacing w:val="-16"/>
          <w:w w:val="105"/>
          <w:sz w:val="19"/>
        </w:rPr>
        <w:t> </w:t>
      </w:r>
      <w:r>
        <w:rPr>
          <w:w w:val="105"/>
          <w:sz w:val="19"/>
        </w:rPr>
        <w:t>22</w:t>
      </w:r>
      <w:r>
        <w:rPr>
          <w:spacing w:val="-17"/>
          <w:w w:val="105"/>
          <w:sz w:val="19"/>
        </w:rPr>
        <w:t> </w:t>
      </w:r>
      <w:r>
        <w:rPr>
          <w:w w:val="105"/>
          <w:sz w:val="19"/>
        </w:rPr>
        <w:t>millones</w:t>
      </w:r>
      <w:r>
        <w:rPr>
          <w:spacing w:val="-19"/>
          <w:w w:val="105"/>
          <w:sz w:val="19"/>
        </w:rPr>
        <w:t> </w:t>
      </w:r>
      <w:r>
        <w:rPr>
          <w:w w:val="105"/>
          <w:sz w:val="19"/>
        </w:rPr>
        <w:t>de</w:t>
      </w:r>
      <w:r>
        <w:rPr>
          <w:spacing w:val="-13"/>
          <w:w w:val="105"/>
          <w:sz w:val="19"/>
        </w:rPr>
        <w:t> </w:t>
      </w:r>
      <w:r>
        <w:rPr>
          <w:w w:val="105"/>
          <w:sz w:val="19"/>
        </w:rPr>
        <w:t>bienes</w:t>
      </w:r>
      <w:r>
        <w:rPr>
          <w:spacing w:val="-16"/>
          <w:w w:val="105"/>
          <w:sz w:val="19"/>
        </w:rPr>
        <w:t> </w:t>
      </w:r>
      <w:r>
        <w:rPr>
          <w:w w:val="105"/>
          <w:sz w:val="19"/>
        </w:rPr>
        <w:t>muebles.</w:t>
      </w:r>
    </w:p>
    <w:p>
      <w:pPr>
        <w:spacing w:line="220" w:lineRule="exact" w:before="5"/>
        <w:ind w:left="115" w:right="104" w:firstLine="0"/>
        <w:jc w:val="both"/>
        <w:rPr>
          <w:rFonts w:ascii="Times New Roman" w:hAnsi="Times New Roman"/>
          <w:sz w:val="19"/>
        </w:rPr>
      </w:pPr>
      <w:r>
        <w:rPr>
          <w:spacing w:val="-4"/>
          <w:w w:val="105"/>
          <w:position w:val="10"/>
          <w:sz w:val="12"/>
        </w:rPr>
        <w:t>41 </w:t>
      </w:r>
      <w:r>
        <w:rPr>
          <w:spacing w:val="2"/>
          <w:w w:val="105"/>
          <w:sz w:val="19"/>
        </w:rPr>
        <w:t>Las </w:t>
      </w:r>
      <w:r>
        <w:rPr>
          <w:w w:val="105"/>
          <w:sz w:val="19"/>
        </w:rPr>
        <w:t>prestaciones derivadas del régimen de seguridad social de los trabajadores transferidos a los</w:t>
      </w:r>
      <w:r>
        <w:rPr>
          <w:spacing w:val="-16"/>
          <w:w w:val="105"/>
          <w:sz w:val="19"/>
        </w:rPr>
        <w:t> </w:t>
      </w:r>
      <w:r>
        <w:rPr>
          <w:w w:val="105"/>
          <w:sz w:val="19"/>
        </w:rPr>
        <w:t>sistemas</w:t>
      </w:r>
      <w:r>
        <w:rPr>
          <w:spacing w:val="-20"/>
          <w:w w:val="105"/>
          <w:sz w:val="19"/>
        </w:rPr>
        <w:t> </w:t>
      </w:r>
      <w:r>
        <w:rPr>
          <w:w w:val="105"/>
          <w:sz w:val="19"/>
        </w:rPr>
        <w:t>educativos</w:t>
      </w:r>
      <w:r>
        <w:rPr>
          <w:spacing w:val="-13"/>
          <w:w w:val="105"/>
          <w:sz w:val="19"/>
        </w:rPr>
        <w:t> </w:t>
      </w:r>
      <w:r>
        <w:rPr>
          <w:w w:val="105"/>
          <w:sz w:val="19"/>
        </w:rPr>
        <w:t>estatales,</w:t>
      </w:r>
      <w:r>
        <w:rPr>
          <w:spacing w:val="-20"/>
          <w:w w:val="105"/>
          <w:sz w:val="19"/>
        </w:rPr>
        <w:t> </w:t>
      </w:r>
      <w:r>
        <w:rPr>
          <w:w w:val="105"/>
          <w:sz w:val="19"/>
        </w:rPr>
        <w:t>igualmente</w:t>
      </w:r>
      <w:r>
        <w:rPr>
          <w:spacing w:val="-16"/>
          <w:w w:val="105"/>
          <w:sz w:val="19"/>
        </w:rPr>
        <w:t> </w:t>
      </w:r>
      <w:r>
        <w:rPr>
          <w:w w:val="105"/>
          <w:sz w:val="19"/>
        </w:rPr>
        <w:t>se</w:t>
      </w:r>
      <w:r>
        <w:rPr>
          <w:spacing w:val="-18"/>
          <w:w w:val="105"/>
          <w:sz w:val="19"/>
        </w:rPr>
        <w:t> </w:t>
      </w:r>
      <w:r>
        <w:rPr>
          <w:w w:val="105"/>
          <w:sz w:val="19"/>
        </w:rPr>
        <w:t>acordó</w:t>
      </w:r>
      <w:r>
        <w:rPr>
          <w:spacing w:val="-16"/>
          <w:w w:val="105"/>
          <w:sz w:val="19"/>
        </w:rPr>
        <w:t> </w:t>
      </w:r>
      <w:r>
        <w:rPr>
          <w:w w:val="105"/>
          <w:sz w:val="19"/>
        </w:rPr>
        <w:t>que</w:t>
      </w:r>
      <w:r>
        <w:rPr>
          <w:spacing w:val="-16"/>
          <w:w w:val="105"/>
          <w:sz w:val="19"/>
        </w:rPr>
        <w:t> </w:t>
      </w:r>
      <w:r>
        <w:rPr>
          <w:w w:val="105"/>
          <w:sz w:val="19"/>
        </w:rPr>
        <w:t>permanecerían</w:t>
      </w:r>
      <w:r>
        <w:rPr>
          <w:spacing w:val="-16"/>
          <w:w w:val="105"/>
          <w:sz w:val="19"/>
        </w:rPr>
        <w:t> </w:t>
      </w:r>
      <w:r>
        <w:rPr>
          <w:w w:val="105"/>
          <w:sz w:val="19"/>
        </w:rPr>
        <w:t>vigentes</w:t>
      </w:r>
      <w:r>
        <w:rPr>
          <w:spacing w:val="-16"/>
          <w:w w:val="105"/>
          <w:sz w:val="19"/>
        </w:rPr>
        <w:t> </w:t>
      </w:r>
      <w:r>
        <w:rPr>
          <w:w w:val="105"/>
          <w:sz w:val="19"/>
        </w:rPr>
        <w:t>y</w:t>
      </w:r>
      <w:r>
        <w:rPr>
          <w:spacing w:val="-21"/>
          <w:w w:val="105"/>
          <w:sz w:val="19"/>
        </w:rPr>
        <w:t> </w:t>
      </w:r>
      <w:r>
        <w:rPr>
          <w:w w:val="105"/>
          <w:sz w:val="19"/>
        </w:rPr>
        <w:t>no</w:t>
      </w:r>
      <w:r>
        <w:rPr>
          <w:spacing w:val="-11"/>
          <w:w w:val="105"/>
          <w:sz w:val="19"/>
        </w:rPr>
        <w:t> </w:t>
      </w:r>
      <w:r>
        <w:rPr>
          <w:w w:val="105"/>
          <w:sz w:val="19"/>
        </w:rPr>
        <w:t>sufrirían </w:t>
      </w:r>
      <w:r>
        <w:rPr>
          <w:sz w:val="19"/>
        </w:rPr>
        <w:t>modificación</w:t>
      </w:r>
      <w:r>
        <w:rPr>
          <w:spacing w:val="36"/>
          <w:sz w:val="19"/>
        </w:rPr>
        <w:t> </w:t>
      </w:r>
      <w:r>
        <w:rPr>
          <w:sz w:val="19"/>
        </w:rPr>
        <w:t>alguna</w:t>
      </w:r>
      <w:r>
        <w:rPr>
          <w:rFonts w:ascii="Times New Roman" w:hAnsi="Times New Roman"/>
          <w:sz w:val="19"/>
        </w:rPr>
        <w:t>.</w:t>
      </w:r>
    </w:p>
    <w:p>
      <w:pPr>
        <w:spacing w:after="0" w:line="220" w:lineRule="exact"/>
        <w:jc w:val="both"/>
        <w:rPr>
          <w:rFonts w:ascii="Times New Roman" w:hAnsi="Times New Roman"/>
          <w:sz w:val="19"/>
        </w:rPr>
        <w:sectPr>
          <w:footerReference w:type="default" r:id="rId35"/>
          <w:pgSz w:w="11910" w:h="16840"/>
          <w:pgMar w:footer="1457" w:header="0" w:top="1580" w:bottom="1640" w:left="1540" w:right="1540"/>
        </w:sectPr>
      </w:pPr>
    </w:p>
    <w:p>
      <w:pPr>
        <w:pStyle w:val="BodyText"/>
        <w:rPr>
          <w:rFonts w:ascii="Times New Roman"/>
          <w:sz w:val="20"/>
        </w:rPr>
      </w:pPr>
    </w:p>
    <w:p>
      <w:pPr>
        <w:pStyle w:val="BodyText"/>
        <w:spacing w:before="2"/>
        <w:rPr>
          <w:rFonts w:ascii="Times New Roman"/>
          <w:sz w:val="16"/>
        </w:rPr>
      </w:pPr>
    </w:p>
    <w:p>
      <w:pPr>
        <w:pStyle w:val="BodyText"/>
        <w:spacing w:line="364" w:lineRule="auto" w:before="74"/>
        <w:ind w:left="115" w:right="108"/>
        <w:jc w:val="both"/>
      </w:pPr>
      <w:r>
        <w:rPr/>
        <w:t>municipios en </w:t>
      </w:r>
      <w:r>
        <w:rPr>
          <w:spacing w:val="-3"/>
        </w:rPr>
        <w:t>las </w:t>
      </w:r>
      <w:r>
        <w:rPr/>
        <w:t>tareas educativas del futuro y en promover </w:t>
      </w:r>
      <w:r>
        <w:rPr>
          <w:spacing w:val="-4"/>
        </w:rPr>
        <w:t>la </w:t>
      </w:r>
      <w:r>
        <w:rPr/>
        <w:t>creación de  concejos municipales de educación, a fin de que exista un órgano que apoye y fomente de manera eficaz </w:t>
      </w:r>
      <w:r>
        <w:rPr>
          <w:spacing w:val="-5"/>
        </w:rPr>
        <w:t>la </w:t>
      </w:r>
      <w:r>
        <w:rPr/>
        <w:t>educación en cada localidad. Los gobiernos estatales harán </w:t>
      </w:r>
      <w:r>
        <w:rPr>
          <w:spacing w:val="-3"/>
        </w:rPr>
        <w:t>lo </w:t>
      </w:r>
      <w:r>
        <w:rPr/>
        <w:t>conducente para que, cada vez </w:t>
      </w:r>
      <w:r>
        <w:rPr>
          <w:spacing w:val="-4"/>
        </w:rPr>
        <w:t>en </w:t>
      </w:r>
      <w:r>
        <w:rPr>
          <w:spacing w:val="-3"/>
        </w:rPr>
        <w:t>mayor </w:t>
      </w:r>
      <w:r>
        <w:rPr/>
        <w:t>grado, los municipios estén directamente encargados de dar mantenimiento y equipamiento a las escuelas sirviéndose de los recursos que, al efecto, reciban del gobierno estatal y  atendiendo a las recomendaciones de dichos concejos</w:t>
      </w:r>
      <w:r>
        <w:rPr>
          <w:spacing w:val="61"/>
        </w:rPr>
        <w:t> </w:t>
      </w:r>
      <w:r>
        <w:rPr/>
        <w:t>municipales”.</w:t>
      </w:r>
    </w:p>
    <w:p>
      <w:pPr>
        <w:pStyle w:val="BodyText"/>
        <w:spacing w:line="364" w:lineRule="auto" w:before="5"/>
        <w:ind w:left="115" w:right="108" w:firstLine="686"/>
        <w:jc w:val="both"/>
      </w:pPr>
      <w:r>
        <w:rPr/>
        <w:t>En suma, el Ejecutivo federal traspasó y los respectivos gobiernos estatales recibieron los establecimientos escolares con todos los elementos de carácter técnico y administrativo, derechos y obligaciones,  bienes  muebles  e  inmuebles, con los que la SEP venía prestando servicios, además de los recursos financieros utilizados en su operación.</w:t>
      </w:r>
    </w:p>
    <w:p>
      <w:pPr>
        <w:pStyle w:val="BodyText"/>
        <w:spacing w:line="364" w:lineRule="auto"/>
        <w:ind w:left="115" w:right="108" w:firstLine="686"/>
        <w:jc w:val="both"/>
      </w:pPr>
      <w:r>
        <w:rPr/>
        <w:t>El gobierno federal conservó para si las siguientes competencias:  formulación para toda la República de los planes y programas para la educación preescolar, primaria, secundaria y normal; autorización del uso de material educativo para los niveles de educación citados; actualización y elaboración de </w:t>
      </w:r>
      <w:r>
        <w:rPr>
          <w:spacing w:val="-2"/>
        </w:rPr>
        <w:t>los </w:t>
      </w:r>
      <w:r>
        <w:rPr/>
        <w:t>libros de texto gratuitos para la educación primaria; promoción del desarrollo educativo armónico entre las entidades federativas; concertación con </w:t>
      </w:r>
      <w:r>
        <w:rPr>
          <w:spacing w:val="-3"/>
        </w:rPr>
        <w:t>los </w:t>
      </w:r>
      <w:r>
        <w:rPr/>
        <w:t>estados para impulsar las acciones necesarias para reducir y superar disparidades; elaboración de procedimientos de evaluación del sistema educativo nacional; promoción de los servicios educativos que faciliten a los educadores su  </w:t>
      </w:r>
      <w:r>
        <w:rPr>
          <w:spacing w:val="63"/>
        </w:rPr>
        <w:t> </w:t>
      </w:r>
      <w:r>
        <w:rPr/>
        <w:t>formación</w:t>
      </w:r>
    </w:p>
    <w:p>
      <w:pPr>
        <w:pStyle w:val="BodyText"/>
        <w:spacing w:line="328" w:lineRule="auto" w:before="10"/>
        <w:ind w:left="115" w:right="116"/>
        <w:jc w:val="both"/>
        <w:rPr>
          <w:sz w:val="15"/>
        </w:rPr>
      </w:pPr>
      <w:r>
        <w:rPr/>
        <w:t>y constante perfeccionamiento; y fomento de la investigación que permita la innovación educativa.</w:t>
      </w:r>
      <w:r>
        <w:rPr>
          <w:position w:val="11"/>
          <w:sz w:val="15"/>
        </w:rPr>
        <w:t>42</w:t>
      </w:r>
    </w:p>
    <w:p>
      <w:pPr>
        <w:pStyle w:val="BodyText"/>
        <w:spacing w:line="364" w:lineRule="auto" w:before="29"/>
        <w:ind w:left="115" w:right="108" w:firstLine="686"/>
        <w:jc w:val="both"/>
      </w:pPr>
      <w:r>
        <w:rPr/>
        <w:t>Asimismo, el gobierno federal formuló un conjunto de políticas educativas para la mejora de la calidad de la educación básica. Tal como se señaló al inicio, además de la descentralización y de manera simultánea, se han desarrollado tres procesos de reforma educativa, cada uno con su lógica, sus procedimientos y sus tiempos: a) La reforma pedagógica curricular que afectó a la educación  preescolar,</w:t>
      </w:r>
    </w:p>
    <w:p>
      <w:pPr>
        <w:pStyle w:val="BodyText"/>
        <w:spacing w:before="3"/>
        <w:rPr>
          <w:sz w:val="28"/>
        </w:rPr>
      </w:pPr>
      <w:r>
        <w:rPr/>
        <w:pict>
          <v:line style="position:absolute;mso-position-horizontal-relative:page;mso-position-vertical-relative:paragraph;z-index:2176;mso-wrap-distance-left:0;mso-wrap-distance-right:0" from="82.799004pt,18.608212pt" to="222.958004pt,18.608212pt" stroked="true" strokeweight=".72pt" strokecolor="#000000">
            <w10:wrap type="topAndBottom"/>
          </v:line>
        </w:pict>
      </w:r>
    </w:p>
    <w:p>
      <w:pPr>
        <w:spacing w:line="247" w:lineRule="auto" w:before="46"/>
        <w:ind w:left="115" w:right="107" w:firstLine="0"/>
        <w:jc w:val="both"/>
        <w:rPr>
          <w:sz w:val="19"/>
        </w:rPr>
      </w:pPr>
      <w:r>
        <w:rPr>
          <w:w w:val="105"/>
          <w:position w:val="10"/>
          <w:sz w:val="12"/>
        </w:rPr>
        <w:t>42 </w:t>
      </w:r>
      <w:r>
        <w:rPr>
          <w:w w:val="105"/>
          <w:sz w:val="19"/>
        </w:rPr>
        <w:t>Sin embargo, se estableció que sería responsabilidad de los gobiernos estatales proponer a la SEP el diseño de los contenidos regionales y su adecuada inclusión en los planes de estudio. El requisito sería “asegurar” que los estudiantes adquieran un mejor conocimiento de la historia y geografía, la diversidad ecológica, las costumbres y tradiciones del estado correspondiente.</w:t>
      </w:r>
    </w:p>
    <w:p>
      <w:pPr>
        <w:spacing w:after="0" w:line="247" w:lineRule="auto"/>
        <w:jc w:val="both"/>
        <w:rPr>
          <w:sz w:val="19"/>
        </w:rPr>
        <w:sectPr>
          <w:footerReference w:type="default" r:id="rId36"/>
          <w:pgSz w:w="11910" w:h="16840"/>
          <w:pgMar w:footer="1457" w:header="0" w:top="1580" w:bottom="1640" w:left="1540" w:right="1540"/>
          <w:pgNumType w:start="131"/>
        </w:sectPr>
      </w:pPr>
    </w:p>
    <w:p>
      <w:pPr>
        <w:pStyle w:val="BodyText"/>
        <w:rPr>
          <w:sz w:val="20"/>
        </w:rPr>
      </w:pPr>
    </w:p>
    <w:p>
      <w:pPr>
        <w:pStyle w:val="BodyText"/>
        <w:spacing w:before="2"/>
        <w:rPr>
          <w:sz w:val="16"/>
        </w:rPr>
      </w:pPr>
    </w:p>
    <w:p>
      <w:pPr>
        <w:pStyle w:val="BodyText"/>
        <w:spacing w:line="369" w:lineRule="auto" w:before="74"/>
        <w:ind w:left="115" w:right="191"/>
      </w:pPr>
      <w:r>
        <w:rPr/>
        <w:t>primaria y secundaria (en dos momentos, las reformas de 1993 y las reformas posteriores a 2004 en preescolar, de 2006 en secundaria; y de 2009 en primaria);</w:t>
      </w:r>
    </w:p>
    <w:p>
      <w:pPr>
        <w:pStyle w:val="BodyText"/>
        <w:spacing w:line="260" w:lineRule="exact"/>
        <w:ind w:left="115" w:right="103"/>
      </w:pPr>
      <w:r>
        <w:rPr/>
        <w:t>b) La reforma docente - Carrera Magisterial y programas de actualización   docente-</w:t>
      </w:r>
    </w:p>
    <w:p>
      <w:pPr>
        <w:pStyle w:val="BodyText"/>
        <w:spacing w:before="138"/>
        <w:ind w:left="115" w:right="191"/>
      </w:pPr>
      <w:r>
        <w:rPr/>
        <w:t>; y c) La reforma de la escuela, de su organización y  funcionamiento.</w:t>
      </w:r>
    </w:p>
    <w:p>
      <w:pPr>
        <w:pStyle w:val="BodyText"/>
        <w:spacing w:line="364" w:lineRule="auto" w:before="138"/>
        <w:ind w:left="115" w:right="105" w:firstLine="686"/>
        <w:jc w:val="both"/>
      </w:pPr>
      <w:r>
        <w:rPr/>
        <w:t>En general, este proceso de reforma educativa privilegió dos grandes órdenes del funcionamiento del sistema educativo. 1. La reforma pedagógica (currículo, planes y programas </w:t>
      </w:r>
      <w:r>
        <w:rPr>
          <w:spacing w:val="3"/>
        </w:rPr>
        <w:t>de </w:t>
      </w:r>
      <w:r>
        <w:rPr/>
        <w:t>estudio, materiales </w:t>
      </w:r>
      <w:r>
        <w:rPr>
          <w:spacing w:val="3"/>
        </w:rPr>
        <w:t>de </w:t>
      </w:r>
      <w:r>
        <w:rPr/>
        <w:t>estudio, evaluación del aprendizaje) y </w:t>
      </w:r>
      <w:r>
        <w:rPr>
          <w:spacing w:val="-5"/>
        </w:rPr>
        <w:t>la </w:t>
      </w:r>
      <w:r>
        <w:rPr/>
        <w:t>reforma docente (formación y actualización docente; evaluación docente asociada a </w:t>
      </w:r>
      <w:r>
        <w:rPr>
          <w:spacing w:val="2"/>
        </w:rPr>
        <w:t>un </w:t>
      </w:r>
      <w:r>
        <w:rPr>
          <w:spacing w:val="-3"/>
        </w:rPr>
        <w:t>nuevo </w:t>
      </w:r>
      <w:r>
        <w:rPr/>
        <w:t>tabulador salarial). 2. En un segundo momento, de manera paulatina y progresiva fueron  desarrollados  planteamientos  para  </w:t>
      </w:r>
      <w:r>
        <w:rPr>
          <w:spacing w:val="-5"/>
        </w:rPr>
        <w:t>la </w:t>
      </w:r>
      <w:r>
        <w:rPr/>
        <w:t>reforma de </w:t>
      </w:r>
      <w:r>
        <w:rPr>
          <w:spacing w:val="-5"/>
        </w:rPr>
        <w:t>la </w:t>
      </w:r>
      <w:r>
        <w:rPr/>
        <w:t>escuela (la gestión de la escuela, la función directiva, el trabajo en equipo, el proyecto educativo escolar, </w:t>
      </w:r>
      <w:r>
        <w:rPr>
          <w:spacing w:val="-3"/>
        </w:rPr>
        <w:t>la </w:t>
      </w:r>
      <w:r>
        <w:rPr/>
        <w:t>participación social en la </w:t>
      </w:r>
      <w:r>
        <w:rPr>
          <w:spacing w:val="24"/>
        </w:rPr>
        <w:t> </w:t>
      </w:r>
      <w:r>
        <w:rPr/>
        <w:t>escuela).</w:t>
      </w:r>
    </w:p>
    <w:p>
      <w:pPr>
        <w:pStyle w:val="BodyText"/>
        <w:spacing w:line="364" w:lineRule="auto"/>
        <w:ind w:left="115" w:right="212" w:firstLine="686"/>
      </w:pPr>
      <w:r>
        <w:rPr/>
        <w:t>Al mismo tiempo fueron desarrollados programas de intervención que buscaron incidir en el currículo y en </w:t>
      </w:r>
      <w:r>
        <w:rPr>
          <w:spacing w:val="3"/>
        </w:rPr>
        <w:t>el </w:t>
      </w:r>
      <w:r>
        <w:rPr/>
        <w:t>funcionamiento regular  organizativo  curricular de las escuelas de educación básica. En el primer caso se ubicaron, por ejemplo, el Programa Nacional de Lectura, </w:t>
      </w:r>
      <w:r>
        <w:rPr>
          <w:spacing w:val="-3"/>
        </w:rPr>
        <w:t>las </w:t>
      </w:r>
      <w:r>
        <w:rPr/>
        <w:t>Bibliotecas de Aula, los programas curriculares de Formación Cívica y Ética. En el segundo caso, el Programa de Integración Educativa y </w:t>
      </w:r>
      <w:r>
        <w:rPr>
          <w:spacing w:val="-5"/>
        </w:rPr>
        <w:t>la </w:t>
      </w:r>
      <w:r>
        <w:rPr/>
        <w:t>reforma de </w:t>
      </w:r>
      <w:r>
        <w:rPr>
          <w:spacing w:val="-5"/>
        </w:rPr>
        <w:t>la </w:t>
      </w:r>
      <w:r>
        <w:rPr/>
        <w:t>organización de  las  escuelas  de  educación especial, a partir de la creación de las Unidades de Servicios de Apoyo   a </w:t>
      </w:r>
      <w:r>
        <w:rPr>
          <w:spacing w:val="-4"/>
        </w:rPr>
        <w:t>la </w:t>
      </w:r>
      <w:r>
        <w:rPr/>
        <w:t>Educación regular (USAER) y el establecimiento de los Centros de Atención Múltiple (CAM). A partir de 2002 </w:t>
      </w:r>
      <w:r>
        <w:rPr>
          <w:spacing w:val="3"/>
        </w:rPr>
        <w:t>se </w:t>
      </w:r>
      <w:r>
        <w:rPr/>
        <w:t>implementó el Programa de Escuelas  de Calidad (PEC). Más recientemente se impulsaron programas como </w:t>
      </w:r>
      <w:r>
        <w:rPr>
          <w:i/>
        </w:rPr>
        <w:t>Enciclomedia </w:t>
      </w:r>
      <w:r>
        <w:rPr/>
        <w:t>– conjunto de recursos tecnológicos para el trabajo docente en el aula-; </w:t>
      </w:r>
      <w:r>
        <w:rPr>
          <w:i/>
        </w:rPr>
        <w:t>Escuela </w:t>
      </w:r>
      <w:r>
        <w:rPr>
          <w:i/>
        </w:rPr>
        <w:t>Segur</w:t>
      </w:r>
      <w:r>
        <w:rPr/>
        <w:t>a; o </w:t>
      </w:r>
      <w:r>
        <w:rPr>
          <w:spacing w:val="-3"/>
        </w:rPr>
        <w:t>las </w:t>
      </w:r>
      <w:r>
        <w:rPr>
          <w:i/>
        </w:rPr>
        <w:t>Escuelas de Tiempo</w:t>
      </w:r>
      <w:r>
        <w:rPr>
          <w:i/>
          <w:spacing w:val="62"/>
        </w:rPr>
        <w:t> </w:t>
      </w:r>
      <w:r>
        <w:rPr>
          <w:i/>
        </w:rPr>
        <w:t>Completo</w:t>
      </w:r>
      <w:r>
        <w:rPr/>
        <w:t>.</w:t>
      </w:r>
    </w:p>
    <w:p>
      <w:pPr>
        <w:pStyle w:val="BodyText"/>
        <w:spacing w:line="364" w:lineRule="auto" w:before="5"/>
        <w:ind w:left="115" w:right="104" w:firstLine="686"/>
        <w:jc w:val="both"/>
      </w:pPr>
      <w:r>
        <w:rPr/>
        <w:t>Los alcances político-administrativos del Acuerdo, empero, fueron limitados en </w:t>
      </w:r>
      <w:r>
        <w:rPr>
          <w:spacing w:val="-3"/>
        </w:rPr>
        <w:t>lo </w:t>
      </w:r>
      <w:r>
        <w:rPr/>
        <w:t>relativo a las posibilidades de mejora del sistema educativo en su conjunto, y en particular en </w:t>
      </w:r>
      <w:r>
        <w:rPr>
          <w:spacing w:val="3"/>
        </w:rPr>
        <w:t>el </w:t>
      </w:r>
      <w:r>
        <w:rPr/>
        <w:t>tema de la mejora en el logro de los aprendizajes. </w:t>
      </w:r>
      <w:r>
        <w:rPr>
          <w:spacing w:val="2"/>
        </w:rPr>
        <w:t>En </w:t>
      </w:r>
      <w:r>
        <w:rPr/>
        <w:t>buena medida ello fue producto </w:t>
      </w:r>
      <w:r>
        <w:rPr>
          <w:spacing w:val="-3"/>
        </w:rPr>
        <w:t>de </w:t>
      </w:r>
      <w:r>
        <w:rPr/>
        <w:t>dos grandes obstáculos. El primero fue  que  el  Acuerdo enfrentó desde su misma planeación </w:t>
      </w:r>
      <w:r>
        <w:rPr>
          <w:spacing w:val="-4"/>
        </w:rPr>
        <w:t>la </w:t>
      </w:r>
      <w:r>
        <w:rPr/>
        <w:t>tajante oposición de </w:t>
      </w:r>
      <w:r>
        <w:rPr>
          <w:spacing w:val="-3"/>
        </w:rPr>
        <w:t>la </w:t>
      </w:r>
      <w:r>
        <w:rPr/>
        <w:t>dirigencia nacional y regional del SNTE, basada en el temor de que el gremio fuera dividido   en sindicatos locales, lo que acabó por imponer   </w:t>
      </w:r>
      <w:r>
        <w:rPr>
          <w:spacing w:val="18"/>
        </w:rPr>
        <w:t> </w:t>
      </w:r>
      <w:r>
        <w:rPr/>
        <w:t>un diseño no del todo consistente</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8"/>
        <w:jc w:val="both"/>
      </w:pPr>
      <w:r>
        <w:rPr/>
        <w:t>con el espíritu federalista. En particular porque el sindicato continuó con una negociación nacional con la SEP y </w:t>
      </w:r>
      <w:r>
        <w:rPr>
          <w:spacing w:val="-3"/>
        </w:rPr>
        <w:t>la </w:t>
      </w:r>
      <w:r>
        <w:rPr/>
        <w:t>Secretaría de Hacienda para el caso de </w:t>
      </w:r>
      <w:r>
        <w:rPr>
          <w:spacing w:val="-4"/>
        </w:rPr>
        <w:t>la </w:t>
      </w:r>
      <w:r>
        <w:rPr/>
        <w:t>revisión salarial anual; en tanto que los líderes seccionales, con un pequeño  margen para prestaciones, se avocaron a negociar en cada entidad con los gobernadores y sus secretarios de Educación y de </w:t>
      </w:r>
      <w:r>
        <w:rPr>
          <w:spacing w:val="4"/>
        </w:rPr>
        <w:t> </w:t>
      </w:r>
      <w:r>
        <w:rPr/>
        <w:t>Finanzas.</w:t>
      </w:r>
    </w:p>
    <w:p>
      <w:pPr>
        <w:pStyle w:val="BodyText"/>
        <w:spacing w:line="364" w:lineRule="auto" w:before="5"/>
        <w:ind w:left="115" w:right="104" w:firstLine="686"/>
        <w:jc w:val="both"/>
      </w:pPr>
      <w:r>
        <w:rPr/>
        <w:t>El segundo gran obstáculo fue que </w:t>
      </w:r>
      <w:r>
        <w:rPr>
          <w:spacing w:val="-3"/>
        </w:rPr>
        <w:t>la </w:t>
      </w:r>
      <w:r>
        <w:rPr/>
        <w:t>transferencia de las responsabilidades administrativas a las entidades fue más cosmética que real, dado  que  </w:t>
      </w:r>
      <w:r>
        <w:rPr>
          <w:spacing w:val="-5"/>
        </w:rPr>
        <w:t>la  </w:t>
      </w:r>
      <w:r>
        <w:rPr/>
        <w:t>legislación conservó para la federación </w:t>
      </w:r>
      <w:r>
        <w:rPr>
          <w:spacing w:val="3"/>
        </w:rPr>
        <w:t>el </w:t>
      </w:r>
      <w:r>
        <w:rPr/>
        <w:t>control de los asuntos </w:t>
      </w:r>
      <w:r>
        <w:rPr>
          <w:spacing w:val="-3"/>
        </w:rPr>
        <w:t>más </w:t>
      </w:r>
      <w:r>
        <w:rPr/>
        <w:t>relevantes, el control del gasto vía las transferencias federales y una serie de controles administrativos y financieros que </w:t>
      </w:r>
      <w:r>
        <w:rPr>
          <w:spacing w:val="-3"/>
        </w:rPr>
        <w:t>limitan </w:t>
      </w:r>
      <w:r>
        <w:rPr/>
        <w:t>el actuar de los estados a </w:t>
      </w:r>
      <w:r>
        <w:rPr>
          <w:spacing w:val="-3"/>
        </w:rPr>
        <w:t>la mera  </w:t>
      </w:r>
      <w:r>
        <w:rPr/>
        <w:t>operación </w:t>
      </w:r>
      <w:r>
        <w:rPr>
          <w:spacing w:val="3"/>
        </w:rPr>
        <w:t>de </w:t>
      </w:r>
      <w:r>
        <w:rPr>
          <w:spacing w:val="-3"/>
        </w:rPr>
        <w:t>los  </w:t>
      </w:r>
      <w:r>
        <w:rPr/>
        <w:t>sistemas educativos. Incluso se puede afirmar que este   </w:t>
      </w:r>
      <w:r>
        <w:rPr>
          <w:spacing w:val="4"/>
        </w:rPr>
        <w:t> </w:t>
      </w:r>
      <w:r>
        <w:rPr/>
        <w:t>proceso</w:t>
      </w:r>
    </w:p>
    <w:p>
      <w:pPr>
        <w:pStyle w:val="BodyText"/>
        <w:spacing w:line="328" w:lineRule="auto" w:before="5"/>
        <w:ind w:left="115" w:right="110"/>
        <w:jc w:val="both"/>
        <w:rPr>
          <w:sz w:val="15"/>
        </w:rPr>
      </w:pPr>
      <w:r>
        <w:rPr/>
        <w:t>administrativo no fortaleció el federalismo educativo, sino que acentuó los rezagos en las entidades federativas.</w:t>
      </w:r>
      <w:r>
        <w:rPr>
          <w:position w:val="11"/>
          <w:sz w:val="15"/>
        </w:rPr>
        <w:t>43   </w:t>
      </w:r>
      <w:r>
        <w:rPr/>
        <w:t>(Mancera, C. y Vega, 2000 en Cabrero,  1998)</w:t>
      </w:r>
      <w:r>
        <w:rPr>
          <w:position w:val="11"/>
          <w:sz w:val="15"/>
        </w:rPr>
        <w:t>44</w:t>
      </w:r>
    </w:p>
    <w:p>
      <w:pPr>
        <w:pStyle w:val="BodyText"/>
        <w:spacing w:line="364" w:lineRule="auto" w:before="34"/>
        <w:ind w:left="115" w:right="103" w:firstLine="686"/>
        <w:jc w:val="both"/>
      </w:pPr>
      <w:r>
        <w:rPr/>
        <w:t>La descentralización de 1992 fue precedida en marzo de 1993 con  </w:t>
      </w:r>
      <w:r>
        <w:rPr>
          <w:spacing w:val="-5"/>
        </w:rPr>
        <w:t>la  </w:t>
      </w:r>
      <w:r>
        <w:rPr/>
        <w:t>reforma </w:t>
      </w:r>
      <w:r>
        <w:rPr>
          <w:spacing w:val="3"/>
        </w:rPr>
        <w:t>al </w:t>
      </w:r>
      <w:r>
        <w:rPr/>
        <w:t>artículo 3º constitucional y en julio del mismo año fue sancionada </w:t>
      </w:r>
      <w:r>
        <w:rPr>
          <w:spacing w:val="-4"/>
        </w:rPr>
        <w:t>la </w:t>
      </w:r>
      <w:r>
        <w:rPr/>
        <w:t>nueva Ley General de Educación (LGE). En ella </w:t>
      </w:r>
      <w:r>
        <w:rPr>
          <w:spacing w:val="2"/>
        </w:rPr>
        <w:t>se </w:t>
      </w:r>
      <w:r>
        <w:rPr/>
        <w:t>ratificó de manera precisa el conjunto de decisiones pactadas </w:t>
      </w:r>
      <w:r>
        <w:rPr>
          <w:spacing w:val="3"/>
        </w:rPr>
        <w:t>en </w:t>
      </w:r>
      <w:r>
        <w:rPr/>
        <w:t>el ANMEB, además de que </w:t>
      </w:r>
      <w:r>
        <w:rPr>
          <w:spacing w:val="3"/>
        </w:rPr>
        <w:t>se </w:t>
      </w:r>
      <w:r>
        <w:rPr/>
        <w:t>oficializó una política de Estado en materia de equidad para </w:t>
      </w:r>
      <w:r>
        <w:rPr>
          <w:spacing w:val="-5"/>
        </w:rPr>
        <w:t>la </w:t>
      </w:r>
      <w:r>
        <w:rPr/>
        <w:t>educación básica, </w:t>
      </w:r>
      <w:r>
        <w:rPr>
          <w:spacing w:val="-3"/>
        </w:rPr>
        <w:t>así </w:t>
      </w:r>
      <w:r>
        <w:rPr/>
        <w:t>como definiciones respecto a la evaluación del sistema educativo. El gobierno federal conservó un papel preponderante en garantía del carácter uniforme y nacional  </w:t>
      </w:r>
      <w:r>
        <w:rPr>
          <w:spacing w:val="58"/>
        </w:rPr>
        <w:t> </w:t>
      </w:r>
      <w:r>
        <w:rPr>
          <w:spacing w:val="2"/>
        </w:rPr>
        <w:t>del</w:t>
      </w:r>
    </w:p>
    <w:p>
      <w:pPr>
        <w:pStyle w:val="BodyText"/>
        <w:rPr>
          <w:sz w:val="17"/>
        </w:rPr>
      </w:pPr>
      <w:r>
        <w:rPr/>
        <w:pict>
          <v:line style="position:absolute;mso-position-horizontal-relative:page;mso-position-vertical-relative:paragraph;z-index:2200;mso-wrap-distance-left:0;mso-wrap-distance-right:0" from="82.799004pt,12.126211pt" to="222.958004pt,12.126211pt" stroked="true" strokeweight=".72pt" strokecolor="#000000">
            <w10:wrap type="topAndBottom"/>
          </v:line>
        </w:pict>
      </w:r>
    </w:p>
    <w:p>
      <w:pPr>
        <w:spacing w:line="247" w:lineRule="auto" w:before="41"/>
        <w:ind w:left="115" w:right="99" w:firstLine="0"/>
        <w:jc w:val="both"/>
        <w:rPr>
          <w:sz w:val="19"/>
        </w:rPr>
      </w:pPr>
      <w:r>
        <w:rPr>
          <w:spacing w:val="-4"/>
          <w:w w:val="105"/>
          <w:position w:val="10"/>
          <w:sz w:val="12"/>
        </w:rPr>
        <w:t>43 </w:t>
      </w:r>
      <w:r>
        <w:rPr>
          <w:w w:val="105"/>
          <w:sz w:val="19"/>
        </w:rPr>
        <w:t>Muestra de ello </w:t>
      </w:r>
      <w:r>
        <w:rPr>
          <w:spacing w:val="-3"/>
          <w:w w:val="105"/>
          <w:sz w:val="19"/>
        </w:rPr>
        <w:t>son </w:t>
      </w:r>
      <w:r>
        <w:rPr>
          <w:w w:val="105"/>
          <w:sz w:val="19"/>
        </w:rPr>
        <w:t>los indicadores que dan cuenta de una dispersión </w:t>
      </w:r>
      <w:r>
        <w:rPr>
          <w:spacing w:val="-3"/>
          <w:w w:val="105"/>
          <w:sz w:val="19"/>
        </w:rPr>
        <w:t>del </w:t>
      </w:r>
      <w:r>
        <w:rPr>
          <w:w w:val="105"/>
          <w:sz w:val="19"/>
        </w:rPr>
        <w:t>gasto </w:t>
      </w:r>
      <w:r>
        <w:rPr>
          <w:spacing w:val="-3"/>
          <w:w w:val="105"/>
          <w:sz w:val="19"/>
        </w:rPr>
        <w:t>educativo </w:t>
      </w:r>
      <w:r>
        <w:rPr>
          <w:w w:val="105"/>
          <w:sz w:val="19"/>
        </w:rPr>
        <w:t>que está afectando la prestación de los servicios en diversas entidades. </w:t>
      </w:r>
      <w:r>
        <w:rPr>
          <w:spacing w:val="-3"/>
          <w:w w:val="105"/>
          <w:sz w:val="19"/>
        </w:rPr>
        <w:t>Por </w:t>
      </w:r>
      <w:r>
        <w:rPr>
          <w:w w:val="105"/>
          <w:sz w:val="19"/>
        </w:rPr>
        <w:t>ejemplo, el gasto por estudiante</w:t>
      </w:r>
      <w:r>
        <w:rPr>
          <w:spacing w:val="-8"/>
          <w:w w:val="105"/>
          <w:sz w:val="19"/>
        </w:rPr>
        <w:t> </w:t>
      </w:r>
      <w:r>
        <w:rPr>
          <w:w w:val="105"/>
          <w:sz w:val="19"/>
        </w:rPr>
        <w:t>en</w:t>
      </w:r>
      <w:r>
        <w:rPr>
          <w:spacing w:val="-8"/>
          <w:w w:val="105"/>
          <w:sz w:val="19"/>
        </w:rPr>
        <w:t> </w:t>
      </w:r>
      <w:r>
        <w:rPr>
          <w:w w:val="105"/>
          <w:sz w:val="19"/>
        </w:rPr>
        <w:t>educación</w:t>
      </w:r>
      <w:r>
        <w:rPr>
          <w:spacing w:val="-8"/>
          <w:w w:val="105"/>
          <w:sz w:val="19"/>
        </w:rPr>
        <w:t> </w:t>
      </w:r>
      <w:r>
        <w:rPr>
          <w:w w:val="105"/>
          <w:sz w:val="19"/>
        </w:rPr>
        <w:t>básica</w:t>
      </w:r>
      <w:r>
        <w:rPr>
          <w:spacing w:val="-5"/>
          <w:w w:val="105"/>
          <w:sz w:val="19"/>
        </w:rPr>
        <w:t> </w:t>
      </w:r>
      <w:r>
        <w:rPr>
          <w:w w:val="105"/>
          <w:sz w:val="19"/>
        </w:rPr>
        <w:t>para</w:t>
      </w:r>
      <w:r>
        <w:rPr>
          <w:spacing w:val="-8"/>
          <w:w w:val="105"/>
          <w:sz w:val="19"/>
        </w:rPr>
        <w:t> </w:t>
      </w:r>
      <w:r>
        <w:rPr>
          <w:spacing w:val="-3"/>
          <w:w w:val="105"/>
          <w:sz w:val="19"/>
        </w:rPr>
        <w:t>el</w:t>
      </w:r>
      <w:r>
        <w:rPr>
          <w:spacing w:val="-4"/>
          <w:w w:val="105"/>
          <w:sz w:val="19"/>
        </w:rPr>
        <w:t> </w:t>
      </w:r>
      <w:r>
        <w:rPr>
          <w:w w:val="105"/>
          <w:sz w:val="19"/>
        </w:rPr>
        <w:t>2005,</w:t>
      </w:r>
      <w:r>
        <w:rPr>
          <w:spacing w:val="-8"/>
          <w:w w:val="105"/>
          <w:sz w:val="19"/>
        </w:rPr>
        <w:t> </w:t>
      </w:r>
      <w:r>
        <w:rPr>
          <w:w w:val="105"/>
          <w:sz w:val="19"/>
        </w:rPr>
        <w:t>de</w:t>
      </w:r>
      <w:r>
        <w:rPr>
          <w:spacing w:val="-8"/>
          <w:w w:val="105"/>
          <w:sz w:val="19"/>
        </w:rPr>
        <w:t> </w:t>
      </w:r>
      <w:r>
        <w:rPr>
          <w:w w:val="105"/>
          <w:sz w:val="19"/>
        </w:rPr>
        <w:t>acuerdo</w:t>
      </w:r>
      <w:r>
        <w:rPr>
          <w:spacing w:val="-12"/>
          <w:w w:val="105"/>
          <w:sz w:val="19"/>
        </w:rPr>
        <w:t> </w:t>
      </w:r>
      <w:r>
        <w:rPr>
          <w:w w:val="105"/>
          <w:sz w:val="19"/>
        </w:rPr>
        <w:t>con</w:t>
      </w:r>
      <w:r>
        <w:rPr>
          <w:spacing w:val="-8"/>
          <w:w w:val="105"/>
          <w:sz w:val="19"/>
        </w:rPr>
        <w:t> </w:t>
      </w:r>
      <w:r>
        <w:rPr>
          <w:w w:val="105"/>
          <w:sz w:val="19"/>
        </w:rPr>
        <w:t>los</w:t>
      </w:r>
      <w:r>
        <w:rPr>
          <w:spacing w:val="-8"/>
          <w:w w:val="105"/>
          <w:sz w:val="19"/>
        </w:rPr>
        <w:t> </w:t>
      </w:r>
      <w:r>
        <w:rPr>
          <w:w w:val="105"/>
          <w:sz w:val="19"/>
        </w:rPr>
        <w:t>recursos</w:t>
      </w:r>
      <w:r>
        <w:rPr>
          <w:spacing w:val="-13"/>
          <w:w w:val="105"/>
          <w:sz w:val="19"/>
        </w:rPr>
        <w:t> </w:t>
      </w:r>
      <w:r>
        <w:rPr>
          <w:w w:val="105"/>
          <w:sz w:val="19"/>
        </w:rPr>
        <w:t>asignados</w:t>
      </w:r>
      <w:r>
        <w:rPr>
          <w:spacing w:val="-13"/>
          <w:w w:val="105"/>
          <w:sz w:val="19"/>
        </w:rPr>
        <w:t> </w:t>
      </w:r>
      <w:r>
        <w:rPr>
          <w:w w:val="105"/>
          <w:sz w:val="19"/>
        </w:rPr>
        <w:t>del</w:t>
      </w:r>
      <w:r>
        <w:rPr>
          <w:spacing w:val="-8"/>
          <w:w w:val="105"/>
          <w:sz w:val="19"/>
        </w:rPr>
        <w:t> </w:t>
      </w:r>
      <w:r>
        <w:rPr>
          <w:w w:val="105"/>
          <w:sz w:val="19"/>
        </w:rPr>
        <w:t>ramo</w:t>
      </w:r>
      <w:r>
        <w:rPr>
          <w:spacing w:val="-8"/>
          <w:w w:val="105"/>
          <w:sz w:val="19"/>
        </w:rPr>
        <w:t> </w:t>
      </w:r>
      <w:r>
        <w:rPr>
          <w:w w:val="105"/>
          <w:sz w:val="19"/>
        </w:rPr>
        <w:t>33, sólo en </w:t>
      </w:r>
      <w:r>
        <w:rPr>
          <w:spacing w:val="3"/>
          <w:w w:val="105"/>
          <w:sz w:val="19"/>
        </w:rPr>
        <w:t>lo </w:t>
      </w:r>
      <w:r>
        <w:rPr>
          <w:w w:val="105"/>
          <w:sz w:val="19"/>
        </w:rPr>
        <w:t>que corresponde al FAEB, en el Estado de México ascendió a 4,651 pesos por estudiante,</w:t>
      </w:r>
      <w:r>
        <w:rPr>
          <w:spacing w:val="-9"/>
          <w:w w:val="105"/>
          <w:sz w:val="19"/>
        </w:rPr>
        <w:t> </w:t>
      </w:r>
      <w:r>
        <w:rPr>
          <w:w w:val="105"/>
          <w:sz w:val="19"/>
        </w:rPr>
        <w:t>en</w:t>
      </w:r>
      <w:r>
        <w:rPr>
          <w:spacing w:val="-6"/>
          <w:w w:val="105"/>
          <w:sz w:val="19"/>
        </w:rPr>
        <w:t> </w:t>
      </w:r>
      <w:r>
        <w:rPr>
          <w:w w:val="105"/>
          <w:sz w:val="19"/>
        </w:rPr>
        <w:t>tanto</w:t>
      </w:r>
      <w:r>
        <w:rPr>
          <w:spacing w:val="-9"/>
          <w:w w:val="105"/>
          <w:sz w:val="19"/>
        </w:rPr>
        <w:t> </w:t>
      </w:r>
      <w:r>
        <w:rPr>
          <w:w w:val="105"/>
          <w:sz w:val="19"/>
        </w:rPr>
        <w:t>que</w:t>
      </w:r>
      <w:r>
        <w:rPr>
          <w:spacing w:val="-9"/>
          <w:w w:val="105"/>
          <w:sz w:val="19"/>
        </w:rPr>
        <w:t> </w:t>
      </w:r>
      <w:r>
        <w:rPr>
          <w:w w:val="105"/>
          <w:sz w:val="19"/>
        </w:rPr>
        <w:t>en</w:t>
      </w:r>
      <w:r>
        <w:rPr>
          <w:spacing w:val="-7"/>
          <w:w w:val="105"/>
          <w:sz w:val="19"/>
        </w:rPr>
        <w:t> </w:t>
      </w:r>
      <w:r>
        <w:rPr>
          <w:w w:val="105"/>
          <w:sz w:val="19"/>
        </w:rPr>
        <w:t>Baja</w:t>
      </w:r>
      <w:r>
        <w:rPr>
          <w:spacing w:val="-9"/>
          <w:w w:val="105"/>
          <w:sz w:val="19"/>
        </w:rPr>
        <w:t> </w:t>
      </w:r>
      <w:r>
        <w:rPr>
          <w:w w:val="105"/>
          <w:sz w:val="19"/>
        </w:rPr>
        <w:t>California</w:t>
      </w:r>
      <w:r>
        <w:rPr>
          <w:spacing w:val="-6"/>
          <w:w w:val="105"/>
          <w:sz w:val="19"/>
        </w:rPr>
        <w:t> </w:t>
      </w:r>
      <w:r>
        <w:rPr>
          <w:w w:val="105"/>
          <w:sz w:val="19"/>
        </w:rPr>
        <w:t>Sur</w:t>
      </w:r>
      <w:r>
        <w:rPr>
          <w:spacing w:val="-9"/>
          <w:w w:val="105"/>
          <w:sz w:val="19"/>
        </w:rPr>
        <w:t> </w:t>
      </w:r>
      <w:r>
        <w:rPr>
          <w:spacing w:val="-4"/>
          <w:w w:val="105"/>
          <w:sz w:val="19"/>
        </w:rPr>
        <w:t>el </w:t>
      </w:r>
      <w:r>
        <w:rPr>
          <w:w w:val="105"/>
          <w:sz w:val="19"/>
        </w:rPr>
        <w:t>gasto</w:t>
      </w:r>
      <w:r>
        <w:rPr>
          <w:spacing w:val="-9"/>
          <w:w w:val="105"/>
          <w:sz w:val="19"/>
        </w:rPr>
        <w:t> </w:t>
      </w:r>
      <w:r>
        <w:rPr>
          <w:w w:val="105"/>
          <w:sz w:val="19"/>
        </w:rPr>
        <w:t>por</w:t>
      </w:r>
      <w:r>
        <w:rPr>
          <w:spacing w:val="-9"/>
          <w:w w:val="105"/>
          <w:sz w:val="19"/>
        </w:rPr>
        <w:t> </w:t>
      </w:r>
      <w:r>
        <w:rPr>
          <w:w w:val="105"/>
          <w:sz w:val="19"/>
        </w:rPr>
        <w:t>estudiante</w:t>
      </w:r>
      <w:r>
        <w:rPr>
          <w:spacing w:val="-9"/>
          <w:w w:val="105"/>
          <w:sz w:val="19"/>
        </w:rPr>
        <w:t> </w:t>
      </w:r>
      <w:r>
        <w:rPr>
          <w:w w:val="105"/>
          <w:sz w:val="19"/>
        </w:rPr>
        <w:t>de</w:t>
      </w:r>
      <w:r>
        <w:rPr>
          <w:spacing w:val="-7"/>
          <w:w w:val="105"/>
          <w:sz w:val="19"/>
        </w:rPr>
        <w:t> </w:t>
      </w:r>
      <w:r>
        <w:rPr>
          <w:w w:val="105"/>
          <w:sz w:val="19"/>
        </w:rPr>
        <w:t>educación</w:t>
      </w:r>
      <w:r>
        <w:rPr>
          <w:spacing w:val="-6"/>
          <w:w w:val="105"/>
          <w:sz w:val="19"/>
        </w:rPr>
        <w:t> </w:t>
      </w:r>
      <w:r>
        <w:rPr>
          <w:w w:val="105"/>
          <w:sz w:val="19"/>
        </w:rPr>
        <w:t>básica</w:t>
      </w:r>
      <w:r>
        <w:rPr>
          <w:spacing w:val="-5"/>
          <w:w w:val="105"/>
          <w:sz w:val="19"/>
        </w:rPr>
        <w:t> </w:t>
      </w:r>
      <w:r>
        <w:rPr>
          <w:w w:val="105"/>
          <w:sz w:val="19"/>
        </w:rPr>
        <w:t>fue</w:t>
      </w:r>
      <w:r>
        <w:rPr>
          <w:spacing w:val="-9"/>
          <w:w w:val="105"/>
          <w:sz w:val="19"/>
        </w:rPr>
        <w:t> </w:t>
      </w:r>
      <w:r>
        <w:rPr>
          <w:w w:val="105"/>
          <w:sz w:val="19"/>
        </w:rPr>
        <w:t>de 13,758</w:t>
      </w:r>
      <w:r>
        <w:rPr>
          <w:spacing w:val="-1"/>
          <w:w w:val="105"/>
          <w:sz w:val="19"/>
        </w:rPr>
        <w:t> </w:t>
      </w:r>
      <w:r>
        <w:rPr>
          <w:w w:val="105"/>
          <w:sz w:val="19"/>
        </w:rPr>
        <w:t>pesos.</w:t>
      </w:r>
      <w:r>
        <w:rPr>
          <w:spacing w:val="-4"/>
          <w:w w:val="105"/>
          <w:sz w:val="19"/>
        </w:rPr>
        <w:t> </w:t>
      </w:r>
      <w:r>
        <w:rPr>
          <w:w w:val="105"/>
          <w:sz w:val="19"/>
        </w:rPr>
        <w:t>El</w:t>
      </w:r>
      <w:r>
        <w:rPr>
          <w:spacing w:val="-4"/>
          <w:w w:val="105"/>
          <w:sz w:val="19"/>
        </w:rPr>
        <w:t> </w:t>
      </w:r>
      <w:r>
        <w:rPr>
          <w:w w:val="105"/>
          <w:sz w:val="19"/>
        </w:rPr>
        <w:t>promedio</w:t>
      </w:r>
      <w:r>
        <w:rPr>
          <w:spacing w:val="-1"/>
          <w:w w:val="105"/>
          <w:sz w:val="19"/>
        </w:rPr>
        <w:t> </w:t>
      </w:r>
      <w:r>
        <w:rPr>
          <w:w w:val="105"/>
          <w:sz w:val="19"/>
        </w:rPr>
        <w:t>nacional</w:t>
      </w:r>
      <w:r>
        <w:rPr>
          <w:spacing w:val="-4"/>
          <w:w w:val="105"/>
          <w:sz w:val="19"/>
        </w:rPr>
        <w:t> </w:t>
      </w:r>
      <w:r>
        <w:rPr>
          <w:w w:val="105"/>
          <w:sz w:val="19"/>
        </w:rPr>
        <w:t>fue</w:t>
      </w:r>
      <w:r>
        <w:rPr>
          <w:spacing w:val="-4"/>
          <w:w w:val="105"/>
          <w:sz w:val="19"/>
        </w:rPr>
        <w:t> </w:t>
      </w:r>
      <w:r>
        <w:rPr>
          <w:spacing w:val="2"/>
          <w:w w:val="105"/>
          <w:sz w:val="19"/>
        </w:rPr>
        <w:t>de</w:t>
      </w:r>
      <w:r>
        <w:rPr>
          <w:spacing w:val="-4"/>
          <w:w w:val="105"/>
          <w:sz w:val="19"/>
        </w:rPr>
        <w:t> </w:t>
      </w:r>
      <w:r>
        <w:rPr>
          <w:w w:val="105"/>
          <w:sz w:val="19"/>
        </w:rPr>
        <w:t>8,115</w:t>
      </w:r>
      <w:r>
        <w:rPr>
          <w:spacing w:val="-4"/>
          <w:w w:val="105"/>
          <w:sz w:val="19"/>
        </w:rPr>
        <w:t> </w:t>
      </w:r>
      <w:r>
        <w:rPr>
          <w:w w:val="105"/>
          <w:sz w:val="19"/>
        </w:rPr>
        <w:t>pesos.</w:t>
      </w:r>
      <w:r>
        <w:rPr>
          <w:spacing w:val="-4"/>
          <w:w w:val="105"/>
          <w:sz w:val="19"/>
        </w:rPr>
        <w:t> </w:t>
      </w:r>
      <w:r>
        <w:rPr>
          <w:spacing w:val="-3"/>
          <w:w w:val="105"/>
          <w:sz w:val="19"/>
        </w:rPr>
        <w:t>Esto</w:t>
      </w:r>
      <w:r>
        <w:rPr>
          <w:spacing w:val="-1"/>
          <w:w w:val="105"/>
          <w:sz w:val="19"/>
        </w:rPr>
        <w:t> </w:t>
      </w:r>
      <w:r>
        <w:rPr>
          <w:w w:val="105"/>
          <w:sz w:val="19"/>
        </w:rPr>
        <w:t>indica</w:t>
      </w:r>
      <w:r>
        <w:rPr>
          <w:spacing w:val="-4"/>
          <w:w w:val="105"/>
          <w:sz w:val="19"/>
        </w:rPr>
        <w:t> </w:t>
      </w:r>
      <w:r>
        <w:rPr>
          <w:w w:val="105"/>
          <w:sz w:val="19"/>
        </w:rPr>
        <w:t>que</w:t>
      </w:r>
      <w:r>
        <w:rPr>
          <w:spacing w:val="-1"/>
          <w:w w:val="105"/>
          <w:sz w:val="19"/>
        </w:rPr>
        <w:t> </w:t>
      </w:r>
      <w:r>
        <w:rPr>
          <w:w w:val="105"/>
          <w:sz w:val="19"/>
        </w:rPr>
        <w:t>existen</w:t>
      </w:r>
      <w:r>
        <w:rPr>
          <w:spacing w:val="-1"/>
          <w:w w:val="105"/>
          <w:sz w:val="19"/>
        </w:rPr>
        <w:t> </w:t>
      </w:r>
      <w:r>
        <w:rPr>
          <w:w w:val="105"/>
          <w:sz w:val="19"/>
        </w:rPr>
        <w:t>grandes</w:t>
      </w:r>
      <w:r>
        <w:rPr>
          <w:spacing w:val="-8"/>
          <w:w w:val="105"/>
          <w:sz w:val="19"/>
        </w:rPr>
        <w:t> </w:t>
      </w:r>
      <w:r>
        <w:rPr>
          <w:w w:val="105"/>
          <w:sz w:val="19"/>
        </w:rPr>
        <w:t>brechas de</w:t>
      </w:r>
      <w:r>
        <w:rPr>
          <w:spacing w:val="-16"/>
          <w:w w:val="105"/>
          <w:sz w:val="19"/>
        </w:rPr>
        <w:t> </w:t>
      </w:r>
      <w:r>
        <w:rPr>
          <w:w w:val="105"/>
          <w:sz w:val="19"/>
        </w:rPr>
        <w:t>gasto</w:t>
      </w:r>
      <w:r>
        <w:rPr>
          <w:spacing w:val="-16"/>
          <w:w w:val="105"/>
          <w:sz w:val="19"/>
        </w:rPr>
        <w:t> </w:t>
      </w:r>
      <w:r>
        <w:rPr>
          <w:w w:val="105"/>
          <w:sz w:val="19"/>
        </w:rPr>
        <w:t>público</w:t>
      </w:r>
      <w:r>
        <w:rPr>
          <w:spacing w:val="-16"/>
          <w:w w:val="105"/>
          <w:sz w:val="19"/>
        </w:rPr>
        <w:t> </w:t>
      </w:r>
      <w:r>
        <w:rPr>
          <w:w w:val="105"/>
          <w:sz w:val="19"/>
        </w:rPr>
        <w:t>educativo</w:t>
      </w:r>
      <w:r>
        <w:rPr>
          <w:spacing w:val="-16"/>
          <w:w w:val="105"/>
          <w:sz w:val="19"/>
        </w:rPr>
        <w:t> </w:t>
      </w:r>
      <w:r>
        <w:rPr>
          <w:w w:val="105"/>
          <w:sz w:val="19"/>
        </w:rPr>
        <w:t>entre</w:t>
      </w:r>
      <w:r>
        <w:rPr>
          <w:spacing w:val="-16"/>
          <w:w w:val="105"/>
          <w:sz w:val="19"/>
        </w:rPr>
        <w:t> </w:t>
      </w:r>
      <w:r>
        <w:rPr>
          <w:w w:val="105"/>
          <w:sz w:val="19"/>
        </w:rPr>
        <w:t>unas</w:t>
      </w:r>
      <w:r>
        <w:rPr>
          <w:spacing w:val="-16"/>
          <w:w w:val="105"/>
          <w:sz w:val="19"/>
        </w:rPr>
        <w:t> </w:t>
      </w:r>
      <w:r>
        <w:rPr>
          <w:w w:val="105"/>
          <w:sz w:val="19"/>
        </w:rPr>
        <w:t>entidades</w:t>
      </w:r>
      <w:r>
        <w:rPr>
          <w:spacing w:val="-16"/>
          <w:w w:val="105"/>
          <w:sz w:val="19"/>
        </w:rPr>
        <w:t> </w:t>
      </w:r>
      <w:r>
        <w:rPr>
          <w:w w:val="105"/>
          <w:sz w:val="19"/>
        </w:rPr>
        <w:t>y</w:t>
      </w:r>
      <w:r>
        <w:rPr>
          <w:spacing w:val="-20"/>
          <w:w w:val="105"/>
          <w:sz w:val="19"/>
        </w:rPr>
        <w:t> </w:t>
      </w:r>
      <w:r>
        <w:rPr>
          <w:w w:val="105"/>
          <w:sz w:val="19"/>
        </w:rPr>
        <w:t>otras.</w:t>
      </w:r>
      <w:r>
        <w:rPr>
          <w:spacing w:val="-16"/>
          <w:w w:val="105"/>
          <w:sz w:val="19"/>
        </w:rPr>
        <w:t> </w:t>
      </w:r>
      <w:r>
        <w:rPr>
          <w:w w:val="105"/>
          <w:sz w:val="19"/>
        </w:rPr>
        <w:t>(Andere,</w:t>
      </w:r>
      <w:r>
        <w:rPr>
          <w:spacing w:val="-22"/>
          <w:w w:val="105"/>
          <w:sz w:val="19"/>
        </w:rPr>
        <w:t> </w:t>
      </w:r>
      <w:r>
        <w:rPr>
          <w:w w:val="105"/>
          <w:sz w:val="19"/>
        </w:rPr>
        <w:t>2006:</w:t>
      </w:r>
      <w:r>
        <w:rPr>
          <w:spacing w:val="-16"/>
          <w:w w:val="105"/>
          <w:sz w:val="19"/>
        </w:rPr>
        <w:t> </w:t>
      </w:r>
      <w:r>
        <w:rPr>
          <w:w w:val="105"/>
          <w:sz w:val="19"/>
        </w:rPr>
        <w:t>119)</w:t>
      </w:r>
    </w:p>
    <w:p>
      <w:pPr>
        <w:spacing w:line="219" w:lineRule="exact" w:before="0"/>
        <w:ind w:left="115" w:right="0" w:firstLine="0"/>
        <w:jc w:val="both"/>
        <w:rPr>
          <w:sz w:val="19"/>
        </w:rPr>
      </w:pPr>
      <w:r>
        <w:rPr>
          <w:w w:val="105"/>
          <w:position w:val="10"/>
          <w:sz w:val="12"/>
        </w:rPr>
        <w:t>44  </w:t>
      </w:r>
      <w:r>
        <w:rPr>
          <w:w w:val="105"/>
          <w:sz w:val="19"/>
        </w:rPr>
        <w:t>Estos dos problemas permiten revivir la pregunta que se hicieron muchas entidades ante la</w:t>
      </w:r>
    </w:p>
    <w:p>
      <w:pPr>
        <w:spacing w:line="244" w:lineRule="auto" w:before="7"/>
        <w:ind w:left="115" w:right="100" w:firstLine="0"/>
        <w:jc w:val="both"/>
        <w:rPr>
          <w:sz w:val="19"/>
        </w:rPr>
      </w:pPr>
      <w:r>
        <w:rPr>
          <w:w w:val="105"/>
          <w:sz w:val="19"/>
        </w:rPr>
        <w:t>obligada firma </w:t>
      </w:r>
      <w:r>
        <w:rPr>
          <w:spacing w:val="-3"/>
          <w:w w:val="105"/>
          <w:sz w:val="19"/>
        </w:rPr>
        <w:t>del Acuerdo </w:t>
      </w:r>
      <w:r>
        <w:rPr>
          <w:w w:val="105"/>
          <w:sz w:val="19"/>
        </w:rPr>
        <w:t>de mayo de 1992: ¿vale la pena correr con los costos políticos, financieros</w:t>
      </w:r>
      <w:r>
        <w:rPr>
          <w:spacing w:val="-17"/>
          <w:w w:val="105"/>
          <w:sz w:val="19"/>
        </w:rPr>
        <w:t> </w:t>
      </w:r>
      <w:r>
        <w:rPr>
          <w:w w:val="105"/>
          <w:sz w:val="19"/>
        </w:rPr>
        <w:t>y</w:t>
      </w:r>
      <w:r>
        <w:rPr>
          <w:spacing w:val="-21"/>
          <w:w w:val="105"/>
          <w:sz w:val="19"/>
        </w:rPr>
        <w:t> </w:t>
      </w:r>
      <w:r>
        <w:rPr>
          <w:w w:val="105"/>
          <w:sz w:val="19"/>
        </w:rPr>
        <w:t>sociales</w:t>
      </w:r>
      <w:r>
        <w:rPr>
          <w:spacing w:val="-20"/>
          <w:w w:val="105"/>
          <w:sz w:val="19"/>
        </w:rPr>
        <w:t> </w:t>
      </w:r>
      <w:r>
        <w:rPr>
          <w:w w:val="105"/>
          <w:sz w:val="19"/>
        </w:rPr>
        <w:t>de</w:t>
      </w:r>
      <w:r>
        <w:rPr>
          <w:spacing w:val="-17"/>
          <w:w w:val="105"/>
          <w:sz w:val="19"/>
        </w:rPr>
        <w:t> </w:t>
      </w:r>
      <w:r>
        <w:rPr>
          <w:w w:val="105"/>
          <w:sz w:val="19"/>
        </w:rPr>
        <w:t>continuar</w:t>
      </w:r>
      <w:r>
        <w:rPr>
          <w:spacing w:val="-21"/>
          <w:w w:val="105"/>
          <w:sz w:val="19"/>
        </w:rPr>
        <w:t> </w:t>
      </w:r>
      <w:r>
        <w:rPr>
          <w:w w:val="105"/>
          <w:sz w:val="19"/>
        </w:rPr>
        <w:t>con</w:t>
      </w:r>
      <w:r>
        <w:rPr>
          <w:spacing w:val="-15"/>
          <w:w w:val="105"/>
          <w:sz w:val="19"/>
        </w:rPr>
        <w:t> </w:t>
      </w:r>
      <w:r>
        <w:rPr>
          <w:w w:val="105"/>
          <w:sz w:val="19"/>
        </w:rPr>
        <w:t>la</w:t>
      </w:r>
      <w:r>
        <w:rPr>
          <w:spacing w:val="-19"/>
          <w:w w:val="105"/>
          <w:sz w:val="19"/>
        </w:rPr>
        <w:t> </w:t>
      </w:r>
      <w:r>
        <w:rPr>
          <w:w w:val="105"/>
          <w:sz w:val="19"/>
        </w:rPr>
        <w:t>descentralización</w:t>
      </w:r>
      <w:r>
        <w:rPr>
          <w:spacing w:val="-15"/>
          <w:w w:val="105"/>
          <w:sz w:val="19"/>
        </w:rPr>
        <w:t> </w:t>
      </w:r>
      <w:r>
        <w:rPr>
          <w:w w:val="105"/>
          <w:sz w:val="19"/>
        </w:rPr>
        <w:t>educativa</w:t>
      </w:r>
      <w:r>
        <w:rPr>
          <w:spacing w:val="-15"/>
          <w:w w:val="105"/>
          <w:sz w:val="19"/>
        </w:rPr>
        <w:t> </w:t>
      </w:r>
      <w:r>
        <w:rPr>
          <w:w w:val="105"/>
          <w:sz w:val="19"/>
        </w:rPr>
        <w:t>bajo</w:t>
      </w:r>
      <w:r>
        <w:rPr>
          <w:spacing w:val="-17"/>
          <w:w w:val="105"/>
          <w:sz w:val="19"/>
        </w:rPr>
        <w:t> </w:t>
      </w:r>
      <w:r>
        <w:rPr>
          <w:w w:val="105"/>
          <w:sz w:val="19"/>
        </w:rPr>
        <w:t>las</w:t>
      </w:r>
      <w:r>
        <w:rPr>
          <w:spacing w:val="-20"/>
          <w:w w:val="105"/>
          <w:sz w:val="19"/>
        </w:rPr>
        <w:t> </w:t>
      </w:r>
      <w:r>
        <w:rPr>
          <w:w w:val="105"/>
          <w:sz w:val="19"/>
        </w:rPr>
        <w:t>actuales</w:t>
      </w:r>
      <w:r>
        <w:rPr>
          <w:spacing w:val="-22"/>
          <w:w w:val="105"/>
          <w:sz w:val="19"/>
        </w:rPr>
        <w:t> </w:t>
      </w:r>
      <w:r>
        <w:rPr>
          <w:w w:val="105"/>
          <w:sz w:val="19"/>
        </w:rPr>
        <w:t>condiciones normativas,</w:t>
      </w:r>
      <w:r>
        <w:rPr>
          <w:spacing w:val="-7"/>
          <w:w w:val="105"/>
          <w:sz w:val="19"/>
        </w:rPr>
        <w:t> </w:t>
      </w:r>
      <w:r>
        <w:rPr>
          <w:w w:val="105"/>
          <w:sz w:val="19"/>
        </w:rPr>
        <w:t>operativas</w:t>
      </w:r>
      <w:r>
        <w:rPr>
          <w:spacing w:val="-7"/>
          <w:w w:val="105"/>
          <w:sz w:val="19"/>
        </w:rPr>
        <w:t> </w:t>
      </w:r>
      <w:r>
        <w:rPr>
          <w:w w:val="105"/>
          <w:sz w:val="19"/>
        </w:rPr>
        <w:t>y</w:t>
      </w:r>
      <w:r>
        <w:rPr>
          <w:spacing w:val="-7"/>
          <w:w w:val="105"/>
          <w:sz w:val="19"/>
        </w:rPr>
        <w:t> </w:t>
      </w:r>
      <w:r>
        <w:rPr>
          <w:w w:val="105"/>
          <w:sz w:val="19"/>
        </w:rPr>
        <w:t>sindicales,</w:t>
      </w:r>
      <w:r>
        <w:rPr>
          <w:spacing w:val="-7"/>
          <w:w w:val="105"/>
          <w:sz w:val="19"/>
        </w:rPr>
        <w:t> </w:t>
      </w:r>
      <w:r>
        <w:rPr>
          <w:w w:val="105"/>
          <w:sz w:val="19"/>
        </w:rPr>
        <w:t>o</w:t>
      </w:r>
      <w:r>
        <w:rPr>
          <w:spacing w:val="-7"/>
          <w:w w:val="105"/>
          <w:sz w:val="19"/>
        </w:rPr>
        <w:t> </w:t>
      </w:r>
      <w:r>
        <w:rPr>
          <w:w w:val="105"/>
          <w:sz w:val="19"/>
        </w:rPr>
        <w:t>por</w:t>
      </w:r>
      <w:r>
        <w:rPr>
          <w:spacing w:val="-4"/>
          <w:w w:val="105"/>
          <w:sz w:val="19"/>
        </w:rPr>
        <w:t> </w:t>
      </w:r>
      <w:r>
        <w:rPr>
          <w:spacing w:val="-3"/>
          <w:w w:val="105"/>
          <w:sz w:val="19"/>
        </w:rPr>
        <w:t>qué</w:t>
      </w:r>
      <w:r>
        <w:rPr>
          <w:spacing w:val="-7"/>
          <w:w w:val="105"/>
          <w:sz w:val="19"/>
        </w:rPr>
        <w:t> </w:t>
      </w:r>
      <w:r>
        <w:rPr>
          <w:w w:val="105"/>
          <w:sz w:val="19"/>
        </w:rPr>
        <w:t>no</w:t>
      </w:r>
      <w:r>
        <w:rPr>
          <w:spacing w:val="-3"/>
          <w:w w:val="105"/>
          <w:sz w:val="19"/>
        </w:rPr>
        <w:t> </w:t>
      </w:r>
      <w:r>
        <w:rPr>
          <w:w w:val="105"/>
          <w:sz w:val="19"/>
        </w:rPr>
        <w:t>volver</w:t>
      </w:r>
      <w:r>
        <w:rPr>
          <w:spacing w:val="-7"/>
          <w:w w:val="105"/>
          <w:sz w:val="19"/>
        </w:rPr>
        <w:t> </w:t>
      </w:r>
      <w:r>
        <w:rPr>
          <w:w w:val="105"/>
          <w:sz w:val="19"/>
        </w:rPr>
        <w:t>a</w:t>
      </w:r>
      <w:r>
        <w:rPr>
          <w:spacing w:val="-7"/>
          <w:w w:val="105"/>
          <w:sz w:val="19"/>
        </w:rPr>
        <w:t> </w:t>
      </w:r>
      <w:r>
        <w:rPr>
          <w:spacing w:val="-3"/>
          <w:w w:val="105"/>
          <w:sz w:val="19"/>
        </w:rPr>
        <w:t>la</w:t>
      </w:r>
      <w:r>
        <w:rPr>
          <w:spacing w:val="-7"/>
          <w:w w:val="105"/>
          <w:sz w:val="19"/>
        </w:rPr>
        <w:t> </w:t>
      </w:r>
      <w:r>
        <w:rPr>
          <w:w w:val="105"/>
          <w:sz w:val="19"/>
        </w:rPr>
        <w:t>operación</w:t>
      </w:r>
      <w:r>
        <w:rPr>
          <w:spacing w:val="-7"/>
          <w:w w:val="105"/>
          <w:sz w:val="19"/>
        </w:rPr>
        <w:t> </w:t>
      </w:r>
      <w:r>
        <w:rPr>
          <w:w w:val="105"/>
          <w:sz w:val="19"/>
        </w:rPr>
        <w:t>central</w:t>
      </w:r>
      <w:r>
        <w:rPr>
          <w:spacing w:val="-7"/>
          <w:w w:val="105"/>
          <w:sz w:val="19"/>
        </w:rPr>
        <w:t> </w:t>
      </w:r>
      <w:r>
        <w:rPr>
          <w:w w:val="105"/>
          <w:sz w:val="19"/>
        </w:rPr>
        <w:t>del</w:t>
      </w:r>
      <w:r>
        <w:rPr>
          <w:spacing w:val="-3"/>
          <w:w w:val="105"/>
          <w:sz w:val="19"/>
        </w:rPr>
        <w:t> </w:t>
      </w:r>
      <w:r>
        <w:rPr>
          <w:w w:val="105"/>
          <w:sz w:val="19"/>
        </w:rPr>
        <w:t>sistema?</w:t>
      </w:r>
      <w:r>
        <w:rPr>
          <w:spacing w:val="-7"/>
          <w:w w:val="105"/>
          <w:sz w:val="19"/>
        </w:rPr>
        <w:t> </w:t>
      </w:r>
      <w:r>
        <w:rPr>
          <w:spacing w:val="-3"/>
          <w:w w:val="105"/>
          <w:sz w:val="19"/>
        </w:rPr>
        <w:t>Desde </w:t>
      </w:r>
      <w:r>
        <w:rPr>
          <w:w w:val="105"/>
          <w:sz w:val="19"/>
        </w:rPr>
        <w:t>nuestra perspectiva esta pregunta presenta una trampa conceptual en la </w:t>
      </w:r>
      <w:r>
        <w:rPr>
          <w:spacing w:val="-3"/>
          <w:w w:val="105"/>
          <w:sz w:val="19"/>
        </w:rPr>
        <w:t>que </w:t>
      </w:r>
      <w:r>
        <w:rPr>
          <w:w w:val="105"/>
          <w:sz w:val="19"/>
        </w:rPr>
        <w:t>tanto el gobierno federal como los gobiernos locales han caído, y es que las condiciones que afectan el desarrollo federalista de la educación pueden ser modificadas con una buena dosis de </w:t>
      </w:r>
      <w:r>
        <w:rPr>
          <w:spacing w:val="-3"/>
          <w:w w:val="105"/>
          <w:sz w:val="19"/>
        </w:rPr>
        <w:t>voluntad </w:t>
      </w:r>
      <w:r>
        <w:rPr>
          <w:w w:val="105"/>
          <w:sz w:val="19"/>
        </w:rPr>
        <w:t>política y agudeza técnica. Estos actores consideran que no hay formas institucionales para reformular la relación</w:t>
      </w:r>
      <w:r>
        <w:rPr>
          <w:spacing w:val="-15"/>
          <w:w w:val="105"/>
          <w:sz w:val="19"/>
        </w:rPr>
        <w:t> </w:t>
      </w:r>
      <w:r>
        <w:rPr>
          <w:w w:val="105"/>
          <w:sz w:val="19"/>
        </w:rPr>
        <w:t>con</w:t>
      </w:r>
      <w:r>
        <w:rPr>
          <w:spacing w:val="-15"/>
          <w:w w:val="105"/>
          <w:sz w:val="19"/>
        </w:rPr>
        <w:t> </w:t>
      </w:r>
      <w:r>
        <w:rPr>
          <w:w w:val="105"/>
          <w:sz w:val="19"/>
        </w:rPr>
        <w:t>el</w:t>
      </w:r>
      <w:r>
        <w:rPr>
          <w:spacing w:val="-15"/>
          <w:w w:val="105"/>
          <w:sz w:val="19"/>
        </w:rPr>
        <w:t> </w:t>
      </w:r>
      <w:r>
        <w:rPr>
          <w:w w:val="105"/>
          <w:sz w:val="19"/>
        </w:rPr>
        <w:t>SNTE</w:t>
      </w:r>
      <w:r>
        <w:rPr>
          <w:spacing w:val="-15"/>
          <w:w w:val="105"/>
          <w:sz w:val="19"/>
        </w:rPr>
        <w:t> </w:t>
      </w:r>
      <w:r>
        <w:rPr>
          <w:w w:val="105"/>
          <w:sz w:val="19"/>
        </w:rPr>
        <w:t>y</w:t>
      </w:r>
      <w:r>
        <w:rPr>
          <w:spacing w:val="-17"/>
          <w:w w:val="105"/>
          <w:sz w:val="19"/>
        </w:rPr>
        <w:t> </w:t>
      </w:r>
      <w:r>
        <w:rPr>
          <w:w w:val="105"/>
          <w:sz w:val="19"/>
        </w:rPr>
        <w:t>“creen</w:t>
      </w:r>
      <w:r>
        <w:rPr>
          <w:spacing w:val="-15"/>
          <w:w w:val="105"/>
          <w:sz w:val="19"/>
        </w:rPr>
        <w:t> </w:t>
      </w:r>
      <w:r>
        <w:rPr>
          <w:w w:val="105"/>
          <w:sz w:val="19"/>
        </w:rPr>
        <w:t>que</w:t>
      </w:r>
      <w:r>
        <w:rPr>
          <w:spacing w:val="-12"/>
          <w:w w:val="105"/>
          <w:sz w:val="19"/>
        </w:rPr>
        <w:t> </w:t>
      </w:r>
      <w:r>
        <w:rPr>
          <w:w w:val="105"/>
          <w:sz w:val="19"/>
        </w:rPr>
        <w:t>los</w:t>
      </w:r>
      <w:r>
        <w:rPr>
          <w:spacing w:val="-15"/>
          <w:w w:val="105"/>
          <w:sz w:val="19"/>
        </w:rPr>
        <w:t> </w:t>
      </w:r>
      <w:r>
        <w:rPr>
          <w:w w:val="105"/>
          <w:sz w:val="19"/>
        </w:rPr>
        <w:t>procesos</w:t>
      </w:r>
      <w:r>
        <w:rPr>
          <w:spacing w:val="-18"/>
          <w:w w:val="105"/>
          <w:sz w:val="19"/>
        </w:rPr>
        <w:t> </w:t>
      </w:r>
      <w:r>
        <w:rPr>
          <w:w w:val="105"/>
          <w:sz w:val="19"/>
        </w:rPr>
        <w:t>administrativos</w:t>
      </w:r>
      <w:r>
        <w:rPr>
          <w:spacing w:val="-15"/>
          <w:w w:val="105"/>
          <w:sz w:val="19"/>
        </w:rPr>
        <w:t> </w:t>
      </w:r>
      <w:r>
        <w:rPr>
          <w:w w:val="105"/>
          <w:sz w:val="19"/>
        </w:rPr>
        <w:t>y</w:t>
      </w:r>
      <w:r>
        <w:rPr>
          <w:spacing w:val="-18"/>
          <w:w w:val="105"/>
          <w:sz w:val="19"/>
        </w:rPr>
        <w:t> </w:t>
      </w:r>
      <w:r>
        <w:rPr>
          <w:w w:val="105"/>
          <w:sz w:val="19"/>
        </w:rPr>
        <w:t>las</w:t>
      </w:r>
      <w:r>
        <w:rPr>
          <w:spacing w:val="-15"/>
          <w:w w:val="105"/>
          <w:sz w:val="19"/>
        </w:rPr>
        <w:t> </w:t>
      </w:r>
      <w:r>
        <w:rPr>
          <w:w w:val="105"/>
          <w:sz w:val="19"/>
        </w:rPr>
        <w:t>prácticas</w:t>
      </w:r>
      <w:r>
        <w:rPr>
          <w:spacing w:val="-15"/>
          <w:w w:val="105"/>
          <w:sz w:val="19"/>
        </w:rPr>
        <w:t> </w:t>
      </w:r>
      <w:r>
        <w:rPr>
          <w:w w:val="105"/>
          <w:sz w:val="19"/>
        </w:rPr>
        <w:t>pedagógicas</w:t>
      </w:r>
      <w:r>
        <w:rPr>
          <w:spacing w:val="-15"/>
          <w:w w:val="105"/>
          <w:sz w:val="19"/>
        </w:rPr>
        <w:t> </w:t>
      </w:r>
      <w:r>
        <w:rPr>
          <w:w w:val="105"/>
          <w:sz w:val="19"/>
        </w:rPr>
        <w:t>forman parte, todas ellas, </w:t>
      </w:r>
      <w:r>
        <w:rPr>
          <w:spacing w:val="-3"/>
          <w:w w:val="105"/>
          <w:sz w:val="19"/>
        </w:rPr>
        <w:t>de </w:t>
      </w:r>
      <w:r>
        <w:rPr>
          <w:w w:val="105"/>
          <w:sz w:val="19"/>
        </w:rPr>
        <w:t>una ‘sagrada normatividad’, siendo así que pueden perfectamente modificarse” (Latapí Sarre, Pablo, “La soberanía educativa de los estados”, </w:t>
      </w:r>
      <w:r>
        <w:rPr>
          <w:i/>
          <w:spacing w:val="-3"/>
          <w:w w:val="105"/>
          <w:sz w:val="19"/>
        </w:rPr>
        <w:t>Tiempo </w:t>
      </w:r>
      <w:r>
        <w:rPr>
          <w:i/>
          <w:w w:val="105"/>
          <w:sz w:val="19"/>
        </w:rPr>
        <w:t>educativo </w:t>
      </w:r>
      <w:r>
        <w:rPr>
          <w:i/>
          <w:w w:val="105"/>
          <w:sz w:val="19"/>
        </w:rPr>
        <w:t>mexicano</w:t>
      </w:r>
      <w:r>
        <w:rPr>
          <w:w w:val="105"/>
          <w:sz w:val="19"/>
        </w:rPr>
        <w:t>,</w:t>
      </w:r>
      <w:r>
        <w:rPr>
          <w:spacing w:val="-27"/>
          <w:w w:val="105"/>
          <w:sz w:val="19"/>
        </w:rPr>
        <w:t> </w:t>
      </w:r>
      <w:r>
        <w:rPr>
          <w:w w:val="105"/>
          <w:sz w:val="19"/>
        </w:rPr>
        <w:t>México,</w:t>
      </w:r>
      <w:r>
        <w:rPr>
          <w:spacing w:val="-24"/>
          <w:w w:val="105"/>
          <w:sz w:val="19"/>
        </w:rPr>
        <w:t> </w:t>
      </w:r>
      <w:r>
        <w:rPr>
          <w:w w:val="105"/>
          <w:sz w:val="19"/>
        </w:rPr>
        <w:t>Universidad</w:t>
      </w:r>
      <w:r>
        <w:rPr>
          <w:spacing w:val="-24"/>
          <w:w w:val="105"/>
          <w:sz w:val="19"/>
        </w:rPr>
        <w:t> </w:t>
      </w:r>
      <w:r>
        <w:rPr>
          <w:spacing w:val="-3"/>
          <w:w w:val="105"/>
          <w:sz w:val="19"/>
        </w:rPr>
        <w:t>de</w:t>
      </w:r>
      <w:r>
        <w:rPr>
          <w:spacing w:val="-24"/>
          <w:w w:val="105"/>
          <w:sz w:val="19"/>
        </w:rPr>
        <w:t> </w:t>
      </w:r>
      <w:r>
        <w:rPr>
          <w:w w:val="105"/>
          <w:sz w:val="19"/>
        </w:rPr>
        <w:t>Aguascalientes-Centro</w:t>
      </w:r>
      <w:r>
        <w:rPr>
          <w:spacing w:val="-22"/>
          <w:w w:val="105"/>
          <w:sz w:val="19"/>
        </w:rPr>
        <w:t> </w:t>
      </w:r>
      <w:r>
        <w:rPr>
          <w:w w:val="105"/>
          <w:sz w:val="19"/>
        </w:rPr>
        <w:t>de</w:t>
      </w:r>
      <w:r>
        <w:rPr>
          <w:spacing w:val="-24"/>
          <w:w w:val="105"/>
          <w:sz w:val="19"/>
        </w:rPr>
        <w:t> </w:t>
      </w:r>
      <w:r>
        <w:rPr>
          <w:w w:val="105"/>
          <w:sz w:val="19"/>
        </w:rPr>
        <w:t>Estudios</w:t>
      </w:r>
      <w:r>
        <w:rPr>
          <w:spacing w:val="-24"/>
          <w:w w:val="105"/>
          <w:sz w:val="19"/>
        </w:rPr>
        <w:t> </w:t>
      </w:r>
      <w:r>
        <w:rPr>
          <w:w w:val="105"/>
          <w:sz w:val="19"/>
        </w:rPr>
        <w:t>Educativos,</w:t>
      </w:r>
      <w:r>
        <w:rPr>
          <w:spacing w:val="-24"/>
          <w:w w:val="105"/>
          <w:sz w:val="19"/>
        </w:rPr>
        <w:t> </w:t>
      </w:r>
      <w:r>
        <w:rPr>
          <w:w w:val="105"/>
          <w:sz w:val="19"/>
        </w:rPr>
        <w:t>1998,</w:t>
      </w:r>
      <w:r>
        <w:rPr>
          <w:spacing w:val="-24"/>
          <w:w w:val="105"/>
          <w:sz w:val="19"/>
        </w:rPr>
        <w:t> </w:t>
      </w:r>
      <w:r>
        <w:rPr>
          <w:w w:val="105"/>
          <w:sz w:val="19"/>
        </w:rPr>
        <w:t>p.</w:t>
      </w:r>
      <w:r>
        <w:rPr>
          <w:spacing w:val="-28"/>
          <w:w w:val="105"/>
          <w:sz w:val="19"/>
        </w:rPr>
        <w:t> </w:t>
      </w:r>
      <w:r>
        <w:rPr>
          <w:w w:val="105"/>
          <w:sz w:val="19"/>
        </w:rPr>
        <w:t>153).</w:t>
      </w:r>
    </w:p>
    <w:p>
      <w:pPr>
        <w:spacing w:after="0" w:line="244" w:lineRule="auto"/>
        <w:jc w:val="both"/>
        <w:rPr>
          <w:sz w:val="19"/>
        </w:rPr>
        <w:sectPr>
          <w:pgSz w:w="11910" w:h="16840"/>
          <w:pgMar w:header="0" w:footer="1457" w:top="1580" w:bottom="1640" w:left="1540" w:right="1540"/>
        </w:sectPr>
      </w:pPr>
    </w:p>
    <w:p>
      <w:pPr>
        <w:pStyle w:val="BodyText"/>
        <w:rPr>
          <w:sz w:val="20"/>
        </w:rPr>
      </w:pPr>
    </w:p>
    <w:p>
      <w:pPr>
        <w:pStyle w:val="BodyText"/>
        <w:spacing w:before="2"/>
        <w:rPr>
          <w:sz w:val="16"/>
        </w:rPr>
      </w:pPr>
    </w:p>
    <w:p>
      <w:pPr>
        <w:spacing w:line="364" w:lineRule="auto" w:before="74"/>
        <w:ind w:left="115" w:right="101" w:firstLine="0"/>
        <w:jc w:val="both"/>
        <w:rPr>
          <w:sz w:val="23"/>
        </w:rPr>
      </w:pPr>
      <w:r>
        <w:rPr>
          <w:sz w:val="23"/>
        </w:rPr>
        <w:t>sistema educativo, partiendo de la premisa de que </w:t>
      </w:r>
      <w:r>
        <w:rPr>
          <w:i/>
          <w:sz w:val="23"/>
        </w:rPr>
        <w:t>“la diversidad que aparece con   </w:t>
      </w:r>
      <w:r>
        <w:rPr>
          <w:i/>
          <w:sz w:val="23"/>
        </w:rPr>
        <w:t>la autonomía estatal podría convertirse en una amenaza para el papel homogeneizador de la educación del Estado” </w:t>
      </w:r>
      <w:r>
        <w:rPr>
          <w:sz w:val="23"/>
        </w:rPr>
        <w:t>(Pardo, 1999). Por ende, </w:t>
      </w:r>
      <w:r>
        <w:rPr>
          <w:spacing w:val="-2"/>
          <w:sz w:val="23"/>
        </w:rPr>
        <w:t>las </w:t>
      </w:r>
      <w:r>
        <w:rPr>
          <w:sz w:val="23"/>
        </w:rPr>
        <w:t>regulaciones y el papel preponderante del ejecutivo federal  pretendieron  justificarse en fines </w:t>
      </w:r>
      <w:r>
        <w:rPr>
          <w:spacing w:val="-3"/>
          <w:sz w:val="23"/>
        </w:rPr>
        <w:t>más </w:t>
      </w:r>
      <w:r>
        <w:rPr>
          <w:sz w:val="23"/>
        </w:rPr>
        <w:t>amplios, como </w:t>
      </w:r>
      <w:r>
        <w:rPr>
          <w:spacing w:val="-3"/>
          <w:sz w:val="23"/>
        </w:rPr>
        <w:t>la </w:t>
      </w:r>
      <w:r>
        <w:rPr>
          <w:sz w:val="23"/>
        </w:rPr>
        <w:t>equidad e igualdad de </w:t>
      </w:r>
      <w:r>
        <w:rPr>
          <w:spacing w:val="42"/>
          <w:sz w:val="23"/>
        </w:rPr>
        <w:t> </w:t>
      </w:r>
      <w:r>
        <w:rPr>
          <w:sz w:val="23"/>
        </w:rPr>
        <w:t>oportunidades.</w:t>
      </w:r>
    </w:p>
    <w:p>
      <w:pPr>
        <w:pStyle w:val="BodyText"/>
        <w:spacing w:line="364" w:lineRule="auto" w:before="5"/>
        <w:ind w:left="115" w:right="105" w:firstLine="686"/>
        <w:jc w:val="both"/>
      </w:pPr>
      <w:r>
        <w:rPr/>
        <w:t>En este sentido, la LGE fortaleció el papel protagónico del ejecutivo federal en el campo de las decisiones sustantivas para la dirección y conducción  del sistema educativo nacional. Más aún, amplió y diversificó el ámbito de acción e intervención del gobierno federal hasta abarcar atribuciones técnicas como </w:t>
      </w:r>
      <w:r>
        <w:rPr>
          <w:spacing w:val="-4"/>
        </w:rPr>
        <w:t>la </w:t>
      </w:r>
      <w:r>
        <w:rPr/>
        <w:t>planeación, la evaluación, el desarrollo de materiales educativos y libros de texto; administrativas, como el calendario escolar. </w:t>
      </w:r>
      <w:r>
        <w:rPr>
          <w:spacing w:val="3"/>
        </w:rPr>
        <w:t>La </w:t>
      </w:r>
      <w:r>
        <w:rPr/>
        <w:t>LGE no  aludió  a  </w:t>
      </w:r>
      <w:r>
        <w:rPr>
          <w:spacing w:val="-5"/>
        </w:rPr>
        <w:t>la </w:t>
      </w:r>
      <w:r>
        <w:rPr/>
        <w:t>descentralización como procedimiento jurídico-administrativo, sino  que  se  enmarcó en el concepto de federalismo y en la noción de concurrencia de  facultades entre </w:t>
      </w:r>
      <w:r>
        <w:rPr>
          <w:spacing w:val="-5"/>
        </w:rPr>
        <w:t>la </w:t>
      </w:r>
      <w:r>
        <w:rPr/>
        <w:t>Federación y las entidades federativas. Así, </w:t>
      </w:r>
      <w:r>
        <w:rPr>
          <w:spacing w:val="-3"/>
        </w:rPr>
        <w:t>la </w:t>
      </w:r>
      <w:r>
        <w:rPr/>
        <w:t>LGE </w:t>
      </w:r>
      <w:r>
        <w:rPr>
          <w:spacing w:val="3"/>
        </w:rPr>
        <w:t>no </w:t>
      </w:r>
      <w:r>
        <w:rPr/>
        <w:t>devolvió  ni redistribuyó atribuciones a las entidades federativas, sólo transfirió la operación  de los servicios educativos federales y asignó esa responsabilidad a las entidades federativas. En otras palabras, se centraliza el poder y se descentraliza </w:t>
      </w:r>
      <w:r>
        <w:rPr>
          <w:spacing w:val="-5"/>
        </w:rPr>
        <w:t>la </w:t>
      </w:r>
      <w:r>
        <w:rPr/>
        <w:t>administración, </w:t>
      </w:r>
      <w:r>
        <w:rPr>
          <w:spacing w:val="2"/>
        </w:rPr>
        <w:t>de </w:t>
      </w:r>
      <w:r>
        <w:rPr/>
        <w:t>acuerdo con Ornelas</w:t>
      </w:r>
      <w:r>
        <w:rPr>
          <w:spacing w:val="42"/>
        </w:rPr>
        <w:t> </w:t>
      </w:r>
      <w:r>
        <w:rPr/>
        <w:t>(1998).</w:t>
      </w:r>
    </w:p>
    <w:p>
      <w:pPr>
        <w:pStyle w:val="BodyText"/>
        <w:rPr>
          <w:sz w:val="22"/>
        </w:rPr>
      </w:pPr>
    </w:p>
    <w:p>
      <w:pPr>
        <w:pStyle w:val="Heading3"/>
        <w:numPr>
          <w:ilvl w:val="2"/>
          <w:numId w:val="12"/>
        </w:numPr>
        <w:tabs>
          <w:tab w:pos="702" w:val="left" w:leader="none"/>
        </w:tabs>
        <w:spacing w:line="240" w:lineRule="auto" w:before="150" w:after="0"/>
        <w:ind w:left="701" w:right="0" w:hanging="585"/>
        <w:jc w:val="both"/>
      </w:pPr>
      <w:r>
        <w:rPr/>
        <w:t>La estructura centralizada </w:t>
      </w:r>
      <w:r>
        <w:rPr>
          <w:spacing w:val="2"/>
        </w:rPr>
        <w:t>del </w:t>
      </w:r>
      <w:r>
        <w:rPr/>
        <w:t>gasto</w:t>
      </w:r>
      <w:r>
        <w:rPr>
          <w:spacing w:val="43"/>
        </w:rPr>
        <w:t> </w:t>
      </w:r>
      <w:r>
        <w:rPr/>
        <w:t>educativo</w:t>
      </w:r>
    </w:p>
    <w:p>
      <w:pPr>
        <w:pStyle w:val="BodyText"/>
        <w:spacing w:line="364" w:lineRule="auto" w:before="138"/>
        <w:ind w:left="115" w:right="107"/>
        <w:jc w:val="both"/>
      </w:pPr>
      <w:r>
        <w:rPr/>
        <w:t>En este marco, el gasto educativo, determinado anualmente </w:t>
      </w:r>
      <w:r>
        <w:rPr>
          <w:spacing w:val="3"/>
        </w:rPr>
        <w:t>en </w:t>
      </w:r>
      <w:r>
        <w:rPr/>
        <w:t>el Presupuesto de Egresos de la Federación, continuó centralizado, de acuerdo con las siguientes ramos de asignación: 11, 25 y 33. El ramo </w:t>
      </w:r>
      <w:r>
        <w:rPr>
          <w:spacing w:val="2"/>
        </w:rPr>
        <w:t>11 </w:t>
      </w:r>
      <w:r>
        <w:rPr>
          <w:i/>
        </w:rPr>
        <w:t>Educación pública</w:t>
      </w:r>
      <w:r>
        <w:rPr/>
        <w:t>, abarca </w:t>
      </w:r>
      <w:r>
        <w:rPr>
          <w:spacing w:val="-2"/>
        </w:rPr>
        <w:t>los </w:t>
      </w:r>
      <w:r>
        <w:rPr/>
        <w:t>capítulos </w:t>
      </w:r>
      <w:r>
        <w:rPr>
          <w:spacing w:val="-3"/>
        </w:rPr>
        <w:t>de </w:t>
      </w:r>
      <w:r>
        <w:rPr/>
        <w:t>gasto ejercidos por </w:t>
      </w:r>
      <w:r>
        <w:rPr>
          <w:spacing w:val="-6"/>
        </w:rPr>
        <w:t>la </w:t>
      </w:r>
      <w:r>
        <w:rPr/>
        <w:t>SEP que </w:t>
      </w:r>
      <w:r>
        <w:rPr>
          <w:spacing w:val="-3"/>
        </w:rPr>
        <w:t>le </w:t>
      </w:r>
      <w:r>
        <w:rPr/>
        <w:t>permiten brindar los servicios educativos y cumplir con las funciones operativas, normativas y compensatorias propias de la autoridad educativa federal. (Villarreal, 2005: 84) Este ramo  incluye   el presupuesto de </w:t>
      </w:r>
      <w:r>
        <w:rPr>
          <w:spacing w:val="-3"/>
        </w:rPr>
        <w:t>la </w:t>
      </w:r>
      <w:r>
        <w:rPr/>
        <w:t>administración centralizada de </w:t>
      </w:r>
      <w:r>
        <w:rPr>
          <w:spacing w:val="-5"/>
        </w:rPr>
        <w:t>la </w:t>
      </w:r>
      <w:r>
        <w:rPr/>
        <w:t>SEP </w:t>
      </w:r>
      <w:r>
        <w:rPr>
          <w:spacing w:val="-3"/>
        </w:rPr>
        <w:t>en </w:t>
      </w:r>
      <w:r>
        <w:rPr/>
        <w:t>sus oficinas  centrales y en </w:t>
      </w:r>
      <w:r>
        <w:rPr>
          <w:spacing w:val="-3"/>
        </w:rPr>
        <w:t>sus </w:t>
      </w:r>
      <w:r>
        <w:rPr/>
        <w:t>representaciones en cada Estado de </w:t>
      </w:r>
      <w:r>
        <w:rPr>
          <w:spacing w:val="-5"/>
        </w:rPr>
        <w:t>la </w:t>
      </w:r>
      <w:r>
        <w:rPr/>
        <w:t>República, y </w:t>
      </w:r>
      <w:r>
        <w:rPr>
          <w:spacing w:val="-2"/>
        </w:rPr>
        <w:t>las </w:t>
      </w:r>
      <w:r>
        <w:rPr/>
        <w:t>transferencias para los órganos desconcentrados, organismos descentralizados, paraestatales, fideicomisos y organismos</w:t>
      </w:r>
      <w:r>
        <w:rPr>
          <w:spacing w:val="55"/>
        </w:rPr>
        <w:t> </w:t>
      </w:r>
      <w:r>
        <w:rPr/>
        <w:t>autónomos.</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3" w:firstLine="686"/>
        <w:jc w:val="both"/>
      </w:pPr>
      <w:r>
        <w:rPr/>
        <w:t>El ramo 25, </w:t>
      </w:r>
      <w:r>
        <w:rPr>
          <w:i/>
        </w:rPr>
        <w:t>Previsiones y aportaciones para los sistemas de educación </w:t>
      </w:r>
      <w:r>
        <w:rPr>
          <w:i/>
        </w:rPr>
        <w:t>básica, normal, tecnológica y de adultos</w:t>
      </w:r>
      <w:r>
        <w:rPr/>
        <w:t>, tiene dos componentes:  el  gasto  asociado a </w:t>
      </w:r>
      <w:r>
        <w:rPr>
          <w:spacing w:val="-5"/>
        </w:rPr>
        <w:t>la </w:t>
      </w:r>
      <w:r>
        <w:rPr/>
        <w:t>prestación de servicios </w:t>
      </w:r>
      <w:r>
        <w:rPr>
          <w:spacing w:val="-3"/>
        </w:rPr>
        <w:t>de </w:t>
      </w:r>
      <w:r>
        <w:rPr/>
        <w:t>educación básica en el Distrito Federal, a cargo del órgano administrativo desconcentrado denominado “Administración Federal de Servicios Educativos en el Distrito Federal”, dependiente de la SEP </w:t>
      </w:r>
      <w:r>
        <w:rPr>
          <w:spacing w:val="-4"/>
        </w:rPr>
        <w:t>y, </w:t>
      </w:r>
      <w:r>
        <w:rPr/>
        <w:t>por otra parte, las previsiones para cubrir medidas del magisterio, las cuales se transfieren al ramo</w:t>
      </w:r>
      <w:r>
        <w:rPr>
          <w:spacing w:val="18"/>
        </w:rPr>
        <w:t> </w:t>
      </w:r>
      <w:r>
        <w:rPr/>
        <w:t>33.</w:t>
      </w:r>
    </w:p>
    <w:p>
      <w:pPr>
        <w:pStyle w:val="BodyText"/>
        <w:spacing w:line="364" w:lineRule="auto" w:before="5"/>
        <w:ind w:left="116" w:right="106" w:firstLine="686"/>
        <w:jc w:val="both"/>
      </w:pPr>
      <w:r>
        <w:rPr/>
        <w:t>El ramo 33 que corresponde a </w:t>
      </w:r>
      <w:r>
        <w:rPr>
          <w:i/>
        </w:rPr>
        <w:t>Aportaciones federales para entidades </w:t>
      </w:r>
      <w:r>
        <w:rPr>
          <w:i/>
        </w:rPr>
        <w:t>federativas y municipios</w:t>
      </w:r>
      <w:r>
        <w:rPr/>
        <w:t>, se distribuye mediante criterios, fórmulas y reglas de operación específicas, de acuerdo con </w:t>
      </w:r>
      <w:r>
        <w:rPr>
          <w:spacing w:val="-3"/>
        </w:rPr>
        <w:t>la </w:t>
      </w:r>
      <w:r>
        <w:rPr/>
        <w:t>Ley de Coordinación Fiscal. Este ramo canaliza recursos para educación a través </w:t>
      </w:r>
      <w:r>
        <w:rPr>
          <w:spacing w:val="-3"/>
        </w:rPr>
        <w:t>de </w:t>
      </w:r>
      <w:r>
        <w:rPr/>
        <w:t>tres fondos: 1)  Fondo  de Aportaciones para la Educación Básica y Normal (FAEB); 2) Fondo de  Aportaciones Múltiples (FAM), en su componente </w:t>
      </w:r>
      <w:r>
        <w:rPr>
          <w:spacing w:val="2"/>
        </w:rPr>
        <w:t>de </w:t>
      </w:r>
      <w:r>
        <w:rPr/>
        <w:t>infraestructura educativa; 3) Fondo de Aportaciones para </w:t>
      </w:r>
      <w:r>
        <w:rPr>
          <w:spacing w:val="-4"/>
        </w:rPr>
        <w:t>la </w:t>
      </w:r>
      <w:r>
        <w:rPr/>
        <w:t>Educación Tecnológica y de Adultos </w:t>
      </w:r>
      <w:r>
        <w:rPr>
          <w:spacing w:val="28"/>
        </w:rPr>
        <w:t> </w:t>
      </w:r>
      <w:r>
        <w:rPr/>
        <w:t>(FAETA).</w:t>
      </w:r>
    </w:p>
    <w:p>
      <w:pPr>
        <w:pStyle w:val="BodyText"/>
        <w:spacing w:line="364" w:lineRule="auto" w:before="5"/>
        <w:ind w:left="116" w:right="110" w:firstLine="686"/>
        <w:jc w:val="both"/>
      </w:pPr>
      <w:r>
        <w:rPr/>
        <w:t>Según se puede apreciar en </w:t>
      </w:r>
      <w:r>
        <w:rPr>
          <w:spacing w:val="-3"/>
        </w:rPr>
        <w:t>la </w:t>
      </w:r>
      <w:r>
        <w:rPr/>
        <w:t>siguiente tabla,  la  descentralización educativa, no supuso la transferencia efectiva del financiamiento, sino </w:t>
      </w:r>
      <w:r>
        <w:rPr>
          <w:spacing w:val="3"/>
        </w:rPr>
        <w:t>su </w:t>
      </w:r>
      <w:r>
        <w:rPr/>
        <w:t>simple traslado, de forma que el gobierno federal continuó, después de </w:t>
      </w:r>
      <w:r>
        <w:rPr>
          <w:spacing w:val="-4"/>
        </w:rPr>
        <w:t>la </w:t>
      </w:r>
      <w:r>
        <w:rPr/>
        <w:t>descentralización, haciendo cargo del gasto</w:t>
      </w:r>
      <w:r>
        <w:rPr>
          <w:spacing w:val="57"/>
        </w:rPr>
        <w:t> </w:t>
      </w:r>
      <w:r>
        <w:rPr/>
        <w:t>educativo.</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9"/>
        <w:rPr>
          <w:sz w:val="15"/>
        </w:rPr>
      </w:pPr>
    </w:p>
    <w:p>
      <w:pPr>
        <w:spacing w:before="78"/>
        <w:ind w:left="1109" w:right="1006" w:firstLine="0"/>
        <w:jc w:val="center"/>
        <w:rPr>
          <w:b/>
          <w:sz w:val="21"/>
        </w:rPr>
      </w:pPr>
      <w:r>
        <w:rPr>
          <w:b/>
          <w:sz w:val="21"/>
        </w:rPr>
        <w:t>Tabla N° 6</w:t>
      </w:r>
    </w:p>
    <w:p>
      <w:pPr>
        <w:spacing w:before="8"/>
        <w:ind w:left="1109" w:right="1011" w:firstLine="0"/>
        <w:jc w:val="center"/>
        <w:rPr>
          <w:b/>
          <w:sz w:val="21"/>
        </w:rPr>
      </w:pPr>
      <w:r>
        <w:rPr>
          <w:b/>
          <w:sz w:val="21"/>
        </w:rPr>
        <w:t>Gasto nacional en educación por tipo de financiamiento   1993-2011</w:t>
      </w:r>
    </w:p>
    <w:p>
      <w:pPr>
        <w:pStyle w:val="BodyText"/>
        <w:rPr>
          <w:b/>
          <w:sz w:val="20"/>
        </w:rPr>
      </w:pPr>
    </w:p>
    <w:p>
      <w:pPr>
        <w:pStyle w:val="BodyText"/>
        <w:spacing w:before="9"/>
        <w:rPr>
          <w:b/>
          <w:sz w:val="15"/>
        </w:r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70"/>
        <w:gridCol w:w="3031"/>
        <w:gridCol w:w="2762"/>
      </w:tblGrid>
      <w:tr>
        <w:trPr>
          <w:trHeight w:val="677" w:hRule="exact"/>
        </w:trPr>
        <w:tc>
          <w:tcPr>
            <w:tcW w:w="2870" w:type="dxa"/>
            <w:tcBorders>
              <w:bottom w:val="single" w:sz="4" w:space="0" w:color="000000"/>
              <w:right w:val="single" w:sz="4" w:space="0" w:color="000000"/>
            </w:tcBorders>
          </w:tcPr>
          <w:p>
            <w:pPr>
              <w:pStyle w:val="TableParagraph"/>
              <w:spacing w:before="167"/>
              <w:ind w:right="1236"/>
              <w:jc w:val="right"/>
              <w:rPr>
                <w:b/>
                <w:sz w:val="19"/>
              </w:rPr>
            </w:pPr>
            <w:r>
              <w:rPr>
                <w:b/>
                <w:sz w:val="19"/>
              </w:rPr>
              <w:t>Año</w:t>
            </w:r>
          </w:p>
        </w:tc>
        <w:tc>
          <w:tcPr>
            <w:tcW w:w="3031" w:type="dxa"/>
            <w:tcBorders>
              <w:left w:val="single" w:sz="4" w:space="0" w:color="000000"/>
              <w:bottom w:val="single" w:sz="4" w:space="0" w:color="000000"/>
              <w:right w:val="single" w:sz="2" w:space="0" w:color="000000"/>
            </w:tcBorders>
          </w:tcPr>
          <w:p>
            <w:pPr>
              <w:pStyle w:val="TableParagraph"/>
              <w:spacing w:before="167"/>
              <w:ind w:left="336" w:right="341"/>
              <w:jc w:val="center"/>
              <w:rPr>
                <w:sz w:val="19"/>
              </w:rPr>
            </w:pPr>
            <w:r>
              <w:rPr>
                <w:w w:val="105"/>
                <w:sz w:val="19"/>
              </w:rPr>
              <w:t>Gasto federal en mdp y %</w:t>
            </w:r>
          </w:p>
        </w:tc>
        <w:tc>
          <w:tcPr>
            <w:tcW w:w="2762" w:type="dxa"/>
            <w:tcBorders>
              <w:left w:val="single" w:sz="2" w:space="0" w:color="000000"/>
              <w:bottom w:val="single" w:sz="4" w:space="0" w:color="000000"/>
            </w:tcBorders>
          </w:tcPr>
          <w:p>
            <w:pPr>
              <w:pStyle w:val="TableParagraph"/>
              <w:spacing w:line="369" w:lineRule="auto"/>
              <w:ind w:left="1190" w:right="75" w:hanging="1032"/>
              <w:rPr>
                <w:sz w:val="19"/>
              </w:rPr>
            </w:pPr>
            <w:r>
              <w:rPr>
                <w:w w:val="105"/>
                <w:sz w:val="19"/>
              </w:rPr>
              <w:t>Gasto estatal y municipal en mdp</w:t>
            </w:r>
          </w:p>
        </w:tc>
      </w:tr>
      <w:tr>
        <w:trPr>
          <w:trHeight w:val="346" w:hRule="exact"/>
        </w:trPr>
        <w:tc>
          <w:tcPr>
            <w:tcW w:w="2870" w:type="dxa"/>
            <w:tcBorders>
              <w:top w:val="single" w:sz="4" w:space="0" w:color="000000"/>
              <w:bottom w:val="single" w:sz="4" w:space="0" w:color="000000"/>
              <w:right w:val="single" w:sz="4" w:space="0" w:color="000000"/>
            </w:tcBorders>
          </w:tcPr>
          <w:p>
            <w:pPr>
              <w:pStyle w:val="TableParagraph"/>
              <w:spacing w:line="218" w:lineRule="exact"/>
              <w:ind w:right="1213"/>
              <w:jc w:val="right"/>
              <w:rPr>
                <w:sz w:val="19"/>
              </w:rPr>
            </w:pPr>
            <w:r>
              <w:rPr>
                <w:sz w:val="19"/>
              </w:rPr>
              <w:t>1993</w:t>
            </w:r>
          </w:p>
        </w:tc>
        <w:tc>
          <w:tcPr>
            <w:tcW w:w="3031" w:type="dxa"/>
            <w:tcBorders>
              <w:top w:val="single" w:sz="4" w:space="0" w:color="000000"/>
              <w:left w:val="single" w:sz="4" w:space="0" w:color="000000"/>
              <w:bottom w:val="single" w:sz="4" w:space="0" w:color="000000"/>
              <w:right w:val="single" w:sz="2" w:space="0" w:color="000000"/>
            </w:tcBorders>
          </w:tcPr>
          <w:p>
            <w:pPr>
              <w:pStyle w:val="TableParagraph"/>
              <w:spacing w:line="218" w:lineRule="exact"/>
              <w:ind w:left="336" w:right="327"/>
              <w:jc w:val="center"/>
              <w:rPr>
                <w:sz w:val="19"/>
              </w:rPr>
            </w:pPr>
            <w:r>
              <w:rPr>
                <w:w w:val="105"/>
                <w:sz w:val="19"/>
              </w:rPr>
              <w:t>54,556 (82)</w:t>
            </w:r>
          </w:p>
        </w:tc>
        <w:tc>
          <w:tcPr>
            <w:tcW w:w="2762" w:type="dxa"/>
            <w:tcBorders>
              <w:top w:val="single" w:sz="4" w:space="0" w:color="000000"/>
              <w:left w:val="single" w:sz="2" w:space="0" w:color="000000"/>
              <w:bottom w:val="single" w:sz="4" w:space="0" w:color="000000"/>
            </w:tcBorders>
          </w:tcPr>
          <w:p>
            <w:pPr>
              <w:pStyle w:val="TableParagraph"/>
              <w:spacing w:line="218" w:lineRule="exact"/>
              <w:ind w:left="1105" w:right="1101"/>
              <w:jc w:val="center"/>
              <w:rPr>
                <w:sz w:val="19"/>
              </w:rPr>
            </w:pPr>
            <w:r>
              <w:rPr>
                <w:w w:val="105"/>
                <w:sz w:val="19"/>
              </w:rPr>
              <w:t>7,582</w:t>
            </w:r>
          </w:p>
        </w:tc>
      </w:tr>
      <w:tr>
        <w:trPr>
          <w:trHeight w:val="346" w:hRule="exact"/>
        </w:trPr>
        <w:tc>
          <w:tcPr>
            <w:tcW w:w="2870" w:type="dxa"/>
            <w:tcBorders>
              <w:top w:val="single" w:sz="4" w:space="0" w:color="000000"/>
              <w:bottom w:val="single" w:sz="4" w:space="0" w:color="000000"/>
              <w:right w:val="single" w:sz="4" w:space="0" w:color="000000"/>
            </w:tcBorders>
          </w:tcPr>
          <w:p>
            <w:pPr>
              <w:pStyle w:val="TableParagraph"/>
              <w:spacing w:line="218" w:lineRule="exact"/>
              <w:ind w:right="1213"/>
              <w:jc w:val="right"/>
              <w:rPr>
                <w:sz w:val="19"/>
              </w:rPr>
            </w:pPr>
            <w:r>
              <w:rPr>
                <w:sz w:val="19"/>
              </w:rPr>
              <w:t>1994</w:t>
            </w:r>
          </w:p>
        </w:tc>
        <w:tc>
          <w:tcPr>
            <w:tcW w:w="3031" w:type="dxa"/>
            <w:tcBorders>
              <w:top w:val="single" w:sz="4" w:space="0" w:color="000000"/>
              <w:left w:val="single" w:sz="4" w:space="0" w:color="000000"/>
              <w:bottom w:val="single" w:sz="4" w:space="0" w:color="000000"/>
              <w:right w:val="single" w:sz="2" w:space="0" w:color="000000"/>
            </w:tcBorders>
          </w:tcPr>
          <w:p>
            <w:pPr>
              <w:pStyle w:val="TableParagraph"/>
              <w:spacing w:line="218" w:lineRule="exact"/>
              <w:ind w:left="336" w:right="327"/>
              <w:jc w:val="center"/>
              <w:rPr>
                <w:sz w:val="19"/>
              </w:rPr>
            </w:pPr>
            <w:r>
              <w:rPr>
                <w:w w:val="105"/>
                <w:sz w:val="19"/>
              </w:rPr>
              <w:t>65,037 (84)</w:t>
            </w:r>
          </w:p>
        </w:tc>
        <w:tc>
          <w:tcPr>
            <w:tcW w:w="2762" w:type="dxa"/>
            <w:tcBorders>
              <w:top w:val="single" w:sz="4" w:space="0" w:color="000000"/>
              <w:left w:val="single" w:sz="2" w:space="0" w:color="000000"/>
              <w:bottom w:val="single" w:sz="4" w:space="0" w:color="000000"/>
            </w:tcBorders>
          </w:tcPr>
          <w:p>
            <w:pPr>
              <w:pStyle w:val="TableParagraph"/>
              <w:spacing w:line="218" w:lineRule="exact"/>
              <w:ind w:left="1105" w:right="1101"/>
              <w:jc w:val="center"/>
              <w:rPr>
                <w:sz w:val="19"/>
              </w:rPr>
            </w:pPr>
            <w:r>
              <w:rPr>
                <w:w w:val="105"/>
                <w:sz w:val="19"/>
              </w:rPr>
              <w:t>8,526</w:t>
            </w:r>
          </w:p>
        </w:tc>
      </w:tr>
      <w:tr>
        <w:trPr>
          <w:trHeight w:val="346" w:hRule="exact"/>
        </w:trPr>
        <w:tc>
          <w:tcPr>
            <w:tcW w:w="2870" w:type="dxa"/>
            <w:tcBorders>
              <w:top w:val="single" w:sz="4" w:space="0" w:color="000000"/>
              <w:bottom w:val="single" w:sz="4" w:space="0" w:color="000000"/>
              <w:right w:val="single" w:sz="4" w:space="0" w:color="000000"/>
            </w:tcBorders>
          </w:tcPr>
          <w:p>
            <w:pPr>
              <w:pStyle w:val="TableParagraph"/>
              <w:spacing w:line="218" w:lineRule="exact"/>
              <w:ind w:right="1213"/>
              <w:jc w:val="right"/>
              <w:rPr>
                <w:sz w:val="19"/>
              </w:rPr>
            </w:pPr>
            <w:r>
              <w:rPr>
                <w:sz w:val="19"/>
              </w:rPr>
              <w:t>1995</w:t>
            </w:r>
          </w:p>
        </w:tc>
        <w:tc>
          <w:tcPr>
            <w:tcW w:w="3031" w:type="dxa"/>
            <w:tcBorders>
              <w:top w:val="single" w:sz="4" w:space="0" w:color="000000"/>
              <w:left w:val="single" w:sz="4" w:space="0" w:color="000000"/>
              <w:bottom w:val="single" w:sz="4" w:space="0" w:color="000000"/>
              <w:right w:val="single" w:sz="2" w:space="0" w:color="000000"/>
            </w:tcBorders>
          </w:tcPr>
          <w:p>
            <w:pPr>
              <w:pStyle w:val="TableParagraph"/>
              <w:spacing w:line="218" w:lineRule="exact"/>
              <w:ind w:left="336" w:right="327"/>
              <w:jc w:val="center"/>
              <w:rPr>
                <w:sz w:val="19"/>
              </w:rPr>
            </w:pPr>
            <w:r>
              <w:rPr>
                <w:w w:val="105"/>
                <w:sz w:val="19"/>
              </w:rPr>
              <w:t>77,178 (86)</w:t>
            </w:r>
          </w:p>
        </w:tc>
        <w:tc>
          <w:tcPr>
            <w:tcW w:w="2762" w:type="dxa"/>
            <w:tcBorders>
              <w:top w:val="single" w:sz="4" w:space="0" w:color="000000"/>
              <w:left w:val="single" w:sz="2" w:space="0" w:color="000000"/>
              <w:bottom w:val="single" w:sz="4" w:space="0" w:color="000000"/>
            </w:tcBorders>
          </w:tcPr>
          <w:p>
            <w:pPr>
              <w:pStyle w:val="TableParagraph"/>
              <w:spacing w:line="218" w:lineRule="exact"/>
              <w:ind w:left="1105" w:right="1101"/>
              <w:jc w:val="center"/>
              <w:rPr>
                <w:sz w:val="19"/>
              </w:rPr>
            </w:pPr>
            <w:r>
              <w:rPr>
                <w:w w:val="105"/>
                <w:sz w:val="19"/>
              </w:rPr>
              <w:t>8,680</w:t>
            </w:r>
          </w:p>
        </w:tc>
      </w:tr>
      <w:tr>
        <w:trPr>
          <w:trHeight w:val="346" w:hRule="exact"/>
        </w:trPr>
        <w:tc>
          <w:tcPr>
            <w:tcW w:w="2870" w:type="dxa"/>
            <w:tcBorders>
              <w:top w:val="single" w:sz="4" w:space="0" w:color="000000"/>
              <w:bottom w:val="single" w:sz="4" w:space="0" w:color="000000"/>
              <w:right w:val="single" w:sz="4" w:space="0" w:color="000000"/>
            </w:tcBorders>
          </w:tcPr>
          <w:p>
            <w:pPr>
              <w:pStyle w:val="TableParagraph"/>
              <w:spacing w:line="218" w:lineRule="exact"/>
              <w:ind w:right="1213"/>
              <w:jc w:val="right"/>
              <w:rPr>
                <w:sz w:val="19"/>
              </w:rPr>
            </w:pPr>
            <w:r>
              <w:rPr>
                <w:sz w:val="19"/>
              </w:rPr>
              <w:t>1996</w:t>
            </w:r>
          </w:p>
        </w:tc>
        <w:tc>
          <w:tcPr>
            <w:tcW w:w="3031" w:type="dxa"/>
            <w:tcBorders>
              <w:top w:val="single" w:sz="4" w:space="0" w:color="000000"/>
              <w:left w:val="single" w:sz="4" w:space="0" w:color="000000"/>
              <w:bottom w:val="single" w:sz="4" w:space="0" w:color="000000"/>
              <w:right w:val="single" w:sz="2" w:space="0" w:color="000000"/>
            </w:tcBorders>
          </w:tcPr>
          <w:p>
            <w:pPr>
              <w:pStyle w:val="TableParagraph"/>
              <w:spacing w:line="218" w:lineRule="exact"/>
              <w:ind w:left="336" w:right="339"/>
              <w:jc w:val="center"/>
              <w:rPr>
                <w:sz w:val="19"/>
              </w:rPr>
            </w:pPr>
            <w:r>
              <w:rPr>
                <w:w w:val="105"/>
                <w:sz w:val="19"/>
              </w:rPr>
              <w:t>100,793 (68)</w:t>
            </w:r>
          </w:p>
        </w:tc>
        <w:tc>
          <w:tcPr>
            <w:tcW w:w="2762" w:type="dxa"/>
            <w:tcBorders>
              <w:top w:val="single" w:sz="4" w:space="0" w:color="000000"/>
              <w:left w:val="single" w:sz="2" w:space="0" w:color="000000"/>
              <w:bottom w:val="single" w:sz="4" w:space="0" w:color="000000"/>
            </w:tcBorders>
          </w:tcPr>
          <w:p>
            <w:pPr>
              <w:pStyle w:val="TableParagraph"/>
              <w:spacing w:line="218" w:lineRule="exact"/>
              <w:ind w:right="1079"/>
              <w:jc w:val="right"/>
              <w:rPr>
                <w:sz w:val="19"/>
              </w:rPr>
            </w:pPr>
            <w:r>
              <w:rPr>
                <w:sz w:val="19"/>
              </w:rPr>
              <w:t>22,154</w:t>
            </w:r>
          </w:p>
        </w:tc>
      </w:tr>
      <w:tr>
        <w:trPr>
          <w:trHeight w:val="346" w:hRule="exact"/>
        </w:trPr>
        <w:tc>
          <w:tcPr>
            <w:tcW w:w="2870" w:type="dxa"/>
            <w:tcBorders>
              <w:top w:val="single" w:sz="4" w:space="0" w:color="000000"/>
              <w:bottom w:val="single" w:sz="4" w:space="0" w:color="000000"/>
              <w:right w:val="single" w:sz="4" w:space="0" w:color="000000"/>
            </w:tcBorders>
          </w:tcPr>
          <w:p>
            <w:pPr>
              <w:pStyle w:val="TableParagraph"/>
              <w:spacing w:line="218" w:lineRule="exact"/>
              <w:ind w:right="1213"/>
              <w:jc w:val="right"/>
              <w:rPr>
                <w:sz w:val="19"/>
              </w:rPr>
            </w:pPr>
            <w:r>
              <w:rPr>
                <w:sz w:val="19"/>
              </w:rPr>
              <w:t>1997</w:t>
            </w:r>
          </w:p>
        </w:tc>
        <w:tc>
          <w:tcPr>
            <w:tcW w:w="3031" w:type="dxa"/>
            <w:tcBorders>
              <w:top w:val="single" w:sz="4" w:space="0" w:color="000000"/>
              <w:left w:val="single" w:sz="4" w:space="0" w:color="000000"/>
              <w:bottom w:val="single" w:sz="4" w:space="0" w:color="000000"/>
              <w:right w:val="single" w:sz="2" w:space="0" w:color="000000"/>
            </w:tcBorders>
          </w:tcPr>
          <w:p>
            <w:pPr>
              <w:pStyle w:val="TableParagraph"/>
              <w:spacing w:line="218" w:lineRule="exact"/>
              <w:ind w:left="336" w:right="339"/>
              <w:jc w:val="center"/>
              <w:rPr>
                <w:sz w:val="19"/>
              </w:rPr>
            </w:pPr>
            <w:r>
              <w:rPr>
                <w:w w:val="105"/>
                <w:sz w:val="19"/>
              </w:rPr>
              <w:t>126,895 (67)</w:t>
            </w:r>
          </w:p>
        </w:tc>
        <w:tc>
          <w:tcPr>
            <w:tcW w:w="2762" w:type="dxa"/>
            <w:tcBorders>
              <w:top w:val="single" w:sz="4" w:space="0" w:color="000000"/>
              <w:left w:val="single" w:sz="2" w:space="0" w:color="000000"/>
              <w:bottom w:val="single" w:sz="4" w:space="0" w:color="000000"/>
            </w:tcBorders>
          </w:tcPr>
          <w:p>
            <w:pPr>
              <w:pStyle w:val="TableParagraph"/>
              <w:spacing w:line="218" w:lineRule="exact"/>
              <w:ind w:right="1079"/>
              <w:jc w:val="right"/>
              <w:rPr>
                <w:sz w:val="19"/>
              </w:rPr>
            </w:pPr>
            <w:r>
              <w:rPr>
                <w:sz w:val="19"/>
              </w:rPr>
              <w:t>28,995</w:t>
            </w:r>
          </w:p>
        </w:tc>
      </w:tr>
      <w:tr>
        <w:trPr>
          <w:trHeight w:val="346" w:hRule="exact"/>
        </w:trPr>
        <w:tc>
          <w:tcPr>
            <w:tcW w:w="2870" w:type="dxa"/>
            <w:tcBorders>
              <w:top w:val="single" w:sz="4" w:space="0" w:color="000000"/>
              <w:bottom w:val="single" w:sz="4" w:space="0" w:color="000000"/>
              <w:right w:val="single" w:sz="4" w:space="0" w:color="000000"/>
            </w:tcBorders>
          </w:tcPr>
          <w:p>
            <w:pPr>
              <w:pStyle w:val="TableParagraph"/>
              <w:spacing w:line="218" w:lineRule="exact"/>
              <w:ind w:right="1213"/>
              <w:jc w:val="right"/>
              <w:rPr>
                <w:sz w:val="19"/>
              </w:rPr>
            </w:pPr>
            <w:r>
              <w:rPr>
                <w:sz w:val="19"/>
              </w:rPr>
              <w:t>1998</w:t>
            </w:r>
          </w:p>
        </w:tc>
        <w:tc>
          <w:tcPr>
            <w:tcW w:w="3031" w:type="dxa"/>
            <w:tcBorders>
              <w:top w:val="single" w:sz="4" w:space="0" w:color="000000"/>
              <w:left w:val="single" w:sz="4" w:space="0" w:color="000000"/>
              <w:bottom w:val="single" w:sz="4" w:space="0" w:color="000000"/>
              <w:right w:val="single" w:sz="2" w:space="0" w:color="000000"/>
            </w:tcBorders>
          </w:tcPr>
          <w:p>
            <w:pPr>
              <w:pStyle w:val="TableParagraph"/>
              <w:spacing w:line="218" w:lineRule="exact"/>
              <w:ind w:left="336" w:right="339"/>
              <w:jc w:val="center"/>
              <w:rPr>
                <w:sz w:val="19"/>
              </w:rPr>
            </w:pPr>
            <w:r>
              <w:rPr>
                <w:w w:val="105"/>
                <w:sz w:val="19"/>
              </w:rPr>
              <w:t>157,545 (64)</w:t>
            </w:r>
          </w:p>
        </w:tc>
        <w:tc>
          <w:tcPr>
            <w:tcW w:w="2762" w:type="dxa"/>
            <w:tcBorders>
              <w:top w:val="single" w:sz="4" w:space="0" w:color="000000"/>
              <w:left w:val="single" w:sz="2" w:space="0" w:color="000000"/>
              <w:bottom w:val="single" w:sz="4" w:space="0" w:color="000000"/>
            </w:tcBorders>
          </w:tcPr>
          <w:p>
            <w:pPr>
              <w:pStyle w:val="TableParagraph"/>
              <w:spacing w:line="218" w:lineRule="exact"/>
              <w:ind w:right="1079"/>
              <w:jc w:val="right"/>
              <w:rPr>
                <w:sz w:val="19"/>
              </w:rPr>
            </w:pPr>
            <w:r>
              <w:rPr>
                <w:sz w:val="19"/>
              </w:rPr>
              <w:t>34,579</w:t>
            </w:r>
          </w:p>
        </w:tc>
      </w:tr>
      <w:tr>
        <w:trPr>
          <w:trHeight w:val="341" w:hRule="exact"/>
        </w:trPr>
        <w:tc>
          <w:tcPr>
            <w:tcW w:w="2870" w:type="dxa"/>
            <w:tcBorders>
              <w:top w:val="single" w:sz="4" w:space="0" w:color="000000"/>
              <w:bottom w:val="single" w:sz="4" w:space="0" w:color="000000"/>
              <w:right w:val="single" w:sz="4" w:space="0" w:color="000000"/>
            </w:tcBorders>
          </w:tcPr>
          <w:p>
            <w:pPr>
              <w:pStyle w:val="TableParagraph"/>
              <w:spacing w:line="218" w:lineRule="exact"/>
              <w:ind w:right="1213"/>
              <w:jc w:val="right"/>
              <w:rPr>
                <w:sz w:val="19"/>
              </w:rPr>
            </w:pPr>
            <w:r>
              <w:rPr>
                <w:sz w:val="19"/>
              </w:rPr>
              <w:t>1999</w:t>
            </w:r>
          </w:p>
        </w:tc>
        <w:tc>
          <w:tcPr>
            <w:tcW w:w="3031" w:type="dxa"/>
            <w:tcBorders>
              <w:top w:val="single" w:sz="4" w:space="0" w:color="000000"/>
              <w:left w:val="single" w:sz="4" w:space="0" w:color="000000"/>
              <w:bottom w:val="single" w:sz="4" w:space="0" w:color="000000"/>
              <w:right w:val="single" w:sz="2" w:space="0" w:color="000000"/>
            </w:tcBorders>
          </w:tcPr>
          <w:p>
            <w:pPr>
              <w:pStyle w:val="TableParagraph"/>
              <w:spacing w:line="218" w:lineRule="exact"/>
              <w:ind w:left="336" w:right="339"/>
              <w:jc w:val="center"/>
              <w:rPr>
                <w:sz w:val="19"/>
              </w:rPr>
            </w:pPr>
            <w:r>
              <w:rPr>
                <w:w w:val="105"/>
                <w:sz w:val="19"/>
              </w:rPr>
              <w:t>187,154 (64)</w:t>
            </w:r>
          </w:p>
        </w:tc>
        <w:tc>
          <w:tcPr>
            <w:tcW w:w="2762" w:type="dxa"/>
            <w:tcBorders>
              <w:top w:val="single" w:sz="4" w:space="0" w:color="000000"/>
              <w:left w:val="single" w:sz="2" w:space="0" w:color="000000"/>
              <w:bottom w:val="single" w:sz="4" w:space="0" w:color="000000"/>
            </w:tcBorders>
          </w:tcPr>
          <w:p>
            <w:pPr>
              <w:pStyle w:val="TableParagraph"/>
              <w:spacing w:line="218" w:lineRule="exact"/>
              <w:ind w:right="1079"/>
              <w:jc w:val="right"/>
              <w:rPr>
                <w:sz w:val="19"/>
              </w:rPr>
            </w:pPr>
            <w:r>
              <w:rPr>
                <w:sz w:val="19"/>
              </w:rPr>
              <w:t>40,757</w:t>
            </w:r>
          </w:p>
        </w:tc>
      </w:tr>
      <w:tr>
        <w:trPr>
          <w:trHeight w:val="346" w:hRule="exact"/>
        </w:trPr>
        <w:tc>
          <w:tcPr>
            <w:tcW w:w="2870" w:type="dxa"/>
            <w:tcBorders>
              <w:top w:val="single" w:sz="4" w:space="0" w:color="000000"/>
              <w:bottom w:val="single" w:sz="4" w:space="0" w:color="000000"/>
              <w:right w:val="single" w:sz="4" w:space="0" w:color="000000"/>
            </w:tcBorders>
          </w:tcPr>
          <w:p>
            <w:pPr>
              <w:pStyle w:val="TableParagraph"/>
              <w:spacing w:before="4"/>
              <w:ind w:right="1213"/>
              <w:jc w:val="right"/>
              <w:rPr>
                <w:sz w:val="19"/>
              </w:rPr>
            </w:pPr>
            <w:r>
              <w:rPr>
                <w:sz w:val="19"/>
              </w:rPr>
              <w:t>2000</w:t>
            </w:r>
          </w:p>
        </w:tc>
        <w:tc>
          <w:tcPr>
            <w:tcW w:w="3031" w:type="dxa"/>
            <w:tcBorders>
              <w:top w:val="single" w:sz="4" w:space="0" w:color="000000"/>
              <w:left w:val="single" w:sz="4" w:space="0" w:color="000000"/>
              <w:bottom w:val="single" w:sz="4" w:space="0" w:color="000000"/>
              <w:right w:val="single" w:sz="2" w:space="0" w:color="000000"/>
            </w:tcBorders>
          </w:tcPr>
          <w:p>
            <w:pPr>
              <w:pStyle w:val="TableParagraph"/>
              <w:spacing w:before="4"/>
              <w:ind w:left="336" w:right="339"/>
              <w:jc w:val="center"/>
              <w:rPr>
                <w:sz w:val="19"/>
              </w:rPr>
            </w:pPr>
            <w:r>
              <w:rPr>
                <w:w w:val="105"/>
                <w:sz w:val="19"/>
              </w:rPr>
              <w:t>223,385 (63)</w:t>
            </w:r>
          </w:p>
        </w:tc>
        <w:tc>
          <w:tcPr>
            <w:tcW w:w="2762" w:type="dxa"/>
            <w:tcBorders>
              <w:top w:val="single" w:sz="4" w:space="0" w:color="000000"/>
              <w:left w:val="single" w:sz="2" w:space="0" w:color="000000"/>
              <w:bottom w:val="single" w:sz="4" w:space="0" w:color="000000"/>
            </w:tcBorders>
          </w:tcPr>
          <w:p>
            <w:pPr>
              <w:pStyle w:val="TableParagraph"/>
              <w:spacing w:before="4"/>
              <w:ind w:right="1079"/>
              <w:jc w:val="right"/>
              <w:rPr>
                <w:sz w:val="19"/>
              </w:rPr>
            </w:pPr>
            <w:r>
              <w:rPr>
                <w:sz w:val="19"/>
              </w:rPr>
              <w:t>53,051</w:t>
            </w:r>
          </w:p>
        </w:tc>
      </w:tr>
      <w:tr>
        <w:trPr>
          <w:trHeight w:val="346" w:hRule="exact"/>
        </w:trPr>
        <w:tc>
          <w:tcPr>
            <w:tcW w:w="2870" w:type="dxa"/>
            <w:tcBorders>
              <w:top w:val="single" w:sz="4" w:space="0" w:color="000000"/>
              <w:bottom w:val="single" w:sz="4" w:space="0" w:color="000000"/>
              <w:right w:val="single" w:sz="4" w:space="0" w:color="000000"/>
            </w:tcBorders>
          </w:tcPr>
          <w:p>
            <w:pPr>
              <w:pStyle w:val="TableParagraph"/>
              <w:spacing w:before="4"/>
              <w:ind w:right="1213"/>
              <w:jc w:val="right"/>
              <w:rPr>
                <w:sz w:val="19"/>
              </w:rPr>
            </w:pPr>
            <w:r>
              <w:rPr>
                <w:sz w:val="19"/>
              </w:rPr>
              <w:t>2001</w:t>
            </w:r>
          </w:p>
        </w:tc>
        <w:tc>
          <w:tcPr>
            <w:tcW w:w="3031" w:type="dxa"/>
            <w:tcBorders>
              <w:top w:val="single" w:sz="4" w:space="0" w:color="000000"/>
              <w:left w:val="single" w:sz="4" w:space="0" w:color="000000"/>
              <w:bottom w:val="single" w:sz="4" w:space="0" w:color="000000"/>
              <w:right w:val="single" w:sz="2" w:space="0" w:color="000000"/>
            </w:tcBorders>
          </w:tcPr>
          <w:p>
            <w:pPr>
              <w:pStyle w:val="TableParagraph"/>
              <w:spacing w:before="4"/>
              <w:ind w:left="336" w:right="339"/>
              <w:jc w:val="center"/>
              <w:rPr>
                <w:sz w:val="19"/>
              </w:rPr>
            </w:pPr>
            <w:r>
              <w:rPr>
                <w:w w:val="105"/>
                <w:sz w:val="19"/>
              </w:rPr>
              <w:t>250,819 (64)</w:t>
            </w:r>
          </w:p>
        </w:tc>
        <w:tc>
          <w:tcPr>
            <w:tcW w:w="2762" w:type="dxa"/>
            <w:tcBorders>
              <w:top w:val="single" w:sz="4" w:space="0" w:color="000000"/>
              <w:left w:val="single" w:sz="2" w:space="0" w:color="000000"/>
              <w:bottom w:val="single" w:sz="4" w:space="0" w:color="000000"/>
            </w:tcBorders>
          </w:tcPr>
          <w:p>
            <w:pPr>
              <w:pStyle w:val="TableParagraph"/>
              <w:spacing w:before="4"/>
              <w:ind w:right="1079"/>
              <w:jc w:val="right"/>
              <w:rPr>
                <w:sz w:val="19"/>
              </w:rPr>
            </w:pPr>
            <w:r>
              <w:rPr>
                <w:sz w:val="19"/>
              </w:rPr>
              <w:t>60,356</w:t>
            </w:r>
          </w:p>
        </w:tc>
      </w:tr>
      <w:tr>
        <w:trPr>
          <w:trHeight w:val="346" w:hRule="exact"/>
        </w:trPr>
        <w:tc>
          <w:tcPr>
            <w:tcW w:w="2870" w:type="dxa"/>
            <w:tcBorders>
              <w:top w:val="single" w:sz="4" w:space="0" w:color="000000"/>
              <w:bottom w:val="single" w:sz="4" w:space="0" w:color="000000"/>
              <w:right w:val="single" w:sz="4" w:space="0" w:color="000000"/>
            </w:tcBorders>
          </w:tcPr>
          <w:p>
            <w:pPr>
              <w:pStyle w:val="TableParagraph"/>
              <w:spacing w:line="218" w:lineRule="exact"/>
              <w:ind w:right="1213"/>
              <w:jc w:val="right"/>
              <w:rPr>
                <w:sz w:val="19"/>
              </w:rPr>
            </w:pPr>
            <w:r>
              <w:rPr>
                <w:sz w:val="19"/>
              </w:rPr>
              <w:t>2002</w:t>
            </w:r>
          </w:p>
        </w:tc>
        <w:tc>
          <w:tcPr>
            <w:tcW w:w="3031" w:type="dxa"/>
            <w:tcBorders>
              <w:top w:val="single" w:sz="4" w:space="0" w:color="000000"/>
              <w:left w:val="single" w:sz="4" w:space="0" w:color="000000"/>
              <w:bottom w:val="single" w:sz="4" w:space="0" w:color="000000"/>
              <w:right w:val="single" w:sz="2" w:space="0" w:color="000000"/>
            </w:tcBorders>
          </w:tcPr>
          <w:p>
            <w:pPr>
              <w:pStyle w:val="TableParagraph"/>
              <w:spacing w:line="218" w:lineRule="exact"/>
              <w:ind w:left="336" w:right="339"/>
              <w:jc w:val="center"/>
              <w:rPr>
                <w:sz w:val="19"/>
              </w:rPr>
            </w:pPr>
            <w:r>
              <w:rPr>
                <w:w w:val="105"/>
                <w:sz w:val="19"/>
              </w:rPr>
              <w:t>276,632 (63)</w:t>
            </w:r>
          </w:p>
        </w:tc>
        <w:tc>
          <w:tcPr>
            <w:tcW w:w="2762" w:type="dxa"/>
            <w:tcBorders>
              <w:top w:val="single" w:sz="4" w:space="0" w:color="000000"/>
              <w:left w:val="single" w:sz="2" w:space="0" w:color="000000"/>
              <w:bottom w:val="single" w:sz="4" w:space="0" w:color="000000"/>
            </w:tcBorders>
          </w:tcPr>
          <w:p>
            <w:pPr>
              <w:pStyle w:val="TableParagraph"/>
              <w:spacing w:line="218" w:lineRule="exact"/>
              <w:ind w:right="1079"/>
              <w:jc w:val="right"/>
              <w:rPr>
                <w:sz w:val="19"/>
              </w:rPr>
            </w:pPr>
            <w:r>
              <w:rPr>
                <w:sz w:val="19"/>
              </w:rPr>
              <w:t>67,701</w:t>
            </w:r>
          </w:p>
        </w:tc>
      </w:tr>
      <w:tr>
        <w:trPr>
          <w:trHeight w:val="348" w:hRule="exact"/>
        </w:trPr>
        <w:tc>
          <w:tcPr>
            <w:tcW w:w="2870" w:type="dxa"/>
            <w:tcBorders>
              <w:top w:val="single" w:sz="4" w:space="0" w:color="000000"/>
              <w:bottom w:val="single" w:sz="2" w:space="0" w:color="000000"/>
              <w:right w:val="single" w:sz="4" w:space="0" w:color="000000"/>
            </w:tcBorders>
          </w:tcPr>
          <w:p>
            <w:pPr>
              <w:pStyle w:val="TableParagraph"/>
              <w:spacing w:line="218" w:lineRule="exact"/>
              <w:ind w:right="1213"/>
              <w:jc w:val="right"/>
              <w:rPr>
                <w:sz w:val="19"/>
              </w:rPr>
            </w:pPr>
            <w:r>
              <w:rPr>
                <w:sz w:val="19"/>
              </w:rPr>
              <w:t>2003</w:t>
            </w:r>
          </w:p>
        </w:tc>
        <w:tc>
          <w:tcPr>
            <w:tcW w:w="3031" w:type="dxa"/>
            <w:tcBorders>
              <w:top w:val="single" w:sz="4" w:space="0" w:color="000000"/>
              <w:left w:val="single" w:sz="4" w:space="0" w:color="000000"/>
              <w:bottom w:val="single" w:sz="2" w:space="0" w:color="000000"/>
              <w:right w:val="single" w:sz="2" w:space="0" w:color="000000"/>
            </w:tcBorders>
          </w:tcPr>
          <w:p>
            <w:pPr>
              <w:pStyle w:val="TableParagraph"/>
              <w:spacing w:line="218" w:lineRule="exact"/>
              <w:ind w:left="336" w:right="339"/>
              <w:jc w:val="center"/>
              <w:rPr>
                <w:sz w:val="19"/>
              </w:rPr>
            </w:pPr>
            <w:r>
              <w:rPr>
                <w:w w:val="105"/>
                <w:sz w:val="19"/>
              </w:rPr>
              <w:t>307,407 (62)</w:t>
            </w:r>
          </w:p>
        </w:tc>
        <w:tc>
          <w:tcPr>
            <w:tcW w:w="2762" w:type="dxa"/>
            <w:tcBorders>
              <w:top w:val="single" w:sz="4" w:space="0" w:color="000000"/>
              <w:left w:val="single" w:sz="2" w:space="0" w:color="000000"/>
              <w:bottom w:val="single" w:sz="2" w:space="0" w:color="000000"/>
            </w:tcBorders>
          </w:tcPr>
          <w:p>
            <w:pPr>
              <w:pStyle w:val="TableParagraph"/>
              <w:spacing w:line="218" w:lineRule="exact"/>
              <w:ind w:right="1079"/>
              <w:jc w:val="right"/>
              <w:rPr>
                <w:sz w:val="19"/>
              </w:rPr>
            </w:pPr>
            <w:r>
              <w:rPr>
                <w:sz w:val="19"/>
              </w:rPr>
              <w:t>79,309</w:t>
            </w:r>
          </w:p>
        </w:tc>
      </w:tr>
      <w:tr>
        <w:trPr>
          <w:trHeight w:val="346" w:hRule="exact"/>
        </w:trPr>
        <w:tc>
          <w:tcPr>
            <w:tcW w:w="2870" w:type="dxa"/>
            <w:tcBorders>
              <w:top w:val="single" w:sz="2" w:space="0" w:color="000000"/>
              <w:bottom w:val="single" w:sz="2" w:space="0" w:color="000000"/>
              <w:right w:val="single" w:sz="4" w:space="0" w:color="000000"/>
            </w:tcBorders>
          </w:tcPr>
          <w:p>
            <w:pPr>
              <w:pStyle w:val="TableParagraph"/>
              <w:spacing w:line="218" w:lineRule="exact"/>
              <w:ind w:right="1213"/>
              <w:jc w:val="right"/>
              <w:rPr>
                <w:sz w:val="19"/>
              </w:rPr>
            </w:pPr>
            <w:r>
              <w:rPr>
                <w:sz w:val="19"/>
              </w:rPr>
              <w:t>2004</w:t>
            </w:r>
          </w:p>
        </w:tc>
        <w:tc>
          <w:tcPr>
            <w:tcW w:w="3031" w:type="dxa"/>
            <w:tcBorders>
              <w:top w:val="single" w:sz="2" w:space="0" w:color="000000"/>
              <w:left w:val="single" w:sz="4" w:space="0" w:color="000000"/>
              <w:bottom w:val="single" w:sz="2" w:space="0" w:color="000000"/>
              <w:right w:val="single" w:sz="2" w:space="0" w:color="000000"/>
            </w:tcBorders>
          </w:tcPr>
          <w:p>
            <w:pPr>
              <w:pStyle w:val="TableParagraph"/>
              <w:spacing w:line="218" w:lineRule="exact"/>
              <w:ind w:left="336" w:right="339"/>
              <w:jc w:val="center"/>
              <w:rPr>
                <w:sz w:val="19"/>
              </w:rPr>
            </w:pPr>
            <w:r>
              <w:rPr>
                <w:w w:val="105"/>
                <w:sz w:val="19"/>
              </w:rPr>
              <w:t>327,287 (61)</w:t>
            </w:r>
          </w:p>
        </w:tc>
        <w:tc>
          <w:tcPr>
            <w:tcW w:w="2762" w:type="dxa"/>
            <w:tcBorders>
              <w:top w:val="single" w:sz="2" w:space="0" w:color="000000"/>
              <w:left w:val="single" w:sz="2" w:space="0" w:color="000000"/>
              <w:bottom w:val="single" w:sz="2" w:space="0" w:color="000000"/>
            </w:tcBorders>
          </w:tcPr>
          <w:p>
            <w:pPr>
              <w:pStyle w:val="TableParagraph"/>
              <w:spacing w:line="218" w:lineRule="exact"/>
              <w:ind w:right="1079"/>
              <w:jc w:val="right"/>
              <w:rPr>
                <w:sz w:val="19"/>
              </w:rPr>
            </w:pPr>
            <w:r>
              <w:rPr>
                <w:sz w:val="19"/>
              </w:rPr>
              <w:t>88,874</w:t>
            </w:r>
          </w:p>
        </w:tc>
      </w:tr>
      <w:tr>
        <w:trPr>
          <w:trHeight w:val="348" w:hRule="exact"/>
        </w:trPr>
        <w:tc>
          <w:tcPr>
            <w:tcW w:w="2870" w:type="dxa"/>
            <w:tcBorders>
              <w:top w:val="single" w:sz="2" w:space="0" w:color="000000"/>
              <w:bottom w:val="single" w:sz="4" w:space="0" w:color="000000"/>
              <w:right w:val="single" w:sz="4" w:space="0" w:color="000000"/>
            </w:tcBorders>
          </w:tcPr>
          <w:p>
            <w:pPr>
              <w:pStyle w:val="TableParagraph"/>
              <w:spacing w:line="218" w:lineRule="exact"/>
              <w:ind w:right="1213"/>
              <w:jc w:val="right"/>
              <w:rPr>
                <w:sz w:val="19"/>
              </w:rPr>
            </w:pPr>
            <w:r>
              <w:rPr>
                <w:sz w:val="19"/>
              </w:rPr>
              <w:t>2005</w:t>
            </w:r>
          </w:p>
        </w:tc>
        <w:tc>
          <w:tcPr>
            <w:tcW w:w="3031" w:type="dxa"/>
            <w:tcBorders>
              <w:top w:val="single" w:sz="2" w:space="0" w:color="000000"/>
              <w:left w:val="single" w:sz="4" w:space="0" w:color="000000"/>
              <w:bottom w:val="single" w:sz="4" w:space="0" w:color="000000"/>
              <w:right w:val="single" w:sz="2" w:space="0" w:color="000000"/>
            </w:tcBorders>
          </w:tcPr>
          <w:p>
            <w:pPr>
              <w:pStyle w:val="TableParagraph"/>
              <w:spacing w:line="218" w:lineRule="exact"/>
              <w:ind w:left="336" w:right="339"/>
              <w:jc w:val="center"/>
              <w:rPr>
                <w:sz w:val="19"/>
              </w:rPr>
            </w:pPr>
            <w:r>
              <w:rPr>
                <w:w w:val="105"/>
                <w:sz w:val="19"/>
              </w:rPr>
              <w:t>363,560 (61)</w:t>
            </w:r>
          </w:p>
        </w:tc>
        <w:tc>
          <w:tcPr>
            <w:tcW w:w="2762" w:type="dxa"/>
            <w:tcBorders>
              <w:top w:val="single" w:sz="2" w:space="0" w:color="000000"/>
              <w:left w:val="single" w:sz="2" w:space="0" w:color="000000"/>
              <w:bottom w:val="single" w:sz="4" w:space="0" w:color="000000"/>
            </w:tcBorders>
          </w:tcPr>
          <w:p>
            <w:pPr>
              <w:pStyle w:val="TableParagraph"/>
              <w:spacing w:line="218" w:lineRule="exact"/>
              <w:ind w:right="1025"/>
              <w:jc w:val="right"/>
              <w:rPr>
                <w:sz w:val="19"/>
              </w:rPr>
            </w:pPr>
            <w:r>
              <w:rPr>
                <w:sz w:val="19"/>
              </w:rPr>
              <w:t>100,470</w:t>
            </w:r>
          </w:p>
        </w:tc>
      </w:tr>
      <w:tr>
        <w:trPr>
          <w:trHeight w:val="346" w:hRule="exact"/>
        </w:trPr>
        <w:tc>
          <w:tcPr>
            <w:tcW w:w="2870" w:type="dxa"/>
            <w:tcBorders>
              <w:top w:val="single" w:sz="4" w:space="0" w:color="000000"/>
              <w:bottom w:val="single" w:sz="4" w:space="0" w:color="000000"/>
              <w:right w:val="single" w:sz="4" w:space="0" w:color="000000"/>
            </w:tcBorders>
          </w:tcPr>
          <w:p>
            <w:pPr>
              <w:pStyle w:val="TableParagraph"/>
              <w:spacing w:line="218" w:lineRule="exact"/>
              <w:ind w:right="1213"/>
              <w:jc w:val="right"/>
              <w:rPr>
                <w:sz w:val="19"/>
              </w:rPr>
            </w:pPr>
            <w:r>
              <w:rPr>
                <w:sz w:val="19"/>
              </w:rPr>
              <w:t>2006</w:t>
            </w:r>
          </w:p>
        </w:tc>
        <w:tc>
          <w:tcPr>
            <w:tcW w:w="3031" w:type="dxa"/>
            <w:tcBorders>
              <w:top w:val="single" w:sz="4" w:space="0" w:color="000000"/>
              <w:left w:val="single" w:sz="4" w:space="0" w:color="000000"/>
              <w:bottom w:val="single" w:sz="4" w:space="0" w:color="000000"/>
              <w:right w:val="single" w:sz="2" w:space="0" w:color="000000"/>
            </w:tcBorders>
          </w:tcPr>
          <w:p>
            <w:pPr>
              <w:pStyle w:val="TableParagraph"/>
              <w:spacing w:line="218" w:lineRule="exact"/>
              <w:ind w:left="336" w:right="339"/>
              <w:jc w:val="center"/>
              <w:rPr>
                <w:sz w:val="19"/>
              </w:rPr>
            </w:pPr>
            <w:r>
              <w:rPr>
                <w:w w:val="105"/>
                <w:sz w:val="19"/>
              </w:rPr>
              <w:t>397,698 (62)</w:t>
            </w:r>
          </w:p>
        </w:tc>
        <w:tc>
          <w:tcPr>
            <w:tcW w:w="2762" w:type="dxa"/>
            <w:tcBorders>
              <w:top w:val="single" w:sz="4" w:space="0" w:color="000000"/>
              <w:left w:val="single" w:sz="2" w:space="0" w:color="000000"/>
              <w:bottom w:val="single" w:sz="4" w:space="0" w:color="000000"/>
            </w:tcBorders>
          </w:tcPr>
          <w:p>
            <w:pPr>
              <w:pStyle w:val="TableParagraph"/>
              <w:spacing w:line="218" w:lineRule="exact"/>
              <w:ind w:right="1079"/>
              <w:jc w:val="right"/>
              <w:rPr>
                <w:sz w:val="19"/>
              </w:rPr>
            </w:pPr>
            <w:r>
              <w:rPr>
                <w:sz w:val="19"/>
              </w:rPr>
              <w:t>106,27</w:t>
            </w:r>
          </w:p>
        </w:tc>
      </w:tr>
      <w:tr>
        <w:trPr>
          <w:trHeight w:val="346" w:hRule="exact"/>
        </w:trPr>
        <w:tc>
          <w:tcPr>
            <w:tcW w:w="2870" w:type="dxa"/>
            <w:tcBorders>
              <w:top w:val="single" w:sz="4" w:space="0" w:color="000000"/>
              <w:bottom w:val="single" w:sz="4" w:space="0" w:color="000000"/>
              <w:right w:val="single" w:sz="4" w:space="0" w:color="000000"/>
            </w:tcBorders>
          </w:tcPr>
          <w:p>
            <w:pPr>
              <w:pStyle w:val="TableParagraph"/>
              <w:spacing w:line="218" w:lineRule="exact"/>
              <w:ind w:right="1213"/>
              <w:jc w:val="right"/>
              <w:rPr>
                <w:sz w:val="19"/>
              </w:rPr>
            </w:pPr>
            <w:r>
              <w:rPr>
                <w:sz w:val="19"/>
              </w:rPr>
              <w:t>2007</w:t>
            </w:r>
          </w:p>
        </w:tc>
        <w:tc>
          <w:tcPr>
            <w:tcW w:w="3031" w:type="dxa"/>
            <w:tcBorders>
              <w:top w:val="single" w:sz="4" w:space="0" w:color="000000"/>
              <w:left w:val="single" w:sz="4" w:space="0" w:color="000000"/>
              <w:bottom w:val="single" w:sz="4" w:space="0" w:color="000000"/>
              <w:right w:val="single" w:sz="2" w:space="0" w:color="000000"/>
            </w:tcBorders>
          </w:tcPr>
          <w:p>
            <w:pPr>
              <w:pStyle w:val="TableParagraph"/>
              <w:spacing w:line="218" w:lineRule="exact"/>
              <w:ind w:left="336" w:right="339"/>
              <w:jc w:val="center"/>
              <w:rPr>
                <w:sz w:val="19"/>
              </w:rPr>
            </w:pPr>
            <w:r>
              <w:rPr>
                <w:w w:val="105"/>
                <w:sz w:val="19"/>
              </w:rPr>
              <w:t>430,180 (62)</w:t>
            </w:r>
          </w:p>
        </w:tc>
        <w:tc>
          <w:tcPr>
            <w:tcW w:w="2762" w:type="dxa"/>
            <w:tcBorders>
              <w:top w:val="single" w:sz="4" w:space="0" w:color="000000"/>
              <w:left w:val="single" w:sz="2" w:space="0" w:color="000000"/>
              <w:bottom w:val="single" w:sz="4" w:space="0" w:color="000000"/>
            </w:tcBorders>
          </w:tcPr>
          <w:p>
            <w:pPr>
              <w:pStyle w:val="TableParagraph"/>
              <w:spacing w:line="218" w:lineRule="exact"/>
              <w:ind w:right="1025"/>
              <w:jc w:val="right"/>
              <w:rPr>
                <w:sz w:val="19"/>
              </w:rPr>
            </w:pPr>
            <w:r>
              <w:rPr>
                <w:sz w:val="19"/>
              </w:rPr>
              <w:t>113,404</w:t>
            </w:r>
          </w:p>
        </w:tc>
      </w:tr>
      <w:tr>
        <w:trPr>
          <w:trHeight w:val="346" w:hRule="exact"/>
        </w:trPr>
        <w:tc>
          <w:tcPr>
            <w:tcW w:w="2870" w:type="dxa"/>
            <w:tcBorders>
              <w:top w:val="single" w:sz="4" w:space="0" w:color="000000"/>
              <w:bottom w:val="single" w:sz="4" w:space="0" w:color="000000"/>
              <w:right w:val="single" w:sz="4" w:space="0" w:color="000000"/>
            </w:tcBorders>
          </w:tcPr>
          <w:p>
            <w:pPr>
              <w:pStyle w:val="TableParagraph"/>
              <w:spacing w:line="218" w:lineRule="exact"/>
              <w:ind w:right="1213"/>
              <w:jc w:val="right"/>
              <w:rPr>
                <w:sz w:val="19"/>
              </w:rPr>
            </w:pPr>
            <w:r>
              <w:rPr>
                <w:sz w:val="19"/>
              </w:rPr>
              <w:t>2008</w:t>
            </w:r>
          </w:p>
        </w:tc>
        <w:tc>
          <w:tcPr>
            <w:tcW w:w="3031" w:type="dxa"/>
            <w:tcBorders>
              <w:top w:val="single" w:sz="4" w:space="0" w:color="000000"/>
              <w:left w:val="single" w:sz="4" w:space="0" w:color="000000"/>
              <w:bottom w:val="single" w:sz="4" w:space="0" w:color="000000"/>
              <w:right w:val="single" w:sz="2" w:space="0" w:color="000000"/>
            </w:tcBorders>
          </w:tcPr>
          <w:p>
            <w:pPr>
              <w:pStyle w:val="TableParagraph"/>
              <w:spacing w:line="218" w:lineRule="exact"/>
              <w:ind w:left="336" w:right="335"/>
              <w:jc w:val="center"/>
              <w:rPr>
                <w:sz w:val="19"/>
              </w:rPr>
            </w:pPr>
            <w:r>
              <w:rPr>
                <w:w w:val="105"/>
                <w:sz w:val="19"/>
              </w:rPr>
              <w:t>472,623(62)</w:t>
            </w:r>
          </w:p>
        </w:tc>
        <w:tc>
          <w:tcPr>
            <w:tcW w:w="2762" w:type="dxa"/>
            <w:tcBorders>
              <w:top w:val="single" w:sz="4" w:space="0" w:color="000000"/>
              <w:left w:val="single" w:sz="2" w:space="0" w:color="000000"/>
              <w:bottom w:val="single" w:sz="4" w:space="0" w:color="000000"/>
            </w:tcBorders>
          </w:tcPr>
          <w:p>
            <w:pPr>
              <w:pStyle w:val="TableParagraph"/>
              <w:spacing w:line="218" w:lineRule="exact"/>
              <w:ind w:right="1025"/>
              <w:jc w:val="right"/>
              <w:rPr>
                <w:sz w:val="19"/>
              </w:rPr>
            </w:pPr>
            <w:r>
              <w:rPr>
                <w:sz w:val="19"/>
              </w:rPr>
              <w:t>128,363</w:t>
            </w:r>
          </w:p>
        </w:tc>
      </w:tr>
      <w:tr>
        <w:trPr>
          <w:trHeight w:val="346" w:hRule="exact"/>
        </w:trPr>
        <w:tc>
          <w:tcPr>
            <w:tcW w:w="2870" w:type="dxa"/>
            <w:tcBorders>
              <w:top w:val="single" w:sz="4" w:space="0" w:color="000000"/>
              <w:bottom w:val="single" w:sz="4" w:space="0" w:color="000000"/>
              <w:right w:val="single" w:sz="4" w:space="0" w:color="000000"/>
            </w:tcBorders>
          </w:tcPr>
          <w:p>
            <w:pPr>
              <w:pStyle w:val="TableParagraph"/>
              <w:spacing w:line="218" w:lineRule="exact"/>
              <w:ind w:right="1213"/>
              <w:jc w:val="right"/>
              <w:rPr>
                <w:sz w:val="19"/>
              </w:rPr>
            </w:pPr>
            <w:r>
              <w:rPr>
                <w:sz w:val="19"/>
              </w:rPr>
              <w:t>2009</w:t>
            </w:r>
          </w:p>
        </w:tc>
        <w:tc>
          <w:tcPr>
            <w:tcW w:w="3031" w:type="dxa"/>
            <w:tcBorders>
              <w:top w:val="single" w:sz="4" w:space="0" w:color="000000"/>
              <w:left w:val="single" w:sz="4" w:space="0" w:color="000000"/>
              <w:bottom w:val="single" w:sz="4" w:space="0" w:color="000000"/>
              <w:right w:val="single" w:sz="2" w:space="0" w:color="000000"/>
            </w:tcBorders>
          </w:tcPr>
          <w:p>
            <w:pPr>
              <w:pStyle w:val="TableParagraph"/>
              <w:spacing w:line="218" w:lineRule="exact"/>
              <w:ind w:left="336" w:right="335"/>
              <w:jc w:val="center"/>
              <w:rPr>
                <w:sz w:val="19"/>
              </w:rPr>
            </w:pPr>
            <w:r>
              <w:rPr>
                <w:w w:val="105"/>
                <w:sz w:val="19"/>
              </w:rPr>
              <w:t>507,586(62)</w:t>
            </w:r>
          </w:p>
        </w:tc>
        <w:tc>
          <w:tcPr>
            <w:tcW w:w="2762" w:type="dxa"/>
            <w:tcBorders>
              <w:top w:val="single" w:sz="4" w:space="0" w:color="000000"/>
              <w:left w:val="single" w:sz="2" w:space="0" w:color="000000"/>
              <w:bottom w:val="single" w:sz="4" w:space="0" w:color="000000"/>
            </w:tcBorders>
          </w:tcPr>
          <w:p>
            <w:pPr>
              <w:pStyle w:val="TableParagraph"/>
              <w:spacing w:line="218" w:lineRule="exact"/>
              <w:ind w:right="1025"/>
              <w:jc w:val="right"/>
              <w:rPr>
                <w:sz w:val="19"/>
              </w:rPr>
            </w:pPr>
            <w:r>
              <w:rPr>
                <w:sz w:val="19"/>
              </w:rPr>
              <w:t>129,117</w:t>
            </w:r>
          </w:p>
        </w:tc>
      </w:tr>
      <w:tr>
        <w:trPr>
          <w:trHeight w:val="346" w:hRule="exact"/>
        </w:trPr>
        <w:tc>
          <w:tcPr>
            <w:tcW w:w="2870" w:type="dxa"/>
            <w:tcBorders>
              <w:top w:val="single" w:sz="4" w:space="0" w:color="000000"/>
              <w:bottom w:val="single" w:sz="4" w:space="0" w:color="000000"/>
              <w:right w:val="single" w:sz="4" w:space="0" w:color="000000"/>
            </w:tcBorders>
          </w:tcPr>
          <w:p>
            <w:pPr>
              <w:pStyle w:val="TableParagraph"/>
              <w:spacing w:line="218" w:lineRule="exact"/>
              <w:ind w:right="1213"/>
              <w:jc w:val="right"/>
              <w:rPr>
                <w:sz w:val="19"/>
              </w:rPr>
            </w:pPr>
            <w:r>
              <w:rPr>
                <w:sz w:val="19"/>
              </w:rPr>
              <w:t>2010</w:t>
            </w:r>
          </w:p>
        </w:tc>
        <w:tc>
          <w:tcPr>
            <w:tcW w:w="3031" w:type="dxa"/>
            <w:tcBorders>
              <w:top w:val="single" w:sz="4" w:space="0" w:color="000000"/>
              <w:left w:val="single" w:sz="4" w:space="0" w:color="000000"/>
              <w:bottom w:val="single" w:sz="4" w:space="0" w:color="000000"/>
              <w:right w:val="single" w:sz="2" w:space="0" w:color="000000"/>
            </w:tcBorders>
          </w:tcPr>
          <w:p>
            <w:pPr>
              <w:pStyle w:val="TableParagraph"/>
              <w:spacing w:line="218" w:lineRule="exact"/>
              <w:ind w:left="336" w:right="339"/>
              <w:jc w:val="center"/>
              <w:rPr>
                <w:sz w:val="19"/>
              </w:rPr>
            </w:pPr>
            <w:r>
              <w:rPr>
                <w:w w:val="105"/>
                <w:sz w:val="19"/>
              </w:rPr>
              <w:t>541,932 (61)</w:t>
            </w:r>
          </w:p>
        </w:tc>
        <w:tc>
          <w:tcPr>
            <w:tcW w:w="2762" w:type="dxa"/>
            <w:tcBorders>
              <w:top w:val="single" w:sz="4" w:space="0" w:color="000000"/>
              <w:left w:val="single" w:sz="2" w:space="0" w:color="000000"/>
              <w:bottom w:val="single" w:sz="4" w:space="0" w:color="000000"/>
            </w:tcBorders>
          </w:tcPr>
          <w:p>
            <w:pPr>
              <w:pStyle w:val="TableParagraph"/>
              <w:spacing w:line="218" w:lineRule="exact"/>
              <w:ind w:right="1025"/>
              <w:jc w:val="right"/>
              <w:rPr>
                <w:sz w:val="19"/>
              </w:rPr>
            </w:pPr>
            <w:r>
              <w:rPr>
                <w:sz w:val="19"/>
              </w:rPr>
              <w:t>154,187</w:t>
            </w:r>
          </w:p>
        </w:tc>
      </w:tr>
      <w:tr>
        <w:trPr>
          <w:trHeight w:val="341" w:hRule="exact"/>
        </w:trPr>
        <w:tc>
          <w:tcPr>
            <w:tcW w:w="2870" w:type="dxa"/>
            <w:tcBorders>
              <w:top w:val="single" w:sz="4" w:space="0" w:color="000000"/>
              <w:right w:val="single" w:sz="4" w:space="0" w:color="000000"/>
            </w:tcBorders>
          </w:tcPr>
          <w:p>
            <w:pPr>
              <w:pStyle w:val="TableParagraph"/>
              <w:spacing w:line="218" w:lineRule="exact"/>
              <w:ind w:right="1213"/>
              <w:jc w:val="right"/>
              <w:rPr>
                <w:sz w:val="19"/>
              </w:rPr>
            </w:pPr>
            <w:r>
              <w:rPr>
                <w:sz w:val="19"/>
              </w:rPr>
              <w:t>2011</w:t>
            </w:r>
          </w:p>
        </w:tc>
        <w:tc>
          <w:tcPr>
            <w:tcW w:w="3031" w:type="dxa"/>
            <w:tcBorders>
              <w:top w:val="single" w:sz="4" w:space="0" w:color="000000"/>
              <w:left w:val="single" w:sz="4" w:space="0" w:color="000000"/>
              <w:right w:val="single" w:sz="2" w:space="0" w:color="000000"/>
            </w:tcBorders>
          </w:tcPr>
          <w:p>
            <w:pPr>
              <w:pStyle w:val="TableParagraph"/>
              <w:spacing w:line="218" w:lineRule="exact"/>
              <w:ind w:left="336" w:right="339"/>
              <w:jc w:val="center"/>
              <w:rPr>
                <w:sz w:val="19"/>
              </w:rPr>
            </w:pPr>
            <w:r>
              <w:rPr>
                <w:w w:val="105"/>
                <w:sz w:val="19"/>
              </w:rPr>
              <w:t>566,556 (62)</w:t>
            </w:r>
          </w:p>
        </w:tc>
        <w:tc>
          <w:tcPr>
            <w:tcW w:w="2762" w:type="dxa"/>
            <w:tcBorders>
              <w:top w:val="single" w:sz="4" w:space="0" w:color="000000"/>
              <w:left w:val="single" w:sz="2" w:space="0" w:color="000000"/>
            </w:tcBorders>
          </w:tcPr>
          <w:p>
            <w:pPr>
              <w:pStyle w:val="TableParagraph"/>
              <w:spacing w:line="218" w:lineRule="exact"/>
              <w:ind w:right="1025"/>
              <w:jc w:val="right"/>
              <w:rPr>
                <w:sz w:val="19"/>
              </w:rPr>
            </w:pPr>
            <w:r>
              <w:rPr>
                <w:sz w:val="19"/>
              </w:rPr>
              <w:t>147,198</w:t>
            </w:r>
          </w:p>
        </w:tc>
      </w:tr>
    </w:tbl>
    <w:p>
      <w:pPr>
        <w:pStyle w:val="BodyText"/>
        <w:spacing w:before="1"/>
        <w:rPr>
          <w:b/>
          <w:sz w:val="22"/>
        </w:rPr>
      </w:pPr>
    </w:p>
    <w:p>
      <w:pPr>
        <w:spacing w:before="81"/>
        <w:ind w:left="215" w:right="0" w:firstLine="0"/>
        <w:jc w:val="left"/>
        <w:rPr>
          <w:b/>
          <w:sz w:val="19"/>
        </w:rPr>
      </w:pPr>
      <w:r>
        <w:rPr>
          <w:b/>
          <w:w w:val="105"/>
          <w:sz w:val="19"/>
        </w:rPr>
        <w:t>% Variación en términos reales</w:t>
      </w:r>
    </w:p>
    <w:p>
      <w:pPr>
        <w:pStyle w:val="BodyText"/>
        <w:spacing w:before="3"/>
        <w:rPr>
          <w:b/>
          <w:sz w:val="10"/>
        </w:r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918"/>
        <w:gridCol w:w="2983"/>
        <w:gridCol w:w="2762"/>
      </w:tblGrid>
      <w:tr>
        <w:trPr>
          <w:trHeight w:val="341" w:hRule="exact"/>
        </w:trPr>
        <w:tc>
          <w:tcPr>
            <w:tcW w:w="2918" w:type="dxa"/>
            <w:tcBorders>
              <w:bottom w:val="single" w:sz="4" w:space="0" w:color="000000"/>
              <w:right w:val="single" w:sz="4" w:space="0" w:color="000000"/>
            </w:tcBorders>
          </w:tcPr>
          <w:p>
            <w:pPr>
              <w:pStyle w:val="TableParagraph"/>
              <w:spacing w:line="218" w:lineRule="exact"/>
              <w:ind w:left="961" w:right="958"/>
              <w:jc w:val="center"/>
              <w:rPr>
                <w:sz w:val="19"/>
              </w:rPr>
            </w:pPr>
            <w:r>
              <w:rPr>
                <w:w w:val="105"/>
                <w:sz w:val="19"/>
              </w:rPr>
              <w:t>1990-1994</w:t>
            </w:r>
          </w:p>
        </w:tc>
        <w:tc>
          <w:tcPr>
            <w:tcW w:w="2983" w:type="dxa"/>
            <w:tcBorders>
              <w:left w:val="single" w:sz="4" w:space="0" w:color="000000"/>
              <w:bottom w:val="single" w:sz="4" w:space="0" w:color="000000"/>
              <w:right w:val="single" w:sz="2" w:space="0" w:color="000000"/>
            </w:tcBorders>
          </w:tcPr>
          <w:p>
            <w:pPr>
              <w:pStyle w:val="TableParagraph"/>
              <w:spacing w:line="218" w:lineRule="exact"/>
              <w:ind w:left="1274" w:right="1257"/>
              <w:jc w:val="center"/>
              <w:rPr>
                <w:sz w:val="19"/>
              </w:rPr>
            </w:pPr>
            <w:r>
              <w:rPr>
                <w:w w:val="105"/>
                <w:sz w:val="19"/>
              </w:rPr>
              <w:t>73%</w:t>
            </w:r>
          </w:p>
        </w:tc>
        <w:tc>
          <w:tcPr>
            <w:tcW w:w="2762" w:type="dxa"/>
            <w:tcBorders>
              <w:left w:val="single" w:sz="2" w:space="0" w:color="000000"/>
              <w:bottom w:val="single" w:sz="4" w:space="0" w:color="000000"/>
            </w:tcBorders>
          </w:tcPr>
          <w:p>
            <w:pPr>
              <w:pStyle w:val="TableParagraph"/>
              <w:spacing w:line="218" w:lineRule="exact"/>
              <w:ind w:left="1105" w:right="1088"/>
              <w:jc w:val="center"/>
              <w:rPr>
                <w:sz w:val="19"/>
              </w:rPr>
            </w:pPr>
            <w:r>
              <w:rPr>
                <w:w w:val="105"/>
                <w:sz w:val="19"/>
              </w:rPr>
              <w:t>-2%</w:t>
            </w:r>
          </w:p>
        </w:tc>
      </w:tr>
      <w:tr>
        <w:trPr>
          <w:trHeight w:val="341" w:hRule="exact"/>
        </w:trPr>
        <w:tc>
          <w:tcPr>
            <w:tcW w:w="2918" w:type="dxa"/>
            <w:tcBorders>
              <w:top w:val="single" w:sz="4" w:space="0" w:color="000000"/>
              <w:bottom w:val="single" w:sz="4" w:space="0" w:color="000000"/>
              <w:right w:val="single" w:sz="4" w:space="0" w:color="000000"/>
            </w:tcBorders>
          </w:tcPr>
          <w:p>
            <w:pPr>
              <w:pStyle w:val="TableParagraph"/>
              <w:spacing w:line="218" w:lineRule="exact"/>
              <w:ind w:left="961" w:right="958"/>
              <w:jc w:val="center"/>
              <w:rPr>
                <w:sz w:val="19"/>
              </w:rPr>
            </w:pPr>
            <w:r>
              <w:rPr>
                <w:w w:val="105"/>
                <w:sz w:val="19"/>
              </w:rPr>
              <w:t>1995-2000</w:t>
            </w:r>
          </w:p>
        </w:tc>
        <w:tc>
          <w:tcPr>
            <w:tcW w:w="2983" w:type="dxa"/>
            <w:tcBorders>
              <w:top w:val="single" w:sz="4" w:space="0" w:color="000000"/>
              <w:left w:val="single" w:sz="4" w:space="0" w:color="000000"/>
              <w:bottom w:val="single" w:sz="4" w:space="0" w:color="000000"/>
              <w:right w:val="single" w:sz="2" w:space="0" w:color="000000"/>
            </w:tcBorders>
          </w:tcPr>
          <w:p>
            <w:pPr>
              <w:pStyle w:val="TableParagraph"/>
              <w:spacing w:line="218" w:lineRule="exact"/>
              <w:ind w:left="1271" w:right="1259"/>
              <w:jc w:val="center"/>
              <w:rPr>
                <w:sz w:val="19"/>
              </w:rPr>
            </w:pPr>
            <w:r>
              <w:rPr>
                <w:w w:val="105"/>
                <w:sz w:val="19"/>
              </w:rPr>
              <w:t>28%</w:t>
            </w:r>
          </w:p>
        </w:tc>
        <w:tc>
          <w:tcPr>
            <w:tcW w:w="2762" w:type="dxa"/>
            <w:tcBorders>
              <w:top w:val="single" w:sz="4" w:space="0" w:color="000000"/>
              <w:left w:val="single" w:sz="2" w:space="0" w:color="000000"/>
              <w:bottom w:val="single" w:sz="4" w:space="0" w:color="000000"/>
            </w:tcBorders>
          </w:tcPr>
          <w:p>
            <w:pPr>
              <w:pStyle w:val="TableParagraph"/>
              <w:spacing w:line="218" w:lineRule="exact"/>
              <w:ind w:left="1105" w:right="1103"/>
              <w:jc w:val="center"/>
              <w:rPr>
                <w:sz w:val="19"/>
              </w:rPr>
            </w:pPr>
            <w:r>
              <w:rPr>
                <w:w w:val="105"/>
                <w:sz w:val="19"/>
              </w:rPr>
              <w:t>170%</w:t>
            </w:r>
          </w:p>
        </w:tc>
      </w:tr>
      <w:tr>
        <w:trPr>
          <w:trHeight w:val="346" w:hRule="exact"/>
        </w:trPr>
        <w:tc>
          <w:tcPr>
            <w:tcW w:w="2918" w:type="dxa"/>
            <w:tcBorders>
              <w:top w:val="single" w:sz="4" w:space="0" w:color="000000"/>
              <w:bottom w:val="single" w:sz="4" w:space="0" w:color="000000"/>
              <w:right w:val="single" w:sz="4" w:space="0" w:color="000000"/>
            </w:tcBorders>
          </w:tcPr>
          <w:p>
            <w:pPr>
              <w:pStyle w:val="TableParagraph"/>
              <w:spacing w:before="4"/>
              <w:ind w:left="961" w:right="958"/>
              <w:jc w:val="center"/>
              <w:rPr>
                <w:sz w:val="19"/>
              </w:rPr>
            </w:pPr>
            <w:r>
              <w:rPr>
                <w:w w:val="105"/>
                <w:sz w:val="19"/>
              </w:rPr>
              <w:t>2001-2006</w:t>
            </w:r>
          </w:p>
        </w:tc>
        <w:tc>
          <w:tcPr>
            <w:tcW w:w="2983" w:type="dxa"/>
            <w:tcBorders>
              <w:top w:val="single" w:sz="4" w:space="0" w:color="000000"/>
              <w:left w:val="single" w:sz="4" w:space="0" w:color="000000"/>
              <w:bottom w:val="single" w:sz="4" w:space="0" w:color="000000"/>
              <w:right w:val="single" w:sz="2" w:space="0" w:color="000000"/>
            </w:tcBorders>
          </w:tcPr>
          <w:p>
            <w:pPr>
              <w:pStyle w:val="TableParagraph"/>
              <w:spacing w:before="4"/>
              <w:ind w:left="1274" w:right="1257"/>
              <w:jc w:val="center"/>
              <w:rPr>
                <w:sz w:val="19"/>
              </w:rPr>
            </w:pPr>
            <w:r>
              <w:rPr>
                <w:w w:val="105"/>
                <w:sz w:val="19"/>
              </w:rPr>
              <w:t>16%</w:t>
            </w:r>
          </w:p>
        </w:tc>
        <w:tc>
          <w:tcPr>
            <w:tcW w:w="2762" w:type="dxa"/>
            <w:tcBorders>
              <w:top w:val="single" w:sz="4" w:space="0" w:color="000000"/>
              <w:left w:val="single" w:sz="2" w:space="0" w:color="000000"/>
              <w:bottom w:val="single" w:sz="4" w:space="0" w:color="000000"/>
            </w:tcBorders>
          </w:tcPr>
          <w:p>
            <w:pPr>
              <w:pStyle w:val="TableParagraph"/>
              <w:spacing w:before="4"/>
              <w:ind w:left="1105" w:right="1093"/>
              <w:jc w:val="center"/>
              <w:rPr>
                <w:sz w:val="19"/>
              </w:rPr>
            </w:pPr>
            <w:r>
              <w:rPr>
                <w:w w:val="105"/>
                <w:sz w:val="19"/>
              </w:rPr>
              <w:t>29%</w:t>
            </w:r>
          </w:p>
        </w:tc>
      </w:tr>
      <w:tr>
        <w:trPr>
          <w:trHeight w:val="341" w:hRule="exact"/>
        </w:trPr>
        <w:tc>
          <w:tcPr>
            <w:tcW w:w="2918" w:type="dxa"/>
            <w:tcBorders>
              <w:top w:val="single" w:sz="4" w:space="0" w:color="000000"/>
              <w:right w:val="single" w:sz="4" w:space="0" w:color="000000"/>
            </w:tcBorders>
          </w:tcPr>
          <w:p>
            <w:pPr>
              <w:pStyle w:val="TableParagraph"/>
              <w:spacing w:line="218" w:lineRule="exact"/>
              <w:ind w:left="961" w:right="958"/>
              <w:jc w:val="center"/>
              <w:rPr>
                <w:sz w:val="19"/>
              </w:rPr>
            </w:pPr>
            <w:r>
              <w:rPr>
                <w:w w:val="105"/>
                <w:sz w:val="19"/>
              </w:rPr>
              <w:t>2007-2011</w:t>
            </w:r>
          </w:p>
        </w:tc>
        <w:tc>
          <w:tcPr>
            <w:tcW w:w="2983" w:type="dxa"/>
            <w:tcBorders>
              <w:top w:val="single" w:sz="4" w:space="0" w:color="000000"/>
              <w:left w:val="single" w:sz="4" w:space="0" w:color="000000"/>
              <w:right w:val="single" w:sz="2" w:space="0" w:color="000000"/>
            </w:tcBorders>
          </w:tcPr>
          <w:p>
            <w:pPr>
              <w:pStyle w:val="TableParagraph"/>
              <w:spacing w:line="218" w:lineRule="exact"/>
              <w:ind w:left="1274" w:right="1257"/>
              <w:jc w:val="center"/>
              <w:rPr>
                <w:sz w:val="19"/>
              </w:rPr>
            </w:pPr>
            <w:r>
              <w:rPr>
                <w:w w:val="105"/>
                <w:sz w:val="19"/>
              </w:rPr>
              <w:t>10%</w:t>
            </w:r>
          </w:p>
        </w:tc>
        <w:tc>
          <w:tcPr>
            <w:tcW w:w="2762" w:type="dxa"/>
            <w:tcBorders>
              <w:top w:val="single" w:sz="4" w:space="0" w:color="000000"/>
              <w:left w:val="single" w:sz="2" w:space="0" w:color="000000"/>
            </w:tcBorders>
          </w:tcPr>
          <w:p>
            <w:pPr>
              <w:pStyle w:val="TableParagraph"/>
              <w:spacing w:line="218" w:lineRule="exact"/>
              <w:ind w:left="1105" w:right="1093"/>
              <w:jc w:val="center"/>
              <w:rPr>
                <w:sz w:val="19"/>
              </w:rPr>
            </w:pPr>
            <w:r>
              <w:rPr>
                <w:w w:val="105"/>
                <w:sz w:val="19"/>
              </w:rPr>
              <w:t>9%</w:t>
            </w:r>
          </w:p>
        </w:tc>
      </w:tr>
    </w:tbl>
    <w:p>
      <w:pPr>
        <w:pStyle w:val="BodyText"/>
        <w:rPr>
          <w:b/>
          <w:sz w:val="20"/>
        </w:rPr>
      </w:pPr>
    </w:p>
    <w:p>
      <w:pPr>
        <w:pStyle w:val="BodyText"/>
        <w:rPr>
          <w:b/>
          <w:sz w:val="20"/>
        </w:rPr>
      </w:pPr>
    </w:p>
    <w:p>
      <w:pPr>
        <w:pStyle w:val="BodyText"/>
        <w:rPr>
          <w:b/>
        </w:rPr>
      </w:pPr>
    </w:p>
    <w:p>
      <w:pPr>
        <w:spacing w:before="81"/>
        <w:ind w:left="215" w:right="0" w:firstLine="0"/>
        <w:jc w:val="left"/>
        <w:rPr>
          <w:sz w:val="19"/>
        </w:rPr>
      </w:pPr>
      <w:r>
        <w:rPr>
          <w:w w:val="105"/>
          <w:sz w:val="19"/>
        </w:rPr>
        <w:t>FUENTE: 5º. Informe de Gobierno, Felipe Calderón</w:t>
      </w:r>
    </w:p>
    <w:p>
      <w:pPr>
        <w:spacing w:after="0"/>
        <w:jc w:val="left"/>
        <w:rPr>
          <w:sz w:val="19"/>
        </w:rPr>
        <w:sectPr>
          <w:pgSz w:w="11910" w:h="16840"/>
          <w:pgMar w:header="0" w:footer="1457" w:top="1580" w:bottom="1640" w:left="1440" w:right="1540"/>
        </w:sectPr>
      </w:pPr>
    </w:p>
    <w:p>
      <w:pPr>
        <w:pStyle w:val="BodyText"/>
        <w:rPr>
          <w:sz w:val="20"/>
        </w:rPr>
      </w:pPr>
    </w:p>
    <w:p>
      <w:pPr>
        <w:pStyle w:val="BodyText"/>
        <w:spacing w:before="2"/>
        <w:rPr>
          <w:sz w:val="16"/>
        </w:rPr>
      </w:pPr>
    </w:p>
    <w:p>
      <w:pPr>
        <w:pStyle w:val="BodyText"/>
        <w:spacing w:line="364" w:lineRule="auto" w:before="74"/>
        <w:ind w:left="116" w:right="105" w:firstLine="686"/>
        <w:jc w:val="both"/>
      </w:pPr>
      <w:r>
        <w:rPr>
          <w:spacing w:val="-3"/>
        </w:rPr>
        <w:t>Sin </w:t>
      </w:r>
      <w:r>
        <w:rPr/>
        <w:t>embargo, los gobernadores en muchos casos, utilizaron los recursos del FAEB de </w:t>
      </w:r>
      <w:r>
        <w:rPr>
          <w:spacing w:val="-3"/>
        </w:rPr>
        <w:t>forma </w:t>
      </w:r>
      <w:r>
        <w:rPr/>
        <w:t>discrecional, bien para dar canonjías laborales a los trabajadores  de </w:t>
      </w:r>
      <w:r>
        <w:rPr>
          <w:spacing w:val="-3"/>
        </w:rPr>
        <w:t>la </w:t>
      </w:r>
      <w:r>
        <w:rPr/>
        <w:t>educación, sin que </w:t>
      </w:r>
      <w:r>
        <w:rPr>
          <w:spacing w:val="-3"/>
        </w:rPr>
        <w:t>ello </w:t>
      </w:r>
      <w:r>
        <w:rPr/>
        <w:t>tuviera sustento económico o jurídico, o bien se dedicaron a utilizar los recursos federales para propósitos diferentes al gasto educativo.</w:t>
      </w:r>
    </w:p>
    <w:p>
      <w:pPr>
        <w:pStyle w:val="BodyText"/>
        <w:spacing w:line="364" w:lineRule="auto" w:before="5"/>
        <w:ind w:left="116" w:right="106" w:firstLine="686"/>
        <w:jc w:val="both"/>
      </w:pPr>
      <w:r>
        <w:rPr/>
        <w:t>De acuerdo con el reporte de </w:t>
      </w:r>
      <w:r>
        <w:rPr>
          <w:spacing w:val="-5"/>
        </w:rPr>
        <w:t>la </w:t>
      </w:r>
      <w:r>
        <w:rPr/>
        <w:t>Auditoria Superior de la Federación (ASF), órgano de fiscalización del gasto federal, perteneciente a la Cámara de Diputados, los estados han mantenido fuertes irregularidades en el manejo del gasto  educativo. Por ejemplo, en </w:t>
      </w:r>
      <w:r>
        <w:rPr>
          <w:spacing w:val="3"/>
        </w:rPr>
        <w:t>el </w:t>
      </w:r>
      <w:r>
        <w:rPr/>
        <w:t>último reporte del trimestre 2012, después de una revisión al 34% de los pagos de nómina, </w:t>
      </w:r>
      <w:r>
        <w:rPr>
          <w:spacing w:val="-4"/>
        </w:rPr>
        <w:t>la </w:t>
      </w:r>
      <w:r>
        <w:rPr/>
        <w:t>SEP ubicó inconsistencias  </w:t>
      </w:r>
      <w:r>
        <w:rPr>
          <w:spacing w:val="-3"/>
        </w:rPr>
        <w:t>en  la  </w:t>
      </w:r>
      <w:r>
        <w:rPr/>
        <w:t>entrega de recursos a 410 mil maestros de un total de 1.2 millones, entre las que   se encuentran casos de docentes que ocupan una cantidad de  plazas  que  superan el número de horas </w:t>
      </w:r>
      <w:r>
        <w:rPr>
          <w:spacing w:val="-3"/>
        </w:rPr>
        <w:t>hábiles </w:t>
      </w:r>
      <w:r>
        <w:rPr/>
        <w:t>de un plantel, de profesores con doble asignación salarial en municipios no colindantes y de pagos retroactivos con una diferencia de más de 45 días naturales. Por otro lado, la ASF detectó </w:t>
      </w:r>
      <w:r>
        <w:rPr>
          <w:spacing w:val="-3"/>
        </w:rPr>
        <w:t>pagos </w:t>
      </w:r>
      <w:r>
        <w:rPr/>
        <w:t>indebidos a comisionados del SNTE, así como préstamos, bonos o estímulos, compensaciones discrecionales y pagos con destino desconocido. En el Fondo de Aportaciones Múltiples, la ASF detectó manejo de recursos con  fines  distintos a  los previstos </w:t>
      </w:r>
      <w:r>
        <w:rPr>
          <w:spacing w:val="-3"/>
        </w:rPr>
        <w:t>en </w:t>
      </w:r>
      <w:r>
        <w:rPr/>
        <w:t>la norma (ASF,</w:t>
      </w:r>
      <w:r>
        <w:rPr>
          <w:spacing w:val="46"/>
        </w:rPr>
        <w:t> </w:t>
      </w:r>
      <w:r>
        <w:rPr/>
        <w:t>2013).</w:t>
      </w:r>
    </w:p>
    <w:p>
      <w:pPr>
        <w:pStyle w:val="BodyText"/>
        <w:spacing w:line="364" w:lineRule="auto"/>
        <w:ind w:left="116" w:right="108" w:firstLine="686"/>
        <w:jc w:val="both"/>
      </w:pPr>
      <w:r>
        <w:rPr/>
        <w:t>Igualmente, la ASF reportó informe de 2011 que los gobiernos estatales deberán reintegrar a la Tesorería nacional 10 </w:t>
      </w:r>
      <w:r>
        <w:rPr>
          <w:spacing w:val="-3"/>
        </w:rPr>
        <w:t>mil </w:t>
      </w:r>
      <w:r>
        <w:rPr/>
        <w:t>676.1 millones de pesos  por “pagos improcedentes” a comisionados del Sindicato Nacional de Trabajadores de  </w:t>
      </w:r>
      <w:r>
        <w:rPr>
          <w:spacing w:val="-5"/>
        </w:rPr>
        <w:t>la </w:t>
      </w:r>
      <w:r>
        <w:rPr/>
        <w:t>Educación (SNTE), a profesores </w:t>
      </w:r>
      <w:r>
        <w:rPr>
          <w:spacing w:val="-3"/>
        </w:rPr>
        <w:t>que </w:t>
      </w:r>
      <w:r>
        <w:rPr/>
        <w:t>recibieron estímulos por  parte  </w:t>
      </w:r>
      <w:r>
        <w:rPr>
          <w:spacing w:val="3"/>
        </w:rPr>
        <w:t>del</w:t>
      </w:r>
      <w:r>
        <w:rPr>
          <w:spacing w:val="69"/>
        </w:rPr>
        <w:t> </w:t>
      </w:r>
      <w:r>
        <w:rPr/>
        <w:t>programa de Carrera Magisterial, “compensaciones discrecionales” y a docentes que no fueron localizados en las visitas realizadas a </w:t>
      </w:r>
      <w:r>
        <w:rPr>
          <w:spacing w:val="-3"/>
        </w:rPr>
        <w:t>las </w:t>
      </w:r>
      <w:r>
        <w:rPr>
          <w:spacing w:val="14"/>
        </w:rPr>
        <w:t> </w:t>
      </w:r>
      <w:r>
        <w:rPr/>
        <w:t>escuelas.</w:t>
      </w:r>
    </w:p>
    <w:p>
      <w:pPr>
        <w:pStyle w:val="BodyText"/>
        <w:spacing w:line="367" w:lineRule="auto"/>
        <w:ind w:left="116" w:right="108" w:firstLine="686"/>
        <w:jc w:val="both"/>
      </w:pPr>
      <w:r>
        <w:rPr/>
        <w:t>En </w:t>
      </w:r>
      <w:r>
        <w:rPr>
          <w:spacing w:val="2"/>
        </w:rPr>
        <w:t>el </w:t>
      </w:r>
      <w:r>
        <w:rPr/>
        <w:t>reporte de 2012 ocurrió algo similar. El reporte que entregaron </w:t>
      </w:r>
      <w:r>
        <w:rPr>
          <w:spacing w:val="-3"/>
        </w:rPr>
        <w:t>los </w:t>
      </w:r>
      <w:r>
        <w:rPr/>
        <w:t>estados a la SEP, y esta dependencia, a su vez, a </w:t>
      </w:r>
      <w:r>
        <w:rPr>
          <w:spacing w:val="-3"/>
        </w:rPr>
        <w:t>la </w:t>
      </w:r>
      <w:r>
        <w:rPr/>
        <w:t>ASF en 2013, sólo se reconocen en los sistemas educativos estatales 2 mil 923 maestros con comisión sindical. Sin embargo, en un análisis de </w:t>
      </w:r>
      <w:r>
        <w:rPr>
          <w:spacing w:val="-5"/>
        </w:rPr>
        <w:t>la </w:t>
      </w:r>
      <w:r>
        <w:rPr/>
        <w:t>información que da </w:t>
      </w:r>
      <w:r>
        <w:rPr>
          <w:spacing w:val="-4"/>
        </w:rPr>
        <w:t>la </w:t>
      </w:r>
      <w:r>
        <w:rPr/>
        <w:t>misma SEP </w:t>
      </w:r>
      <w:r>
        <w:rPr>
          <w:spacing w:val="-3"/>
        </w:rPr>
        <w:t>en </w:t>
      </w:r>
      <w:r>
        <w:rPr/>
        <w:t>su página de internet, se detectó que hay 22 mil 353 maestros con comisión sindical,   </w:t>
      </w:r>
      <w:r>
        <w:rPr>
          <w:spacing w:val="-5"/>
        </w:rPr>
        <w:t>la </w:t>
      </w:r>
      <w:r>
        <w:rPr/>
        <w:t>mayoría de los cuales no son reportados </w:t>
      </w:r>
      <w:r>
        <w:rPr>
          <w:spacing w:val="-3"/>
        </w:rPr>
        <w:t>por los </w:t>
      </w:r>
      <w:r>
        <w:rPr>
          <w:spacing w:val="42"/>
        </w:rPr>
        <w:t> </w:t>
      </w:r>
      <w:r>
        <w:rPr/>
        <w:t>estados.</w:t>
      </w:r>
    </w:p>
    <w:p>
      <w:pPr>
        <w:spacing w:after="0" w:line="367" w:lineRule="auto"/>
        <w:jc w:val="both"/>
        <w:sectPr>
          <w:pgSz w:w="11910" w:h="16840"/>
          <w:pgMar w:header="0" w:footer="1457" w:top="1580" w:bottom="1640" w:left="1540" w:right="1540"/>
        </w:sectPr>
      </w:pPr>
    </w:p>
    <w:p>
      <w:pPr>
        <w:pStyle w:val="BodyText"/>
        <w:rPr>
          <w:sz w:val="20"/>
        </w:rPr>
      </w:pPr>
    </w:p>
    <w:p>
      <w:pPr>
        <w:pStyle w:val="BodyText"/>
        <w:rPr>
          <w:sz w:val="20"/>
        </w:rPr>
      </w:pPr>
    </w:p>
    <w:p>
      <w:pPr>
        <w:pStyle w:val="BodyText"/>
        <w:rPr>
          <w:sz w:val="20"/>
        </w:rPr>
      </w:pPr>
    </w:p>
    <w:p>
      <w:pPr>
        <w:pStyle w:val="BodyText"/>
        <w:rPr>
          <w:sz w:val="18"/>
        </w:rPr>
      </w:pPr>
    </w:p>
    <w:p>
      <w:pPr>
        <w:pStyle w:val="BodyText"/>
        <w:spacing w:line="364" w:lineRule="auto" w:before="1"/>
        <w:ind w:left="116" w:right="110" w:firstLine="686"/>
        <w:jc w:val="both"/>
      </w:pPr>
      <w:r>
        <w:rPr/>
        <w:t>Ante la discrecionalidad de los gobernadores, en su Informe del Resultado  de </w:t>
      </w:r>
      <w:r>
        <w:rPr>
          <w:spacing w:val="-3"/>
        </w:rPr>
        <w:t>la </w:t>
      </w:r>
      <w:r>
        <w:rPr/>
        <w:t>Fiscalización Superior de la Cuenta Pública 2010, </w:t>
      </w:r>
      <w:r>
        <w:rPr>
          <w:spacing w:val="-4"/>
        </w:rPr>
        <w:t>la </w:t>
      </w:r>
      <w:r>
        <w:rPr/>
        <w:t>ASF recomienda “racionalizar </w:t>
      </w:r>
      <w:r>
        <w:rPr>
          <w:spacing w:val="3"/>
        </w:rPr>
        <w:t>el </w:t>
      </w:r>
      <w:r>
        <w:rPr/>
        <w:t>número de personal comisionado de las organizaciones sindicales”   y revisar el tipo de negociaciones que </w:t>
      </w:r>
      <w:r>
        <w:rPr>
          <w:spacing w:val="3"/>
        </w:rPr>
        <w:t>se </w:t>
      </w:r>
      <w:r>
        <w:rPr/>
        <w:t>realizan </w:t>
      </w:r>
      <w:r>
        <w:rPr>
          <w:spacing w:val="3"/>
        </w:rPr>
        <w:t>con </w:t>
      </w:r>
      <w:r>
        <w:rPr/>
        <w:t>el SNTE en los  estados  dado que “ocasionan un mayor gasto en el </w:t>
      </w:r>
      <w:r>
        <w:rPr>
          <w:spacing w:val="-2"/>
        </w:rPr>
        <w:t>ámbito </w:t>
      </w:r>
      <w:r>
        <w:rPr/>
        <w:t>local”, porque corresponden a acuerdos que realizan después </w:t>
      </w:r>
      <w:r>
        <w:rPr>
          <w:spacing w:val="-3"/>
        </w:rPr>
        <w:t>de </w:t>
      </w:r>
      <w:r>
        <w:rPr/>
        <w:t>la negociación</w:t>
      </w:r>
      <w:r>
        <w:rPr>
          <w:spacing w:val="61"/>
        </w:rPr>
        <w:t> </w:t>
      </w:r>
      <w:r>
        <w:rPr/>
        <w:t>federal.</w:t>
      </w:r>
    </w:p>
    <w:p>
      <w:pPr>
        <w:pStyle w:val="BodyText"/>
        <w:spacing w:line="364" w:lineRule="auto" w:before="5"/>
        <w:ind w:left="116" w:right="107" w:firstLine="686"/>
        <w:jc w:val="both"/>
      </w:pPr>
      <w:r>
        <w:rPr/>
        <w:t>Pese a estas irregularidades, la SEP, </w:t>
      </w:r>
      <w:r>
        <w:rPr>
          <w:spacing w:val="-3"/>
        </w:rPr>
        <w:t>de </w:t>
      </w:r>
      <w:r>
        <w:rPr/>
        <w:t>acuerdo con la Unidad de Planeación y Evaluación de Políticas Educativas, carece de facultades para  verificar </w:t>
      </w:r>
      <w:r>
        <w:rPr>
          <w:spacing w:val="-3"/>
        </w:rPr>
        <w:t>la </w:t>
      </w:r>
      <w:r>
        <w:rPr/>
        <w:t>veracidad y confiabilidad de la información que le entregan los estados sobre </w:t>
      </w:r>
      <w:r>
        <w:rPr>
          <w:spacing w:val="-4"/>
        </w:rPr>
        <w:t>los </w:t>
      </w:r>
      <w:r>
        <w:rPr>
          <w:spacing w:val="-3"/>
        </w:rPr>
        <w:t>gastos </w:t>
      </w:r>
      <w:r>
        <w:rPr/>
        <w:t>de nómina que contiene el FAEB. La dependencia reconoce que pese a que </w:t>
      </w:r>
      <w:r>
        <w:rPr>
          <w:spacing w:val="3"/>
        </w:rPr>
        <w:t>se </w:t>
      </w:r>
      <w:r>
        <w:rPr/>
        <w:t>generen “divergencias” e “inconsistencias” la SEP no puede aplicar algún criterio particularista sobre dichas irregularidades y mucho menos interpretar </w:t>
      </w:r>
      <w:r>
        <w:rPr>
          <w:spacing w:val="-5"/>
        </w:rPr>
        <w:t>la </w:t>
      </w:r>
      <w:r>
        <w:rPr/>
        <w:t>información que envían </w:t>
      </w:r>
      <w:r>
        <w:rPr>
          <w:spacing w:val="-3"/>
        </w:rPr>
        <w:t>los </w:t>
      </w:r>
      <w:r>
        <w:rPr/>
        <w:t>estados. Así, lo único que puede hacer </w:t>
      </w:r>
      <w:r>
        <w:rPr>
          <w:spacing w:val="-3"/>
        </w:rPr>
        <w:t>la </w:t>
      </w:r>
      <w:r>
        <w:rPr/>
        <w:t>autoridad educativa federal con respecto a lo que envían las entidades federativas, es  recibirlo y reportarlo a la</w:t>
      </w:r>
      <w:r>
        <w:rPr>
          <w:spacing w:val="30"/>
        </w:rPr>
        <w:t> </w:t>
      </w:r>
      <w:r>
        <w:rPr/>
        <w:t>ASF.</w:t>
      </w:r>
    </w:p>
    <w:p>
      <w:pPr>
        <w:pStyle w:val="BodyText"/>
        <w:spacing w:line="364" w:lineRule="auto" w:before="5"/>
        <w:ind w:left="116" w:right="104" w:firstLine="686"/>
        <w:jc w:val="both"/>
      </w:pPr>
      <w:r>
        <w:rPr/>
        <w:t>Estas irregularidades en donde los gobernadores y el SNTE son </w:t>
      </w:r>
      <w:r>
        <w:rPr>
          <w:spacing w:val="-2"/>
        </w:rPr>
        <w:t>los </w:t>
      </w:r>
      <w:r>
        <w:rPr/>
        <w:t>protagonistas, pretendieron subsanarse a partir de enero  de 2010, pero ante </w:t>
      </w:r>
      <w:r>
        <w:rPr>
          <w:spacing w:val="-4"/>
        </w:rPr>
        <w:t>la</w:t>
      </w:r>
      <w:r>
        <w:rPr>
          <w:spacing w:val="55"/>
        </w:rPr>
        <w:t> </w:t>
      </w:r>
      <w:r>
        <w:rPr/>
        <w:t>falta de una autoridad con capacidad de sanción, el propósito de corrección quedó sin efecto. En el Decreto de Presupuesto de Egresos de </w:t>
      </w:r>
      <w:r>
        <w:rPr>
          <w:spacing w:val="-3"/>
        </w:rPr>
        <w:t>la  </w:t>
      </w:r>
      <w:r>
        <w:rPr/>
        <w:t>Federación  del  ejercicio fiscal 2010 (DOF, 7 de diciembre </w:t>
      </w:r>
      <w:r>
        <w:rPr>
          <w:spacing w:val="4"/>
        </w:rPr>
        <w:t>de </w:t>
      </w:r>
      <w:r>
        <w:rPr/>
        <w:t>2009)  en </w:t>
      </w:r>
      <w:r>
        <w:rPr>
          <w:spacing w:val="2"/>
        </w:rPr>
        <w:t>su </w:t>
      </w:r>
      <w:r>
        <w:rPr/>
        <w:t>artículo 9 numeral IV,  con respecto al FAEB, el legislativo instruye a </w:t>
      </w:r>
      <w:r>
        <w:rPr>
          <w:spacing w:val="-4"/>
        </w:rPr>
        <w:t>la </w:t>
      </w:r>
      <w:r>
        <w:rPr/>
        <w:t>SEP para que concilie las cifras   de matrícula escolar con las entidades federativas y envíe un reporte definitivo a </w:t>
      </w:r>
      <w:r>
        <w:rPr>
          <w:spacing w:val="-5"/>
        </w:rPr>
        <w:t>la </w:t>
      </w:r>
      <w:r>
        <w:rPr/>
        <w:t>Comisión de Educación Pública y Servicios Educativos de la Cámara </w:t>
      </w:r>
      <w:r>
        <w:rPr>
          <w:spacing w:val="3"/>
        </w:rPr>
        <w:t>de </w:t>
      </w:r>
      <w:r>
        <w:rPr/>
        <w:t>Diputados durante el primer semestre del año; que concilie el número, </w:t>
      </w:r>
      <w:r>
        <w:rPr>
          <w:spacing w:val="-3"/>
        </w:rPr>
        <w:t>tipo </w:t>
      </w:r>
      <w:r>
        <w:rPr/>
        <w:t>de  plazas  docentes, administrativas y directivas, así como el número de horas  de  nivel  básico y normal por escuela, </w:t>
      </w:r>
      <w:r>
        <w:rPr>
          <w:spacing w:val="2"/>
        </w:rPr>
        <w:t>con </w:t>
      </w:r>
      <w:r>
        <w:rPr>
          <w:spacing w:val="-3"/>
        </w:rPr>
        <w:t>las </w:t>
      </w:r>
      <w:r>
        <w:rPr/>
        <w:t>entidades federativas, determinando aquéllas que cuentan con registro en la misma SEP y las que sólo están registrados </w:t>
      </w:r>
      <w:r>
        <w:rPr>
          <w:spacing w:val="-3"/>
        </w:rPr>
        <w:t>en </w:t>
      </w:r>
      <w:r>
        <w:rPr>
          <w:spacing w:val="-2"/>
        </w:rPr>
        <w:t>los </w:t>
      </w:r>
      <w:r>
        <w:rPr/>
        <w:t>estados.</w:t>
      </w:r>
    </w:p>
    <w:p>
      <w:pPr>
        <w:pStyle w:val="BodyText"/>
        <w:spacing w:line="369" w:lineRule="auto"/>
        <w:ind w:left="116" w:right="109" w:firstLine="686"/>
        <w:jc w:val="both"/>
      </w:pPr>
      <w:r>
        <w:rPr/>
        <w:t>Lo más significativo de dicho decreto es que obligó a la SEP a tener un padrón de trabajadores de la educación de las plazas federalizadas    o transferidas</w:t>
      </w:r>
    </w:p>
    <w:p>
      <w:pPr>
        <w:spacing w:after="0" w:line="369"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5"/>
        <w:jc w:val="both"/>
      </w:pPr>
      <w:r>
        <w:rPr/>
        <w:t>por el gobierno federal en 1992 hacia los estados de </w:t>
      </w:r>
      <w:r>
        <w:rPr>
          <w:spacing w:val="-3"/>
        </w:rPr>
        <w:t>la </w:t>
      </w:r>
      <w:r>
        <w:rPr/>
        <w:t>República, incluido  </w:t>
      </w:r>
      <w:r>
        <w:rPr>
          <w:spacing w:val="2"/>
        </w:rPr>
        <w:t>el </w:t>
      </w:r>
      <w:r>
        <w:rPr/>
        <w:t>Distrito Federal. </w:t>
      </w:r>
      <w:r>
        <w:rPr>
          <w:spacing w:val="3"/>
        </w:rPr>
        <w:t>El </w:t>
      </w:r>
      <w:r>
        <w:rPr/>
        <w:t>Decreto establece, a </w:t>
      </w:r>
      <w:r>
        <w:rPr>
          <w:spacing w:val="-3"/>
        </w:rPr>
        <w:t>la </w:t>
      </w:r>
      <w:r>
        <w:rPr/>
        <w:t>letra, que </w:t>
      </w:r>
      <w:r>
        <w:rPr>
          <w:spacing w:val="-3"/>
        </w:rPr>
        <w:t>la </w:t>
      </w:r>
      <w:r>
        <w:rPr/>
        <w:t>SEP debe incluir en su página de Internet la información que los estados </w:t>
      </w:r>
      <w:r>
        <w:rPr>
          <w:spacing w:val="-3"/>
        </w:rPr>
        <w:t>le </w:t>
      </w:r>
      <w:r>
        <w:rPr/>
        <w:t>remitan con respecto  al  número y tipo de las plazas docentes, administrativas y directivas existentes, el nombre y </w:t>
      </w:r>
      <w:r>
        <w:rPr>
          <w:spacing w:val="-5"/>
        </w:rPr>
        <w:t>la </w:t>
      </w:r>
      <w:r>
        <w:rPr/>
        <w:t>Clave Única de Registro </w:t>
      </w:r>
      <w:r>
        <w:rPr>
          <w:spacing w:val="-3"/>
        </w:rPr>
        <w:t>de </w:t>
      </w:r>
      <w:r>
        <w:rPr/>
        <w:t>Población CURP) de quienes las ocupan, así como número de horas de nivel básico y normal, por centros de trabajo. De  igual forma, el Decreto obliga a </w:t>
      </w:r>
      <w:r>
        <w:rPr>
          <w:spacing w:val="-4"/>
        </w:rPr>
        <w:t>la </w:t>
      </w:r>
      <w:r>
        <w:rPr/>
        <w:t>SEP a publicar en Internet los movimientos que  se realicen a dichas plazas, tales como altas, </w:t>
      </w:r>
      <w:r>
        <w:rPr>
          <w:spacing w:val="-3"/>
        </w:rPr>
        <w:t>bajas </w:t>
      </w:r>
      <w:r>
        <w:rPr/>
        <w:t>y cambios en su situación; erogaciones realizadas por concepto de servicios personales vinculados a </w:t>
      </w:r>
      <w:r>
        <w:rPr>
          <w:spacing w:val="-2"/>
        </w:rPr>
        <w:t>las </w:t>
      </w:r>
      <w:r>
        <w:rPr/>
        <w:t>plazas por centro de</w:t>
      </w:r>
      <w:r>
        <w:rPr>
          <w:spacing w:val="27"/>
        </w:rPr>
        <w:t> </w:t>
      </w:r>
      <w:r>
        <w:rPr/>
        <w:t>trabajo.</w:t>
      </w:r>
    </w:p>
    <w:p>
      <w:pPr>
        <w:pStyle w:val="BodyText"/>
        <w:spacing w:line="364" w:lineRule="auto" w:before="5"/>
        <w:ind w:left="115" w:right="107" w:firstLine="686"/>
        <w:jc w:val="both"/>
      </w:pPr>
      <w:r>
        <w:rPr/>
        <w:t>Este Decreto también obliga a los gobiernos estatales y a </w:t>
      </w:r>
      <w:r>
        <w:rPr>
          <w:spacing w:val="-5"/>
        </w:rPr>
        <w:t>la  </w:t>
      </w:r>
      <w:r>
        <w:rPr/>
        <w:t>SEP  a  informar, publicándolo en la página de Internet, sobre </w:t>
      </w:r>
      <w:r>
        <w:rPr>
          <w:spacing w:val="-4"/>
        </w:rPr>
        <w:t>lo </w:t>
      </w:r>
      <w:r>
        <w:rPr/>
        <w:t>que ha sido  un  gran misterio en el marco </w:t>
      </w:r>
      <w:r>
        <w:rPr>
          <w:spacing w:val="2"/>
        </w:rPr>
        <w:t>de </w:t>
      </w:r>
      <w:r>
        <w:rPr>
          <w:spacing w:val="-3"/>
        </w:rPr>
        <w:t>la </w:t>
      </w:r>
      <w:r>
        <w:rPr/>
        <w:t>nómina del personal educativo federalizado: </w:t>
      </w:r>
      <w:r>
        <w:rPr>
          <w:spacing w:val="-2"/>
        </w:rPr>
        <w:t>los </w:t>
      </w:r>
      <w:r>
        <w:rPr/>
        <w:t>comisionados sindicales. De acuerdo </w:t>
      </w:r>
      <w:r>
        <w:rPr>
          <w:spacing w:val="2"/>
        </w:rPr>
        <w:t>con </w:t>
      </w:r>
      <w:r>
        <w:rPr/>
        <w:t>el documento en cuestión, las entidades federativas están obligadas a entregar una relación de trabajadores comisionados por centro de trabajo, identificando el objeto y duración de la comisión; el número y </w:t>
      </w:r>
      <w:r>
        <w:rPr>
          <w:spacing w:val="-3"/>
        </w:rPr>
        <w:t>tipo </w:t>
      </w:r>
      <w:r>
        <w:rPr/>
        <w:t>de plaza que ocupan, </w:t>
      </w:r>
      <w:r>
        <w:rPr>
          <w:spacing w:val="-3"/>
        </w:rPr>
        <w:t>así </w:t>
      </w:r>
      <w:r>
        <w:rPr/>
        <w:t>como el pago que reciben por concepto de servicios personales, en </w:t>
      </w:r>
      <w:r>
        <w:rPr>
          <w:spacing w:val="2"/>
        </w:rPr>
        <w:t>su </w:t>
      </w:r>
      <w:r>
        <w:rPr/>
        <w:t>caso, y analítico de plazas, tabuladores y catálogos  de  conceptos </w:t>
      </w:r>
      <w:r>
        <w:rPr>
          <w:spacing w:val="-3"/>
        </w:rPr>
        <w:t>de </w:t>
      </w:r>
      <w:r>
        <w:rPr/>
        <w:t>percepciones y deducciones por cada entidad </w:t>
      </w:r>
      <w:r>
        <w:rPr>
          <w:spacing w:val="19"/>
        </w:rPr>
        <w:t> </w:t>
      </w:r>
      <w:r>
        <w:rPr/>
        <w:t>federativa.</w:t>
      </w:r>
    </w:p>
    <w:p>
      <w:pPr>
        <w:pStyle w:val="BodyText"/>
        <w:spacing w:line="364" w:lineRule="auto"/>
        <w:ind w:left="115" w:right="107" w:firstLine="686"/>
        <w:jc w:val="both"/>
      </w:pPr>
      <w:r>
        <w:rPr/>
        <w:t>Dicho Decreto también estableció que para evitar el mal uso, el desvío o </w:t>
      </w:r>
      <w:r>
        <w:rPr>
          <w:spacing w:val="-5"/>
        </w:rPr>
        <w:t>la </w:t>
      </w:r>
      <w:r>
        <w:rPr/>
        <w:t>incorrecta aplicación de los recursos del FAEB, tanto la SEP como los gobiernos estatales, </w:t>
      </w:r>
      <w:r>
        <w:rPr>
          <w:spacing w:val="2"/>
        </w:rPr>
        <w:t>se </w:t>
      </w:r>
      <w:r>
        <w:rPr/>
        <w:t>sujetarían al Acuerdo 482 de la SEP (DOF 26-02-09), que fundamentalmente establece </w:t>
      </w:r>
      <w:r>
        <w:rPr>
          <w:spacing w:val="-3"/>
        </w:rPr>
        <w:t>que </w:t>
      </w:r>
      <w:r>
        <w:rPr/>
        <w:t>los recursos de este fondo no pueden utilizarse para apoyar a secciones sindicales; para pagar plazas con funciones distintas a </w:t>
      </w:r>
      <w:r>
        <w:rPr>
          <w:spacing w:val="-5"/>
        </w:rPr>
        <w:t>la </w:t>
      </w:r>
      <w:r>
        <w:rPr/>
        <w:t>educación básica y normal; pagos a dobles plazas en entidades federativas no colindantes; no otorgar licencias con goce de sueldo a trabajadores  de  </w:t>
      </w:r>
      <w:r>
        <w:rPr>
          <w:spacing w:val="-5"/>
        </w:rPr>
        <w:t>la  </w:t>
      </w:r>
      <w:r>
        <w:rPr/>
        <w:t>educación que asuman un cargo de elección popular o para atender asuntos particulares.</w:t>
      </w:r>
    </w:p>
    <w:p>
      <w:pPr>
        <w:pStyle w:val="BodyText"/>
        <w:spacing w:line="364" w:lineRule="auto" w:before="5"/>
        <w:ind w:left="115" w:right="107" w:firstLine="686"/>
        <w:jc w:val="both"/>
      </w:pPr>
      <w:r>
        <w:rPr/>
        <w:t>Asimismo, el Acuerdo 482, señala que </w:t>
      </w:r>
      <w:r>
        <w:rPr>
          <w:spacing w:val="-5"/>
        </w:rPr>
        <w:t>la </w:t>
      </w:r>
      <w:r>
        <w:rPr/>
        <w:t>SEP está obligada a conciliar </w:t>
      </w:r>
      <w:r>
        <w:rPr>
          <w:spacing w:val="3"/>
        </w:rPr>
        <w:t>el </w:t>
      </w:r>
      <w:r>
        <w:rPr/>
        <w:t>listado de las nóminas y de los centros de trabajo con la información que proporcionan  las  entidades  federativas.  Este  acuerdo  se  complementa  con  </w:t>
      </w:r>
      <w:r>
        <w:rPr>
          <w:spacing w:val="57"/>
        </w:rPr>
        <w:t> </w:t>
      </w:r>
      <w:r>
        <w:rPr>
          <w:spacing w:val="-5"/>
        </w:rPr>
        <w:t>lo</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8"/>
        <w:jc w:val="both"/>
      </w:pPr>
      <w:r>
        <w:rPr/>
        <w:t>establecido en el artículo </w:t>
      </w:r>
      <w:r>
        <w:rPr>
          <w:spacing w:val="2"/>
        </w:rPr>
        <w:t>27 </w:t>
      </w:r>
      <w:r>
        <w:rPr/>
        <w:t>de </w:t>
      </w:r>
      <w:r>
        <w:rPr>
          <w:spacing w:val="-5"/>
        </w:rPr>
        <w:t>la </w:t>
      </w:r>
      <w:r>
        <w:rPr/>
        <w:t>Ley de Coordinación Fiscal, que al referirse a </w:t>
      </w:r>
      <w:r>
        <w:rPr>
          <w:spacing w:val="-4"/>
        </w:rPr>
        <w:t>la </w:t>
      </w:r>
      <w:r>
        <w:rPr/>
        <w:t>asignación de recursos federales al FAEB, indica que </w:t>
      </w:r>
      <w:r>
        <w:rPr>
          <w:spacing w:val="-3"/>
        </w:rPr>
        <w:t>la </w:t>
      </w:r>
      <w:r>
        <w:rPr/>
        <w:t>distribución  a  </w:t>
      </w:r>
      <w:r>
        <w:rPr>
          <w:spacing w:val="-2"/>
        </w:rPr>
        <w:t>las</w:t>
      </w:r>
      <w:r>
        <w:rPr>
          <w:spacing w:val="59"/>
        </w:rPr>
        <w:t> </w:t>
      </w:r>
      <w:r>
        <w:rPr/>
        <w:t>entidades federativas </w:t>
      </w:r>
      <w:r>
        <w:rPr>
          <w:spacing w:val="3"/>
        </w:rPr>
        <w:t>se </w:t>
      </w:r>
      <w:r>
        <w:rPr/>
        <w:t>hará en función de El Registro Común de Escuelas y de Plantilla de Personal. </w:t>
      </w:r>
      <w:r>
        <w:rPr>
          <w:spacing w:val="-3"/>
        </w:rPr>
        <w:t>Sin </w:t>
      </w:r>
      <w:r>
        <w:rPr/>
        <w:t>embargo, no se habla de sanciones ni responsables por malversación de recursos. Ahí tenemos un gran</w:t>
      </w:r>
      <w:r>
        <w:rPr>
          <w:spacing w:val="55"/>
        </w:rPr>
        <w:t> </w:t>
      </w:r>
      <w:r>
        <w:rPr/>
        <w:t>pendiente.</w:t>
      </w:r>
    </w:p>
    <w:p>
      <w:pPr>
        <w:pStyle w:val="BodyText"/>
        <w:spacing w:line="364" w:lineRule="auto" w:before="5"/>
        <w:ind w:left="115" w:right="108" w:firstLine="686"/>
        <w:jc w:val="both"/>
      </w:pPr>
      <w:r>
        <w:rPr/>
        <w:t>En el primer padrón elaborado por la SEP, al concluir el año de 2010, se detectó que en promedio se pagan sueldos correspondientes a un millón 978 mil</w:t>
      </w:r>
    </w:p>
    <w:p>
      <w:pPr>
        <w:pStyle w:val="BodyText"/>
        <w:spacing w:line="364" w:lineRule="auto" w:before="5"/>
        <w:ind w:left="115" w:right="107"/>
        <w:jc w:val="both"/>
      </w:pPr>
      <w:r>
        <w:rPr/>
        <w:t>514 plazas, </w:t>
      </w:r>
      <w:r>
        <w:rPr>
          <w:spacing w:val="-4"/>
        </w:rPr>
        <w:t>es </w:t>
      </w:r>
      <w:r>
        <w:rPr/>
        <w:t>decir, se presume una fragmentación de cientos  de  </w:t>
      </w:r>
      <w:r>
        <w:rPr>
          <w:spacing w:val="-4"/>
        </w:rPr>
        <w:t>miles  </w:t>
      </w:r>
      <w:r>
        <w:rPr/>
        <w:t>de  plazas, </w:t>
      </w:r>
      <w:r>
        <w:rPr>
          <w:spacing w:val="-3"/>
        </w:rPr>
        <w:t>pues </w:t>
      </w:r>
      <w:r>
        <w:rPr/>
        <w:t>prácticamente se duplica el número entre las autorizadas y </w:t>
      </w:r>
      <w:r>
        <w:rPr>
          <w:spacing w:val="-2"/>
        </w:rPr>
        <w:t>las </w:t>
      </w:r>
      <w:r>
        <w:rPr/>
        <w:t>pagadas. Ocupa el primer lugar </w:t>
      </w:r>
      <w:r>
        <w:rPr>
          <w:spacing w:val="4"/>
        </w:rPr>
        <w:t>el </w:t>
      </w:r>
      <w:r>
        <w:rPr/>
        <w:t>estado de México, que tiene autorizadas solamente 80 </w:t>
      </w:r>
      <w:r>
        <w:rPr>
          <w:spacing w:val="-3"/>
        </w:rPr>
        <w:t>mil </w:t>
      </w:r>
      <w:r>
        <w:rPr/>
        <w:t>plazas y paga 245 mil 211. </w:t>
      </w:r>
      <w:r>
        <w:rPr>
          <w:spacing w:val="2"/>
        </w:rPr>
        <w:t>El </w:t>
      </w:r>
      <w:r>
        <w:rPr/>
        <w:t>Distrito Federal  es  otro  caso crítico; si bien en los estados </w:t>
      </w:r>
      <w:r>
        <w:rPr>
          <w:spacing w:val="2"/>
        </w:rPr>
        <w:t>el </w:t>
      </w:r>
      <w:r>
        <w:rPr/>
        <w:t>problema es la opacidad con </w:t>
      </w:r>
      <w:r>
        <w:rPr>
          <w:spacing w:val="-5"/>
        </w:rPr>
        <w:t>la  </w:t>
      </w:r>
      <w:r>
        <w:rPr/>
        <w:t>que se  manejan  los fondos los gobiernos estatales, en </w:t>
      </w:r>
      <w:r>
        <w:rPr>
          <w:spacing w:val="-3"/>
        </w:rPr>
        <w:t>la </w:t>
      </w:r>
      <w:r>
        <w:rPr/>
        <w:t>ciudad de  México ese no es el caso  puesto que </w:t>
      </w:r>
      <w:r>
        <w:rPr>
          <w:spacing w:val="-3"/>
        </w:rPr>
        <w:t>es </w:t>
      </w:r>
      <w:r>
        <w:rPr>
          <w:spacing w:val="-5"/>
        </w:rPr>
        <w:t>la </w:t>
      </w:r>
      <w:r>
        <w:rPr/>
        <w:t>SEP quien tiene directamente a su cargo el control de  las  escuelas de educación básica y de </w:t>
      </w:r>
      <w:r>
        <w:rPr>
          <w:spacing w:val="3"/>
        </w:rPr>
        <w:t>su </w:t>
      </w:r>
      <w:r>
        <w:rPr/>
        <w:t>personal y sin embargo, también ahí se observó </w:t>
      </w:r>
      <w:r>
        <w:rPr>
          <w:spacing w:val="-4"/>
        </w:rPr>
        <w:t>la </w:t>
      </w:r>
      <w:r>
        <w:rPr/>
        <w:t>fragmentación de plazas. Según el registro oficial, existen 57 mil 804 plazas autorizadas, pero se pagan 184 </w:t>
      </w:r>
      <w:r>
        <w:rPr>
          <w:spacing w:val="-3"/>
        </w:rPr>
        <w:t>mil </w:t>
      </w:r>
      <w:r>
        <w:rPr/>
        <w:t>831. En suma,  ninguna entidad  </w:t>
      </w:r>
      <w:r>
        <w:rPr>
          <w:spacing w:val="-3"/>
        </w:rPr>
        <w:t>es</w:t>
      </w:r>
      <w:r>
        <w:rPr>
          <w:spacing w:val="57"/>
        </w:rPr>
        <w:t> </w:t>
      </w:r>
      <w:r>
        <w:rPr/>
        <w:t>ajena a esta situación, aunque existen diferencias respecto a </w:t>
      </w:r>
      <w:r>
        <w:rPr>
          <w:spacing w:val="-3"/>
        </w:rPr>
        <w:t>la </w:t>
      </w:r>
      <w:r>
        <w:rPr/>
        <w:t>magnitud que presentan estas</w:t>
      </w:r>
      <w:r>
        <w:rPr>
          <w:spacing w:val="30"/>
        </w:rPr>
        <w:t> </w:t>
      </w:r>
      <w:r>
        <w:rPr/>
        <w:t>anomalías.</w:t>
      </w:r>
    </w:p>
    <w:p>
      <w:pPr>
        <w:pStyle w:val="BodyText"/>
        <w:spacing w:line="364" w:lineRule="auto"/>
        <w:ind w:left="115" w:right="107" w:firstLine="686"/>
        <w:jc w:val="both"/>
      </w:pPr>
      <w:r>
        <w:rPr/>
        <w:t>Otra anomalía del registro consiste en que ningún estado  identificó  </w:t>
      </w:r>
      <w:r>
        <w:rPr>
          <w:spacing w:val="-3"/>
        </w:rPr>
        <w:t>los  </w:t>
      </w:r>
      <w:r>
        <w:rPr/>
        <w:t>pagos por honorarios. Asimismo, en </w:t>
      </w:r>
      <w:r>
        <w:rPr>
          <w:spacing w:val="-5"/>
        </w:rPr>
        <w:t>la  </w:t>
      </w:r>
      <w:r>
        <w:rPr/>
        <w:t>información que  presenta la SEP no se  evitó en ninguna entidad federativa el </w:t>
      </w:r>
      <w:r>
        <w:rPr>
          <w:spacing w:val="-3"/>
        </w:rPr>
        <w:t>pago </w:t>
      </w:r>
      <w:r>
        <w:rPr/>
        <w:t>de plazas correspondientes  a  maestros, directivos o administrativos con registros fiscales incompletos, erróneos   o dobles. </w:t>
      </w:r>
      <w:r>
        <w:rPr>
          <w:spacing w:val="2"/>
        </w:rPr>
        <w:t>En </w:t>
      </w:r>
      <w:r>
        <w:rPr/>
        <w:t>este marco, de </w:t>
      </w:r>
      <w:r>
        <w:rPr>
          <w:spacing w:val="-3"/>
        </w:rPr>
        <w:t>las  </w:t>
      </w:r>
      <w:r>
        <w:rPr/>
        <w:t>32 entidades, sólo dos presentaron la CURP  de  los trabajadores registrados, como marca la obligación en el decreto. Se trata de Guanajuato y Oaxaca. </w:t>
      </w:r>
      <w:r>
        <w:rPr>
          <w:spacing w:val="-3"/>
        </w:rPr>
        <w:t>Sin </w:t>
      </w:r>
      <w:r>
        <w:rPr/>
        <w:t>embargo, en este último estado, todos los datos de </w:t>
      </w:r>
      <w:r>
        <w:rPr>
          <w:spacing w:val="-5"/>
        </w:rPr>
        <w:t>la </w:t>
      </w:r>
      <w:r>
        <w:rPr/>
        <w:t>CURP son erróneos. En Coahuila hay más de 44 mil trabajadores cuyo Registro Federal de Causante </w:t>
      </w:r>
      <w:r>
        <w:rPr>
          <w:spacing w:val="-3"/>
        </w:rPr>
        <w:t>es</w:t>
      </w:r>
      <w:r>
        <w:rPr>
          <w:spacing w:val="39"/>
        </w:rPr>
        <w:t> </w:t>
      </w:r>
      <w:r>
        <w:rPr/>
        <w:t>erróneo.</w:t>
      </w:r>
    </w:p>
    <w:p>
      <w:pPr>
        <w:pStyle w:val="BodyText"/>
        <w:spacing w:line="364" w:lineRule="auto" w:before="5"/>
        <w:ind w:left="115" w:right="108" w:firstLine="686"/>
        <w:jc w:val="both"/>
      </w:pPr>
      <w:r>
        <w:rPr/>
        <w:t>También </w:t>
      </w:r>
      <w:r>
        <w:rPr>
          <w:spacing w:val="3"/>
        </w:rPr>
        <w:t>se </w:t>
      </w:r>
      <w:r>
        <w:rPr/>
        <w:t>pudo detectar que se hicieron pagos injustificados y que ningún gobierno estatal tiene un catálogo de centros de trabajo actualizado. Un caso especial  es  Tamaulipas  que  presenta  un  número  considerable  de  centros  </w:t>
      </w:r>
      <w:r>
        <w:rPr>
          <w:spacing w:val="53"/>
        </w:rPr>
        <w:t> </w:t>
      </w:r>
      <w:r>
        <w:rPr/>
        <w:t>de</w:t>
      </w:r>
    </w:p>
    <w:p>
      <w:pPr>
        <w:spacing w:after="0" w:line="364" w:lineRule="auto"/>
        <w:jc w:val="both"/>
        <w:sectPr>
          <w:footerReference w:type="default" r:id="rId37"/>
          <w:pgSz w:w="11910" w:h="16840"/>
          <w:pgMar w:footer="1457" w:header="0"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7"/>
        <w:jc w:val="both"/>
      </w:pPr>
      <w:r>
        <w:rPr/>
        <w:t>trabajo inexistentes; </w:t>
      </w:r>
      <w:r>
        <w:rPr>
          <w:spacing w:val="-3"/>
        </w:rPr>
        <w:t>en </w:t>
      </w:r>
      <w:r>
        <w:rPr/>
        <w:t>tanto que Veracruz informa de centros de trabajo clausurados. Por su parte, Coahuila y Tabasco </w:t>
      </w:r>
      <w:r>
        <w:rPr>
          <w:spacing w:val="-3"/>
        </w:rPr>
        <w:t>dan </w:t>
      </w:r>
      <w:r>
        <w:rPr/>
        <w:t>cuenta de una cantidad muy significativa de plazas inexistentes. También, de acuerdo con </w:t>
      </w:r>
      <w:r>
        <w:rPr>
          <w:spacing w:val="-3"/>
        </w:rPr>
        <w:t>la  </w:t>
      </w:r>
      <w:r>
        <w:rPr/>
        <w:t>información que  dio a conocer Mexicanos Primero, </w:t>
      </w:r>
      <w:r>
        <w:rPr>
          <w:spacing w:val="2"/>
        </w:rPr>
        <w:t>hay </w:t>
      </w:r>
      <w:r>
        <w:rPr/>
        <w:t>maestros  </w:t>
      </w:r>
      <w:r>
        <w:rPr>
          <w:i/>
        </w:rPr>
        <w:t>teletransportistas</w:t>
      </w:r>
      <w:r>
        <w:rPr/>
        <w:t>, ya que están  en </w:t>
      </w:r>
      <w:r>
        <w:rPr>
          <w:spacing w:val="-3"/>
        </w:rPr>
        <w:t>dos </w:t>
      </w:r>
      <w:r>
        <w:rPr/>
        <w:t>entidades simultáneamente que son incompatibles  geográficamente  para ser atendidas, de los cuales una tercera parte tienen un pie en el Distrito </w:t>
      </w:r>
      <w:r>
        <w:rPr>
          <w:spacing w:val="4"/>
        </w:rPr>
        <w:t> </w:t>
      </w:r>
      <w:r>
        <w:rPr/>
        <w:t>Federal.</w:t>
      </w:r>
    </w:p>
    <w:p>
      <w:pPr>
        <w:pStyle w:val="BodyText"/>
        <w:spacing w:line="364" w:lineRule="auto" w:before="5"/>
        <w:ind w:left="115" w:right="109" w:firstLine="686"/>
        <w:jc w:val="both"/>
      </w:pPr>
      <w:r>
        <w:rPr/>
        <w:t>Las irregularidades en el Distrito Federal, llaman la atención porque </w:t>
      </w:r>
      <w:r>
        <w:rPr>
          <w:spacing w:val="-4"/>
        </w:rPr>
        <w:t>la </w:t>
      </w:r>
      <w:r>
        <w:rPr/>
        <w:t>SEP no transfirió </w:t>
      </w:r>
      <w:r>
        <w:rPr>
          <w:spacing w:val="3"/>
        </w:rPr>
        <w:t>al </w:t>
      </w:r>
      <w:r>
        <w:rPr/>
        <w:t>gobierno del Distrito Federal las escuelas de educación básica y normal ni su plantilla laboral. Es decir, el padrón de maestros en la capital </w:t>
      </w:r>
      <w:r>
        <w:rPr>
          <w:spacing w:val="2"/>
        </w:rPr>
        <w:t>del </w:t>
      </w:r>
      <w:r>
        <w:rPr/>
        <w:t>país debía tener un carácter ejemplar respecto a </w:t>
      </w:r>
      <w:r>
        <w:rPr>
          <w:spacing w:val="-3"/>
        </w:rPr>
        <w:t>los </w:t>
      </w:r>
      <w:r>
        <w:rPr/>
        <w:t>listados que entregaron </w:t>
      </w:r>
      <w:r>
        <w:rPr>
          <w:spacing w:val="-2"/>
        </w:rPr>
        <w:t>las </w:t>
      </w:r>
      <w:r>
        <w:rPr/>
        <w:t>entidades federativas. Y no fue el</w:t>
      </w:r>
      <w:r>
        <w:rPr>
          <w:spacing w:val="36"/>
        </w:rPr>
        <w:t> </w:t>
      </w:r>
      <w:r>
        <w:rPr/>
        <w:t>caso.</w:t>
      </w:r>
    </w:p>
    <w:p>
      <w:pPr>
        <w:pStyle w:val="BodyText"/>
        <w:spacing w:line="364" w:lineRule="auto" w:before="5"/>
        <w:ind w:left="115" w:right="105" w:firstLine="686"/>
        <w:jc w:val="both"/>
      </w:pPr>
      <w:r>
        <w:rPr/>
        <w:t>Según el registro de la SEP existen 10 mil comisionados, pero no se especifica el tipo de comisión. Según Mexicanos Primero, hay información  que habla de comisiones sindicales, de comisiones educativas, de tipo directivo y de  </w:t>
      </w:r>
      <w:r>
        <w:rPr>
          <w:spacing w:val="-3"/>
        </w:rPr>
        <w:t>tipo </w:t>
      </w:r>
      <w:r>
        <w:rPr/>
        <w:t>administrativo. De igual forma se advierte un subregistro de comisionados en    </w:t>
      </w:r>
      <w:r>
        <w:rPr>
          <w:spacing w:val="-5"/>
        </w:rPr>
        <w:t>la </w:t>
      </w:r>
      <w:r>
        <w:rPr/>
        <w:t>información que recopiló la SEP proveniente de </w:t>
      </w:r>
      <w:r>
        <w:rPr>
          <w:spacing w:val="-3"/>
        </w:rPr>
        <w:t>los </w:t>
      </w:r>
      <w:r>
        <w:rPr/>
        <w:t>gobiernos estatales. En este rubro sobresalen datos interesantes. En Jalisco hay 487  comisionados  en  una única plaza; en Durango se presentó información según </w:t>
      </w:r>
      <w:r>
        <w:rPr>
          <w:spacing w:val="-4"/>
        </w:rPr>
        <w:t>la </w:t>
      </w:r>
      <w:r>
        <w:rPr/>
        <w:t>cual en </w:t>
      </w:r>
      <w:r>
        <w:rPr>
          <w:spacing w:val="2"/>
        </w:rPr>
        <w:t>ese </w:t>
      </w:r>
      <w:r>
        <w:rPr/>
        <w:t>estado no existe un solo</w:t>
      </w:r>
      <w:r>
        <w:rPr>
          <w:spacing w:val="27"/>
        </w:rPr>
        <w:t> </w:t>
      </w:r>
      <w:r>
        <w:rPr/>
        <w:t>comisionado.</w:t>
      </w:r>
    </w:p>
    <w:p>
      <w:pPr>
        <w:pStyle w:val="BodyText"/>
        <w:spacing w:line="364" w:lineRule="auto"/>
        <w:ind w:left="115" w:right="105" w:firstLine="686"/>
        <w:jc w:val="both"/>
      </w:pPr>
      <w:r>
        <w:rPr>
          <w:spacing w:val="-3"/>
        </w:rPr>
        <w:t>Sin </w:t>
      </w:r>
      <w:r>
        <w:rPr/>
        <w:t>embargo, al cruzar en </w:t>
      </w:r>
      <w:r>
        <w:rPr>
          <w:spacing w:val="-5"/>
        </w:rPr>
        <w:t>la </w:t>
      </w:r>
      <w:r>
        <w:rPr/>
        <w:t>base de </w:t>
      </w:r>
      <w:r>
        <w:rPr>
          <w:spacing w:val="-3"/>
        </w:rPr>
        <w:t>datos </w:t>
      </w:r>
      <w:r>
        <w:rPr/>
        <w:t>el nombre de dirigentes  sindicales y </w:t>
      </w:r>
      <w:r>
        <w:rPr>
          <w:spacing w:val="-3"/>
        </w:rPr>
        <w:t>la </w:t>
      </w:r>
      <w:r>
        <w:rPr/>
        <w:t>clave de centros de trabajo donde se encuentran, </w:t>
      </w:r>
      <w:r>
        <w:rPr>
          <w:spacing w:val="2"/>
        </w:rPr>
        <w:t>se </w:t>
      </w:r>
      <w:r>
        <w:rPr/>
        <w:t>hace evidente que si existen comisionados. Es importante señalar que en todo caso no  hay claridad en cuanto a </w:t>
      </w:r>
      <w:r>
        <w:rPr>
          <w:spacing w:val="-4"/>
        </w:rPr>
        <w:t>la </w:t>
      </w:r>
      <w:r>
        <w:rPr/>
        <w:t>distinción entre comisión y licencia, ni existe congruencia entre </w:t>
      </w:r>
      <w:r>
        <w:rPr>
          <w:spacing w:val="-4"/>
        </w:rPr>
        <w:t>la </w:t>
      </w:r>
      <w:r>
        <w:rPr/>
        <w:t>asignación de origen y el destino de la comisión. </w:t>
      </w:r>
      <w:r>
        <w:rPr>
          <w:spacing w:val="2"/>
        </w:rPr>
        <w:t>Así, </w:t>
      </w:r>
      <w:r>
        <w:rPr/>
        <w:t>en general, señala el diagnóstico de </w:t>
      </w:r>
      <w:r>
        <w:rPr>
          <w:i/>
        </w:rPr>
        <w:t>Mexicanos Primero</w:t>
      </w:r>
      <w:r>
        <w:rPr/>
        <w:t>, no es posible ubicar con precisión dónde </w:t>
      </w:r>
      <w:r>
        <w:rPr>
          <w:spacing w:val="-3"/>
        </w:rPr>
        <w:t>se </w:t>
      </w:r>
      <w:r>
        <w:rPr/>
        <w:t>encuentra el maestro comisionado, ni </w:t>
      </w:r>
      <w:r>
        <w:rPr>
          <w:spacing w:val="-4"/>
        </w:rPr>
        <w:t>la</w:t>
      </w:r>
      <w:r>
        <w:rPr>
          <w:spacing w:val="55"/>
        </w:rPr>
        <w:t> </w:t>
      </w:r>
      <w:r>
        <w:rPr/>
        <w:t>justificación para que alguien esté comisionado. Esta figura, se advierte en el registro, no fue conceptualizada por  igual en las entidades. Peor aún, </w:t>
      </w:r>
      <w:r>
        <w:rPr>
          <w:spacing w:val="-3"/>
        </w:rPr>
        <w:t>los </w:t>
      </w:r>
      <w:r>
        <w:rPr/>
        <w:t>gobiernos estatales, </w:t>
      </w:r>
      <w:r>
        <w:rPr>
          <w:spacing w:val="-3"/>
        </w:rPr>
        <w:t>no </w:t>
      </w:r>
      <w:r>
        <w:rPr/>
        <w:t>proporcionaron </w:t>
      </w:r>
      <w:r>
        <w:rPr>
          <w:spacing w:val="-4"/>
        </w:rPr>
        <w:t>la </w:t>
      </w:r>
      <w:r>
        <w:rPr/>
        <w:t>información completa conforme a </w:t>
      </w:r>
      <w:r>
        <w:rPr>
          <w:spacing w:val="-3"/>
        </w:rPr>
        <w:t>lo </w:t>
      </w:r>
      <w:r>
        <w:rPr/>
        <w:t>requerido por </w:t>
      </w:r>
      <w:r>
        <w:rPr>
          <w:spacing w:val="4"/>
        </w:rPr>
        <w:t>el </w:t>
      </w:r>
      <w:r>
        <w:rPr/>
        <w:t>Decreto Presupuesto de Egresos de </w:t>
      </w:r>
      <w:r>
        <w:rPr>
          <w:spacing w:val="-4"/>
        </w:rPr>
        <w:t>la </w:t>
      </w:r>
      <w:r>
        <w:rPr/>
        <w:t>Federación para el ejercicio fiscal 2010, por </w:t>
      </w:r>
      <w:r>
        <w:rPr>
          <w:spacing w:val="-4"/>
        </w:rPr>
        <w:t>lo </w:t>
      </w:r>
      <w:r>
        <w:rPr/>
        <w:t>que los datos sobre   los comisionados no son</w:t>
      </w:r>
      <w:r>
        <w:rPr>
          <w:spacing w:val="39"/>
        </w:rPr>
        <w:t> </w:t>
      </w:r>
      <w:r>
        <w:rPr/>
        <w:t>confiables.</w:t>
      </w:r>
    </w:p>
    <w:p>
      <w:pPr>
        <w:spacing w:after="0" w:line="364" w:lineRule="auto"/>
        <w:jc w:val="both"/>
        <w:sectPr>
          <w:footerReference w:type="default" r:id="rId38"/>
          <w:pgSz w:w="11910" w:h="16840"/>
          <w:pgMar w:footer="1457" w:header="0" w:top="1580" w:bottom="1640" w:left="1540" w:right="1540"/>
          <w:pgNumType w:start="141"/>
        </w:sectPr>
      </w:pPr>
    </w:p>
    <w:p>
      <w:pPr>
        <w:pStyle w:val="BodyText"/>
        <w:rPr>
          <w:sz w:val="20"/>
        </w:rPr>
      </w:pPr>
    </w:p>
    <w:p>
      <w:pPr>
        <w:pStyle w:val="BodyText"/>
        <w:spacing w:before="2"/>
        <w:rPr>
          <w:sz w:val="16"/>
        </w:rPr>
      </w:pPr>
    </w:p>
    <w:p>
      <w:pPr>
        <w:pStyle w:val="BodyText"/>
        <w:spacing w:line="364" w:lineRule="auto" w:before="74"/>
        <w:ind w:left="116" w:right="106" w:firstLine="686"/>
        <w:jc w:val="both"/>
      </w:pPr>
      <w:r>
        <w:rPr/>
        <w:t>Al respecto, el entonces secretario ejecutivo del SNTE, Rafael Ochoa Guzmán, declaró en febrero de 2009 que las reglas para habilitar comisionados sindicales no son claras, por </w:t>
      </w:r>
      <w:r>
        <w:rPr>
          <w:spacing w:val="-4"/>
        </w:rPr>
        <w:t>lo </w:t>
      </w:r>
      <w:r>
        <w:rPr/>
        <w:t>que dijo que estaban en pláticas con </w:t>
      </w:r>
      <w:r>
        <w:rPr>
          <w:spacing w:val="-3"/>
        </w:rPr>
        <w:t>la </w:t>
      </w:r>
      <w:r>
        <w:rPr/>
        <w:t>SEP para cambiarlas y no para cancelar apoyos a los maestros sindicalizados  que tienen  que pasar por una comisión. Asimismo </w:t>
      </w:r>
      <w:r>
        <w:rPr>
          <w:spacing w:val="3"/>
        </w:rPr>
        <w:t>se </w:t>
      </w:r>
      <w:r>
        <w:rPr/>
        <w:t>dijo alarmado porque la SEP no contara con una base de datos completa. También afirmó que maestros comisionados existen tanto en los gobiernos estatales, las diferentes dependencias de gobierno    y hasta en los partidos políticos. Ante ello, aseguró que la dirigencia sindical había solicitado a la SEP que demostrara en dónde están todos los comisionados para que todos salgamos de dudas (El Universal, 21 de febrero de </w:t>
      </w:r>
      <w:r>
        <w:rPr>
          <w:spacing w:val="11"/>
        </w:rPr>
        <w:t> </w:t>
      </w:r>
      <w:r>
        <w:rPr/>
        <w:t>2009).</w:t>
      </w:r>
    </w:p>
    <w:p>
      <w:pPr>
        <w:pStyle w:val="BodyText"/>
        <w:spacing w:line="364" w:lineRule="auto" w:before="5"/>
        <w:ind w:left="116" w:right="103" w:firstLine="686"/>
        <w:jc w:val="both"/>
      </w:pPr>
      <w:r>
        <w:rPr/>
        <w:t>Pero ¿cómo llegamos a esta situación? ¿Por qué se tuvo obligar a </w:t>
      </w:r>
      <w:r>
        <w:rPr>
          <w:spacing w:val="-5"/>
        </w:rPr>
        <w:t>la </w:t>
      </w:r>
      <w:r>
        <w:rPr/>
        <w:t>SEP y  a </w:t>
      </w:r>
      <w:r>
        <w:rPr>
          <w:spacing w:val="-3"/>
        </w:rPr>
        <w:t>los </w:t>
      </w:r>
      <w:r>
        <w:rPr/>
        <w:t>gobiernos estatales a dar información de un padrón que, en teoría, tendría  que haberse obtenido de manera automática? Desde el </w:t>
      </w:r>
      <w:r>
        <w:rPr>
          <w:spacing w:val="-3"/>
        </w:rPr>
        <w:t>inicio </w:t>
      </w:r>
      <w:r>
        <w:rPr>
          <w:spacing w:val="3"/>
        </w:rPr>
        <w:t>de </w:t>
      </w:r>
      <w:r>
        <w:rPr>
          <w:spacing w:val="-4"/>
        </w:rPr>
        <w:t>la </w:t>
      </w:r>
      <w:r>
        <w:rPr/>
        <w:t>descentralización educativa, </w:t>
      </w:r>
      <w:r>
        <w:rPr>
          <w:spacing w:val="-4"/>
        </w:rPr>
        <w:t>la </w:t>
      </w:r>
      <w:r>
        <w:rPr/>
        <w:t>Secretaría de Hacienda y la SEP, para evitar conflictos políticos y administrativos señalaron que al transferirse los recursos federales a </w:t>
      </w:r>
      <w:r>
        <w:rPr>
          <w:spacing w:val="-3"/>
        </w:rPr>
        <w:t>los </w:t>
      </w:r>
      <w:r>
        <w:rPr/>
        <w:t>estados, éstos se convertían en estatales. Con ello, dieron pie </w:t>
      </w:r>
      <w:r>
        <w:rPr>
          <w:spacing w:val="3"/>
        </w:rPr>
        <w:t>al </w:t>
      </w:r>
      <w:r>
        <w:rPr/>
        <w:t>desvío de esos recursos porque se constituyeron en </w:t>
      </w:r>
      <w:r>
        <w:rPr>
          <w:spacing w:val="-5"/>
        </w:rPr>
        <w:t>la </w:t>
      </w:r>
      <w:r>
        <w:rPr/>
        <w:t>partida más importante de  los gobiernos de </w:t>
      </w:r>
      <w:r>
        <w:rPr>
          <w:spacing w:val="-3"/>
        </w:rPr>
        <w:t>los </w:t>
      </w:r>
      <w:r>
        <w:rPr/>
        <w:t>estados, pues representa en la mayoría de los casos cerca de </w:t>
      </w:r>
      <w:r>
        <w:rPr>
          <w:spacing w:val="-5"/>
        </w:rPr>
        <w:t>la </w:t>
      </w:r>
      <w:r>
        <w:rPr/>
        <w:t>mitad de </w:t>
      </w:r>
      <w:r>
        <w:rPr>
          <w:spacing w:val="-5"/>
        </w:rPr>
        <w:t>lo </w:t>
      </w:r>
      <w:r>
        <w:rPr/>
        <w:t>que gasta </w:t>
      </w:r>
      <w:r>
        <w:rPr>
          <w:spacing w:val="-3"/>
        </w:rPr>
        <w:t>un </w:t>
      </w:r>
      <w:r>
        <w:rPr>
          <w:spacing w:val="14"/>
        </w:rPr>
        <w:t> </w:t>
      </w:r>
      <w:r>
        <w:rPr/>
        <w:t>gobernador.</w:t>
      </w:r>
    </w:p>
    <w:p>
      <w:pPr>
        <w:pStyle w:val="BodyText"/>
        <w:spacing w:line="364" w:lineRule="auto"/>
        <w:ind w:left="116" w:right="105" w:firstLine="686"/>
        <w:jc w:val="both"/>
      </w:pPr>
      <w:r>
        <w:rPr/>
        <w:t>También </w:t>
      </w:r>
      <w:r>
        <w:rPr>
          <w:spacing w:val="4"/>
        </w:rPr>
        <w:t>se </w:t>
      </w:r>
      <w:r>
        <w:rPr/>
        <w:t>llega a esta situación porque  con  la  descentralización educativa, el SNTE, en términos políticos se hizo más autónomo del gobierno federal y de los gobernadores, situación que se afianzó con la alternancia en </w:t>
      </w:r>
      <w:r>
        <w:rPr>
          <w:spacing w:val="-5"/>
        </w:rPr>
        <w:t>la </w:t>
      </w:r>
      <w:r>
        <w:rPr/>
        <w:t>presidencia en el 2000, de forma que </w:t>
      </w:r>
      <w:r>
        <w:rPr>
          <w:spacing w:val="4"/>
        </w:rPr>
        <w:t>si </w:t>
      </w:r>
      <w:r>
        <w:rPr/>
        <w:t>antes el titular del Ejecutivo tenía el control de facto sobre los liderazgos nacionales del sindicato magisterial, eso se acaba   con la llegada de Vicente</w:t>
      </w:r>
      <w:r>
        <w:rPr>
          <w:spacing w:val="34"/>
        </w:rPr>
        <w:t> </w:t>
      </w:r>
      <w:r>
        <w:rPr/>
        <w:t>Fox.</w:t>
      </w:r>
    </w:p>
    <w:p>
      <w:pPr>
        <w:pStyle w:val="BodyText"/>
        <w:spacing w:line="367" w:lineRule="auto"/>
        <w:ind w:left="116" w:right="105" w:firstLine="686"/>
        <w:jc w:val="both"/>
      </w:pPr>
      <w:r>
        <w:rPr/>
        <w:t>Al mismo tiempo, los dirigentes seccionales en general tienen más independencia del comité nacional y de los gobernadores, </w:t>
      </w:r>
      <w:r>
        <w:rPr>
          <w:spacing w:val="-4"/>
        </w:rPr>
        <w:t>lo </w:t>
      </w:r>
      <w:r>
        <w:rPr/>
        <w:t>cual genera acuerdos políticos tanto a nivel nacional como estatal para utilizar las plazas como moneda de cambio entre los liderazgos sindicales, lo cual, a su vez, requiere opacidad, porque </w:t>
      </w:r>
      <w:r>
        <w:rPr>
          <w:spacing w:val="-3"/>
        </w:rPr>
        <w:t>es </w:t>
      </w:r>
      <w:r>
        <w:rPr/>
        <w:t>sabido que </w:t>
      </w:r>
      <w:r>
        <w:rPr>
          <w:spacing w:val="-4"/>
        </w:rPr>
        <w:t>los </w:t>
      </w:r>
      <w:r>
        <w:rPr/>
        <w:t>líderes nacionales, seccionales y  delegacionales  del SNTE tienen una base datos completa de las plazas y los nombres de quienes  </w:t>
      </w:r>
      <w:r>
        <w:rPr>
          <w:spacing w:val="52"/>
        </w:rPr>
        <w:t> </w:t>
      </w:r>
      <w:r>
        <w:rPr>
          <w:spacing w:val="-2"/>
        </w:rPr>
        <w:t>las</w:t>
      </w:r>
    </w:p>
    <w:p>
      <w:pPr>
        <w:spacing w:after="0" w:line="367"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7"/>
        <w:jc w:val="both"/>
      </w:pPr>
      <w:r>
        <w:rPr/>
        <w:t>ocupan, pero no comparten esa información porque no son sujetos obligados  de  las leyes de transparencia y porque la secrecía favorece sus intereses político- electorales y sus derivaciones en el ámbito de la administración del sistema educativo en todo el</w:t>
      </w:r>
      <w:r>
        <w:rPr>
          <w:spacing w:val="30"/>
        </w:rPr>
        <w:t> </w:t>
      </w:r>
      <w:r>
        <w:rPr/>
        <w:t>país.</w:t>
      </w:r>
    </w:p>
    <w:p>
      <w:pPr>
        <w:pStyle w:val="BodyText"/>
        <w:spacing w:line="364" w:lineRule="auto" w:before="5"/>
        <w:ind w:left="115" w:right="107" w:firstLine="686"/>
        <w:jc w:val="both"/>
      </w:pPr>
      <w:r>
        <w:rPr/>
        <w:t>En buena medida, </w:t>
      </w:r>
      <w:r>
        <w:rPr>
          <w:spacing w:val="-3"/>
        </w:rPr>
        <w:t>las </w:t>
      </w:r>
      <w:r>
        <w:rPr/>
        <w:t>irregularidades </w:t>
      </w:r>
      <w:r>
        <w:rPr>
          <w:spacing w:val="-3"/>
        </w:rPr>
        <w:t>que </w:t>
      </w:r>
      <w:r>
        <w:rPr/>
        <w:t>se  registran  en  diversas entidades del país, son producto de </w:t>
      </w:r>
      <w:r>
        <w:rPr>
          <w:spacing w:val="-3"/>
        </w:rPr>
        <w:t>la </w:t>
      </w:r>
      <w:r>
        <w:rPr/>
        <w:t>debilidad de los gobiernos estatales frente    al peso laboral y político del sindicato magisterial. De hecho, desde la creación de   </w:t>
      </w:r>
      <w:r>
        <w:rPr>
          <w:spacing w:val="-5"/>
        </w:rPr>
        <w:t>la </w:t>
      </w:r>
      <w:r>
        <w:rPr/>
        <w:t>Conago, </w:t>
      </w:r>
      <w:r>
        <w:rPr>
          <w:spacing w:val="3"/>
        </w:rPr>
        <w:t>se </w:t>
      </w:r>
      <w:r>
        <w:rPr/>
        <w:t>han impulsado acuerdos para atenuar esta asimetría entre autoridades y sindicato. Así, esta organización de gobernadores en mayo de 2007, a propósito de la firma del Alianza para la Calidad de la Educación, acordaron cuatro puntos que fortalecerían el papel de la autoridad en materia educativa: 1) elaboración de un nuevo Acuerdo Nacional para </w:t>
      </w:r>
      <w:r>
        <w:rPr>
          <w:spacing w:val="-5"/>
        </w:rPr>
        <w:t>la  </w:t>
      </w:r>
      <w:r>
        <w:rPr/>
        <w:t>Educación; 2) abatimiento de  los rezagos educativos; 3) políticas públicas para elevar </w:t>
      </w:r>
      <w:r>
        <w:rPr>
          <w:spacing w:val="-5"/>
        </w:rPr>
        <w:t>la </w:t>
      </w:r>
      <w:r>
        <w:rPr/>
        <w:t>calidad educativa; y 4) negociación salarial</w:t>
      </w:r>
      <w:r>
        <w:rPr>
          <w:spacing w:val="22"/>
        </w:rPr>
        <w:t> </w:t>
      </w:r>
      <w:r>
        <w:rPr/>
        <w:t>única.</w:t>
      </w:r>
    </w:p>
    <w:p>
      <w:pPr>
        <w:spacing w:after="0" w:line="364" w:lineRule="auto"/>
        <w:jc w:val="both"/>
        <w:sectPr>
          <w:pgSz w:w="11910" w:h="16840"/>
          <w:pgMar w:header="0" w:footer="1457" w:top="1580" w:bottom="1640" w:left="1540" w:right="15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4"/>
        </w:rPr>
      </w:pPr>
    </w:p>
    <w:p>
      <w:pPr>
        <w:pStyle w:val="Heading1"/>
      </w:pPr>
      <w:r>
        <w:rPr/>
        <w:t>Capítulo 3</w:t>
      </w:r>
    </w:p>
    <w:p>
      <w:pPr>
        <w:pStyle w:val="Heading2"/>
        <w:spacing w:line="244" w:lineRule="auto"/>
        <w:ind w:left="2649" w:right="2788" w:firstLine="48"/>
        <w:jc w:val="both"/>
      </w:pPr>
      <w:r>
        <w:rPr/>
        <w:t>Las dimensiones del rezago en </w:t>
      </w:r>
      <w:r>
        <w:rPr>
          <w:spacing w:val="7"/>
        </w:rPr>
        <w:t>la </w:t>
      </w:r>
      <w:r>
        <w:rPr/>
        <w:t>calidad</w:t>
      </w:r>
      <w:r>
        <w:rPr>
          <w:spacing w:val="69"/>
        </w:rPr>
        <w:t> </w:t>
      </w:r>
      <w:r>
        <w:rPr/>
        <w:t>educativa</w:t>
      </w:r>
    </w:p>
    <w:p>
      <w:pPr>
        <w:spacing w:after="0" w:line="244" w:lineRule="auto"/>
        <w:jc w:val="both"/>
        <w:sectPr>
          <w:pgSz w:w="11910" w:h="16840"/>
          <w:pgMar w:header="0" w:footer="1457" w:top="1580" w:bottom="1640" w:left="1680" w:right="1540"/>
        </w:sectPr>
      </w:pPr>
    </w:p>
    <w:p>
      <w:pPr>
        <w:pStyle w:val="BodyText"/>
        <w:rPr>
          <w:b/>
          <w:sz w:val="20"/>
        </w:rPr>
      </w:pPr>
    </w:p>
    <w:p>
      <w:pPr>
        <w:pStyle w:val="BodyText"/>
        <w:rPr>
          <w:b/>
          <w:sz w:val="20"/>
        </w:rPr>
      </w:pPr>
    </w:p>
    <w:p>
      <w:pPr>
        <w:pStyle w:val="BodyText"/>
        <w:rPr>
          <w:b/>
          <w:sz w:val="20"/>
        </w:rPr>
      </w:pPr>
    </w:p>
    <w:p>
      <w:pPr>
        <w:pStyle w:val="BodyText"/>
        <w:rPr>
          <w:b/>
          <w:sz w:val="18"/>
        </w:rPr>
      </w:pPr>
    </w:p>
    <w:p>
      <w:pPr>
        <w:pStyle w:val="BodyText"/>
        <w:spacing w:line="362" w:lineRule="auto" w:before="1"/>
        <w:ind w:left="3759" w:right="103" w:hanging="1743"/>
      </w:pPr>
      <w:r>
        <w:rPr/>
        <w:t>El problema es “la creciente tendencia a considerar la educación como un producto antes que como un  proceso”.</w:t>
      </w:r>
    </w:p>
    <w:p>
      <w:pPr>
        <w:pStyle w:val="BodyText"/>
        <w:spacing w:line="364" w:lineRule="auto" w:before="7"/>
        <w:ind w:left="116" w:right="106" w:firstLine="6811"/>
        <w:jc w:val="both"/>
      </w:pPr>
      <w:r>
        <w:rPr/>
        <w:t>Edward D. Myers La educación permite a un país incorporarse al movimiento en el mundo, ingresar en los distintos mercados, crearse y recrearse de modo competitivo, generar fuentes de empleo calificado, abrir fábricas con tecnologías de avanzada y tener una mejor sociedad una  sociedad</w:t>
      </w:r>
      <w:r>
        <w:rPr>
          <w:spacing w:val="49"/>
        </w:rPr>
        <w:t> </w:t>
      </w:r>
      <w:r>
        <w:rPr/>
        <w:t>educada.</w:t>
      </w:r>
    </w:p>
    <w:p>
      <w:pPr>
        <w:pStyle w:val="BodyText"/>
        <w:spacing w:line="364" w:lineRule="auto" w:before="5"/>
        <w:ind w:left="116" w:right="106" w:firstLine="686"/>
        <w:jc w:val="both"/>
      </w:pPr>
      <w:r>
        <w:rPr/>
        <w:t>Es el derecho de alcanzar la plenitud propia por obra del aprendizaje significativo y continuado. Sin educación de calidad, las generaciones presentes y futuras están condenadas a topar con un enorme muro, con graves barreras para gozar de salud, ejercer </w:t>
      </w:r>
      <w:r>
        <w:rPr>
          <w:spacing w:val="-5"/>
        </w:rPr>
        <w:t>la </w:t>
      </w:r>
      <w:r>
        <w:rPr/>
        <w:t>ciudadanía, asumir empleos bien remunerados y productivos, en fin, para consolidar un entorno social donde prive </w:t>
      </w:r>
      <w:r>
        <w:rPr>
          <w:spacing w:val="-5"/>
        </w:rPr>
        <w:t>la </w:t>
      </w:r>
      <w:r>
        <w:rPr/>
        <w:t>seguridad, </w:t>
      </w:r>
      <w:r>
        <w:rPr>
          <w:spacing w:val="-5"/>
        </w:rPr>
        <w:t>la </w:t>
      </w:r>
      <w:r>
        <w:rPr/>
        <w:t>corresponsabilidad, la confianza mutua y el Estado de Derecho… donde </w:t>
      </w:r>
      <w:r>
        <w:rPr>
          <w:spacing w:val="-4"/>
        </w:rPr>
        <w:t>la</w:t>
      </w:r>
      <w:r>
        <w:rPr>
          <w:spacing w:val="55"/>
        </w:rPr>
        <w:t> </w:t>
      </w:r>
      <w:r>
        <w:rPr/>
        <w:t>democracia pueda consolidarse”.(Contra la pared, 2009:  5).</w:t>
      </w:r>
    </w:p>
    <w:p>
      <w:pPr>
        <w:pStyle w:val="BodyText"/>
        <w:spacing w:line="364" w:lineRule="auto"/>
        <w:ind w:left="116" w:right="106" w:firstLine="686"/>
        <w:jc w:val="both"/>
      </w:pPr>
      <w:r>
        <w:rPr/>
        <w:t>Durante mucho tiempo el sistema mexicano </w:t>
      </w:r>
      <w:r>
        <w:rPr>
          <w:spacing w:val="2"/>
        </w:rPr>
        <w:t>se </w:t>
      </w:r>
      <w:r>
        <w:rPr/>
        <w:t>redujo a una forma clara de expansión, pero no hubo un desarrollo que asegurara </w:t>
      </w:r>
      <w:r>
        <w:rPr>
          <w:spacing w:val="-5"/>
        </w:rPr>
        <w:t>la  </w:t>
      </w:r>
      <w:r>
        <w:rPr/>
        <w:t>debida  evaluación  y  crítica de </w:t>
      </w:r>
      <w:r>
        <w:rPr>
          <w:spacing w:val="-3"/>
        </w:rPr>
        <w:t>lo </w:t>
      </w:r>
      <w:r>
        <w:rPr/>
        <w:t>realizado.. creció dominado por la inercia de las rutinas y los hábitos consagrados por </w:t>
      </w:r>
      <w:r>
        <w:rPr>
          <w:spacing w:val="-3"/>
        </w:rPr>
        <w:t>la </w:t>
      </w:r>
      <w:r>
        <w:rPr/>
        <w:t>tradición.. condenado a la clausura </w:t>
      </w:r>
      <w:r>
        <w:rPr>
          <w:spacing w:val="3"/>
        </w:rPr>
        <w:t>de </w:t>
      </w:r>
      <w:r>
        <w:rPr/>
        <w:t>una perspectiva de innovación.</w:t>
      </w:r>
    </w:p>
    <w:p>
      <w:pPr>
        <w:pStyle w:val="BodyText"/>
        <w:spacing w:line="364" w:lineRule="auto" w:before="5"/>
        <w:ind w:left="116" w:right="110" w:firstLine="686"/>
        <w:jc w:val="both"/>
      </w:pPr>
      <w:r>
        <w:rPr/>
        <w:t>Desde principios del siglo XX en la época del porfiriato, la educación básica contemplaba un espacio temporal de dos a tres años, en donde los  niños  aprendían a hablar, leer y escribir en español, así como </w:t>
      </w:r>
      <w:r>
        <w:rPr>
          <w:spacing w:val="-3"/>
        </w:rPr>
        <w:t>las </w:t>
      </w:r>
      <w:r>
        <w:rPr/>
        <w:t>operaciones  elementales de</w:t>
      </w:r>
      <w:r>
        <w:rPr>
          <w:spacing w:val="24"/>
        </w:rPr>
        <w:t> </w:t>
      </w:r>
      <w:r>
        <w:rPr/>
        <w:t>cálculo.</w:t>
      </w:r>
    </w:p>
    <w:p>
      <w:pPr>
        <w:pStyle w:val="BodyText"/>
        <w:spacing w:line="364" w:lineRule="auto" w:before="5"/>
        <w:ind w:left="116" w:right="106" w:firstLine="686"/>
        <w:jc w:val="both"/>
      </w:pPr>
      <w:r>
        <w:rPr/>
        <w:t>A partir de 1922 y hasta 1934, Don José Vasconcelos se encarga  del sistema educativo y divide la primaria dos niveles, el elemental, con una duración de cuatro años y el superior, </w:t>
      </w:r>
      <w:r>
        <w:rPr>
          <w:spacing w:val="2"/>
        </w:rPr>
        <w:t>con </w:t>
      </w:r>
      <w:r>
        <w:rPr/>
        <w:t>dos. En el nivel elemental se introdujeron conceptos nacionalistas como el amor a </w:t>
      </w:r>
      <w:r>
        <w:rPr>
          <w:spacing w:val="-5"/>
        </w:rPr>
        <w:t>la </w:t>
      </w:r>
      <w:r>
        <w:rPr/>
        <w:t>patria, la contribución </w:t>
      </w:r>
      <w:r>
        <w:rPr>
          <w:spacing w:val="2"/>
        </w:rPr>
        <w:t>al </w:t>
      </w:r>
      <w:r>
        <w:rPr/>
        <w:t>progreso del país, así como </w:t>
      </w:r>
      <w:r>
        <w:rPr>
          <w:spacing w:val="3"/>
        </w:rPr>
        <w:t>de </w:t>
      </w:r>
      <w:r>
        <w:rPr/>
        <w:t>desarrollo humano (físico, estético y moral) y la importancia de  los logros materiales, posibilitados por las ocupaciones futuras y acordes con sus entornos  físico,  social  y  económico,  pero  </w:t>
      </w:r>
      <w:r>
        <w:rPr>
          <w:spacing w:val="-3"/>
        </w:rPr>
        <w:t>sin  </w:t>
      </w:r>
      <w:r>
        <w:rPr/>
        <w:t>llegar  a  ninguna </w:t>
      </w:r>
      <w:r>
        <w:rPr>
          <w:spacing w:val="20"/>
        </w:rPr>
        <w:t> </w:t>
      </w:r>
      <w:r>
        <w:rPr/>
        <w:t>especialización,</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9" w:lineRule="auto" w:before="74"/>
        <w:ind w:left="115" w:right="191"/>
      </w:pPr>
      <w:r>
        <w:rPr/>
        <w:t>mientras que en el nivel de primaria superior se ofrecían las mismas bases nacionalistas y humanistas, pero con cierto grado de  especialización.</w:t>
      </w:r>
    </w:p>
    <w:p>
      <w:pPr>
        <w:pStyle w:val="BodyText"/>
        <w:spacing w:line="364" w:lineRule="auto"/>
        <w:ind w:left="115" w:right="106" w:firstLine="686"/>
        <w:jc w:val="both"/>
      </w:pPr>
      <w:r>
        <w:rPr/>
        <w:t>Para 1934 y hasta 1944, Don Jesús Silva Herzog, como subsecretario de Educación Pública, en el período de Narciso Bassols y con ciertas tendencias socialistas, </w:t>
      </w:r>
      <w:r>
        <w:rPr>
          <w:spacing w:val="2"/>
        </w:rPr>
        <w:t>se </w:t>
      </w:r>
      <w:r>
        <w:rPr/>
        <w:t>apostó por la cobertura más que por la consistencia y se vieron  nacer centenares de escuelas primarias tanto en el </w:t>
      </w:r>
      <w:r>
        <w:rPr>
          <w:spacing w:val="-3"/>
        </w:rPr>
        <w:t>medio </w:t>
      </w:r>
      <w:r>
        <w:rPr/>
        <w:t>rural como  en  el  citadino. Se alejaban del modelo elitista y minoritario del porfiriato..  en  contrapartida y jaque, la baja preparación de los maestros, aunado a </w:t>
      </w:r>
      <w:r>
        <w:rPr>
          <w:spacing w:val="-3"/>
        </w:rPr>
        <w:t>la </w:t>
      </w:r>
      <w:r>
        <w:rPr/>
        <w:t>necesidad de los estudiantes de repartir su tiempo entre sus fuentes de empleo y la escuela, así como una </w:t>
      </w:r>
      <w:r>
        <w:rPr>
          <w:spacing w:val="-3"/>
        </w:rPr>
        <w:t>laxitud </w:t>
      </w:r>
      <w:r>
        <w:rPr/>
        <w:t>disciplinaria y poco apego a </w:t>
      </w:r>
      <w:r>
        <w:rPr>
          <w:spacing w:val="-3"/>
        </w:rPr>
        <w:t>las </w:t>
      </w:r>
      <w:r>
        <w:rPr/>
        <w:t>currículas, fueron las causas de </w:t>
      </w:r>
      <w:r>
        <w:rPr>
          <w:spacing w:val="-3"/>
        </w:rPr>
        <w:t>la </w:t>
      </w:r>
      <w:r>
        <w:rPr/>
        <w:t>baja calidad según el analista José Iturriaga. (Iturriaga: 1951:181 Citado en Ornelas:</w:t>
      </w:r>
      <w:r>
        <w:rPr>
          <w:spacing w:val="20"/>
        </w:rPr>
        <w:t> </w:t>
      </w:r>
      <w:r>
        <w:rPr/>
        <w:t>2009:170).</w:t>
      </w:r>
    </w:p>
    <w:p>
      <w:pPr>
        <w:pStyle w:val="BodyText"/>
        <w:spacing w:line="364" w:lineRule="auto"/>
        <w:ind w:left="115" w:right="103" w:firstLine="686"/>
        <w:jc w:val="both"/>
      </w:pPr>
      <w:r>
        <w:rPr/>
        <w:t>Con Torres Bodet a la cabeza, el sistema </w:t>
      </w:r>
      <w:r>
        <w:rPr>
          <w:spacing w:val="3"/>
        </w:rPr>
        <w:t>se </w:t>
      </w:r>
      <w:r>
        <w:rPr>
          <w:spacing w:val="-3"/>
        </w:rPr>
        <w:t>dividió </w:t>
      </w:r>
      <w:r>
        <w:rPr/>
        <w:t>en dos  etapas,  la primera de 1944 a 1959, </w:t>
      </w:r>
      <w:r>
        <w:rPr>
          <w:spacing w:val="2"/>
        </w:rPr>
        <w:t>en </w:t>
      </w:r>
      <w:r>
        <w:rPr/>
        <w:t>donde se puso énfasis </w:t>
      </w:r>
      <w:r>
        <w:rPr>
          <w:spacing w:val="3"/>
        </w:rPr>
        <w:t>en </w:t>
      </w:r>
      <w:r>
        <w:rPr/>
        <w:t>la educación de seis años, con un solo programa unificado, que diera fuerza y compactación al estado  nacional, promoviendo actitudes </w:t>
      </w:r>
      <w:r>
        <w:rPr>
          <w:spacing w:val="3"/>
        </w:rPr>
        <w:t>de </w:t>
      </w:r>
      <w:r>
        <w:rPr/>
        <w:t>solidaridad y responsabilidad colectiva, que desembocaran en </w:t>
      </w:r>
      <w:r>
        <w:rPr>
          <w:spacing w:val="-4"/>
        </w:rPr>
        <w:t>la </w:t>
      </w:r>
      <w:r>
        <w:rPr/>
        <w:t>unidad y superación del pueblo. Y </w:t>
      </w:r>
      <w:r>
        <w:rPr>
          <w:spacing w:val="-4"/>
        </w:rPr>
        <w:t>la  </w:t>
      </w:r>
      <w:r>
        <w:rPr/>
        <w:t>segunda, de 1960 a  1972, en donde </w:t>
      </w:r>
      <w:r>
        <w:rPr>
          <w:spacing w:val="3"/>
        </w:rPr>
        <w:t>se </w:t>
      </w:r>
      <w:r>
        <w:rPr/>
        <w:t>otorgaba importancia a la figura del estudiante, pretendiendo que los conocimientos adquiridos </w:t>
      </w:r>
      <w:r>
        <w:rPr>
          <w:spacing w:val="2"/>
        </w:rPr>
        <w:t>en </w:t>
      </w:r>
      <w:r>
        <w:rPr>
          <w:spacing w:val="-3"/>
        </w:rPr>
        <w:t>las </w:t>
      </w:r>
      <w:r>
        <w:rPr/>
        <w:t>escuelas, permitieran a los niños una formación que les concediera una mejor comprensión de la vida cotidiana, de </w:t>
      </w:r>
      <w:r>
        <w:rPr>
          <w:spacing w:val="-3"/>
        </w:rPr>
        <w:t>la </w:t>
      </w:r>
      <w:r>
        <w:rPr/>
        <w:t>investigación, </w:t>
      </w:r>
      <w:r>
        <w:rPr>
          <w:spacing w:val="-4"/>
        </w:rPr>
        <w:t>la</w:t>
      </w:r>
      <w:r>
        <w:rPr>
          <w:spacing w:val="55"/>
        </w:rPr>
        <w:t> </w:t>
      </w:r>
      <w:r>
        <w:rPr/>
        <w:t>observación y </w:t>
      </w:r>
      <w:r>
        <w:rPr>
          <w:spacing w:val="2"/>
        </w:rPr>
        <w:t>el </w:t>
      </w:r>
      <w:r>
        <w:rPr/>
        <w:t>correlacionamiento causa-efecto;  asimismo,  tenía </w:t>
      </w:r>
      <w:r>
        <w:rPr>
          <w:spacing w:val="-3"/>
        </w:rPr>
        <w:t>por </w:t>
      </w:r>
      <w:r>
        <w:rPr/>
        <w:t>objetivo, la aplicación de los conocimientos para la resolución de problemas, el uso de </w:t>
      </w:r>
      <w:r>
        <w:rPr>
          <w:spacing w:val="-3"/>
        </w:rPr>
        <w:t>sus </w:t>
      </w:r>
      <w:r>
        <w:rPr/>
        <w:t>manos en el </w:t>
      </w:r>
      <w:r>
        <w:rPr>
          <w:spacing w:val="-3"/>
        </w:rPr>
        <w:t>trabajo </w:t>
      </w:r>
      <w:r>
        <w:rPr/>
        <w:t>y el desarrollo de formas de civilidad enfocadas en el servicio a los demás, </w:t>
      </w:r>
      <w:r>
        <w:rPr>
          <w:spacing w:val="-3"/>
        </w:rPr>
        <w:t>así </w:t>
      </w:r>
      <w:r>
        <w:rPr/>
        <w:t>como el conocimiento de sus derechos y obligaciones, para exigencia y cumplimiento respectivamente (Consejo Nacional Técnico de </w:t>
      </w:r>
      <w:r>
        <w:rPr>
          <w:spacing w:val="-5"/>
        </w:rPr>
        <w:t>la </w:t>
      </w:r>
      <w:r>
        <w:rPr/>
        <w:t>Educación: 1973.  (En Ornelas: 2011: </w:t>
      </w:r>
      <w:r>
        <w:rPr>
          <w:spacing w:val="18"/>
        </w:rPr>
        <w:t> </w:t>
      </w:r>
      <w:r>
        <w:rPr/>
        <w:t>144-146)</w:t>
      </w:r>
    </w:p>
    <w:p>
      <w:pPr>
        <w:pStyle w:val="BodyText"/>
        <w:spacing w:line="364" w:lineRule="auto" w:before="10"/>
        <w:ind w:left="115" w:right="104" w:firstLine="686"/>
        <w:jc w:val="both"/>
      </w:pPr>
      <w:r>
        <w:rPr/>
        <w:t>A partir de los cincuentas se privilegiaban el contexto diferenciado y estable como causal de mejora educativa, empero, la crítica siempre </w:t>
      </w:r>
      <w:r>
        <w:rPr>
          <w:spacing w:val="3"/>
        </w:rPr>
        <w:t>se </w:t>
      </w:r>
      <w:r>
        <w:rPr/>
        <w:t>ha mostrado desfavorable y sólo en ciertos trabajos, se menciona a la política  global  </w:t>
      </w:r>
      <w:r>
        <w:rPr>
          <w:spacing w:val="2"/>
        </w:rPr>
        <w:t>del  </w:t>
      </w:r>
      <w:r>
        <w:rPr/>
        <w:t>sistema educativo como causa principal de tal desmerecimiento, </w:t>
      </w:r>
      <w:r>
        <w:rPr>
          <w:spacing w:val="3"/>
        </w:rPr>
        <w:t>en </w:t>
      </w:r>
      <w:r>
        <w:rPr>
          <w:spacing w:val="-3"/>
        </w:rPr>
        <w:t>la </w:t>
      </w:r>
      <w:r>
        <w:rPr/>
        <w:t>mayoría el énfasis se coloca en la formación</w:t>
      </w:r>
      <w:r>
        <w:rPr>
          <w:spacing w:val="45"/>
        </w:rPr>
        <w:t> </w:t>
      </w:r>
      <w:r>
        <w:rPr/>
        <w:t>docente.</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6" w:right="110" w:firstLine="686"/>
        <w:jc w:val="both"/>
      </w:pPr>
      <w:r>
        <w:rPr/>
        <w:t>Es desde fines de los 70´s que comienza el auge por la “administración centrada en la escuela”, que considera la relevancia de factores adicionales en las escuelas, tales como la rendición de cuentas y la transparencia; la participación ciudadana a través de consolidación de redes y la necesidad de llevar a cabo procesos de gestión más flexibles.</w:t>
      </w:r>
    </w:p>
    <w:p>
      <w:pPr>
        <w:pStyle w:val="BodyText"/>
        <w:spacing w:line="364" w:lineRule="auto" w:before="5"/>
        <w:ind w:left="116" w:right="112" w:firstLine="686"/>
        <w:jc w:val="both"/>
      </w:pPr>
      <w:r>
        <w:rPr/>
        <w:t>Esta corriente ponía énfasis en el peso </w:t>
      </w:r>
      <w:r>
        <w:rPr>
          <w:spacing w:val="-3"/>
        </w:rPr>
        <w:t>de </w:t>
      </w:r>
      <w:r>
        <w:rPr/>
        <w:t>las variables socioeconómicas en el rendimiento de los alumnos y por tanto, </w:t>
      </w:r>
      <w:r>
        <w:rPr>
          <w:spacing w:val="3"/>
        </w:rPr>
        <w:t>de </w:t>
      </w:r>
      <w:r>
        <w:rPr>
          <w:spacing w:val="-3"/>
        </w:rPr>
        <w:t>las </w:t>
      </w:r>
      <w:r>
        <w:rPr/>
        <w:t>escuelas; implicaba generar valor adicional a través de la recuperación de factores </w:t>
      </w:r>
      <w:r>
        <w:rPr>
          <w:spacing w:val="-3"/>
        </w:rPr>
        <w:t>que  </w:t>
      </w:r>
      <w:r>
        <w:rPr/>
        <w:t>incidieran en el incremento  de logros surgidos de procesos emanados de </w:t>
      </w:r>
      <w:r>
        <w:rPr>
          <w:spacing w:val="3"/>
        </w:rPr>
        <w:t>su </w:t>
      </w:r>
      <w:r>
        <w:rPr>
          <w:spacing w:val="8"/>
        </w:rPr>
        <w:t> </w:t>
      </w:r>
      <w:r>
        <w:rPr>
          <w:spacing w:val="-3"/>
        </w:rPr>
        <w:t>interior.</w:t>
      </w:r>
    </w:p>
    <w:p>
      <w:pPr>
        <w:pStyle w:val="BodyText"/>
        <w:spacing w:line="364" w:lineRule="auto" w:before="5"/>
        <w:ind w:left="116" w:right="107"/>
        <w:jc w:val="both"/>
      </w:pPr>
      <w:r>
        <w:rPr/>
        <w:t>Para </w:t>
      </w:r>
      <w:r>
        <w:rPr>
          <w:spacing w:val="-3"/>
        </w:rPr>
        <w:t>la </w:t>
      </w:r>
      <w:r>
        <w:rPr/>
        <w:t>década de los 80´s se intentó difundir la idea de que, el sistema educativo   o </w:t>
      </w:r>
      <w:r>
        <w:rPr>
          <w:spacing w:val="-3"/>
        </w:rPr>
        <w:t>lo </w:t>
      </w:r>
      <w:r>
        <w:rPr/>
        <w:t>que es lo mismo, las escuelas, influían </w:t>
      </w:r>
      <w:r>
        <w:rPr>
          <w:spacing w:val="2"/>
        </w:rPr>
        <w:t>en </w:t>
      </w:r>
      <w:r>
        <w:rPr/>
        <w:t>las condiciones culturales de </w:t>
      </w:r>
      <w:r>
        <w:rPr>
          <w:spacing w:val="-2"/>
        </w:rPr>
        <w:t>los </w:t>
      </w:r>
      <w:r>
        <w:rPr/>
        <w:t>alumnos y podían hacerlo sobre el resultado final del proceso educativo y/o el rendimiento del estudiante, haciendo ajenas las condiciones socioeconómicas de origen.</w:t>
      </w:r>
    </w:p>
    <w:p>
      <w:pPr>
        <w:pStyle w:val="BodyText"/>
        <w:spacing w:line="364" w:lineRule="auto" w:before="5"/>
        <w:ind w:left="116" w:right="113" w:firstLine="686"/>
        <w:jc w:val="both"/>
      </w:pPr>
      <w:r>
        <w:rPr/>
        <w:t>El hincapié se colocó en </w:t>
      </w:r>
      <w:r>
        <w:rPr>
          <w:spacing w:val="-5"/>
        </w:rPr>
        <w:t>la </w:t>
      </w:r>
      <w:r>
        <w:rPr/>
        <w:t>identificación de procesos como base de mejora (desarrollo del profesorado, grado de involucramiento de las decisiones centrales; estrategias de coordinación y trabajo colegiado, entre</w:t>
      </w:r>
      <w:r>
        <w:rPr>
          <w:spacing w:val="63"/>
        </w:rPr>
        <w:t> </w:t>
      </w:r>
      <w:r>
        <w:rPr/>
        <w:t>otros).</w:t>
      </w:r>
    </w:p>
    <w:p>
      <w:pPr>
        <w:pStyle w:val="BodyText"/>
        <w:spacing w:line="364" w:lineRule="auto" w:before="10"/>
        <w:ind w:left="116" w:right="111"/>
        <w:jc w:val="both"/>
      </w:pPr>
      <w:r>
        <w:rPr/>
        <w:t>Los 90´s destacan </w:t>
      </w:r>
      <w:r>
        <w:rPr>
          <w:spacing w:val="-5"/>
        </w:rPr>
        <w:t>la </w:t>
      </w:r>
      <w:r>
        <w:rPr/>
        <w:t>llamada “gestión basada en el centro” o la “administración centrada en la escuela” en donde se coloca la atención sobre la alteración de </w:t>
      </w:r>
      <w:r>
        <w:rPr>
          <w:spacing w:val="-2"/>
        </w:rPr>
        <w:t>las </w:t>
      </w:r>
      <w:r>
        <w:rPr/>
        <w:t>variables asociadas a resultados y desde sus propuestas y la actuación de </w:t>
      </w:r>
      <w:r>
        <w:rPr>
          <w:spacing w:val="-3"/>
        </w:rPr>
        <w:t>sus </w:t>
      </w:r>
      <w:r>
        <w:rPr/>
        <w:t>miembros. Ya sean variables de origen (relacionadas con el nivel socioeconómico de </w:t>
      </w:r>
      <w:r>
        <w:rPr>
          <w:spacing w:val="-3"/>
        </w:rPr>
        <w:t>los </w:t>
      </w:r>
      <w:r>
        <w:rPr/>
        <w:t>alumnos); las de naturaleza curricular (estructuración, transmisión y  recepción del conocimiento) y las de organización y gestión escolares (manejo adecuado de la coordinación y estructura del trabajo </w:t>
      </w:r>
      <w:r>
        <w:rPr>
          <w:spacing w:val="3"/>
        </w:rPr>
        <w:t>al </w:t>
      </w:r>
      <w:r>
        <w:rPr/>
        <w:t>interior de </w:t>
      </w:r>
      <w:r>
        <w:rPr>
          <w:spacing w:val="-5"/>
        </w:rPr>
        <w:t>la </w:t>
      </w:r>
      <w:r>
        <w:rPr>
          <w:spacing w:val="15"/>
        </w:rPr>
        <w:t> </w:t>
      </w:r>
      <w:r>
        <w:rPr/>
        <w:t>escuela).</w:t>
      </w:r>
    </w:p>
    <w:p>
      <w:pPr>
        <w:pStyle w:val="BodyText"/>
        <w:spacing w:line="364" w:lineRule="auto" w:before="5"/>
        <w:ind w:left="116" w:right="109" w:firstLine="686"/>
        <w:jc w:val="both"/>
      </w:pPr>
      <w:r>
        <w:rPr/>
        <w:t>No es novedad que </w:t>
      </w:r>
      <w:r>
        <w:rPr>
          <w:spacing w:val="-3"/>
        </w:rPr>
        <w:t>la </w:t>
      </w:r>
      <w:r>
        <w:rPr/>
        <w:t>literatura sobre </w:t>
      </w:r>
      <w:r>
        <w:rPr>
          <w:spacing w:val="-3"/>
        </w:rPr>
        <w:t>la </w:t>
      </w:r>
      <w:r>
        <w:rPr/>
        <w:t>calidad de la  educación  haya puesto desde hace un buen rato énfasis </w:t>
      </w:r>
      <w:r>
        <w:rPr>
          <w:spacing w:val="-3"/>
        </w:rPr>
        <w:t>sobre </w:t>
      </w:r>
      <w:r>
        <w:rPr/>
        <w:t>la mala calidad de la educación en nuestro país. Obras como “La catástrofe silenciosa” de Gilberto Guevara (1992) y “Educación para una economía competitiva” </w:t>
      </w:r>
      <w:r>
        <w:rPr>
          <w:spacing w:val="2"/>
        </w:rPr>
        <w:t>de </w:t>
      </w:r>
      <w:r>
        <w:rPr/>
        <w:t>Guillermo Trejo (1992), </w:t>
      </w:r>
      <w:r>
        <w:rPr>
          <w:spacing w:val="2"/>
        </w:rPr>
        <w:t>así </w:t>
      </w:r>
      <w:r>
        <w:rPr/>
        <w:t>como  en la documentación gubernamental oficial como el “Programa para </w:t>
      </w:r>
      <w:r>
        <w:rPr>
          <w:spacing w:val="-4"/>
        </w:rPr>
        <w:t>la </w:t>
      </w:r>
      <w:r>
        <w:rPr/>
        <w:t>Modernización educativa 1989-1994” y </w:t>
      </w:r>
      <w:r>
        <w:rPr>
          <w:spacing w:val="4"/>
        </w:rPr>
        <w:t>el </w:t>
      </w:r>
      <w:r>
        <w:rPr/>
        <w:t>“Programa Nacional de Educación, Cultura, Recreación y Deporte: 1984-1988”, son clara evidencia de tal </w:t>
      </w:r>
      <w:r>
        <w:rPr>
          <w:spacing w:val="23"/>
        </w:rPr>
        <w:t> </w:t>
      </w:r>
      <w:r>
        <w:rPr/>
        <w:t>fenómeno.</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6" w:right="107" w:firstLine="686"/>
        <w:jc w:val="both"/>
      </w:pPr>
      <w:r>
        <w:rPr/>
        <w:t>Algunos ejes sobre los que se asienta la dicha “mala calidad educativa” discurren sobre aspectos perceptibles </w:t>
      </w:r>
      <w:r>
        <w:rPr>
          <w:spacing w:val="3"/>
        </w:rPr>
        <w:t>no </w:t>
      </w:r>
      <w:r>
        <w:rPr/>
        <w:t>acotados, que han invitado a </w:t>
      </w:r>
      <w:r>
        <w:rPr>
          <w:spacing w:val="-5"/>
        </w:rPr>
        <w:t>la  </w:t>
      </w:r>
      <w:r>
        <w:rPr/>
        <w:t>promoción de políticas bien intencionadas, pero sin resultados halagüeños. </w:t>
      </w:r>
      <w:r>
        <w:rPr>
          <w:spacing w:val="-3"/>
        </w:rPr>
        <w:t>Las </w:t>
      </w:r>
      <w:r>
        <w:rPr/>
        <w:t>crisis en las sociedades modernas provocan </w:t>
      </w:r>
      <w:r>
        <w:rPr>
          <w:spacing w:val="-4"/>
        </w:rPr>
        <w:t>la </w:t>
      </w:r>
      <w:r>
        <w:rPr/>
        <w:t>exigencia del sistema educativo en todo tiempo y lugar, por tanto, el crecimiento de tal sistema no  deviene casualmente, pero </w:t>
      </w:r>
      <w:r>
        <w:rPr>
          <w:spacing w:val="4"/>
        </w:rPr>
        <w:t>sí </w:t>
      </w:r>
      <w:r>
        <w:rPr/>
        <w:t>de manera</w:t>
      </w:r>
      <w:r>
        <w:rPr>
          <w:spacing w:val="33"/>
        </w:rPr>
        <w:t> </w:t>
      </w:r>
      <w:r>
        <w:rPr/>
        <w:t>circunstancial.</w:t>
      </w:r>
    </w:p>
    <w:p>
      <w:pPr>
        <w:pStyle w:val="BodyText"/>
        <w:spacing w:before="5"/>
        <w:ind w:left="116" w:right="191"/>
      </w:pPr>
      <w:r>
        <w:rPr/>
        <w:t>Algunos de los puntos más acotados hacen referencia a  problemáticas:</w:t>
      </w:r>
    </w:p>
    <w:p>
      <w:pPr>
        <w:pStyle w:val="BodyText"/>
        <w:spacing w:line="364" w:lineRule="auto" w:before="138"/>
        <w:ind w:left="116" w:right="102" w:firstLine="652"/>
        <w:jc w:val="both"/>
      </w:pPr>
      <w:r>
        <w:rPr/>
        <w:t>De carácter instrumental: El crecimiento promovido por la industrialización, retroalimentó durante mucho tiempo el sistema educativo, sin embargo, encontró sus vacíos a raíz de </w:t>
      </w:r>
      <w:r>
        <w:rPr>
          <w:spacing w:val="-4"/>
        </w:rPr>
        <w:t>las </w:t>
      </w:r>
      <w:r>
        <w:rPr/>
        <w:t>explosiones sociales </w:t>
      </w:r>
      <w:r>
        <w:rPr>
          <w:spacing w:val="-3"/>
        </w:rPr>
        <w:t>de </w:t>
      </w:r>
      <w:r>
        <w:rPr/>
        <w:t>los setentas y </w:t>
      </w:r>
      <w:r>
        <w:rPr>
          <w:spacing w:val="-3"/>
        </w:rPr>
        <w:t>las </w:t>
      </w:r>
      <w:r>
        <w:rPr/>
        <w:t>limitaciones internas del mismo, el fracaso de </w:t>
      </w:r>
      <w:r>
        <w:rPr>
          <w:spacing w:val="-3"/>
        </w:rPr>
        <w:t>la </w:t>
      </w:r>
      <w:r>
        <w:rPr/>
        <w:t>educación como instrumento de promoción social y como medio de democratización; adicionalmente </w:t>
      </w:r>
      <w:r>
        <w:rPr>
          <w:spacing w:val="-3"/>
        </w:rPr>
        <w:t>la </w:t>
      </w:r>
      <w:r>
        <w:rPr/>
        <w:t>subordinación del sistema escolar al mercado, la ausencia de fines sociales específicos de carácter nacional y democrático que ofrecieran derroteros a </w:t>
      </w:r>
      <w:r>
        <w:rPr>
          <w:spacing w:val="-4"/>
        </w:rPr>
        <w:t>la </w:t>
      </w:r>
      <w:r>
        <w:rPr/>
        <w:t>acción educativa; la laxitud con la que se expandieron y diversificaron las instituciones privadas improvisadas;  </w:t>
      </w:r>
      <w:r>
        <w:rPr>
          <w:spacing w:val="-5"/>
        </w:rPr>
        <w:t>la </w:t>
      </w:r>
      <w:r>
        <w:rPr/>
        <w:t>uniformidad y obsolescencia del currículo, así como la ausencia de criterios prospectivos que tendieran a preparar a las nuevas generaciones para afrontar </w:t>
      </w:r>
      <w:r>
        <w:rPr>
          <w:spacing w:val="-3"/>
        </w:rPr>
        <w:t>las </w:t>
      </w:r>
      <w:r>
        <w:rPr/>
        <w:t>exigencias cognoscitivas y morales de </w:t>
      </w:r>
      <w:r>
        <w:rPr>
          <w:spacing w:val="-4"/>
        </w:rPr>
        <w:t>la</w:t>
      </w:r>
      <w:r>
        <w:rPr>
          <w:spacing w:val="55"/>
        </w:rPr>
        <w:t> </w:t>
      </w:r>
      <w:r>
        <w:rPr/>
        <w:t>sociedad mundial; el estrecho pragmatismo de los docentes; la distribución desigual de los insumos en </w:t>
      </w:r>
      <w:r>
        <w:rPr>
          <w:spacing w:val="-3"/>
        </w:rPr>
        <w:t>las </w:t>
      </w:r>
      <w:r>
        <w:rPr/>
        <w:t>escuelas, la inequidad con relación a </w:t>
      </w:r>
      <w:r>
        <w:rPr>
          <w:spacing w:val="-5"/>
        </w:rPr>
        <w:t>la </w:t>
      </w:r>
      <w:r>
        <w:rPr/>
        <w:t>infraestructura entre las escuelas y  docentes menos calificados, así como la manera en </w:t>
      </w:r>
      <w:r>
        <w:rPr>
          <w:spacing w:val="-3"/>
        </w:rPr>
        <w:t>que  </w:t>
      </w:r>
      <w:r>
        <w:rPr/>
        <w:t>se asignan actualmente  los recursos, con un margen de maniobra muy limitado para mejorar </w:t>
      </w:r>
      <w:r>
        <w:rPr>
          <w:spacing w:val="-4"/>
        </w:rPr>
        <w:t>la </w:t>
      </w:r>
      <w:r>
        <w:rPr/>
        <w:t>infraestructura escolar, la baja inversión en infraestructura escolar y materiales educativos, etc. son solo algunos de los problemas de carácter instrumental, que emparejados con otros </w:t>
      </w:r>
      <w:r>
        <w:rPr>
          <w:spacing w:val="-3"/>
        </w:rPr>
        <w:t>no </w:t>
      </w:r>
      <w:r>
        <w:rPr/>
        <w:t>menores, tales como la burocratización, el carácter corporativo y clientelar con que opera el sistema, la ausencia de una planeación efectiva que dé </w:t>
      </w:r>
      <w:r>
        <w:rPr>
          <w:spacing w:val="-3"/>
        </w:rPr>
        <w:t>pie </w:t>
      </w:r>
      <w:r>
        <w:rPr/>
        <w:t>a un proyecto nacional; </w:t>
      </w:r>
      <w:r>
        <w:rPr>
          <w:spacing w:val="-5"/>
        </w:rPr>
        <w:t>la </w:t>
      </w:r>
      <w:r>
        <w:rPr/>
        <w:t>nula retroalimentación entre niveles,   </w:t>
      </w:r>
      <w:r>
        <w:rPr>
          <w:spacing w:val="-5"/>
        </w:rPr>
        <w:t>la </w:t>
      </w:r>
      <w:r>
        <w:rPr/>
        <w:t>duplicidad y superposición institucional, entre seguramente muchos otros, estigmatizan </w:t>
      </w:r>
      <w:r>
        <w:rPr>
          <w:spacing w:val="-5"/>
        </w:rPr>
        <w:t>la </w:t>
      </w:r>
      <w:r>
        <w:rPr/>
        <w:t>compleja situación de la educación en nuestro </w:t>
      </w:r>
      <w:r>
        <w:rPr>
          <w:spacing w:val="14"/>
        </w:rPr>
        <w:t> </w:t>
      </w:r>
      <w:r>
        <w:rPr/>
        <w:t>país.</w:t>
      </w:r>
    </w:p>
    <w:p>
      <w:pPr>
        <w:pStyle w:val="BodyText"/>
        <w:spacing w:line="369" w:lineRule="auto"/>
        <w:ind w:left="116" w:right="110" w:firstLine="652"/>
        <w:jc w:val="both"/>
      </w:pPr>
      <w:r>
        <w:rPr/>
        <w:t>De las oportunidades de trabajo: Otra barrera son las reducidas oportunidades   de   trabajo   estable,  remunerado  y  satisfactorio.  Sin    suficiente</w:t>
      </w:r>
    </w:p>
    <w:p>
      <w:pPr>
        <w:spacing w:after="0" w:line="369"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4"/>
        <w:jc w:val="both"/>
      </w:pPr>
      <w:r>
        <w:rPr/>
        <w:t>educación no hay oferta de contratación regular. La poca escolaridad y  baja  calidad en los aprendizajes, bloquea o distorsiona </w:t>
      </w:r>
      <w:r>
        <w:rPr>
          <w:spacing w:val="-3"/>
        </w:rPr>
        <w:t>la </w:t>
      </w:r>
      <w:r>
        <w:rPr/>
        <w:t>cadena virtuosa del emprendimiento, </w:t>
      </w:r>
      <w:r>
        <w:rPr>
          <w:spacing w:val="-4"/>
        </w:rPr>
        <w:t>la</w:t>
      </w:r>
      <w:r>
        <w:rPr>
          <w:spacing w:val="55"/>
        </w:rPr>
        <w:t> </w:t>
      </w:r>
      <w:r>
        <w:rPr/>
        <w:t>generación de nuevas empresas y la consolidación de beneficios sociales, las personas de menor escolaridad y bajo aprovechamiento educativo </w:t>
      </w:r>
      <w:r>
        <w:rPr>
          <w:spacing w:val="3"/>
        </w:rPr>
        <w:t>se </w:t>
      </w:r>
      <w:r>
        <w:rPr/>
        <w:t>topan con el riego constante del empobrecimiento, pues típicamente  su ingreso será pequeño y deberán aplicarlo de inmediato a las necesidades básicas, sin posibilidades de crecer como verdadero patrimonio”.(Mexicanos Primero, 2009:</w:t>
      </w:r>
      <w:r>
        <w:rPr>
          <w:spacing w:val="15"/>
        </w:rPr>
        <w:t> </w:t>
      </w:r>
      <w:r>
        <w:rPr/>
        <w:t>7).</w:t>
      </w:r>
    </w:p>
    <w:p>
      <w:pPr>
        <w:pStyle w:val="BodyText"/>
        <w:spacing w:line="364" w:lineRule="auto" w:before="5"/>
        <w:ind w:left="115" w:right="107" w:firstLine="652"/>
        <w:jc w:val="both"/>
      </w:pPr>
      <w:r>
        <w:rPr/>
        <w:t>De </w:t>
      </w:r>
      <w:r>
        <w:rPr>
          <w:spacing w:val="-5"/>
        </w:rPr>
        <w:t>la </w:t>
      </w:r>
      <w:r>
        <w:rPr/>
        <w:t>inseguridad: Aunado a los factores anteriores, se hace evidente un problema de peso considerable en nuestro país: la inseguridad. Los niños  y  jóvenes </w:t>
      </w:r>
      <w:r>
        <w:rPr>
          <w:spacing w:val="-3"/>
        </w:rPr>
        <w:t>que </w:t>
      </w:r>
      <w:r>
        <w:rPr/>
        <w:t>no están en </w:t>
      </w:r>
      <w:r>
        <w:rPr>
          <w:spacing w:val="-5"/>
        </w:rPr>
        <w:t>la </w:t>
      </w:r>
      <w:r>
        <w:rPr/>
        <w:t>escuela son poblaciones de alto riesgo para el abuso y  el maltrato intrafamilar, callejero o  laboral, pues </w:t>
      </w:r>
      <w:r>
        <w:rPr>
          <w:spacing w:val="-3"/>
        </w:rPr>
        <w:t>la </w:t>
      </w:r>
      <w:r>
        <w:rPr/>
        <w:t>red de adhesión de </w:t>
      </w:r>
      <w:r>
        <w:rPr>
          <w:spacing w:val="-4"/>
        </w:rPr>
        <w:t>la  </w:t>
      </w:r>
      <w:r>
        <w:rPr/>
        <w:t>escuela  </w:t>
      </w:r>
      <w:r>
        <w:rPr>
          <w:spacing w:val="-4"/>
        </w:rPr>
        <w:t>ya</w:t>
      </w:r>
      <w:r>
        <w:rPr>
          <w:spacing w:val="55"/>
        </w:rPr>
        <w:t> </w:t>
      </w:r>
      <w:r>
        <w:rPr/>
        <w:t>no es efectiva para ellos. Los mexicanos menos educados están  más  expuestos al robo y </w:t>
      </w:r>
      <w:r>
        <w:rPr>
          <w:spacing w:val="4"/>
        </w:rPr>
        <w:t>al </w:t>
      </w:r>
      <w:r>
        <w:rPr/>
        <w:t>asalto, porque no tienen acceso a seguridad adicional y es probable que el despojo quede impune; con asimetría de información, tienen poca confianza en la denuncia y pocos medios  para exigir eficazmente </w:t>
      </w:r>
      <w:r>
        <w:rPr>
          <w:spacing w:val="-3"/>
        </w:rPr>
        <w:t>la  </w:t>
      </w:r>
      <w:r>
        <w:rPr/>
        <w:t>procuración  de justicia, se dan condiciones de abuso físico, emocional y violencia de manera frecuente.</w:t>
      </w:r>
    </w:p>
    <w:p>
      <w:pPr>
        <w:pStyle w:val="BodyText"/>
        <w:spacing w:line="364" w:lineRule="auto" w:before="5"/>
        <w:ind w:left="115" w:right="110" w:firstLine="652"/>
        <w:jc w:val="both"/>
      </w:pPr>
      <w:r>
        <w:rPr/>
        <w:t>De la formación de redes delincuenciales:  Consecuentemente  la  baja calidad educativa y las escasas posibilidades de continuar estudiando favorecen el reclutamiento al crimen. No sorprende a nadie descubrir una escolaridad discreta y generalizada entre los operadores del narcotráfico y </w:t>
      </w:r>
      <w:r>
        <w:rPr>
          <w:spacing w:val="-4"/>
        </w:rPr>
        <w:t>la  </w:t>
      </w:r>
      <w:r>
        <w:rPr/>
        <w:t>delincuencia, que asumen   el riesgo al no contar con </w:t>
      </w:r>
      <w:r>
        <w:rPr>
          <w:spacing w:val="-3"/>
        </w:rPr>
        <w:t>otras  </w:t>
      </w:r>
      <w:r>
        <w:rPr/>
        <w:t>opciones para valerse por sí mismos. La escuela  no está logrando revertir </w:t>
      </w:r>
      <w:r>
        <w:rPr>
          <w:spacing w:val="-4"/>
        </w:rPr>
        <w:t>la </w:t>
      </w:r>
      <w:r>
        <w:rPr/>
        <w:t>prioridad de patrones de convivencia abusiva o del uso de </w:t>
      </w:r>
      <w:r>
        <w:rPr>
          <w:spacing w:val="-4"/>
        </w:rPr>
        <w:t>la </w:t>
      </w:r>
      <w:r>
        <w:rPr/>
        <w:t>violencia como vía de procesar el conflicto. El reconocimiento de las normas    y </w:t>
      </w:r>
      <w:r>
        <w:rPr>
          <w:spacing w:val="-4"/>
        </w:rPr>
        <w:t>las </w:t>
      </w:r>
      <w:r>
        <w:rPr/>
        <w:t>instituciones no se ve ratificado por las actividades escolares, pues en todos los ámbitos es más reconocido un nivel económico alto a las procedencias de </w:t>
      </w:r>
      <w:r>
        <w:rPr>
          <w:spacing w:val="-3"/>
        </w:rPr>
        <w:t>los </w:t>
      </w:r>
      <w:r>
        <w:rPr/>
        <w:t>recursos característicos </w:t>
      </w:r>
      <w:r>
        <w:rPr>
          <w:spacing w:val="-3"/>
        </w:rPr>
        <w:t>de </w:t>
      </w:r>
      <w:r>
        <w:rPr/>
        <w:t>dicho</w:t>
      </w:r>
      <w:r>
        <w:rPr>
          <w:spacing w:val="53"/>
        </w:rPr>
        <w:t> </w:t>
      </w:r>
      <w:r>
        <w:rPr/>
        <w:t>nivel.</w:t>
      </w:r>
    </w:p>
    <w:p>
      <w:pPr>
        <w:pStyle w:val="BodyText"/>
        <w:spacing w:line="364" w:lineRule="auto" w:before="5"/>
        <w:ind w:left="115" w:right="107" w:firstLine="652"/>
        <w:jc w:val="both"/>
      </w:pPr>
      <w:r>
        <w:rPr/>
        <w:t>De la corrupción: Afirmando lo anterior la deficiente educación de </w:t>
      </w:r>
      <w:r>
        <w:rPr>
          <w:spacing w:val="-2"/>
        </w:rPr>
        <w:t>las </w:t>
      </w:r>
      <w:r>
        <w:rPr/>
        <w:t>personas encargadas de </w:t>
      </w:r>
      <w:r>
        <w:rPr>
          <w:spacing w:val="-3"/>
        </w:rPr>
        <w:t>los </w:t>
      </w:r>
      <w:r>
        <w:rPr/>
        <w:t>propios sistemas de seguridad y procuración de justicia,  provocan  que  estos  sean  ineficientes  y  corruptos.  Según  </w:t>
      </w:r>
      <w:r>
        <w:rPr>
          <w:spacing w:val="-4"/>
        </w:rPr>
        <w:t>la  </w:t>
      </w:r>
      <w:r>
        <w:rPr>
          <w:spacing w:val="28"/>
        </w:rPr>
        <w:t> </w:t>
      </w:r>
      <w:r>
        <w:rPr/>
        <w:t>Auditoría</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8"/>
        <w:jc w:val="both"/>
      </w:pPr>
      <w:r>
        <w:rPr/>
        <w:t>Superior de la Federación, solo tres de cada diez policías estatales, municipales y custodios en el país cuentan con escolaridad superior a secundaria; uno de cada cinco no concluyó la primaria. Además de los niveles jerárquicos medios y altos de las entidades de procuración de justicia, quienes gozan de impunidad y contra quienes las leyes son aplicadas discrecionalmente.</w:t>
      </w:r>
    </w:p>
    <w:p>
      <w:pPr>
        <w:pStyle w:val="BodyText"/>
        <w:spacing w:line="364" w:lineRule="auto" w:before="5"/>
        <w:ind w:left="115" w:right="105" w:firstLine="652"/>
        <w:jc w:val="both"/>
      </w:pPr>
      <w:r>
        <w:rPr/>
        <w:t>De la reproducción sistémica de la pobreza: Estructuralmente visto, el  sistema </w:t>
      </w:r>
      <w:r>
        <w:rPr>
          <w:spacing w:val="-4"/>
        </w:rPr>
        <w:t>no</w:t>
      </w:r>
      <w:r>
        <w:rPr>
          <w:spacing w:val="55"/>
        </w:rPr>
        <w:t> </w:t>
      </w:r>
      <w:r>
        <w:rPr/>
        <w:t>está garantizando </w:t>
      </w:r>
      <w:r>
        <w:rPr>
          <w:spacing w:val="-3"/>
        </w:rPr>
        <w:t>que </w:t>
      </w:r>
      <w:r>
        <w:rPr/>
        <w:t>la escuela misma no sea un factor  de  transmisión intergeneracional de </w:t>
      </w:r>
      <w:r>
        <w:rPr>
          <w:spacing w:val="-5"/>
        </w:rPr>
        <w:t>la </w:t>
      </w:r>
      <w:r>
        <w:rPr/>
        <w:t>pobreza. Se ha convertido al subsidio en una constante indispensable, en lugar de ocupar el lugar paliativo  que  </w:t>
      </w:r>
      <w:r>
        <w:rPr>
          <w:spacing w:val="-5"/>
        </w:rPr>
        <w:t>le  </w:t>
      </w:r>
      <w:r>
        <w:rPr/>
        <w:t>correspondería y con </w:t>
      </w:r>
      <w:r>
        <w:rPr>
          <w:spacing w:val="-4"/>
        </w:rPr>
        <w:t>la </w:t>
      </w:r>
      <w:r>
        <w:rPr/>
        <w:t>reincidente idea errónea de que es este el mejor combate   a </w:t>
      </w:r>
      <w:r>
        <w:rPr>
          <w:spacing w:val="-4"/>
        </w:rPr>
        <w:t>la </w:t>
      </w:r>
      <w:r>
        <w:rPr/>
        <w:t>pobreza. </w:t>
      </w:r>
      <w:r>
        <w:rPr>
          <w:spacing w:val="2"/>
        </w:rPr>
        <w:t>El </w:t>
      </w:r>
      <w:r>
        <w:rPr/>
        <w:t>asistencialismo provoca dependencia y reproduce los esquemas  de pobreza, desconoce la dignidad y </w:t>
      </w:r>
      <w:r>
        <w:rPr>
          <w:spacing w:val="-4"/>
        </w:rPr>
        <w:t>la </w:t>
      </w:r>
      <w:r>
        <w:rPr/>
        <w:t>eficacia de la </w:t>
      </w:r>
      <w:r>
        <w:rPr>
          <w:spacing w:val="18"/>
        </w:rPr>
        <w:t> </w:t>
      </w:r>
      <w:r>
        <w:rPr/>
        <w:t>educación.</w:t>
      </w:r>
    </w:p>
    <w:p>
      <w:pPr>
        <w:pStyle w:val="BodyText"/>
        <w:spacing w:line="364" w:lineRule="auto"/>
        <w:ind w:left="115" w:right="104" w:firstLine="686"/>
        <w:jc w:val="both"/>
      </w:pPr>
      <w:r>
        <w:rPr/>
        <w:t>Cerrar estas heridas entre estratos, equivale a decir que la educación en México no transforma a la sociedad, sino que reproduce la desigualdad que existe. Es un problema técnico, político y cultural, de tal suerte que el asunto del acceso,   </w:t>
      </w:r>
      <w:r>
        <w:rPr>
          <w:spacing w:val="-5"/>
        </w:rPr>
        <w:t>la </w:t>
      </w:r>
      <w:r>
        <w:rPr/>
        <w:t>permanencia y los resultados retornan a </w:t>
      </w:r>
      <w:r>
        <w:rPr>
          <w:spacing w:val="-5"/>
        </w:rPr>
        <w:t>la </w:t>
      </w:r>
      <w:r>
        <w:rPr/>
        <w:t>cuestión social  y  el  sistema  educativo queda como colaborador de tal</w:t>
      </w:r>
      <w:r>
        <w:rPr>
          <w:spacing w:val="54"/>
        </w:rPr>
        <w:t> </w:t>
      </w:r>
      <w:r>
        <w:rPr/>
        <w:t>reproducción.</w:t>
      </w:r>
    </w:p>
    <w:p>
      <w:pPr>
        <w:pStyle w:val="BodyText"/>
        <w:spacing w:line="364" w:lineRule="auto" w:before="10"/>
        <w:ind w:left="115" w:right="104" w:firstLine="686"/>
        <w:jc w:val="both"/>
      </w:pPr>
      <w:r>
        <w:rPr/>
        <w:t>De las diferencias ideológicas de origen: Además de desmotivar el respeto por la diversidad en contrapartida con la </w:t>
      </w:r>
      <w:r>
        <w:rPr>
          <w:i/>
        </w:rPr>
        <w:t>inequidad ofensiva y detestable</w:t>
      </w:r>
      <w:r>
        <w:rPr/>
        <w:t>, haciendo énfasis en que en México, se insiste, la escuela no transforma a la sociedad, sino que reproduce la desigualdad del origen; el peso del contexto prevalece sobre la intervención educativa y se desatienden o inhiben los factores que favorecen los resultados equivalentes, dicho de otra manera, son los niños los que llevan las diferencias de capital cultural de sus hogares.</w:t>
      </w:r>
    </w:p>
    <w:p>
      <w:pPr>
        <w:pStyle w:val="BodyText"/>
        <w:spacing w:line="364" w:lineRule="auto" w:before="5"/>
        <w:ind w:left="115" w:right="106" w:firstLine="686"/>
        <w:jc w:val="both"/>
      </w:pPr>
      <w:r>
        <w:rPr/>
        <w:t>De </w:t>
      </w:r>
      <w:r>
        <w:rPr>
          <w:spacing w:val="-4"/>
        </w:rPr>
        <w:t>la </w:t>
      </w:r>
      <w:r>
        <w:rPr/>
        <w:t>salud: Otro de los pilares afectados, </w:t>
      </w:r>
      <w:r>
        <w:rPr>
          <w:spacing w:val="-3"/>
        </w:rPr>
        <w:t>es </w:t>
      </w:r>
      <w:r>
        <w:rPr/>
        <w:t>el de régimen de salud, pues como </w:t>
      </w:r>
      <w:r>
        <w:rPr>
          <w:spacing w:val="-3"/>
        </w:rPr>
        <w:t>ejemplo </w:t>
      </w:r>
      <w:r>
        <w:rPr/>
        <w:t>las madres con baja escolaridad tienen dificultades con el control reproductivo, espaciamiento de los nacimientos, atención prenatal, el cumplimiento de los esquemas de vacunación y </w:t>
      </w:r>
      <w:r>
        <w:rPr>
          <w:spacing w:val="-5"/>
        </w:rPr>
        <w:t>la </w:t>
      </w:r>
      <w:r>
        <w:rPr/>
        <w:t>prevención de enfermedades de transmisión sexual y el SIDA; las mujeres menos educadas presentan una situación más vulnerable y de peor salud física y mental, comparadas con aquellas en  condiciones de mayor</w:t>
      </w:r>
      <w:r>
        <w:rPr>
          <w:spacing w:val="31"/>
        </w:rPr>
        <w:t> </w:t>
      </w:r>
      <w:r>
        <w:rPr/>
        <w:t>educación.</w:t>
      </w:r>
    </w:p>
    <w:p>
      <w:pPr>
        <w:spacing w:after="0" w:line="364" w:lineRule="auto"/>
        <w:jc w:val="both"/>
        <w:sectPr>
          <w:footerReference w:type="default" r:id="rId39"/>
          <w:pgSz w:w="11910" w:h="16840"/>
          <w:pgMar w:footer="1457" w:header="0"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6"/>
        <w:jc w:val="both"/>
      </w:pPr>
      <w:r>
        <w:rPr/>
        <w:t>“Sin una mejora educativa, la creciente complejidad y aumento en el gasto de atención prioritaria que coordina </w:t>
      </w:r>
      <w:r>
        <w:rPr>
          <w:spacing w:val="-5"/>
        </w:rPr>
        <w:t>la </w:t>
      </w:r>
      <w:r>
        <w:rPr/>
        <w:t>Secretaría de Salud tiene pocas  posibilidades de abonar verdaderamente a favor de las poblaciones vulnerables </w:t>
      </w:r>
      <w:r>
        <w:rPr>
          <w:spacing w:val="2"/>
        </w:rPr>
        <w:t>de </w:t>
      </w:r>
      <w:r>
        <w:rPr/>
        <w:t>México” (Mexicanos Primero, 2009:</w:t>
      </w:r>
      <w:r>
        <w:rPr>
          <w:spacing w:val="29"/>
        </w:rPr>
        <w:t> </w:t>
      </w:r>
      <w:r>
        <w:rPr/>
        <w:t>8).</w:t>
      </w:r>
    </w:p>
    <w:p>
      <w:pPr>
        <w:pStyle w:val="BodyText"/>
        <w:spacing w:line="364" w:lineRule="auto" w:before="5"/>
        <w:ind w:left="115" w:right="105" w:firstLine="686"/>
        <w:jc w:val="both"/>
      </w:pPr>
      <w:r>
        <w:rPr/>
        <w:t>Del manejo ideológico: </w:t>
      </w:r>
      <w:r>
        <w:rPr>
          <w:spacing w:val="-3"/>
        </w:rPr>
        <w:t>Sin </w:t>
      </w:r>
      <w:r>
        <w:rPr/>
        <w:t>educación de calidad </w:t>
      </w:r>
      <w:r>
        <w:rPr>
          <w:spacing w:val="3"/>
        </w:rPr>
        <w:t>se </w:t>
      </w:r>
      <w:r>
        <w:rPr/>
        <w:t>condiciona los jóvenes    y niños para que </w:t>
      </w:r>
      <w:r>
        <w:rPr>
          <w:spacing w:val="3"/>
        </w:rPr>
        <w:t>su </w:t>
      </w:r>
      <w:r>
        <w:rPr/>
        <w:t>presencia como ciudadanos reproduzca sistemas políticos corruptos y excluyentes. La baja escolaridad forja alianzas con </w:t>
      </w:r>
      <w:r>
        <w:rPr>
          <w:spacing w:val="-5"/>
        </w:rPr>
        <w:t>la </w:t>
      </w:r>
      <w:r>
        <w:rPr/>
        <w:t>participación mínima, acumulativa y proclive a </w:t>
      </w:r>
      <w:r>
        <w:rPr>
          <w:spacing w:val="-3"/>
        </w:rPr>
        <w:t>la </w:t>
      </w:r>
      <w:r>
        <w:rPr/>
        <w:t>extorsión, en </w:t>
      </w:r>
      <w:r>
        <w:rPr>
          <w:spacing w:val="-4"/>
        </w:rPr>
        <w:t>la  </w:t>
      </w:r>
      <w:r>
        <w:rPr/>
        <w:t>cual </w:t>
      </w:r>
      <w:r>
        <w:rPr>
          <w:spacing w:val="-3"/>
        </w:rPr>
        <w:t>las  </w:t>
      </w:r>
      <w:r>
        <w:rPr/>
        <w:t>masas son juguetes  de líderes corruptos, que invitan con el mismo fervor a destruir, difamar, delinquir, que a teatralizar con el ejercicio democrático del voto o del apoyo prometido. De manera frecuente, los agremiados a un sindicato reconocen </w:t>
      </w:r>
      <w:r>
        <w:rPr>
          <w:spacing w:val="-3"/>
        </w:rPr>
        <w:t>los </w:t>
      </w:r>
      <w:r>
        <w:rPr/>
        <w:t>abusos y excesos de sus jerarcas gremiales, tras la cortina sostenida </w:t>
      </w:r>
      <w:r>
        <w:rPr>
          <w:spacing w:val="3"/>
        </w:rPr>
        <w:t>con </w:t>
      </w:r>
      <w:r>
        <w:rPr/>
        <w:t>“premios” disfrazados </w:t>
      </w:r>
      <w:r>
        <w:rPr>
          <w:spacing w:val="-3"/>
        </w:rPr>
        <w:t>de </w:t>
      </w:r>
      <w:r>
        <w:rPr/>
        <w:t>bonos, incrementos salariales ínfimos, prestaciones de apariencia apabullante, disipan el autoritarismo, </w:t>
      </w:r>
      <w:r>
        <w:rPr>
          <w:spacing w:val="-4"/>
        </w:rPr>
        <w:t>la </w:t>
      </w:r>
      <w:r>
        <w:rPr/>
        <w:t>opacidad y clientelismo..y disculpan su animadversión personal en beneficio grupal impoluto y manejable, que en el marco no alcanza  para obtener oportunidades salariales significativas o  </w:t>
      </w:r>
      <w:r>
        <w:rPr>
          <w:spacing w:val="3"/>
        </w:rPr>
        <w:t>en</w:t>
      </w:r>
      <w:r>
        <w:rPr>
          <w:spacing w:val="69"/>
        </w:rPr>
        <w:t> </w:t>
      </w:r>
      <w:r>
        <w:rPr>
          <w:spacing w:val="-4"/>
        </w:rPr>
        <w:t>la</w:t>
      </w:r>
      <w:r>
        <w:rPr>
          <w:spacing w:val="55"/>
        </w:rPr>
        <w:t> </w:t>
      </w:r>
      <w:r>
        <w:rPr/>
        <w:t>distribución meritocrática de servicios </w:t>
      </w:r>
      <w:r>
        <w:rPr>
          <w:spacing w:val="-3"/>
        </w:rPr>
        <w:t>en </w:t>
      </w:r>
      <w:r>
        <w:rPr/>
        <w:t>favor del</w:t>
      </w:r>
      <w:r>
        <w:rPr>
          <w:spacing w:val="61"/>
        </w:rPr>
        <w:t> </w:t>
      </w:r>
      <w:r>
        <w:rPr/>
        <w:t>Estado.</w:t>
      </w:r>
    </w:p>
    <w:p>
      <w:pPr>
        <w:pStyle w:val="BodyText"/>
        <w:spacing w:line="364" w:lineRule="auto" w:before="10"/>
        <w:ind w:left="115" w:right="103" w:firstLine="686"/>
        <w:jc w:val="both"/>
      </w:pPr>
      <w:r>
        <w:rPr/>
        <w:t>De las consecuencias </w:t>
      </w:r>
      <w:r>
        <w:rPr>
          <w:spacing w:val="3"/>
        </w:rPr>
        <w:t>de </w:t>
      </w:r>
      <w:r>
        <w:rPr>
          <w:spacing w:val="-3"/>
        </w:rPr>
        <w:t>la </w:t>
      </w:r>
      <w:r>
        <w:rPr/>
        <w:t>inequidad de acceso: las diferencias en </w:t>
      </w:r>
      <w:r>
        <w:rPr>
          <w:spacing w:val="3"/>
        </w:rPr>
        <w:t>el </w:t>
      </w:r>
      <w:r>
        <w:rPr/>
        <w:t>acceso, trayectoria, egreso y resultados educativos que separan a distintos grupos de población vulneran el derecho a una educación de calidad. Hay caminos que dividen a minorías con trayectorias completas y exitosas </w:t>
      </w:r>
      <w:r>
        <w:rPr>
          <w:spacing w:val="-4"/>
        </w:rPr>
        <w:t>y, </w:t>
      </w:r>
      <w:r>
        <w:rPr/>
        <w:t>lamentablemente, mayorías sin ellas; aquellos que dividen estratos educativos por  condición  de salud, pertenencia étnica, densidad y aislamiento de </w:t>
      </w:r>
      <w:r>
        <w:rPr>
          <w:spacing w:val="-5"/>
        </w:rPr>
        <w:t>la </w:t>
      </w:r>
      <w:r>
        <w:rPr/>
        <w:t>población, modalidad, sostenimiento, en donde y de nuevo, no hay resultados equitativos; las que dividen las prácticas, por un lado, y el logro, por otro ya sea entre estados, entre transferencias condicionadas y éxito educativo, entre condición vigente y tareas asignadas a </w:t>
      </w:r>
      <w:r>
        <w:rPr>
          <w:spacing w:val="-3"/>
        </w:rPr>
        <w:t>los</w:t>
      </w:r>
      <w:r>
        <w:rPr>
          <w:spacing w:val="37"/>
        </w:rPr>
        <w:t> </w:t>
      </w:r>
      <w:r>
        <w:rPr/>
        <w:t>maestros.</w:t>
      </w:r>
    </w:p>
    <w:p>
      <w:pPr>
        <w:pStyle w:val="BodyText"/>
        <w:spacing w:line="364" w:lineRule="auto" w:before="5"/>
        <w:ind w:left="115" w:right="109" w:firstLine="686"/>
        <w:jc w:val="both"/>
      </w:pPr>
      <w:r>
        <w:rPr/>
        <w:t>De </w:t>
      </w:r>
      <w:r>
        <w:rPr>
          <w:spacing w:val="-3"/>
        </w:rPr>
        <w:t>las </w:t>
      </w:r>
      <w:r>
        <w:rPr/>
        <w:t>Evaluaciones: Por otra parte, y de acuerdo a  los  resultados  obtenidos de las evaluaciones nacionales e internacionales, los obstáculos principales, ligados a una escolaridad incompleta o </w:t>
      </w:r>
      <w:r>
        <w:rPr>
          <w:spacing w:val="3"/>
        </w:rPr>
        <w:t>de </w:t>
      </w:r>
      <w:r>
        <w:rPr/>
        <w:t>baja calidad son los bajos resultados     continuos,     el     rezago     y     abandono     de     los     alumnos,</w:t>
      </w:r>
      <w:r>
        <w:rPr>
          <w:spacing w:val="46"/>
        </w:rPr>
        <w:t> </w:t>
      </w:r>
      <w:r>
        <w:rPr>
          <w:spacing w:val="-3"/>
        </w:rPr>
        <w:t>las</w:t>
      </w:r>
    </w:p>
    <w:p>
      <w:pPr>
        <w:spacing w:after="0" w:line="364" w:lineRule="auto"/>
        <w:jc w:val="both"/>
        <w:sectPr>
          <w:footerReference w:type="default" r:id="rId40"/>
          <w:pgSz w:w="11910" w:h="16840"/>
          <w:pgMar w:footer="1457" w:header="0" w:top="1580" w:bottom="1640" w:left="1540" w:right="1540"/>
          <w:pgNumType w:start="151"/>
        </w:sectPr>
      </w:pPr>
    </w:p>
    <w:p>
      <w:pPr>
        <w:pStyle w:val="BodyText"/>
        <w:rPr>
          <w:sz w:val="20"/>
        </w:rPr>
      </w:pPr>
    </w:p>
    <w:p>
      <w:pPr>
        <w:pStyle w:val="BodyText"/>
        <w:spacing w:before="2"/>
        <w:rPr>
          <w:sz w:val="16"/>
        </w:rPr>
      </w:pPr>
    </w:p>
    <w:p>
      <w:pPr>
        <w:pStyle w:val="BodyText"/>
        <w:spacing w:line="364" w:lineRule="auto" w:before="74"/>
        <w:ind w:left="115" w:right="107"/>
        <w:jc w:val="both"/>
      </w:pPr>
      <w:r>
        <w:rPr/>
        <w:t>descompensaciones de tiempo y adquisición de conocimientos que provoca </w:t>
      </w:r>
      <w:r>
        <w:rPr>
          <w:spacing w:val="-4"/>
        </w:rPr>
        <w:t>la </w:t>
      </w:r>
      <w:r>
        <w:rPr/>
        <w:t>merma ofrecida por </w:t>
      </w:r>
      <w:r>
        <w:rPr>
          <w:spacing w:val="-5"/>
        </w:rPr>
        <w:t>la </w:t>
      </w:r>
      <w:r>
        <w:rPr/>
        <w:t>educación básica a los niveles superiores, que no alcanzan   a propiciar nuevos niveles de logro, considerando que mucha energía personal y colectiva se emplea para compensar y adquirir, tardíamente, lo que debiera  haberse </w:t>
      </w:r>
      <w:r>
        <w:rPr>
          <w:spacing w:val="-4"/>
        </w:rPr>
        <w:t>ya </w:t>
      </w:r>
      <w:r>
        <w:rPr/>
        <w:t>concretado como aprendizaje en la educación básica. El tránsito accidentado, con </w:t>
      </w:r>
      <w:r>
        <w:rPr>
          <w:spacing w:val="-5"/>
        </w:rPr>
        <w:t>la </w:t>
      </w:r>
      <w:r>
        <w:rPr/>
        <w:t>repetición de grados escolares, ni mejora </w:t>
      </w:r>
      <w:r>
        <w:rPr>
          <w:spacing w:val="3"/>
        </w:rPr>
        <w:t>el </w:t>
      </w:r>
      <w:r>
        <w:rPr/>
        <w:t>desempeño ni disminuye las posibilidades de</w:t>
      </w:r>
      <w:r>
        <w:rPr>
          <w:spacing w:val="38"/>
        </w:rPr>
        <w:t> </w:t>
      </w:r>
      <w:r>
        <w:rPr/>
        <w:t>deserción.</w:t>
      </w:r>
    </w:p>
    <w:p>
      <w:pPr>
        <w:pStyle w:val="BodyText"/>
        <w:spacing w:line="364" w:lineRule="auto" w:before="5"/>
        <w:ind w:left="115" w:right="107" w:firstLine="686"/>
        <w:jc w:val="both"/>
      </w:pPr>
      <w:r>
        <w:rPr/>
        <w:t>Además de que </w:t>
      </w:r>
      <w:r>
        <w:rPr>
          <w:spacing w:val="3"/>
        </w:rPr>
        <w:t>se </w:t>
      </w:r>
      <w:r>
        <w:rPr/>
        <w:t>abre una brecha entre aquellos que tienen  una  </w:t>
      </w:r>
      <w:r>
        <w:rPr>
          <w:i/>
        </w:rPr>
        <w:t>trayectoria completa y exitosa</w:t>
      </w:r>
      <w:r>
        <w:rPr/>
        <w:t>, con el foco puesto en que solo la mitad </w:t>
      </w:r>
      <w:r>
        <w:rPr>
          <w:spacing w:val="3"/>
        </w:rPr>
        <w:t>de </w:t>
      </w:r>
      <w:r>
        <w:rPr/>
        <w:t>los mexicanos puede aspirar a llegar </w:t>
      </w:r>
      <w:r>
        <w:rPr>
          <w:spacing w:val="4"/>
        </w:rPr>
        <w:t>al </w:t>
      </w:r>
      <w:r>
        <w:rPr/>
        <w:t>bachillerato a los 15 años </w:t>
      </w:r>
      <w:r>
        <w:rPr>
          <w:spacing w:val="3"/>
        </w:rPr>
        <w:t>en </w:t>
      </w:r>
      <w:r>
        <w:rPr/>
        <w:t>cada generación de tercero de secundaria y aquellos que, siendo más </w:t>
      </w:r>
      <w:r>
        <w:rPr>
          <w:spacing w:val="2"/>
        </w:rPr>
        <w:t>de </w:t>
      </w:r>
      <w:r>
        <w:rPr/>
        <w:t>la mitad, no logran </w:t>
      </w:r>
      <w:r>
        <w:rPr>
          <w:spacing w:val="-3"/>
        </w:rPr>
        <w:t>los </w:t>
      </w:r>
      <w:r>
        <w:rPr/>
        <w:t>aprendizajes</w:t>
      </w:r>
      <w:r>
        <w:rPr>
          <w:spacing w:val="22"/>
        </w:rPr>
        <w:t> </w:t>
      </w:r>
      <w:r>
        <w:rPr/>
        <w:t>esperados.</w:t>
      </w:r>
    </w:p>
    <w:p>
      <w:pPr>
        <w:pStyle w:val="BodyText"/>
        <w:spacing w:line="364" w:lineRule="auto"/>
        <w:ind w:left="115" w:right="106" w:firstLine="686"/>
        <w:jc w:val="both"/>
      </w:pPr>
      <w:r>
        <w:rPr/>
        <w:t>De ninguna manera se trata de una relación lineal causa-consecuencia, contrariamente, dada la multirrelacionalidad del hecho, </w:t>
      </w:r>
      <w:r>
        <w:rPr>
          <w:spacing w:val="-3"/>
        </w:rPr>
        <w:t>la </w:t>
      </w:r>
      <w:r>
        <w:rPr/>
        <w:t>complejidad es  por  demás alta como </w:t>
      </w:r>
      <w:r>
        <w:rPr>
          <w:spacing w:val="-3"/>
        </w:rPr>
        <w:t>se </w:t>
      </w:r>
      <w:r>
        <w:rPr/>
        <w:t>enfatizó anteriormente, empero, la calidad es empatada de manera consensual con el rendimiento escolar, a través de </w:t>
      </w:r>
      <w:r>
        <w:rPr>
          <w:spacing w:val="-3"/>
        </w:rPr>
        <w:t>la </w:t>
      </w:r>
      <w:r>
        <w:rPr/>
        <w:t>evaluación,  los índices de reprobación, de deserción y la eficiencia</w:t>
      </w:r>
      <w:r>
        <w:rPr>
          <w:spacing w:val="51"/>
        </w:rPr>
        <w:t> </w:t>
      </w:r>
      <w:r>
        <w:rPr/>
        <w:t>terminal.</w:t>
      </w:r>
    </w:p>
    <w:p>
      <w:pPr>
        <w:pStyle w:val="BodyText"/>
        <w:spacing w:line="364" w:lineRule="auto" w:before="10"/>
        <w:ind w:left="115" w:right="106" w:firstLine="686"/>
        <w:jc w:val="both"/>
      </w:pPr>
      <w:r>
        <w:rPr/>
        <w:t>En México nunca ha habido una “educación con buena calidad”, salvo en el imaginario colectivo y añorante que haría suponer que en algún momento histórico se observó tal presencia. Por ejemplo, la eficiencia terminal promedio reportada de 1976 a 1990 según los datos obtenidos de Hayashi (1992), pasó de 42.6 a 57.1% en el nivel primaria y de 70.7 a 73.0% en educación secundaria; el índice de reprobación en el nivel primaria </w:t>
      </w:r>
      <w:r>
        <w:rPr>
          <w:spacing w:val="3"/>
        </w:rPr>
        <w:t>se </w:t>
      </w:r>
      <w:r>
        <w:rPr/>
        <w:t>mantuvo en el 10.3% mientras que en el nivel secundaria </w:t>
      </w:r>
      <w:r>
        <w:rPr>
          <w:spacing w:val="2"/>
        </w:rPr>
        <w:t>se </w:t>
      </w:r>
      <w:r>
        <w:rPr/>
        <w:t>elevó ligeramente al pasar de 27.3 a 27.7%; y finalmente, el índice  de deserción bajó de 8.7 a 5.3% </w:t>
      </w:r>
      <w:r>
        <w:rPr>
          <w:spacing w:val="3"/>
        </w:rPr>
        <w:t>en </w:t>
      </w:r>
      <w:r>
        <w:rPr/>
        <w:t>primaria, y en secundaria de 11.1 a 9.5%, </w:t>
      </w:r>
      <w:r>
        <w:rPr>
          <w:spacing w:val="-5"/>
        </w:rPr>
        <w:t>lo  </w:t>
      </w:r>
      <w:r>
        <w:rPr/>
        <w:t>que sugiere una mayor absorción y retención de los alumnos en el Sistema Educativo a lo largo de 15</w:t>
      </w:r>
      <w:r>
        <w:rPr>
          <w:spacing w:val="32"/>
        </w:rPr>
        <w:t> </w:t>
      </w:r>
      <w:r>
        <w:rPr/>
        <w:t>años.</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Heading3"/>
        <w:spacing w:before="74"/>
        <w:ind w:left="1491" w:right="1427"/>
        <w:jc w:val="center"/>
      </w:pPr>
      <w:r>
        <w:rPr/>
        <w:t>Tabla N° 7</w:t>
      </w:r>
    </w:p>
    <w:p>
      <w:pPr>
        <w:spacing w:line="244" w:lineRule="auto" w:before="4"/>
        <w:ind w:left="1495" w:right="1427" w:firstLine="0"/>
        <w:jc w:val="center"/>
        <w:rPr>
          <w:b/>
          <w:sz w:val="23"/>
        </w:rPr>
      </w:pPr>
      <w:r>
        <w:rPr>
          <w:b/>
          <w:sz w:val="23"/>
        </w:rPr>
        <w:t>Niveles de reprobación, deserción y eficiencia terminal en la educación básica (1976-1991)</w:t>
      </w:r>
    </w:p>
    <w:p>
      <w:pPr>
        <w:pStyle w:val="BodyText"/>
        <w:rPr>
          <w:b/>
          <w:sz w:val="20"/>
        </w:rPr>
      </w:pPr>
    </w:p>
    <w:p>
      <w:pPr>
        <w:pStyle w:val="BodyText"/>
        <w:spacing w:before="4"/>
        <w:rPr>
          <w:b/>
          <w:sz w:val="15"/>
        </w:rPr>
      </w:pPr>
    </w:p>
    <w:p>
      <w:pPr>
        <w:pStyle w:val="BodyText"/>
        <w:spacing w:line="20" w:lineRule="exact"/>
        <w:ind w:left="100"/>
        <w:rPr>
          <w:sz w:val="2"/>
        </w:rPr>
      </w:pPr>
      <w:r>
        <w:rPr>
          <w:sz w:val="2"/>
        </w:rPr>
        <w:pict>
          <v:group style="width:437.55pt;height:.5pt;mso-position-horizontal-relative:char;mso-position-vertical-relative:line" coordorigin="0,0" coordsize="8751,10">
            <v:line style="position:absolute" from="5,5" to="1752,5" stroked="true" strokeweight=".48pt" strokecolor="#000000"/>
            <v:line style="position:absolute" from="1752,5" to="1762,5" stroked="true" strokeweight=".48pt" strokecolor="#000000"/>
            <v:line style="position:absolute" from="1762,5" to="3499,5" stroked="true" strokeweight=".48pt" strokecolor="#000000"/>
            <v:line style="position:absolute" from="3499,5" to="3509,5" stroked="true" strokeweight=".48pt" strokecolor="#000000"/>
            <v:line style="position:absolute" from="3509,5" to="5251,5" stroked="true" strokeweight=".48pt" strokecolor="#000000"/>
            <v:line style="position:absolute" from="5251,5" to="5261,5" stroked="true" strokeweight=".48pt" strokecolor="#000000"/>
            <v:line style="position:absolute" from="5261,5" to="6999,5" stroked="true" strokeweight=".48pt" strokecolor="#000000"/>
            <v:line style="position:absolute" from="6999,5" to="7008,5" stroked="true" strokeweight=".48pt" strokecolor="#000000"/>
            <v:line style="position:absolute" from="7008,5" to="8746,5" stroked="true" strokeweight=".48pt" strokecolor="#000000"/>
          </v:group>
        </w:pict>
      </w:r>
      <w:r>
        <w:rPr>
          <w:sz w:val="2"/>
        </w:rPr>
      </w:r>
    </w:p>
    <w:p>
      <w:pPr>
        <w:spacing w:after="0" w:line="20" w:lineRule="exact"/>
        <w:rPr>
          <w:sz w:val="2"/>
        </w:rPr>
        <w:sectPr>
          <w:pgSz w:w="11910" w:h="16840"/>
          <w:pgMar w:header="0" w:footer="1457" w:top="1580" w:bottom="1640" w:left="1440" w:right="1500"/>
        </w:sectPr>
      </w:pPr>
    </w:p>
    <w:p>
      <w:pPr>
        <w:pStyle w:val="BodyText"/>
        <w:spacing w:before="9"/>
        <w:rPr>
          <w:b/>
          <w:sz w:val="27"/>
        </w:rPr>
      </w:pPr>
    </w:p>
    <w:p>
      <w:pPr>
        <w:spacing w:before="1"/>
        <w:ind w:left="768" w:right="-8" w:firstLine="0"/>
        <w:jc w:val="left"/>
        <w:rPr>
          <w:i/>
          <w:sz w:val="19"/>
        </w:rPr>
      </w:pPr>
      <w:r>
        <w:rPr/>
        <w:pict>
          <v:shape style="position:absolute;margin-left:77.279999pt;margin-top:17.359917pt;width:437.05pt;height:.1pt;mso-position-horizontal-relative:page;mso-position-vertical-relative:paragraph;z-index:2272" coordorigin="1546,347" coordsize="8741,0" path="m1546,347l3293,347m3293,347l3302,347m3302,347l5040,347m5040,347l5050,347m5050,347l6792,347m6792,347l6802,347m6802,347l8539,347m8539,347l8549,347m8549,347l10286,347e" filled="false" stroked="true" strokeweight=".48pt" strokecolor="#000000">
            <v:path arrowok="t"/>
            <w10:wrap type="none"/>
          </v:shape>
        </w:pict>
      </w:r>
      <w:r>
        <w:rPr>
          <w:i/>
          <w:sz w:val="19"/>
        </w:rPr>
        <w:t>AÑO</w:t>
      </w:r>
    </w:p>
    <w:p>
      <w:pPr>
        <w:spacing w:line="203" w:lineRule="exact" w:before="0"/>
        <w:ind w:left="764" w:right="0" w:firstLine="0"/>
        <w:jc w:val="center"/>
        <w:rPr>
          <w:i/>
          <w:sz w:val="19"/>
        </w:rPr>
      </w:pPr>
      <w:r>
        <w:rPr/>
        <w:br w:type="column"/>
      </w:r>
      <w:r>
        <w:rPr>
          <w:i/>
          <w:w w:val="105"/>
          <w:sz w:val="19"/>
        </w:rPr>
        <w:t>NIVEL</w:t>
      </w:r>
    </w:p>
    <w:p>
      <w:pPr>
        <w:spacing w:before="117"/>
        <w:ind w:left="768" w:right="0" w:firstLine="0"/>
        <w:jc w:val="center"/>
        <w:rPr>
          <w:i/>
          <w:sz w:val="19"/>
        </w:rPr>
      </w:pPr>
      <w:r>
        <w:rPr>
          <w:i/>
          <w:sz w:val="19"/>
        </w:rPr>
        <w:t>EDUCATIVO</w:t>
      </w:r>
    </w:p>
    <w:p>
      <w:pPr>
        <w:tabs>
          <w:tab w:pos="2306" w:val="left" w:leader="none"/>
        </w:tabs>
        <w:spacing w:before="152"/>
        <w:ind w:left="415" w:right="0" w:firstLine="0"/>
        <w:jc w:val="left"/>
        <w:rPr>
          <w:i/>
          <w:sz w:val="19"/>
        </w:rPr>
      </w:pPr>
      <w:r>
        <w:rPr/>
        <w:br w:type="column"/>
      </w:r>
      <w:r>
        <w:rPr>
          <w:i/>
          <w:w w:val="105"/>
          <w:sz w:val="19"/>
        </w:rPr>
        <w:t>REPROBACIÓN</w:t>
        <w:tab/>
      </w:r>
      <w:r>
        <w:rPr>
          <w:i/>
          <w:spacing w:val="-1"/>
          <w:sz w:val="19"/>
        </w:rPr>
        <w:t>DESERCIÓN</w:t>
      </w:r>
    </w:p>
    <w:p>
      <w:pPr>
        <w:spacing w:line="203" w:lineRule="exact" w:before="0"/>
        <w:ind w:left="635" w:right="0" w:hanging="53"/>
        <w:jc w:val="left"/>
        <w:rPr>
          <w:i/>
          <w:sz w:val="19"/>
        </w:rPr>
      </w:pPr>
      <w:r>
        <w:rPr/>
        <w:br w:type="column"/>
      </w:r>
      <w:r>
        <w:rPr>
          <w:i/>
          <w:w w:val="105"/>
          <w:sz w:val="19"/>
        </w:rPr>
        <w:t>EFICIENCIA</w:t>
      </w:r>
    </w:p>
    <w:p>
      <w:pPr>
        <w:spacing w:before="117"/>
        <w:ind w:left="635" w:right="0" w:firstLine="0"/>
        <w:jc w:val="left"/>
        <w:rPr>
          <w:i/>
          <w:sz w:val="19"/>
        </w:rPr>
      </w:pPr>
      <w:r>
        <w:rPr>
          <w:i/>
          <w:w w:val="105"/>
          <w:sz w:val="19"/>
        </w:rPr>
        <w:t>TERMINAL</w:t>
      </w:r>
    </w:p>
    <w:p>
      <w:pPr>
        <w:spacing w:after="0"/>
        <w:jc w:val="left"/>
        <w:rPr>
          <w:sz w:val="19"/>
        </w:rPr>
        <w:sectPr>
          <w:type w:val="continuous"/>
          <w:pgSz w:w="11910" w:h="16840"/>
          <w:pgMar w:top="1380" w:bottom="280" w:left="1440" w:right="1500"/>
          <w:cols w:num="4" w:equalWidth="0">
            <w:col w:w="1192" w:space="200"/>
            <w:col w:w="1906" w:space="40"/>
            <w:col w:w="3471" w:space="40"/>
            <w:col w:w="2121"/>
          </w:cols>
        </w:sectPr>
      </w:pPr>
    </w:p>
    <w:p>
      <w:pPr>
        <w:pStyle w:val="BodyText"/>
        <w:spacing w:before="5"/>
        <w:rPr>
          <w:i/>
          <w:sz w:val="26"/>
        </w:rPr>
      </w:pPr>
    </w:p>
    <w:p>
      <w:pPr>
        <w:spacing w:before="0"/>
        <w:ind w:left="763" w:right="-1" w:firstLine="0"/>
        <w:jc w:val="left"/>
        <w:rPr>
          <w:sz w:val="19"/>
        </w:rPr>
      </w:pPr>
      <w:r>
        <w:rPr>
          <w:sz w:val="19"/>
        </w:rPr>
        <w:t>1976</w:t>
      </w:r>
    </w:p>
    <w:p>
      <w:pPr>
        <w:pStyle w:val="BodyText"/>
        <w:rPr>
          <w:sz w:val="20"/>
        </w:rPr>
      </w:pPr>
    </w:p>
    <w:p>
      <w:pPr>
        <w:pStyle w:val="BodyText"/>
        <w:spacing w:before="1"/>
        <w:rPr>
          <w:sz w:val="21"/>
        </w:rPr>
      </w:pPr>
    </w:p>
    <w:p>
      <w:pPr>
        <w:spacing w:before="0"/>
        <w:ind w:left="763" w:right="-1" w:firstLine="0"/>
        <w:jc w:val="left"/>
        <w:rPr>
          <w:sz w:val="19"/>
        </w:rPr>
      </w:pPr>
      <w:r>
        <w:rPr>
          <w:sz w:val="19"/>
        </w:rPr>
        <w:t>1981</w:t>
      </w:r>
    </w:p>
    <w:p>
      <w:pPr>
        <w:pStyle w:val="BodyText"/>
        <w:rPr>
          <w:sz w:val="20"/>
        </w:rPr>
      </w:pPr>
    </w:p>
    <w:p>
      <w:pPr>
        <w:pStyle w:val="BodyText"/>
        <w:spacing w:before="1"/>
        <w:rPr>
          <w:sz w:val="21"/>
        </w:rPr>
      </w:pPr>
    </w:p>
    <w:p>
      <w:pPr>
        <w:spacing w:before="0"/>
        <w:ind w:left="763" w:right="-1" w:firstLine="0"/>
        <w:jc w:val="left"/>
        <w:rPr>
          <w:sz w:val="19"/>
        </w:rPr>
      </w:pPr>
      <w:r>
        <w:rPr>
          <w:sz w:val="19"/>
        </w:rPr>
        <w:t>1991</w:t>
      </w:r>
    </w:p>
    <w:p>
      <w:pPr>
        <w:tabs>
          <w:tab w:pos="2812" w:val="left" w:leader="none"/>
          <w:tab w:pos="4612" w:val="left" w:leader="none"/>
          <w:tab w:pos="6694" w:val="right" w:leader="none"/>
        </w:tabs>
        <w:spacing w:before="132"/>
        <w:ind w:left="892" w:right="0" w:firstLine="0"/>
        <w:jc w:val="left"/>
        <w:rPr>
          <w:sz w:val="19"/>
        </w:rPr>
      </w:pPr>
      <w:r>
        <w:rPr/>
        <w:br w:type="column"/>
      </w:r>
      <w:r>
        <w:rPr>
          <w:w w:val="105"/>
          <w:sz w:val="19"/>
        </w:rPr>
        <w:t>Primaria</w:t>
        <w:tab/>
        <w:t>10.3</w:t>
        <w:tab/>
        <w:t>8.7</w:t>
        <w:tab/>
        <w:t>42.6</w:t>
      </w:r>
    </w:p>
    <w:p>
      <w:pPr>
        <w:tabs>
          <w:tab w:pos="2812" w:val="left" w:leader="none"/>
          <w:tab w:pos="4559" w:val="left" w:leader="none"/>
          <w:tab w:pos="6694" w:val="right" w:leader="none"/>
        </w:tabs>
        <w:spacing w:before="127"/>
        <w:ind w:left="763" w:right="0" w:firstLine="0"/>
        <w:jc w:val="left"/>
        <w:rPr>
          <w:sz w:val="19"/>
        </w:rPr>
      </w:pPr>
      <w:r>
        <w:rPr>
          <w:w w:val="105"/>
          <w:sz w:val="19"/>
        </w:rPr>
        <w:t>Secundaria</w:t>
        <w:tab/>
        <w:t>27.3</w:t>
        <w:tab/>
        <w:t>11.1</w:t>
        <w:tab/>
        <w:t>70.7</w:t>
      </w:r>
    </w:p>
    <w:p>
      <w:pPr>
        <w:tabs>
          <w:tab w:pos="2812" w:val="left" w:leader="none"/>
          <w:tab w:pos="4612" w:val="left" w:leader="none"/>
          <w:tab w:pos="6694" w:val="right" w:leader="none"/>
        </w:tabs>
        <w:spacing w:before="127"/>
        <w:ind w:left="892" w:right="0" w:firstLine="0"/>
        <w:jc w:val="left"/>
        <w:rPr>
          <w:sz w:val="19"/>
        </w:rPr>
      </w:pPr>
      <w:r>
        <w:rPr/>
        <w:pict>
          <v:shape style="position:absolute;margin-left:77.279999pt;margin-top:6.1409pt;width:437.05pt;height:.1pt;mso-position-horizontal-relative:page;mso-position-vertical-relative:paragraph;z-index:2296" coordorigin="1546,123" coordsize="8741,0" path="m1546,123l3293,123m3293,123l3302,123m3302,123l5040,123m5040,123l5050,123m5050,123l6792,123m6792,123l6802,123m6802,123l8539,123m8539,123l8549,123m8549,123l10286,123e" filled="false" stroked="true" strokeweight=".48pt" strokecolor="#000000">
            <v:path arrowok="t"/>
            <w10:wrap type="none"/>
          </v:shape>
        </w:pict>
      </w:r>
      <w:r>
        <w:rPr>
          <w:w w:val="105"/>
          <w:sz w:val="19"/>
        </w:rPr>
        <w:t>Primaria</w:t>
        <w:tab/>
        <w:t>11.1</w:t>
        <w:tab/>
        <w:t>7.2</w:t>
        <w:tab/>
        <w:t>49.7</w:t>
      </w:r>
    </w:p>
    <w:p>
      <w:pPr>
        <w:tabs>
          <w:tab w:pos="2812" w:val="left" w:leader="none"/>
          <w:tab w:pos="4559" w:val="left" w:leader="none"/>
          <w:tab w:pos="6311" w:val="left" w:leader="none"/>
        </w:tabs>
        <w:spacing w:before="127"/>
        <w:ind w:left="763" w:right="0" w:firstLine="0"/>
        <w:jc w:val="left"/>
        <w:rPr>
          <w:sz w:val="19"/>
        </w:rPr>
      </w:pPr>
      <w:r>
        <w:rPr>
          <w:w w:val="105"/>
          <w:sz w:val="19"/>
        </w:rPr>
        <w:t>Secundaria</w:t>
        <w:tab/>
        <w:t>29.3</w:t>
        <w:tab/>
        <w:t>10.5</w:t>
        <w:tab/>
        <w:t>75.0</w:t>
      </w:r>
    </w:p>
    <w:p>
      <w:pPr>
        <w:tabs>
          <w:tab w:pos="2812" w:val="left" w:leader="none"/>
          <w:tab w:pos="4612" w:val="left" w:leader="none"/>
          <w:tab w:pos="6694" w:val="right" w:leader="none"/>
        </w:tabs>
        <w:spacing w:before="127"/>
        <w:ind w:left="892" w:right="0" w:firstLine="0"/>
        <w:jc w:val="left"/>
        <w:rPr>
          <w:sz w:val="19"/>
        </w:rPr>
      </w:pPr>
      <w:r>
        <w:rPr/>
        <w:pict>
          <v:shape style="position:absolute;margin-left:77.279999pt;margin-top:6.141879pt;width:437.05pt;height:.1pt;mso-position-horizontal-relative:page;mso-position-vertical-relative:paragraph;z-index:2320" coordorigin="1546,123" coordsize="8741,0" path="m1546,123l3293,123m3293,123l3302,123m3302,123l5040,123m5040,123l5050,123m5050,123l6792,123m6792,123l6802,123m6802,123l8539,123m8539,123l8549,123m8549,123l10286,123e" filled="false" stroked="true" strokeweight=".48pt" strokecolor="#000000">
            <v:path arrowok="t"/>
            <w10:wrap type="none"/>
          </v:shape>
        </w:pict>
      </w:r>
      <w:r>
        <w:rPr>
          <w:w w:val="105"/>
          <w:sz w:val="19"/>
        </w:rPr>
        <w:t>Primaria</w:t>
        <w:tab/>
        <w:t>10.3</w:t>
        <w:tab/>
        <w:t>5.3</w:t>
        <w:tab/>
        <w:t>57.1</w:t>
      </w:r>
    </w:p>
    <w:p>
      <w:pPr>
        <w:tabs>
          <w:tab w:pos="2812" w:val="left" w:leader="none"/>
          <w:tab w:pos="4612" w:val="left" w:leader="none"/>
          <w:tab w:pos="6311" w:val="left" w:leader="none"/>
        </w:tabs>
        <w:spacing w:before="127"/>
        <w:ind w:left="763" w:right="0" w:firstLine="0"/>
        <w:jc w:val="left"/>
        <w:rPr>
          <w:sz w:val="19"/>
        </w:rPr>
      </w:pPr>
      <w:r>
        <w:rPr>
          <w:w w:val="105"/>
          <w:sz w:val="19"/>
        </w:rPr>
        <w:t>Secundaria</w:t>
        <w:tab/>
        <w:t>27.7</w:t>
        <w:tab/>
        <w:t>9.5</w:t>
        <w:tab/>
        <w:t>73.0</w:t>
      </w:r>
    </w:p>
    <w:p>
      <w:pPr>
        <w:spacing w:after="0"/>
        <w:jc w:val="left"/>
        <w:rPr>
          <w:sz w:val="19"/>
        </w:rPr>
        <w:sectPr>
          <w:type w:val="continuous"/>
          <w:pgSz w:w="11910" w:h="16840"/>
          <w:pgMar w:top="1380" w:bottom="280" w:left="1440" w:right="1500"/>
          <w:cols w:num="2" w:equalWidth="0">
            <w:col w:w="1205" w:space="268"/>
            <w:col w:w="7497"/>
          </w:cols>
        </w:sectPr>
      </w:pPr>
    </w:p>
    <w:p>
      <w:pPr>
        <w:pStyle w:val="BodyText"/>
        <w:spacing w:before="7" w:after="1"/>
        <w:rPr>
          <w:sz w:val="10"/>
        </w:rPr>
      </w:pPr>
    </w:p>
    <w:p>
      <w:pPr>
        <w:pStyle w:val="BodyText"/>
        <w:spacing w:line="20" w:lineRule="exact"/>
        <w:ind w:left="103"/>
        <w:rPr>
          <w:sz w:val="2"/>
        </w:rPr>
      </w:pPr>
      <w:r>
        <w:rPr>
          <w:sz w:val="2"/>
        </w:rPr>
        <w:pict>
          <v:group style="width:437.3pt;height:.25pt;mso-position-horizontal-relative:char;mso-position-vertical-relative:line" coordorigin="0,0" coordsize="8746,5">
            <v:line style="position:absolute" from="3,3" to="1750,3" stroked="true" strokeweight=".24pt" strokecolor="#000000"/>
            <v:line style="position:absolute" from="1750,3" to="1759,3" stroked="true" strokeweight=".24pt" strokecolor="#000000"/>
            <v:line style="position:absolute" from="1759,3" to="3497,3" stroked="true" strokeweight=".24pt" strokecolor="#000000"/>
            <v:line style="position:absolute" from="3497,3" to="3506,3" stroked="true" strokeweight=".24pt" strokecolor="#000000"/>
            <v:line style="position:absolute" from="3506,3" to="5249,3" stroked="true" strokeweight=".24pt" strokecolor="#000000"/>
            <v:line style="position:absolute" from="5249,3" to="5258,3" stroked="true" strokeweight=".24pt" strokecolor="#000000"/>
            <v:line style="position:absolute" from="5258,3" to="6996,3" stroked="true" strokeweight=".24pt" strokecolor="#000000"/>
            <v:line style="position:absolute" from="6996,3" to="7006,3" stroked="true" strokeweight=".24pt" strokecolor="#000000"/>
            <v:line style="position:absolute" from="7006,3" to="8743,3" stroked="true" strokeweight=".24pt" strokecolor="#000000"/>
          </v:group>
        </w:pict>
      </w:r>
      <w:r>
        <w:rPr>
          <w:sz w:val="2"/>
        </w:rPr>
      </w:r>
    </w:p>
    <w:p>
      <w:pPr>
        <w:spacing w:line="374" w:lineRule="auto" w:before="0"/>
        <w:ind w:left="215" w:right="152" w:firstLine="0"/>
        <w:jc w:val="both"/>
        <w:rPr>
          <w:sz w:val="19"/>
        </w:rPr>
      </w:pPr>
      <w:r>
        <w:rPr>
          <w:b/>
          <w:w w:val="105"/>
          <w:sz w:val="19"/>
        </w:rPr>
        <w:t>FUENTE: </w:t>
      </w:r>
      <w:r>
        <w:rPr>
          <w:w w:val="105"/>
          <w:sz w:val="19"/>
        </w:rPr>
        <w:t>Laureano Hayashi, La educación mexicana en cifras. 1992. El Nacional, México. En Ornelas, 2009: 172.</w:t>
      </w:r>
    </w:p>
    <w:p>
      <w:pPr>
        <w:pStyle w:val="BodyText"/>
        <w:rPr>
          <w:sz w:val="20"/>
        </w:rPr>
      </w:pPr>
    </w:p>
    <w:p>
      <w:pPr>
        <w:pStyle w:val="BodyText"/>
        <w:rPr>
          <w:sz w:val="20"/>
        </w:rPr>
      </w:pPr>
    </w:p>
    <w:p>
      <w:pPr>
        <w:pStyle w:val="BodyText"/>
        <w:spacing w:before="11"/>
        <w:rPr>
          <w:sz w:val="27"/>
        </w:rPr>
      </w:pPr>
    </w:p>
    <w:p>
      <w:pPr>
        <w:pStyle w:val="BodyText"/>
        <w:spacing w:line="364" w:lineRule="auto"/>
        <w:ind w:left="215" w:right="147"/>
        <w:jc w:val="both"/>
      </w:pPr>
      <w:r>
        <w:rPr/>
        <w:t>Años después en 1983 y a petición del presidente Carlos Salinas, se efectuó un estudio a cargo de </w:t>
      </w:r>
      <w:r>
        <w:rPr>
          <w:spacing w:val="-3"/>
        </w:rPr>
        <w:t>Gilberto </w:t>
      </w:r>
      <w:r>
        <w:rPr/>
        <w:t>Guevara, mismo que se llevó al cabo en el Estado de Aguascalientes </w:t>
      </w:r>
      <w:r>
        <w:rPr>
          <w:spacing w:val="-3"/>
        </w:rPr>
        <w:t>por la </w:t>
      </w:r>
      <w:r>
        <w:rPr/>
        <w:t>Delegación Regional de </w:t>
      </w:r>
      <w:r>
        <w:rPr>
          <w:spacing w:val="-3"/>
        </w:rPr>
        <w:t>la </w:t>
      </w:r>
      <w:r>
        <w:rPr/>
        <w:t>SEP y por la Universidad  Autónoma de Aguascalientes; </w:t>
      </w:r>
      <w:r>
        <w:rPr>
          <w:spacing w:val="2"/>
        </w:rPr>
        <w:t>se </w:t>
      </w:r>
      <w:r>
        <w:rPr/>
        <w:t>aplicó </w:t>
      </w:r>
      <w:r>
        <w:rPr>
          <w:spacing w:val="-3"/>
        </w:rPr>
        <w:t>un </w:t>
      </w:r>
      <w:r>
        <w:rPr/>
        <w:t>examen de conocimientos a una  muestra de 3260 alumnos repartidos en 113 grupos de grados pares de primaria, separando escuelas rurales </w:t>
      </w:r>
      <w:r>
        <w:rPr>
          <w:spacing w:val="3"/>
        </w:rPr>
        <w:t>de </w:t>
      </w:r>
      <w:r>
        <w:rPr/>
        <w:t>urbanas, públicas de privadas, federales de estatales y completas de no completas. </w:t>
      </w:r>
      <w:r>
        <w:rPr>
          <w:spacing w:val="-3"/>
        </w:rPr>
        <w:t>Partió </w:t>
      </w:r>
      <w:r>
        <w:rPr>
          <w:spacing w:val="2"/>
        </w:rPr>
        <w:t>de </w:t>
      </w:r>
      <w:r>
        <w:rPr/>
        <w:t>los objetivos señalados en Español, Matemáticas, Ciencias Sociales y Ciencias Naturales (aunque a </w:t>
      </w:r>
      <w:r>
        <w:rPr>
          <w:spacing w:val="-2"/>
        </w:rPr>
        <w:t>los </w:t>
      </w:r>
      <w:r>
        <w:rPr/>
        <w:t>alumnos de 2° y 4°, sólo </w:t>
      </w:r>
      <w:r>
        <w:rPr>
          <w:spacing w:val="3"/>
        </w:rPr>
        <w:t>se </w:t>
      </w:r>
      <w:r>
        <w:rPr>
          <w:spacing w:val="-3"/>
        </w:rPr>
        <w:t>les </w:t>
      </w:r>
      <w:r>
        <w:rPr/>
        <w:t>aplicaron las de Matemáticas y Español), los resultados ofrecidos indicaron que el 73.3% de segundo grado; 66.4% de los de cuarto grado y 84.1% de los de sexto grado, REPROBARON.  Encontrando lugar  en </w:t>
      </w:r>
      <w:r>
        <w:rPr>
          <w:spacing w:val="-3"/>
        </w:rPr>
        <w:t>la </w:t>
      </w:r>
      <w:r>
        <w:rPr/>
        <w:t>escala más baja los alumnos de escuelas incompletas públicas y </w:t>
      </w:r>
      <w:r>
        <w:rPr>
          <w:spacing w:val="32"/>
        </w:rPr>
        <w:t> </w:t>
      </w:r>
      <w:r>
        <w:rPr/>
        <w:t>rurales.</w:t>
      </w:r>
    </w:p>
    <w:p>
      <w:pPr>
        <w:pStyle w:val="BodyText"/>
        <w:spacing w:line="364" w:lineRule="auto"/>
        <w:ind w:left="215" w:right="146" w:firstLine="686"/>
        <w:jc w:val="both"/>
      </w:pPr>
      <w:r>
        <w:rPr/>
        <w:t>Un estudio adicional, encabezado por Sylvia Schmelkes en el estado de Puebla, resultó aún más completo que el anteriormente descrito, pues contenía perfiles socioeconómicos de las zonas en donde se localizan las escuelas, de acuerdo a criterios regionales y divididos en Zona Urbana de clase media; Zona Urbana marginal; Zona Rural desarrollada; Zona Rural marginal e Indígena, así como por estratos sociales (Schmelkes, 1993).</w:t>
      </w:r>
    </w:p>
    <w:p>
      <w:pPr>
        <w:spacing w:after="0" w:line="364" w:lineRule="auto"/>
        <w:jc w:val="both"/>
        <w:sectPr>
          <w:type w:val="continuous"/>
          <w:pgSz w:w="11910" w:h="16840"/>
          <w:pgMar w:top="1380" w:bottom="280" w:left="1440" w:right="1500"/>
        </w:sectPr>
      </w:pPr>
    </w:p>
    <w:p>
      <w:pPr>
        <w:pStyle w:val="BodyText"/>
        <w:rPr>
          <w:sz w:val="20"/>
        </w:rPr>
      </w:pPr>
    </w:p>
    <w:p>
      <w:pPr>
        <w:pStyle w:val="BodyText"/>
        <w:spacing w:before="2"/>
        <w:rPr>
          <w:sz w:val="16"/>
        </w:rPr>
      </w:pPr>
    </w:p>
    <w:p>
      <w:pPr>
        <w:pStyle w:val="BodyText"/>
        <w:spacing w:line="364" w:lineRule="auto" w:before="74"/>
        <w:ind w:left="116" w:right="104" w:firstLine="686"/>
        <w:jc w:val="both"/>
      </w:pPr>
      <w:r>
        <w:rPr/>
        <w:t>Con una subdivisión referida a los aspectos de la oferta educativa tales  como: recursos materiales, organización de las escuelas, plantilla docente y </w:t>
      </w:r>
      <w:r>
        <w:rPr>
          <w:spacing w:val="-4"/>
        </w:rPr>
        <w:t>la </w:t>
      </w:r>
      <w:r>
        <w:rPr/>
        <w:t>supervisión que </w:t>
      </w:r>
      <w:r>
        <w:rPr>
          <w:spacing w:val="-3"/>
        </w:rPr>
        <w:t>realizan </w:t>
      </w:r>
      <w:r>
        <w:rPr/>
        <w:t>las autoridades. Lo que es más destacable, desarrolló un análisis estadístico y conceptual de los factores de la demanda de educación, esto es, los rasgos sociales y económicos de las poblaciones encuestadas, sus grados de salud, nutrición, acceso a bienes materiales, características de </w:t>
      </w:r>
      <w:r>
        <w:rPr>
          <w:spacing w:val="-5"/>
        </w:rPr>
        <w:t>la </w:t>
      </w:r>
      <w:r>
        <w:rPr/>
        <w:t>familia y </w:t>
      </w:r>
      <w:r>
        <w:rPr>
          <w:spacing w:val="-5"/>
        </w:rPr>
        <w:t>la </w:t>
      </w:r>
      <w:r>
        <w:rPr/>
        <w:t>escuela, así como el capital cultural de los sujetos</w:t>
      </w:r>
      <w:r>
        <w:rPr>
          <w:spacing w:val="60"/>
        </w:rPr>
        <w:t> </w:t>
      </w:r>
      <w:r>
        <w:rPr/>
        <w:t>muestra.</w:t>
      </w:r>
    </w:p>
    <w:p>
      <w:pPr>
        <w:pStyle w:val="BodyText"/>
        <w:spacing w:line="364" w:lineRule="auto" w:before="5"/>
        <w:ind w:left="116" w:right="105" w:firstLine="686"/>
        <w:jc w:val="both"/>
      </w:pPr>
      <w:r>
        <w:rPr/>
        <w:t>La investigación tomó muestras representativas de 77 escuelas en cinco zonas; 413 docentes participantes </w:t>
      </w:r>
      <w:r>
        <w:rPr>
          <w:spacing w:val="3"/>
        </w:rPr>
        <w:t>de </w:t>
      </w:r>
      <w:r>
        <w:rPr/>
        <w:t>la encuesta y 178 participantes  de entrevistas; </w:t>
      </w:r>
      <w:r>
        <w:rPr>
          <w:spacing w:val="3"/>
        </w:rPr>
        <w:t>se </w:t>
      </w:r>
      <w:r>
        <w:rPr/>
        <w:t>aplicó un cuestionario a 1208 alumnos de cuarto grado y a 1071 </w:t>
      </w:r>
      <w:r>
        <w:rPr>
          <w:spacing w:val="-3"/>
        </w:rPr>
        <w:t>de </w:t>
      </w:r>
      <w:r>
        <w:rPr/>
        <w:t>sexto, </w:t>
      </w:r>
      <w:r>
        <w:rPr>
          <w:spacing w:val="-3"/>
        </w:rPr>
        <w:t>así </w:t>
      </w:r>
      <w:r>
        <w:rPr/>
        <w:t>como la aplicación de una entrevista a 743 padres de </w:t>
      </w:r>
      <w:r>
        <w:rPr>
          <w:spacing w:val="-3"/>
        </w:rPr>
        <w:t>familia. </w:t>
      </w:r>
      <w:r>
        <w:rPr/>
        <w:t>Asimismo, participaron 152 informantes calificados </w:t>
      </w:r>
      <w:r>
        <w:rPr>
          <w:spacing w:val="2"/>
        </w:rPr>
        <w:t>de </w:t>
      </w:r>
      <w:r>
        <w:rPr/>
        <w:t>las escuelas y 128  de  </w:t>
      </w:r>
      <w:r>
        <w:rPr>
          <w:spacing w:val="-2"/>
        </w:rPr>
        <w:t>las</w:t>
      </w:r>
      <w:r>
        <w:rPr>
          <w:spacing w:val="59"/>
        </w:rPr>
        <w:t> </w:t>
      </w:r>
      <w:r>
        <w:rPr/>
        <w:t>comunidades. Se hicieron pruebas piloto </w:t>
      </w:r>
      <w:r>
        <w:rPr>
          <w:spacing w:val="2"/>
        </w:rPr>
        <w:t>de </w:t>
      </w:r>
      <w:r>
        <w:rPr>
          <w:spacing w:val="-3"/>
        </w:rPr>
        <w:t>los </w:t>
      </w:r>
      <w:r>
        <w:rPr/>
        <w:t>instrumentos y </w:t>
      </w:r>
      <w:r>
        <w:rPr>
          <w:spacing w:val="3"/>
        </w:rPr>
        <w:t>se </w:t>
      </w:r>
      <w:r>
        <w:rPr/>
        <w:t>efectuó un escrutinio riguroso de los materiales escolares,  entrevistas  profundas con padres de familia, maestros, inspectores y el cuestionario fue varias veces revisado por expertos, funcionarios de la SEP y maestros en</w:t>
      </w:r>
      <w:r>
        <w:rPr>
          <w:spacing w:val="51"/>
        </w:rPr>
        <w:t> </w:t>
      </w:r>
      <w:r>
        <w:rPr/>
        <w:t>ejercicio.</w:t>
      </w:r>
    </w:p>
    <w:p>
      <w:pPr>
        <w:pStyle w:val="BodyText"/>
        <w:spacing w:line="364" w:lineRule="auto" w:before="5"/>
        <w:ind w:left="116" w:right="111" w:firstLine="686"/>
        <w:jc w:val="both"/>
      </w:pPr>
      <w:r>
        <w:rPr/>
        <w:t>Las pruebas se basaron en el currículum oficial, pero el  objetivo  era  detectar </w:t>
      </w:r>
      <w:r>
        <w:rPr>
          <w:spacing w:val="-3"/>
        </w:rPr>
        <w:t>la </w:t>
      </w:r>
      <w:r>
        <w:rPr/>
        <w:t>contribución de las escuelas para reproducir lo que </w:t>
      </w:r>
      <w:r>
        <w:rPr>
          <w:spacing w:val="3"/>
        </w:rPr>
        <w:t>se </w:t>
      </w:r>
      <w:r>
        <w:rPr/>
        <w:t>denominó “competencias para la vida”, </w:t>
      </w:r>
      <w:r>
        <w:rPr>
          <w:spacing w:val="3"/>
        </w:rPr>
        <w:t>con </w:t>
      </w:r>
      <w:r>
        <w:rPr/>
        <w:t>lo que medían habilidades de comunicación (interpretación de imágenes, traducción entre lenguajes [de las matemáticas a </w:t>
      </w:r>
      <w:r>
        <w:rPr>
          <w:spacing w:val="-4"/>
        </w:rPr>
        <w:t>la </w:t>
      </w:r>
      <w:r>
        <w:rPr/>
        <w:t>explicación en las palabras del alumno, comprensión de la información escrita; organización, elaboración y discriminación de la  información,  así  como  </w:t>
      </w:r>
      <w:r>
        <w:rPr>
          <w:spacing w:val="-5"/>
        </w:rPr>
        <w:t>la </w:t>
      </w:r>
      <w:r>
        <w:rPr/>
        <w:t>expresión escrita y descripción del contexto]) y </w:t>
      </w:r>
      <w:r>
        <w:rPr>
          <w:spacing w:val="-3"/>
        </w:rPr>
        <w:t>la </w:t>
      </w:r>
      <w:r>
        <w:rPr/>
        <w:t>competencia para el  uso  funcional de las matemáticas (procesos </w:t>
      </w:r>
      <w:r>
        <w:rPr>
          <w:spacing w:val="-3"/>
        </w:rPr>
        <w:t>de </w:t>
      </w:r>
      <w:r>
        <w:rPr/>
        <w:t>información, lectura de lenguajes simbólicos, discriminación y sinonimias y traducción del español al lenguaje matemático) así como competencias para la preservación de la salud y protección al medio ambiente.  (Ornelas,</w:t>
      </w:r>
      <w:r>
        <w:rPr>
          <w:spacing w:val="44"/>
        </w:rPr>
        <w:t> </w:t>
      </w:r>
      <w:r>
        <w:rPr/>
        <w:t>2009:241).</w:t>
      </w:r>
    </w:p>
    <w:p>
      <w:pPr>
        <w:pStyle w:val="BodyText"/>
        <w:spacing w:line="364" w:lineRule="auto" w:before="5"/>
        <w:ind w:left="116" w:right="111" w:firstLine="686"/>
        <w:jc w:val="both"/>
      </w:pPr>
      <w:r>
        <w:rPr/>
        <w:t>La prueba </w:t>
      </w:r>
      <w:r>
        <w:rPr>
          <w:spacing w:val="3"/>
        </w:rPr>
        <w:t>se </w:t>
      </w:r>
      <w:r>
        <w:rPr>
          <w:spacing w:val="-3"/>
        </w:rPr>
        <w:t>realizó </w:t>
      </w:r>
      <w:r>
        <w:rPr/>
        <w:t>a niños de cuarto y sexto grados, en </w:t>
      </w:r>
      <w:r>
        <w:rPr>
          <w:spacing w:val="3"/>
        </w:rPr>
        <w:t>el </w:t>
      </w:r>
      <w:r>
        <w:rPr/>
        <w:t>ciclo 1991-1992 y </w:t>
      </w:r>
      <w:r>
        <w:rPr>
          <w:spacing w:val="-3"/>
        </w:rPr>
        <w:t>los </w:t>
      </w:r>
      <w:r>
        <w:rPr/>
        <w:t>resultados coincidieron con los anteriormente expuestos por  Gilberto  Guevara.</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216" w:right="224" w:firstLine="686"/>
        <w:jc w:val="both"/>
      </w:pPr>
      <w:r>
        <w:rPr/>
        <w:t>En este examen aplicado a nivel nacional en una muestra de 3248 alumnos de sexto grado de primaria en 175 grupos, con una clasificación derivada del tipo   de control y financiamiento; y con preguntas de opción múltiple extraídas de </w:t>
      </w:r>
      <w:r>
        <w:rPr>
          <w:spacing w:val="-3"/>
        </w:rPr>
        <w:t>los </w:t>
      </w:r>
      <w:r>
        <w:rPr/>
        <w:t>objetivos y programas de los libros de texto de </w:t>
      </w:r>
      <w:r>
        <w:rPr>
          <w:spacing w:val="-3"/>
        </w:rPr>
        <w:t>1° </w:t>
      </w:r>
      <w:r>
        <w:rPr/>
        <w:t>y 5°, evidenciaron un promedio  de 4.83 pts. en escala de 10, mientras que en las escuelas privadas, </w:t>
      </w:r>
      <w:r>
        <w:rPr>
          <w:spacing w:val="3"/>
        </w:rPr>
        <w:t>el </w:t>
      </w:r>
      <w:r>
        <w:rPr/>
        <w:t>resultado fue de 6.55 pts. en escala de 10  promedio. (Guevara. 1991. En Ornelas: 2009:  174)</w:t>
      </w:r>
    </w:p>
    <w:p>
      <w:pPr>
        <w:pStyle w:val="BodyText"/>
        <w:spacing w:line="364" w:lineRule="auto" w:before="5"/>
        <w:ind w:left="216" w:right="228" w:firstLine="686"/>
        <w:jc w:val="both"/>
      </w:pPr>
      <w:r>
        <w:rPr/>
        <w:t>En cuarto grado sólo el 6% </w:t>
      </w:r>
      <w:r>
        <w:rPr>
          <w:spacing w:val="3"/>
        </w:rPr>
        <w:t>de </w:t>
      </w:r>
      <w:r>
        <w:rPr/>
        <w:t>los alumnos obtuvo </w:t>
      </w:r>
      <w:r>
        <w:rPr>
          <w:spacing w:val="-3"/>
        </w:rPr>
        <w:t>arriba </w:t>
      </w:r>
      <w:r>
        <w:rPr/>
        <w:t>de 7 pts. y sólo  15% de los de sexto, aprobó con una calificación semejante. Estos porcentajes se ubicaron en la zona urbana de clase</w:t>
      </w:r>
      <w:r>
        <w:rPr>
          <w:spacing w:val="40"/>
        </w:rPr>
        <w:t> </w:t>
      </w:r>
      <w:r>
        <w:rPr/>
        <w:t>media.</w:t>
      </w:r>
    </w:p>
    <w:p>
      <w:pPr>
        <w:pStyle w:val="BodyText"/>
        <w:rPr>
          <w:sz w:val="22"/>
        </w:rPr>
      </w:pPr>
    </w:p>
    <w:p>
      <w:pPr>
        <w:pStyle w:val="BodyText"/>
        <w:spacing w:before="7"/>
        <w:rPr>
          <w:sz w:val="30"/>
        </w:rPr>
      </w:pPr>
    </w:p>
    <w:p>
      <w:pPr>
        <w:pStyle w:val="Heading3"/>
        <w:spacing w:line="264" w:lineRule="exact" w:before="0"/>
        <w:ind w:left="1781" w:right="1794"/>
        <w:jc w:val="center"/>
      </w:pPr>
      <w:r>
        <w:rPr/>
        <w:t>Tabla N° 8</w:t>
      </w:r>
    </w:p>
    <w:p>
      <w:pPr>
        <w:spacing w:line="244" w:lineRule="auto" w:before="0"/>
        <w:ind w:left="1783" w:right="1794" w:firstLine="0"/>
        <w:jc w:val="center"/>
        <w:rPr>
          <w:b/>
          <w:sz w:val="23"/>
        </w:rPr>
      </w:pPr>
      <w:r>
        <w:rPr>
          <w:b/>
          <w:sz w:val="23"/>
        </w:rPr>
        <w:t>Prueba de competencia para la vida. Puebla, 1992 (Porcentaje de aciertos)</w:t>
      </w:r>
    </w:p>
    <w:p>
      <w:pPr>
        <w:pStyle w:val="BodyText"/>
        <w:rPr>
          <w:b/>
          <w:sz w:val="20"/>
        </w:rPr>
      </w:pPr>
    </w:p>
    <w:p>
      <w:pPr>
        <w:pStyle w:val="BodyText"/>
        <w:spacing w:before="9"/>
        <w:rPr>
          <w:b/>
          <w:sz w:val="17"/>
        </w:rPr>
      </w:pPr>
    </w:p>
    <w:p>
      <w:pPr>
        <w:tabs>
          <w:tab w:pos="1660" w:val="left" w:leader="none"/>
          <w:tab w:pos="8054" w:val="left" w:leader="none"/>
        </w:tabs>
        <w:spacing w:before="0"/>
        <w:ind w:left="580" w:right="64" w:firstLine="0"/>
        <w:jc w:val="left"/>
        <w:rPr>
          <w:sz w:val="17"/>
        </w:rPr>
      </w:pPr>
      <w:r>
        <w:rPr/>
        <w:pict>
          <v:shape style="position:absolute;margin-left:77.279999pt;margin-top:-7.620608pt;width:440.9pt;height:202.6pt;mso-position-horizontal-relative:page;mso-position-vertical-relative:paragraph;z-index:2368"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78"/>
                    <w:gridCol w:w="962"/>
                    <w:gridCol w:w="1193"/>
                    <w:gridCol w:w="901"/>
                    <w:gridCol w:w="1009"/>
                    <w:gridCol w:w="874"/>
                  </w:tblGrid>
                  <w:tr>
                    <w:trPr>
                      <w:trHeight w:val="257" w:hRule="exact"/>
                    </w:trPr>
                    <w:tc>
                      <w:tcPr>
                        <w:tcW w:w="3878" w:type="dxa"/>
                        <w:tcBorders>
                          <w:left w:val="nil"/>
                          <w:bottom w:val="nil"/>
                          <w:right w:val="nil"/>
                        </w:tcBorders>
                      </w:tcPr>
                      <w:p>
                        <w:pPr>
                          <w:pStyle w:val="TableParagraph"/>
                          <w:spacing w:line="194" w:lineRule="exact"/>
                          <w:ind w:right="108"/>
                          <w:jc w:val="right"/>
                          <w:rPr>
                            <w:sz w:val="17"/>
                          </w:rPr>
                        </w:pPr>
                        <w:r>
                          <w:rPr>
                            <w:sz w:val="17"/>
                          </w:rPr>
                          <w:t>Z.Uclase</w:t>
                        </w:r>
                      </w:p>
                    </w:tc>
                    <w:tc>
                      <w:tcPr>
                        <w:tcW w:w="962" w:type="dxa"/>
                        <w:tcBorders>
                          <w:left w:val="nil"/>
                          <w:bottom w:val="nil"/>
                          <w:right w:val="nil"/>
                        </w:tcBorders>
                      </w:tcPr>
                      <w:p>
                        <w:pPr>
                          <w:pStyle w:val="TableParagraph"/>
                          <w:spacing w:line="194" w:lineRule="exact"/>
                          <w:ind w:left="89" w:right="89"/>
                          <w:jc w:val="center"/>
                          <w:rPr>
                            <w:sz w:val="17"/>
                          </w:rPr>
                        </w:pPr>
                        <w:r>
                          <w:rPr>
                            <w:w w:val="105"/>
                            <w:sz w:val="17"/>
                          </w:rPr>
                          <w:t>Z.Urbana</w:t>
                        </w:r>
                      </w:p>
                    </w:tc>
                    <w:tc>
                      <w:tcPr>
                        <w:tcW w:w="1193" w:type="dxa"/>
                        <w:tcBorders>
                          <w:left w:val="nil"/>
                          <w:bottom w:val="nil"/>
                          <w:right w:val="nil"/>
                        </w:tcBorders>
                      </w:tcPr>
                      <w:p>
                        <w:pPr>
                          <w:pStyle w:val="TableParagraph"/>
                          <w:spacing w:line="194" w:lineRule="exact"/>
                          <w:ind w:left="81" w:right="84"/>
                          <w:jc w:val="center"/>
                          <w:rPr>
                            <w:sz w:val="17"/>
                          </w:rPr>
                        </w:pPr>
                        <w:r>
                          <w:rPr>
                            <w:w w:val="105"/>
                            <w:sz w:val="17"/>
                          </w:rPr>
                          <w:t>Zona rural</w:t>
                        </w:r>
                      </w:p>
                    </w:tc>
                    <w:tc>
                      <w:tcPr>
                        <w:tcW w:w="901" w:type="dxa"/>
                        <w:tcBorders>
                          <w:left w:val="nil"/>
                          <w:bottom w:val="nil"/>
                          <w:right w:val="nil"/>
                        </w:tcBorders>
                      </w:tcPr>
                      <w:p>
                        <w:pPr>
                          <w:pStyle w:val="TableParagraph"/>
                          <w:spacing w:line="194" w:lineRule="exact"/>
                          <w:ind w:left="88" w:right="85"/>
                          <w:jc w:val="center"/>
                          <w:rPr>
                            <w:sz w:val="17"/>
                          </w:rPr>
                        </w:pPr>
                        <w:r>
                          <w:rPr>
                            <w:w w:val="105"/>
                            <w:sz w:val="17"/>
                          </w:rPr>
                          <w:t>Z.Rural</w:t>
                        </w:r>
                      </w:p>
                    </w:tc>
                    <w:tc>
                      <w:tcPr>
                        <w:tcW w:w="1882" w:type="dxa"/>
                        <w:gridSpan w:val="2"/>
                        <w:tcBorders>
                          <w:left w:val="nil"/>
                          <w:bottom w:val="nil"/>
                          <w:right w:val="nil"/>
                        </w:tcBorders>
                      </w:tcPr>
                      <w:p>
                        <w:pPr>
                          <w:pStyle w:val="TableParagraph"/>
                          <w:spacing w:line="194" w:lineRule="exact"/>
                          <w:ind w:left="245"/>
                          <w:rPr>
                            <w:sz w:val="17"/>
                          </w:rPr>
                        </w:pPr>
                        <w:r>
                          <w:rPr>
                            <w:w w:val="105"/>
                            <w:sz w:val="17"/>
                          </w:rPr>
                          <w:t>Zona</w:t>
                        </w:r>
                      </w:p>
                    </w:tc>
                  </w:tr>
                  <w:tr>
                    <w:trPr>
                      <w:trHeight w:val="353" w:hRule="exact"/>
                    </w:trPr>
                    <w:tc>
                      <w:tcPr>
                        <w:tcW w:w="3878" w:type="dxa"/>
                        <w:tcBorders>
                          <w:top w:val="nil"/>
                          <w:left w:val="nil"/>
                          <w:right w:val="nil"/>
                        </w:tcBorders>
                      </w:tcPr>
                      <w:p>
                        <w:pPr>
                          <w:pStyle w:val="TableParagraph"/>
                          <w:spacing w:before="44"/>
                          <w:ind w:right="207"/>
                          <w:jc w:val="right"/>
                          <w:rPr>
                            <w:sz w:val="17"/>
                          </w:rPr>
                        </w:pPr>
                        <w:r>
                          <w:rPr>
                            <w:sz w:val="17"/>
                          </w:rPr>
                          <w:t>media</w:t>
                        </w:r>
                      </w:p>
                    </w:tc>
                    <w:tc>
                      <w:tcPr>
                        <w:tcW w:w="962" w:type="dxa"/>
                        <w:tcBorders>
                          <w:top w:val="nil"/>
                          <w:left w:val="nil"/>
                          <w:right w:val="nil"/>
                        </w:tcBorders>
                      </w:tcPr>
                      <w:p>
                        <w:pPr>
                          <w:pStyle w:val="TableParagraph"/>
                          <w:spacing w:before="44"/>
                          <w:ind w:left="89" w:right="84"/>
                          <w:jc w:val="center"/>
                          <w:rPr>
                            <w:sz w:val="17"/>
                          </w:rPr>
                        </w:pPr>
                        <w:r>
                          <w:rPr>
                            <w:w w:val="105"/>
                            <w:sz w:val="17"/>
                          </w:rPr>
                          <w:t>marginal</w:t>
                        </w:r>
                      </w:p>
                    </w:tc>
                    <w:tc>
                      <w:tcPr>
                        <w:tcW w:w="1193" w:type="dxa"/>
                        <w:tcBorders>
                          <w:top w:val="nil"/>
                          <w:left w:val="nil"/>
                          <w:right w:val="nil"/>
                        </w:tcBorders>
                      </w:tcPr>
                      <w:p>
                        <w:pPr>
                          <w:pStyle w:val="TableParagraph"/>
                          <w:spacing w:before="44"/>
                          <w:ind w:left="86" w:right="84"/>
                          <w:jc w:val="center"/>
                          <w:rPr>
                            <w:sz w:val="17"/>
                          </w:rPr>
                        </w:pPr>
                        <w:r>
                          <w:rPr>
                            <w:w w:val="105"/>
                            <w:sz w:val="17"/>
                          </w:rPr>
                          <w:t>desarrollada</w:t>
                        </w:r>
                      </w:p>
                    </w:tc>
                    <w:tc>
                      <w:tcPr>
                        <w:tcW w:w="901" w:type="dxa"/>
                        <w:tcBorders>
                          <w:top w:val="nil"/>
                          <w:left w:val="nil"/>
                          <w:right w:val="nil"/>
                        </w:tcBorders>
                      </w:tcPr>
                      <w:p>
                        <w:pPr>
                          <w:pStyle w:val="TableParagraph"/>
                          <w:spacing w:before="44"/>
                          <w:ind w:left="88" w:right="88"/>
                          <w:jc w:val="center"/>
                          <w:rPr>
                            <w:sz w:val="17"/>
                          </w:rPr>
                        </w:pPr>
                        <w:r>
                          <w:rPr>
                            <w:w w:val="105"/>
                            <w:sz w:val="17"/>
                          </w:rPr>
                          <w:t>marginal</w:t>
                        </w:r>
                      </w:p>
                    </w:tc>
                    <w:tc>
                      <w:tcPr>
                        <w:tcW w:w="1009" w:type="dxa"/>
                        <w:tcBorders>
                          <w:top w:val="nil"/>
                          <w:left w:val="nil"/>
                          <w:right w:val="nil"/>
                        </w:tcBorders>
                      </w:tcPr>
                      <w:p>
                        <w:pPr>
                          <w:pStyle w:val="TableParagraph"/>
                          <w:spacing w:before="44"/>
                          <w:ind w:left="93" w:right="190"/>
                          <w:jc w:val="center"/>
                          <w:rPr>
                            <w:sz w:val="17"/>
                          </w:rPr>
                        </w:pPr>
                        <w:r>
                          <w:rPr>
                            <w:w w:val="105"/>
                            <w:sz w:val="17"/>
                          </w:rPr>
                          <w:t>indígena</w:t>
                        </w:r>
                      </w:p>
                    </w:tc>
                    <w:tc>
                      <w:tcPr>
                        <w:tcW w:w="874" w:type="dxa"/>
                        <w:tcBorders>
                          <w:top w:val="nil"/>
                          <w:left w:val="nil"/>
                          <w:right w:val="nil"/>
                        </w:tcBorders>
                      </w:tcPr>
                      <w:p>
                        <w:pPr/>
                      </w:p>
                    </w:tc>
                  </w:tr>
                  <w:tr>
                    <w:trPr>
                      <w:trHeight w:val="341" w:hRule="exact"/>
                    </w:trPr>
                    <w:tc>
                      <w:tcPr>
                        <w:tcW w:w="3878" w:type="dxa"/>
                        <w:tcBorders>
                          <w:left w:val="nil"/>
                          <w:bottom w:val="nil"/>
                          <w:right w:val="nil"/>
                        </w:tcBorders>
                      </w:tcPr>
                      <w:p>
                        <w:pPr>
                          <w:pStyle w:val="TableParagraph"/>
                          <w:tabs>
                            <w:tab w:pos="3595" w:val="right" w:leader="none"/>
                          </w:tabs>
                          <w:spacing w:line="194" w:lineRule="exact"/>
                          <w:ind w:left="2390"/>
                          <w:rPr>
                            <w:sz w:val="17"/>
                          </w:rPr>
                        </w:pPr>
                        <w:r>
                          <w:rPr>
                            <w:spacing w:val="-5"/>
                            <w:w w:val="105"/>
                            <w:sz w:val="17"/>
                          </w:rPr>
                          <w:t>Media</w:t>
                          <w:tab/>
                        </w:r>
                        <w:r>
                          <w:rPr>
                            <w:spacing w:val="-4"/>
                            <w:w w:val="105"/>
                            <w:sz w:val="17"/>
                          </w:rPr>
                          <w:t>49.9</w:t>
                        </w:r>
                      </w:p>
                    </w:tc>
                    <w:tc>
                      <w:tcPr>
                        <w:tcW w:w="962" w:type="dxa"/>
                        <w:tcBorders>
                          <w:left w:val="nil"/>
                          <w:bottom w:val="nil"/>
                          <w:right w:val="nil"/>
                        </w:tcBorders>
                      </w:tcPr>
                      <w:p>
                        <w:pPr>
                          <w:pStyle w:val="TableParagraph"/>
                          <w:spacing w:line="194" w:lineRule="exact"/>
                          <w:ind w:left="87" w:right="89"/>
                          <w:jc w:val="center"/>
                          <w:rPr>
                            <w:sz w:val="17"/>
                          </w:rPr>
                        </w:pPr>
                        <w:r>
                          <w:rPr>
                            <w:w w:val="105"/>
                            <w:sz w:val="17"/>
                          </w:rPr>
                          <w:t>27.2</w:t>
                        </w:r>
                      </w:p>
                    </w:tc>
                    <w:tc>
                      <w:tcPr>
                        <w:tcW w:w="1193" w:type="dxa"/>
                        <w:tcBorders>
                          <w:left w:val="nil"/>
                          <w:bottom w:val="nil"/>
                          <w:right w:val="nil"/>
                        </w:tcBorders>
                      </w:tcPr>
                      <w:p>
                        <w:pPr>
                          <w:pStyle w:val="TableParagraph"/>
                          <w:spacing w:line="194" w:lineRule="exact"/>
                          <w:ind w:left="77" w:right="84"/>
                          <w:jc w:val="center"/>
                          <w:rPr>
                            <w:sz w:val="17"/>
                          </w:rPr>
                        </w:pPr>
                        <w:r>
                          <w:rPr>
                            <w:w w:val="105"/>
                            <w:sz w:val="17"/>
                          </w:rPr>
                          <w:t>26.8</w:t>
                        </w:r>
                      </w:p>
                    </w:tc>
                    <w:tc>
                      <w:tcPr>
                        <w:tcW w:w="901" w:type="dxa"/>
                        <w:tcBorders>
                          <w:left w:val="nil"/>
                          <w:bottom w:val="nil"/>
                          <w:right w:val="nil"/>
                        </w:tcBorders>
                      </w:tcPr>
                      <w:p>
                        <w:pPr>
                          <w:pStyle w:val="TableParagraph"/>
                          <w:spacing w:line="194" w:lineRule="exact"/>
                          <w:ind w:left="80" w:right="88"/>
                          <w:jc w:val="center"/>
                          <w:rPr>
                            <w:sz w:val="17"/>
                          </w:rPr>
                        </w:pPr>
                        <w:r>
                          <w:rPr>
                            <w:w w:val="105"/>
                            <w:sz w:val="17"/>
                          </w:rPr>
                          <w:t>25.9</w:t>
                        </w:r>
                      </w:p>
                    </w:tc>
                    <w:tc>
                      <w:tcPr>
                        <w:tcW w:w="1009" w:type="dxa"/>
                        <w:tcBorders>
                          <w:left w:val="nil"/>
                          <w:bottom w:val="nil"/>
                          <w:right w:val="nil"/>
                        </w:tcBorders>
                      </w:tcPr>
                      <w:p>
                        <w:pPr>
                          <w:pStyle w:val="TableParagraph"/>
                          <w:spacing w:line="194" w:lineRule="exact"/>
                          <w:ind w:left="79" w:right="190"/>
                          <w:jc w:val="center"/>
                          <w:rPr>
                            <w:sz w:val="17"/>
                          </w:rPr>
                        </w:pPr>
                        <w:r>
                          <w:rPr>
                            <w:w w:val="105"/>
                            <w:sz w:val="17"/>
                          </w:rPr>
                          <w:t>28.6</w:t>
                        </w:r>
                      </w:p>
                    </w:tc>
                    <w:tc>
                      <w:tcPr>
                        <w:tcW w:w="874" w:type="dxa"/>
                        <w:tcBorders>
                          <w:left w:val="nil"/>
                          <w:bottom w:val="nil"/>
                          <w:right w:val="nil"/>
                        </w:tcBorders>
                      </w:tcPr>
                      <w:p>
                        <w:pPr>
                          <w:pStyle w:val="TableParagraph"/>
                          <w:spacing w:line="194" w:lineRule="exact"/>
                          <w:ind w:left="211"/>
                          <w:rPr>
                            <w:sz w:val="17"/>
                          </w:rPr>
                        </w:pPr>
                        <w:r>
                          <w:rPr>
                            <w:w w:val="105"/>
                            <w:sz w:val="17"/>
                          </w:rPr>
                          <w:t>34.0</w:t>
                        </w:r>
                      </w:p>
                    </w:tc>
                  </w:tr>
                  <w:tr>
                    <w:trPr>
                      <w:trHeight w:val="463" w:hRule="exact"/>
                    </w:trPr>
                    <w:tc>
                      <w:tcPr>
                        <w:tcW w:w="3878" w:type="dxa"/>
                        <w:tcBorders>
                          <w:top w:val="nil"/>
                          <w:left w:val="nil"/>
                          <w:bottom w:val="nil"/>
                          <w:right w:val="nil"/>
                        </w:tcBorders>
                      </w:tcPr>
                      <w:p>
                        <w:pPr>
                          <w:pStyle w:val="TableParagraph"/>
                          <w:tabs>
                            <w:tab w:pos="2572" w:val="left" w:leader="none"/>
                          </w:tabs>
                          <w:spacing w:line="149" w:lineRule="exact"/>
                          <w:ind w:left="1430"/>
                          <w:rPr>
                            <w:sz w:val="17"/>
                          </w:rPr>
                        </w:pPr>
                        <w:r>
                          <w:rPr>
                            <w:w w:val="105"/>
                            <w:sz w:val="17"/>
                          </w:rPr>
                          <w:t>CUARTO</w:t>
                          <w:tab/>
                          <w:t>&gt;</w:t>
                        </w:r>
                      </w:p>
                      <w:p>
                        <w:pPr>
                          <w:pStyle w:val="TableParagraph"/>
                          <w:spacing w:line="154" w:lineRule="exact"/>
                          <w:ind w:right="280"/>
                          <w:jc w:val="right"/>
                          <w:rPr>
                            <w:sz w:val="17"/>
                          </w:rPr>
                        </w:pPr>
                        <w:r>
                          <w:rPr>
                            <w:w w:val="105"/>
                            <w:sz w:val="17"/>
                          </w:rPr>
                          <w:t>15.8</w:t>
                        </w:r>
                      </w:p>
                      <w:p>
                        <w:pPr>
                          <w:pStyle w:val="TableParagraph"/>
                          <w:spacing w:line="175" w:lineRule="exact"/>
                          <w:ind w:left="2448"/>
                          <w:rPr>
                            <w:sz w:val="17"/>
                          </w:rPr>
                        </w:pPr>
                        <w:r>
                          <w:rPr>
                            <w:w w:val="105"/>
                            <w:sz w:val="17"/>
                          </w:rPr>
                          <w:t>70%</w:t>
                        </w:r>
                      </w:p>
                    </w:tc>
                    <w:tc>
                      <w:tcPr>
                        <w:tcW w:w="962" w:type="dxa"/>
                        <w:tcBorders>
                          <w:top w:val="nil"/>
                          <w:left w:val="nil"/>
                          <w:bottom w:val="nil"/>
                          <w:right w:val="nil"/>
                        </w:tcBorders>
                      </w:tcPr>
                      <w:p>
                        <w:pPr>
                          <w:pStyle w:val="TableParagraph"/>
                          <w:spacing w:before="128"/>
                          <w:ind w:left="86" w:right="89"/>
                          <w:jc w:val="center"/>
                          <w:rPr>
                            <w:sz w:val="17"/>
                          </w:rPr>
                        </w:pPr>
                        <w:r>
                          <w:rPr>
                            <w:w w:val="105"/>
                            <w:sz w:val="17"/>
                          </w:rPr>
                          <w:t>3.9</w:t>
                        </w:r>
                      </w:p>
                    </w:tc>
                    <w:tc>
                      <w:tcPr>
                        <w:tcW w:w="1193" w:type="dxa"/>
                        <w:tcBorders>
                          <w:top w:val="nil"/>
                          <w:left w:val="nil"/>
                          <w:bottom w:val="nil"/>
                          <w:right w:val="nil"/>
                        </w:tcBorders>
                      </w:tcPr>
                      <w:p>
                        <w:pPr>
                          <w:pStyle w:val="TableParagraph"/>
                          <w:spacing w:before="128"/>
                          <w:ind w:left="76" w:right="84"/>
                          <w:jc w:val="center"/>
                          <w:rPr>
                            <w:sz w:val="17"/>
                          </w:rPr>
                        </w:pPr>
                        <w:r>
                          <w:rPr>
                            <w:w w:val="105"/>
                            <w:sz w:val="17"/>
                          </w:rPr>
                          <w:t>0.8</w:t>
                        </w:r>
                      </w:p>
                    </w:tc>
                    <w:tc>
                      <w:tcPr>
                        <w:tcW w:w="901" w:type="dxa"/>
                        <w:tcBorders>
                          <w:top w:val="nil"/>
                          <w:left w:val="nil"/>
                          <w:bottom w:val="nil"/>
                          <w:right w:val="nil"/>
                        </w:tcBorders>
                      </w:tcPr>
                      <w:p>
                        <w:pPr>
                          <w:pStyle w:val="TableParagraph"/>
                          <w:spacing w:before="128"/>
                          <w:ind w:left="78" w:right="88"/>
                          <w:jc w:val="center"/>
                          <w:rPr>
                            <w:sz w:val="17"/>
                          </w:rPr>
                        </w:pPr>
                        <w:r>
                          <w:rPr>
                            <w:w w:val="105"/>
                            <w:sz w:val="17"/>
                          </w:rPr>
                          <w:t>0.0</w:t>
                        </w:r>
                      </w:p>
                    </w:tc>
                    <w:tc>
                      <w:tcPr>
                        <w:tcW w:w="1009" w:type="dxa"/>
                        <w:tcBorders>
                          <w:top w:val="nil"/>
                          <w:left w:val="nil"/>
                          <w:bottom w:val="nil"/>
                          <w:right w:val="nil"/>
                        </w:tcBorders>
                      </w:tcPr>
                      <w:p>
                        <w:pPr>
                          <w:pStyle w:val="TableParagraph"/>
                          <w:spacing w:before="128"/>
                          <w:ind w:left="74" w:right="190"/>
                          <w:jc w:val="center"/>
                          <w:rPr>
                            <w:sz w:val="17"/>
                          </w:rPr>
                        </w:pPr>
                        <w:r>
                          <w:rPr>
                            <w:w w:val="105"/>
                            <w:sz w:val="17"/>
                          </w:rPr>
                          <w:t>2.3</w:t>
                        </w:r>
                      </w:p>
                    </w:tc>
                    <w:tc>
                      <w:tcPr>
                        <w:tcW w:w="874" w:type="dxa"/>
                        <w:tcBorders>
                          <w:top w:val="nil"/>
                          <w:left w:val="nil"/>
                          <w:bottom w:val="nil"/>
                          <w:right w:val="nil"/>
                        </w:tcBorders>
                      </w:tcPr>
                      <w:p>
                        <w:pPr>
                          <w:pStyle w:val="TableParagraph"/>
                          <w:spacing w:before="128"/>
                          <w:ind w:left="254"/>
                          <w:rPr>
                            <w:sz w:val="17"/>
                          </w:rPr>
                        </w:pPr>
                        <w:r>
                          <w:rPr>
                            <w:w w:val="105"/>
                            <w:sz w:val="17"/>
                          </w:rPr>
                          <w:t>6.3</w:t>
                        </w:r>
                      </w:p>
                    </w:tc>
                  </w:tr>
                  <w:tr>
                    <w:trPr>
                      <w:trHeight w:val="463" w:hRule="exact"/>
                    </w:trPr>
                    <w:tc>
                      <w:tcPr>
                        <w:tcW w:w="3878" w:type="dxa"/>
                        <w:tcBorders>
                          <w:top w:val="nil"/>
                          <w:left w:val="nil"/>
                          <w:bottom w:val="nil"/>
                          <w:right w:val="nil"/>
                        </w:tcBorders>
                      </w:tcPr>
                      <w:p>
                        <w:pPr>
                          <w:pStyle w:val="TableParagraph"/>
                          <w:spacing w:line="147" w:lineRule="exact"/>
                          <w:ind w:left="110"/>
                          <w:rPr>
                            <w:sz w:val="17"/>
                          </w:rPr>
                        </w:pPr>
                        <w:r>
                          <w:rPr>
                            <w:w w:val="105"/>
                            <w:sz w:val="17"/>
                          </w:rPr>
                          <w:t>Comunicación</w:t>
                        </w:r>
                      </w:p>
                      <w:p>
                        <w:pPr>
                          <w:pStyle w:val="TableParagraph"/>
                          <w:tabs>
                            <w:tab w:pos="3595" w:val="right" w:leader="none"/>
                          </w:tabs>
                          <w:spacing w:line="175" w:lineRule="exact"/>
                          <w:ind w:left="2390"/>
                          <w:rPr>
                            <w:sz w:val="17"/>
                          </w:rPr>
                        </w:pPr>
                        <w:r>
                          <w:rPr>
                            <w:spacing w:val="-5"/>
                            <w:w w:val="105"/>
                            <w:sz w:val="17"/>
                          </w:rPr>
                          <w:t>Media</w:t>
                          <w:tab/>
                        </w:r>
                        <w:r>
                          <w:rPr>
                            <w:spacing w:val="-4"/>
                            <w:w w:val="105"/>
                            <w:sz w:val="17"/>
                          </w:rPr>
                          <w:t>65.1</w:t>
                        </w:r>
                      </w:p>
                    </w:tc>
                    <w:tc>
                      <w:tcPr>
                        <w:tcW w:w="962" w:type="dxa"/>
                        <w:tcBorders>
                          <w:top w:val="nil"/>
                          <w:left w:val="nil"/>
                          <w:bottom w:val="nil"/>
                          <w:right w:val="nil"/>
                        </w:tcBorders>
                      </w:tcPr>
                      <w:p>
                        <w:pPr>
                          <w:pStyle w:val="TableParagraph"/>
                          <w:spacing w:before="126"/>
                          <w:ind w:left="87" w:right="89"/>
                          <w:jc w:val="center"/>
                          <w:rPr>
                            <w:sz w:val="17"/>
                          </w:rPr>
                        </w:pPr>
                        <w:r>
                          <w:rPr>
                            <w:w w:val="105"/>
                            <w:sz w:val="17"/>
                          </w:rPr>
                          <w:t>41.4</w:t>
                        </w:r>
                      </w:p>
                    </w:tc>
                    <w:tc>
                      <w:tcPr>
                        <w:tcW w:w="1193" w:type="dxa"/>
                        <w:tcBorders>
                          <w:top w:val="nil"/>
                          <w:left w:val="nil"/>
                          <w:bottom w:val="nil"/>
                          <w:right w:val="nil"/>
                        </w:tcBorders>
                      </w:tcPr>
                      <w:p>
                        <w:pPr>
                          <w:pStyle w:val="TableParagraph"/>
                          <w:spacing w:before="126"/>
                          <w:ind w:left="77" w:right="84"/>
                          <w:jc w:val="center"/>
                          <w:rPr>
                            <w:sz w:val="17"/>
                          </w:rPr>
                        </w:pPr>
                        <w:r>
                          <w:rPr>
                            <w:w w:val="105"/>
                            <w:sz w:val="17"/>
                          </w:rPr>
                          <w:t>41.8</w:t>
                        </w:r>
                      </w:p>
                    </w:tc>
                    <w:tc>
                      <w:tcPr>
                        <w:tcW w:w="901" w:type="dxa"/>
                        <w:tcBorders>
                          <w:top w:val="nil"/>
                          <w:left w:val="nil"/>
                          <w:bottom w:val="nil"/>
                          <w:right w:val="nil"/>
                        </w:tcBorders>
                      </w:tcPr>
                      <w:p>
                        <w:pPr>
                          <w:pStyle w:val="TableParagraph"/>
                          <w:spacing w:before="126"/>
                          <w:ind w:left="80" w:right="88"/>
                          <w:jc w:val="center"/>
                          <w:rPr>
                            <w:sz w:val="17"/>
                          </w:rPr>
                        </w:pPr>
                        <w:r>
                          <w:rPr>
                            <w:w w:val="105"/>
                            <w:sz w:val="17"/>
                          </w:rPr>
                          <w:t>41.8</w:t>
                        </w:r>
                      </w:p>
                    </w:tc>
                    <w:tc>
                      <w:tcPr>
                        <w:tcW w:w="1009" w:type="dxa"/>
                        <w:tcBorders>
                          <w:top w:val="nil"/>
                          <w:left w:val="nil"/>
                          <w:bottom w:val="nil"/>
                          <w:right w:val="nil"/>
                        </w:tcBorders>
                      </w:tcPr>
                      <w:p>
                        <w:pPr>
                          <w:pStyle w:val="TableParagraph"/>
                          <w:spacing w:before="126"/>
                          <w:ind w:left="79" w:right="190"/>
                          <w:jc w:val="center"/>
                          <w:rPr>
                            <w:sz w:val="17"/>
                          </w:rPr>
                        </w:pPr>
                        <w:r>
                          <w:rPr>
                            <w:w w:val="105"/>
                            <w:sz w:val="17"/>
                          </w:rPr>
                          <w:t>39.7</w:t>
                        </w:r>
                      </w:p>
                    </w:tc>
                    <w:tc>
                      <w:tcPr>
                        <w:tcW w:w="874" w:type="dxa"/>
                        <w:tcBorders>
                          <w:top w:val="nil"/>
                          <w:left w:val="nil"/>
                          <w:bottom w:val="nil"/>
                          <w:right w:val="nil"/>
                        </w:tcBorders>
                      </w:tcPr>
                      <w:p>
                        <w:pPr>
                          <w:pStyle w:val="TableParagraph"/>
                          <w:spacing w:before="126"/>
                          <w:ind w:left="211"/>
                          <w:rPr>
                            <w:sz w:val="17"/>
                          </w:rPr>
                        </w:pPr>
                        <w:r>
                          <w:rPr>
                            <w:w w:val="105"/>
                            <w:sz w:val="17"/>
                          </w:rPr>
                          <w:t>50.0</w:t>
                        </w:r>
                      </w:p>
                    </w:tc>
                  </w:tr>
                  <w:tr>
                    <w:trPr>
                      <w:trHeight w:val="588" w:hRule="exact"/>
                    </w:trPr>
                    <w:tc>
                      <w:tcPr>
                        <w:tcW w:w="3878" w:type="dxa"/>
                        <w:tcBorders>
                          <w:top w:val="nil"/>
                          <w:left w:val="nil"/>
                          <w:bottom w:val="single" w:sz="2" w:space="0" w:color="000000"/>
                          <w:right w:val="nil"/>
                        </w:tcBorders>
                      </w:tcPr>
                      <w:p>
                        <w:pPr>
                          <w:pStyle w:val="TableParagraph"/>
                          <w:tabs>
                            <w:tab w:pos="2572" w:val="left" w:leader="none"/>
                          </w:tabs>
                          <w:spacing w:line="149" w:lineRule="exact"/>
                          <w:ind w:left="1502"/>
                          <w:rPr>
                            <w:sz w:val="17"/>
                          </w:rPr>
                        </w:pPr>
                        <w:r>
                          <w:rPr>
                            <w:spacing w:val="-3"/>
                            <w:w w:val="105"/>
                            <w:sz w:val="17"/>
                          </w:rPr>
                          <w:t>SEXTO</w:t>
                          <w:tab/>
                        </w:r>
                        <w:r>
                          <w:rPr>
                            <w:w w:val="105"/>
                            <w:sz w:val="17"/>
                          </w:rPr>
                          <w:t>&gt;</w:t>
                        </w:r>
                      </w:p>
                      <w:p>
                        <w:pPr>
                          <w:pStyle w:val="TableParagraph"/>
                          <w:spacing w:line="151" w:lineRule="exact"/>
                          <w:ind w:right="280"/>
                          <w:jc w:val="right"/>
                          <w:rPr>
                            <w:sz w:val="17"/>
                          </w:rPr>
                        </w:pPr>
                        <w:r>
                          <w:rPr>
                            <w:w w:val="105"/>
                            <w:sz w:val="17"/>
                          </w:rPr>
                          <w:t>37.9</w:t>
                        </w:r>
                      </w:p>
                      <w:p>
                        <w:pPr>
                          <w:pStyle w:val="TableParagraph"/>
                          <w:spacing w:line="172" w:lineRule="exact"/>
                          <w:ind w:left="2448"/>
                          <w:rPr>
                            <w:sz w:val="17"/>
                          </w:rPr>
                        </w:pPr>
                        <w:r>
                          <w:rPr>
                            <w:w w:val="105"/>
                            <w:sz w:val="17"/>
                          </w:rPr>
                          <w:t>70%</w:t>
                        </w:r>
                      </w:p>
                    </w:tc>
                    <w:tc>
                      <w:tcPr>
                        <w:tcW w:w="962" w:type="dxa"/>
                        <w:tcBorders>
                          <w:top w:val="nil"/>
                          <w:left w:val="nil"/>
                          <w:bottom w:val="single" w:sz="2" w:space="0" w:color="000000"/>
                          <w:right w:val="nil"/>
                        </w:tcBorders>
                      </w:tcPr>
                      <w:p>
                        <w:pPr>
                          <w:pStyle w:val="TableParagraph"/>
                          <w:spacing w:before="128"/>
                          <w:ind w:left="86" w:right="89"/>
                          <w:jc w:val="center"/>
                          <w:rPr>
                            <w:sz w:val="17"/>
                          </w:rPr>
                        </w:pPr>
                        <w:r>
                          <w:rPr>
                            <w:w w:val="105"/>
                            <w:sz w:val="17"/>
                          </w:rPr>
                          <w:t>4.1</w:t>
                        </w:r>
                      </w:p>
                    </w:tc>
                    <w:tc>
                      <w:tcPr>
                        <w:tcW w:w="1193" w:type="dxa"/>
                        <w:tcBorders>
                          <w:top w:val="nil"/>
                          <w:left w:val="nil"/>
                          <w:bottom w:val="single" w:sz="2" w:space="0" w:color="000000"/>
                          <w:right w:val="nil"/>
                        </w:tcBorders>
                      </w:tcPr>
                      <w:p>
                        <w:pPr>
                          <w:pStyle w:val="TableParagraph"/>
                          <w:spacing w:before="128"/>
                          <w:ind w:left="76" w:right="84"/>
                          <w:jc w:val="center"/>
                          <w:rPr>
                            <w:sz w:val="17"/>
                          </w:rPr>
                        </w:pPr>
                        <w:r>
                          <w:rPr>
                            <w:w w:val="105"/>
                            <w:sz w:val="17"/>
                          </w:rPr>
                          <w:t>3.3</w:t>
                        </w:r>
                      </w:p>
                    </w:tc>
                    <w:tc>
                      <w:tcPr>
                        <w:tcW w:w="901" w:type="dxa"/>
                        <w:tcBorders>
                          <w:top w:val="nil"/>
                          <w:left w:val="nil"/>
                          <w:bottom w:val="single" w:sz="2" w:space="0" w:color="000000"/>
                          <w:right w:val="nil"/>
                        </w:tcBorders>
                      </w:tcPr>
                      <w:p>
                        <w:pPr>
                          <w:pStyle w:val="TableParagraph"/>
                          <w:spacing w:before="128"/>
                          <w:ind w:left="78" w:right="88"/>
                          <w:jc w:val="center"/>
                          <w:rPr>
                            <w:sz w:val="17"/>
                          </w:rPr>
                        </w:pPr>
                        <w:r>
                          <w:rPr>
                            <w:w w:val="105"/>
                            <w:sz w:val="17"/>
                          </w:rPr>
                          <w:t>7.2</w:t>
                        </w:r>
                      </w:p>
                    </w:tc>
                    <w:tc>
                      <w:tcPr>
                        <w:tcW w:w="1009" w:type="dxa"/>
                        <w:tcBorders>
                          <w:top w:val="nil"/>
                          <w:left w:val="nil"/>
                          <w:bottom w:val="single" w:sz="2" w:space="0" w:color="000000"/>
                          <w:right w:val="nil"/>
                        </w:tcBorders>
                      </w:tcPr>
                      <w:p>
                        <w:pPr>
                          <w:pStyle w:val="TableParagraph"/>
                          <w:spacing w:before="128"/>
                          <w:ind w:left="74" w:right="190"/>
                          <w:jc w:val="center"/>
                          <w:rPr>
                            <w:sz w:val="17"/>
                          </w:rPr>
                        </w:pPr>
                        <w:r>
                          <w:rPr>
                            <w:w w:val="105"/>
                            <w:sz w:val="17"/>
                          </w:rPr>
                          <w:t>5.4</w:t>
                        </w:r>
                      </w:p>
                    </w:tc>
                    <w:tc>
                      <w:tcPr>
                        <w:tcW w:w="874" w:type="dxa"/>
                        <w:tcBorders>
                          <w:top w:val="nil"/>
                          <w:left w:val="nil"/>
                          <w:bottom w:val="single" w:sz="2" w:space="0" w:color="000000"/>
                          <w:right w:val="nil"/>
                        </w:tcBorders>
                      </w:tcPr>
                      <w:p>
                        <w:pPr>
                          <w:pStyle w:val="TableParagraph"/>
                          <w:spacing w:before="128"/>
                          <w:ind w:left="211"/>
                          <w:rPr>
                            <w:sz w:val="17"/>
                          </w:rPr>
                        </w:pPr>
                        <w:r>
                          <w:rPr>
                            <w:w w:val="105"/>
                            <w:sz w:val="17"/>
                          </w:rPr>
                          <w:t>15.6</w:t>
                        </w:r>
                      </w:p>
                    </w:tc>
                  </w:tr>
                  <w:tr>
                    <w:trPr>
                      <w:trHeight w:val="341" w:hRule="exact"/>
                    </w:trPr>
                    <w:tc>
                      <w:tcPr>
                        <w:tcW w:w="3878" w:type="dxa"/>
                        <w:tcBorders>
                          <w:top w:val="single" w:sz="2" w:space="0" w:color="000000"/>
                          <w:left w:val="nil"/>
                          <w:bottom w:val="nil"/>
                          <w:right w:val="nil"/>
                        </w:tcBorders>
                      </w:tcPr>
                      <w:p>
                        <w:pPr>
                          <w:pStyle w:val="TableParagraph"/>
                          <w:tabs>
                            <w:tab w:pos="3595" w:val="right" w:leader="none"/>
                          </w:tabs>
                          <w:spacing w:before="3"/>
                          <w:ind w:left="2390"/>
                          <w:rPr>
                            <w:sz w:val="17"/>
                          </w:rPr>
                        </w:pPr>
                        <w:r>
                          <w:rPr>
                            <w:spacing w:val="-5"/>
                            <w:w w:val="105"/>
                            <w:sz w:val="17"/>
                          </w:rPr>
                          <w:t>Media</w:t>
                          <w:tab/>
                        </w:r>
                        <w:r>
                          <w:rPr>
                            <w:spacing w:val="-4"/>
                            <w:w w:val="105"/>
                            <w:sz w:val="17"/>
                          </w:rPr>
                          <w:t>36.7</w:t>
                        </w:r>
                      </w:p>
                    </w:tc>
                    <w:tc>
                      <w:tcPr>
                        <w:tcW w:w="962" w:type="dxa"/>
                        <w:tcBorders>
                          <w:top w:val="single" w:sz="2" w:space="0" w:color="000000"/>
                          <w:left w:val="nil"/>
                          <w:bottom w:val="nil"/>
                          <w:right w:val="nil"/>
                        </w:tcBorders>
                      </w:tcPr>
                      <w:p>
                        <w:pPr>
                          <w:pStyle w:val="TableParagraph"/>
                          <w:spacing w:before="3"/>
                          <w:ind w:left="87" w:right="89"/>
                          <w:jc w:val="center"/>
                          <w:rPr>
                            <w:sz w:val="17"/>
                          </w:rPr>
                        </w:pPr>
                        <w:r>
                          <w:rPr>
                            <w:w w:val="105"/>
                            <w:sz w:val="17"/>
                          </w:rPr>
                          <w:t>22.5</w:t>
                        </w:r>
                      </w:p>
                    </w:tc>
                    <w:tc>
                      <w:tcPr>
                        <w:tcW w:w="1193" w:type="dxa"/>
                        <w:tcBorders>
                          <w:top w:val="single" w:sz="2" w:space="0" w:color="000000"/>
                          <w:left w:val="nil"/>
                          <w:bottom w:val="nil"/>
                          <w:right w:val="nil"/>
                        </w:tcBorders>
                      </w:tcPr>
                      <w:p>
                        <w:pPr>
                          <w:pStyle w:val="TableParagraph"/>
                          <w:spacing w:before="3"/>
                          <w:ind w:left="77" w:right="84"/>
                          <w:jc w:val="center"/>
                          <w:rPr>
                            <w:sz w:val="17"/>
                          </w:rPr>
                        </w:pPr>
                        <w:r>
                          <w:rPr>
                            <w:w w:val="105"/>
                            <w:sz w:val="17"/>
                          </w:rPr>
                          <w:t>21.6</w:t>
                        </w:r>
                      </w:p>
                    </w:tc>
                    <w:tc>
                      <w:tcPr>
                        <w:tcW w:w="901" w:type="dxa"/>
                        <w:tcBorders>
                          <w:top w:val="single" w:sz="2" w:space="0" w:color="000000"/>
                          <w:left w:val="nil"/>
                          <w:bottom w:val="nil"/>
                          <w:right w:val="nil"/>
                        </w:tcBorders>
                      </w:tcPr>
                      <w:p>
                        <w:pPr>
                          <w:pStyle w:val="TableParagraph"/>
                          <w:spacing w:before="3"/>
                          <w:ind w:left="79" w:right="88"/>
                          <w:jc w:val="center"/>
                          <w:rPr>
                            <w:sz w:val="17"/>
                          </w:rPr>
                        </w:pPr>
                        <w:r>
                          <w:rPr>
                            <w:w w:val="105"/>
                            <w:sz w:val="17"/>
                          </w:rPr>
                          <w:t>20.0</w:t>
                        </w:r>
                      </w:p>
                    </w:tc>
                    <w:tc>
                      <w:tcPr>
                        <w:tcW w:w="1009" w:type="dxa"/>
                        <w:tcBorders>
                          <w:top w:val="single" w:sz="2" w:space="0" w:color="000000"/>
                          <w:left w:val="nil"/>
                          <w:bottom w:val="nil"/>
                          <w:right w:val="nil"/>
                        </w:tcBorders>
                      </w:tcPr>
                      <w:p>
                        <w:pPr>
                          <w:pStyle w:val="TableParagraph"/>
                          <w:spacing w:before="3"/>
                          <w:ind w:left="79" w:right="190"/>
                          <w:jc w:val="center"/>
                          <w:rPr>
                            <w:sz w:val="17"/>
                          </w:rPr>
                        </w:pPr>
                        <w:r>
                          <w:rPr>
                            <w:w w:val="105"/>
                            <w:sz w:val="17"/>
                          </w:rPr>
                          <w:t>25.7</w:t>
                        </w:r>
                      </w:p>
                    </w:tc>
                    <w:tc>
                      <w:tcPr>
                        <w:tcW w:w="874" w:type="dxa"/>
                        <w:tcBorders>
                          <w:top w:val="single" w:sz="2" w:space="0" w:color="000000"/>
                          <w:left w:val="nil"/>
                          <w:bottom w:val="nil"/>
                          <w:right w:val="nil"/>
                        </w:tcBorders>
                      </w:tcPr>
                      <w:p>
                        <w:pPr>
                          <w:pStyle w:val="TableParagraph"/>
                          <w:spacing w:before="3"/>
                          <w:ind w:left="211"/>
                          <w:rPr>
                            <w:sz w:val="17"/>
                          </w:rPr>
                        </w:pPr>
                        <w:r>
                          <w:rPr>
                            <w:w w:val="105"/>
                            <w:sz w:val="17"/>
                          </w:rPr>
                          <w:t>27.0</w:t>
                        </w:r>
                      </w:p>
                    </w:tc>
                  </w:tr>
                  <w:tr>
                    <w:trPr>
                      <w:trHeight w:val="461" w:hRule="exact"/>
                    </w:trPr>
                    <w:tc>
                      <w:tcPr>
                        <w:tcW w:w="3878" w:type="dxa"/>
                        <w:tcBorders>
                          <w:top w:val="nil"/>
                          <w:left w:val="nil"/>
                          <w:bottom w:val="nil"/>
                          <w:right w:val="nil"/>
                        </w:tcBorders>
                      </w:tcPr>
                      <w:p>
                        <w:pPr>
                          <w:pStyle w:val="TableParagraph"/>
                          <w:tabs>
                            <w:tab w:pos="2572" w:val="left" w:leader="none"/>
                          </w:tabs>
                          <w:spacing w:line="147" w:lineRule="exact"/>
                          <w:ind w:left="1430"/>
                          <w:rPr>
                            <w:sz w:val="17"/>
                          </w:rPr>
                        </w:pPr>
                        <w:r>
                          <w:rPr>
                            <w:w w:val="105"/>
                            <w:sz w:val="17"/>
                          </w:rPr>
                          <w:t>CUARTO</w:t>
                          <w:tab/>
                          <w:t>&gt;</w:t>
                        </w:r>
                      </w:p>
                      <w:p>
                        <w:pPr>
                          <w:pStyle w:val="TableParagraph"/>
                          <w:spacing w:line="151" w:lineRule="exact"/>
                          <w:ind w:right="332"/>
                          <w:jc w:val="right"/>
                          <w:rPr>
                            <w:sz w:val="17"/>
                          </w:rPr>
                        </w:pPr>
                        <w:r>
                          <w:rPr>
                            <w:w w:val="105"/>
                            <w:sz w:val="17"/>
                          </w:rPr>
                          <w:t>1.9</w:t>
                        </w:r>
                      </w:p>
                      <w:p>
                        <w:pPr>
                          <w:pStyle w:val="TableParagraph"/>
                          <w:spacing w:line="172" w:lineRule="exact"/>
                          <w:ind w:left="2448"/>
                          <w:rPr>
                            <w:sz w:val="17"/>
                          </w:rPr>
                        </w:pPr>
                        <w:r>
                          <w:rPr>
                            <w:w w:val="105"/>
                            <w:sz w:val="17"/>
                          </w:rPr>
                          <w:t>70%</w:t>
                        </w:r>
                      </w:p>
                    </w:tc>
                    <w:tc>
                      <w:tcPr>
                        <w:tcW w:w="962" w:type="dxa"/>
                        <w:tcBorders>
                          <w:top w:val="nil"/>
                          <w:left w:val="nil"/>
                          <w:bottom w:val="nil"/>
                          <w:right w:val="nil"/>
                        </w:tcBorders>
                      </w:tcPr>
                      <w:p>
                        <w:pPr>
                          <w:pStyle w:val="TableParagraph"/>
                          <w:spacing w:before="126"/>
                          <w:ind w:left="86" w:right="89"/>
                          <w:jc w:val="center"/>
                          <w:rPr>
                            <w:sz w:val="17"/>
                          </w:rPr>
                        </w:pPr>
                        <w:r>
                          <w:rPr>
                            <w:w w:val="105"/>
                            <w:sz w:val="17"/>
                          </w:rPr>
                          <w:t>0.0</w:t>
                        </w:r>
                      </w:p>
                    </w:tc>
                    <w:tc>
                      <w:tcPr>
                        <w:tcW w:w="1193" w:type="dxa"/>
                        <w:tcBorders>
                          <w:top w:val="nil"/>
                          <w:left w:val="nil"/>
                          <w:bottom w:val="nil"/>
                          <w:right w:val="nil"/>
                        </w:tcBorders>
                      </w:tcPr>
                      <w:p>
                        <w:pPr>
                          <w:pStyle w:val="TableParagraph"/>
                          <w:spacing w:before="126"/>
                          <w:ind w:left="76" w:right="84"/>
                          <w:jc w:val="center"/>
                          <w:rPr>
                            <w:sz w:val="17"/>
                          </w:rPr>
                        </w:pPr>
                        <w:r>
                          <w:rPr>
                            <w:w w:val="105"/>
                            <w:sz w:val="17"/>
                          </w:rPr>
                          <w:t>0.4</w:t>
                        </w:r>
                      </w:p>
                    </w:tc>
                    <w:tc>
                      <w:tcPr>
                        <w:tcW w:w="901" w:type="dxa"/>
                        <w:tcBorders>
                          <w:top w:val="nil"/>
                          <w:left w:val="nil"/>
                          <w:bottom w:val="nil"/>
                          <w:right w:val="nil"/>
                        </w:tcBorders>
                      </w:tcPr>
                      <w:p>
                        <w:pPr>
                          <w:pStyle w:val="TableParagraph"/>
                          <w:spacing w:before="126"/>
                          <w:ind w:left="78" w:right="88"/>
                          <w:jc w:val="center"/>
                          <w:rPr>
                            <w:sz w:val="17"/>
                          </w:rPr>
                        </w:pPr>
                        <w:r>
                          <w:rPr>
                            <w:w w:val="105"/>
                            <w:sz w:val="17"/>
                          </w:rPr>
                          <w:t>0.0</w:t>
                        </w:r>
                      </w:p>
                    </w:tc>
                    <w:tc>
                      <w:tcPr>
                        <w:tcW w:w="1009" w:type="dxa"/>
                        <w:tcBorders>
                          <w:top w:val="nil"/>
                          <w:left w:val="nil"/>
                          <w:bottom w:val="nil"/>
                          <w:right w:val="nil"/>
                        </w:tcBorders>
                      </w:tcPr>
                      <w:p>
                        <w:pPr>
                          <w:pStyle w:val="TableParagraph"/>
                          <w:spacing w:before="126"/>
                          <w:ind w:left="74" w:right="190"/>
                          <w:jc w:val="center"/>
                          <w:rPr>
                            <w:sz w:val="17"/>
                          </w:rPr>
                        </w:pPr>
                        <w:r>
                          <w:rPr>
                            <w:w w:val="105"/>
                            <w:sz w:val="17"/>
                          </w:rPr>
                          <w:t>2.3</w:t>
                        </w:r>
                      </w:p>
                    </w:tc>
                    <w:tc>
                      <w:tcPr>
                        <w:tcW w:w="874" w:type="dxa"/>
                        <w:tcBorders>
                          <w:top w:val="nil"/>
                          <w:left w:val="nil"/>
                          <w:bottom w:val="nil"/>
                          <w:right w:val="nil"/>
                        </w:tcBorders>
                      </w:tcPr>
                      <w:p>
                        <w:pPr>
                          <w:pStyle w:val="TableParagraph"/>
                          <w:spacing w:before="126"/>
                          <w:ind w:left="254"/>
                          <w:rPr>
                            <w:sz w:val="17"/>
                          </w:rPr>
                        </w:pPr>
                        <w:r>
                          <w:rPr>
                            <w:w w:val="105"/>
                            <w:sz w:val="17"/>
                          </w:rPr>
                          <w:t>0.9</w:t>
                        </w:r>
                      </w:p>
                    </w:tc>
                  </w:tr>
                  <w:tr>
                    <w:trPr>
                      <w:trHeight w:val="463" w:hRule="exact"/>
                    </w:trPr>
                    <w:tc>
                      <w:tcPr>
                        <w:tcW w:w="3878" w:type="dxa"/>
                        <w:tcBorders>
                          <w:top w:val="nil"/>
                          <w:left w:val="nil"/>
                          <w:bottom w:val="nil"/>
                          <w:right w:val="nil"/>
                        </w:tcBorders>
                      </w:tcPr>
                      <w:p>
                        <w:pPr>
                          <w:pStyle w:val="TableParagraph"/>
                          <w:spacing w:line="147" w:lineRule="exact"/>
                          <w:ind w:left="163"/>
                          <w:rPr>
                            <w:sz w:val="17"/>
                          </w:rPr>
                        </w:pPr>
                        <w:r>
                          <w:rPr>
                            <w:w w:val="105"/>
                            <w:sz w:val="17"/>
                          </w:rPr>
                          <w:t>Matemáticas</w:t>
                        </w:r>
                      </w:p>
                      <w:p>
                        <w:pPr>
                          <w:pStyle w:val="TableParagraph"/>
                          <w:tabs>
                            <w:tab w:pos="3263" w:val="left" w:leader="none"/>
                          </w:tabs>
                          <w:spacing w:line="175" w:lineRule="exact"/>
                          <w:ind w:left="2390"/>
                          <w:rPr>
                            <w:sz w:val="17"/>
                          </w:rPr>
                        </w:pPr>
                        <w:r>
                          <w:rPr>
                            <w:spacing w:val="-5"/>
                            <w:w w:val="105"/>
                            <w:sz w:val="17"/>
                          </w:rPr>
                          <w:t>Media</w:t>
                          <w:tab/>
                        </w:r>
                        <w:r>
                          <w:rPr>
                            <w:spacing w:val="-4"/>
                            <w:w w:val="105"/>
                            <w:sz w:val="17"/>
                          </w:rPr>
                          <w:t>30.0</w:t>
                        </w:r>
                      </w:p>
                    </w:tc>
                    <w:tc>
                      <w:tcPr>
                        <w:tcW w:w="962" w:type="dxa"/>
                        <w:tcBorders>
                          <w:top w:val="nil"/>
                          <w:left w:val="nil"/>
                          <w:bottom w:val="nil"/>
                          <w:right w:val="nil"/>
                        </w:tcBorders>
                      </w:tcPr>
                      <w:p>
                        <w:pPr>
                          <w:pStyle w:val="TableParagraph"/>
                          <w:spacing w:before="126"/>
                          <w:ind w:left="87" w:right="89"/>
                          <w:jc w:val="center"/>
                          <w:rPr>
                            <w:sz w:val="17"/>
                          </w:rPr>
                        </w:pPr>
                        <w:r>
                          <w:rPr>
                            <w:w w:val="105"/>
                            <w:sz w:val="17"/>
                          </w:rPr>
                          <w:t>18.9</w:t>
                        </w:r>
                      </w:p>
                    </w:tc>
                    <w:tc>
                      <w:tcPr>
                        <w:tcW w:w="1193" w:type="dxa"/>
                        <w:tcBorders>
                          <w:top w:val="nil"/>
                          <w:left w:val="nil"/>
                          <w:bottom w:val="nil"/>
                          <w:right w:val="nil"/>
                        </w:tcBorders>
                      </w:tcPr>
                      <w:p>
                        <w:pPr>
                          <w:pStyle w:val="TableParagraph"/>
                          <w:spacing w:before="126"/>
                          <w:ind w:left="77" w:right="84"/>
                          <w:jc w:val="center"/>
                          <w:rPr>
                            <w:sz w:val="17"/>
                          </w:rPr>
                        </w:pPr>
                        <w:r>
                          <w:rPr>
                            <w:w w:val="105"/>
                            <w:sz w:val="17"/>
                          </w:rPr>
                          <w:t>19.7</w:t>
                        </w:r>
                      </w:p>
                    </w:tc>
                    <w:tc>
                      <w:tcPr>
                        <w:tcW w:w="901" w:type="dxa"/>
                        <w:tcBorders>
                          <w:top w:val="nil"/>
                          <w:left w:val="nil"/>
                          <w:bottom w:val="nil"/>
                          <w:right w:val="nil"/>
                        </w:tcBorders>
                      </w:tcPr>
                      <w:p>
                        <w:pPr>
                          <w:pStyle w:val="TableParagraph"/>
                          <w:spacing w:before="126"/>
                          <w:ind w:left="80" w:right="88"/>
                          <w:jc w:val="center"/>
                          <w:rPr>
                            <w:sz w:val="17"/>
                          </w:rPr>
                        </w:pPr>
                        <w:r>
                          <w:rPr>
                            <w:w w:val="105"/>
                            <w:sz w:val="17"/>
                          </w:rPr>
                          <w:t>18.1</w:t>
                        </w:r>
                      </w:p>
                    </w:tc>
                    <w:tc>
                      <w:tcPr>
                        <w:tcW w:w="1009" w:type="dxa"/>
                        <w:tcBorders>
                          <w:top w:val="nil"/>
                          <w:left w:val="nil"/>
                          <w:bottom w:val="nil"/>
                          <w:right w:val="nil"/>
                        </w:tcBorders>
                      </w:tcPr>
                      <w:p>
                        <w:pPr>
                          <w:pStyle w:val="TableParagraph"/>
                          <w:spacing w:before="126"/>
                          <w:ind w:left="79" w:right="190"/>
                          <w:jc w:val="center"/>
                          <w:rPr>
                            <w:sz w:val="17"/>
                          </w:rPr>
                        </w:pPr>
                        <w:r>
                          <w:rPr>
                            <w:w w:val="105"/>
                            <w:sz w:val="17"/>
                          </w:rPr>
                          <w:t>15.8</w:t>
                        </w:r>
                      </w:p>
                    </w:tc>
                    <w:tc>
                      <w:tcPr>
                        <w:tcW w:w="874" w:type="dxa"/>
                        <w:tcBorders>
                          <w:top w:val="nil"/>
                          <w:left w:val="nil"/>
                          <w:bottom w:val="nil"/>
                          <w:right w:val="nil"/>
                        </w:tcBorders>
                      </w:tcPr>
                      <w:p>
                        <w:pPr>
                          <w:pStyle w:val="TableParagraph"/>
                          <w:spacing w:before="126"/>
                          <w:ind w:left="211"/>
                          <w:rPr>
                            <w:sz w:val="17"/>
                          </w:rPr>
                        </w:pPr>
                        <w:r>
                          <w:rPr>
                            <w:w w:val="105"/>
                            <w:sz w:val="17"/>
                          </w:rPr>
                          <w:t>23.0</w:t>
                        </w:r>
                      </w:p>
                    </w:tc>
                  </w:tr>
                  <w:tr>
                    <w:trPr>
                      <w:trHeight w:val="322" w:hRule="exact"/>
                    </w:trPr>
                    <w:tc>
                      <w:tcPr>
                        <w:tcW w:w="3878" w:type="dxa"/>
                        <w:tcBorders>
                          <w:top w:val="nil"/>
                          <w:left w:val="nil"/>
                          <w:bottom w:val="nil"/>
                          <w:right w:val="nil"/>
                        </w:tcBorders>
                      </w:tcPr>
                      <w:p>
                        <w:pPr>
                          <w:pStyle w:val="TableParagraph"/>
                          <w:tabs>
                            <w:tab w:pos="2572" w:val="left" w:leader="none"/>
                          </w:tabs>
                          <w:spacing w:line="149" w:lineRule="exact"/>
                          <w:ind w:left="1502"/>
                          <w:rPr>
                            <w:sz w:val="17"/>
                          </w:rPr>
                        </w:pPr>
                        <w:r>
                          <w:rPr>
                            <w:spacing w:val="-3"/>
                            <w:w w:val="105"/>
                            <w:sz w:val="17"/>
                          </w:rPr>
                          <w:t>SEXTO</w:t>
                          <w:tab/>
                        </w:r>
                        <w:r>
                          <w:rPr>
                            <w:w w:val="105"/>
                            <w:sz w:val="17"/>
                          </w:rPr>
                          <w:t>&gt;</w:t>
                        </w:r>
                      </w:p>
                      <w:p>
                        <w:pPr>
                          <w:pStyle w:val="TableParagraph"/>
                          <w:spacing w:line="175" w:lineRule="exact"/>
                          <w:ind w:right="332"/>
                          <w:jc w:val="right"/>
                          <w:rPr>
                            <w:sz w:val="17"/>
                          </w:rPr>
                        </w:pPr>
                        <w:r>
                          <w:rPr>
                            <w:w w:val="105"/>
                            <w:sz w:val="17"/>
                          </w:rPr>
                          <w:t>0.6</w:t>
                        </w:r>
                      </w:p>
                    </w:tc>
                    <w:tc>
                      <w:tcPr>
                        <w:tcW w:w="962" w:type="dxa"/>
                        <w:tcBorders>
                          <w:top w:val="nil"/>
                          <w:left w:val="nil"/>
                          <w:bottom w:val="nil"/>
                          <w:right w:val="nil"/>
                        </w:tcBorders>
                      </w:tcPr>
                      <w:p>
                        <w:pPr>
                          <w:pStyle w:val="TableParagraph"/>
                          <w:spacing w:before="128"/>
                          <w:ind w:left="86" w:right="89"/>
                          <w:jc w:val="center"/>
                          <w:rPr>
                            <w:sz w:val="17"/>
                          </w:rPr>
                        </w:pPr>
                        <w:r>
                          <w:rPr>
                            <w:w w:val="105"/>
                            <w:sz w:val="17"/>
                          </w:rPr>
                          <w:t>0.0</w:t>
                        </w:r>
                      </w:p>
                    </w:tc>
                    <w:tc>
                      <w:tcPr>
                        <w:tcW w:w="1193" w:type="dxa"/>
                        <w:tcBorders>
                          <w:top w:val="nil"/>
                          <w:left w:val="nil"/>
                          <w:bottom w:val="nil"/>
                          <w:right w:val="nil"/>
                        </w:tcBorders>
                      </w:tcPr>
                      <w:p>
                        <w:pPr>
                          <w:pStyle w:val="TableParagraph"/>
                          <w:spacing w:before="128"/>
                          <w:ind w:left="76" w:right="84"/>
                          <w:jc w:val="center"/>
                          <w:rPr>
                            <w:sz w:val="17"/>
                          </w:rPr>
                        </w:pPr>
                        <w:r>
                          <w:rPr>
                            <w:w w:val="105"/>
                            <w:sz w:val="17"/>
                          </w:rPr>
                          <w:t>0.0</w:t>
                        </w:r>
                      </w:p>
                    </w:tc>
                    <w:tc>
                      <w:tcPr>
                        <w:tcW w:w="901" w:type="dxa"/>
                        <w:tcBorders>
                          <w:top w:val="nil"/>
                          <w:left w:val="nil"/>
                          <w:bottom w:val="nil"/>
                          <w:right w:val="nil"/>
                        </w:tcBorders>
                      </w:tcPr>
                      <w:p>
                        <w:pPr>
                          <w:pStyle w:val="TableParagraph"/>
                          <w:spacing w:before="128"/>
                          <w:ind w:left="78" w:right="88"/>
                          <w:jc w:val="center"/>
                          <w:rPr>
                            <w:sz w:val="17"/>
                          </w:rPr>
                        </w:pPr>
                        <w:r>
                          <w:rPr>
                            <w:w w:val="105"/>
                            <w:sz w:val="17"/>
                          </w:rPr>
                          <w:t>0.0</w:t>
                        </w:r>
                      </w:p>
                    </w:tc>
                    <w:tc>
                      <w:tcPr>
                        <w:tcW w:w="1009" w:type="dxa"/>
                        <w:tcBorders>
                          <w:top w:val="nil"/>
                          <w:left w:val="nil"/>
                          <w:bottom w:val="nil"/>
                          <w:right w:val="nil"/>
                        </w:tcBorders>
                      </w:tcPr>
                      <w:p>
                        <w:pPr>
                          <w:pStyle w:val="TableParagraph"/>
                          <w:spacing w:before="128"/>
                          <w:ind w:left="74" w:right="190"/>
                          <w:jc w:val="center"/>
                          <w:rPr>
                            <w:sz w:val="17"/>
                          </w:rPr>
                        </w:pPr>
                        <w:r>
                          <w:rPr>
                            <w:w w:val="105"/>
                            <w:sz w:val="17"/>
                          </w:rPr>
                          <w:t>0.0</w:t>
                        </w:r>
                      </w:p>
                    </w:tc>
                    <w:tc>
                      <w:tcPr>
                        <w:tcW w:w="874" w:type="dxa"/>
                        <w:tcBorders>
                          <w:top w:val="nil"/>
                          <w:left w:val="nil"/>
                          <w:bottom w:val="nil"/>
                          <w:right w:val="nil"/>
                        </w:tcBorders>
                      </w:tcPr>
                      <w:p>
                        <w:pPr>
                          <w:pStyle w:val="TableParagraph"/>
                          <w:spacing w:before="128"/>
                          <w:ind w:left="254"/>
                          <w:rPr>
                            <w:sz w:val="17"/>
                          </w:rPr>
                        </w:pPr>
                        <w:r>
                          <w:rPr>
                            <w:w w:val="105"/>
                            <w:sz w:val="17"/>
                          </w:rPr>
                          <w:t>0.2</w:t>
                        </w:r>
                      </w:p>
                    </w:tc>
                  </w:tr>
                </w:tbl>
                <w:p>
                  <w:pPr>
                    <w:pStyle w:val="BodyText"/>
                  </w:pPr>
                </w:p>
              </w:txbxContent>
            </v:textbox>
            <w10:wrap type="none"/>
          </v:shape>
        </w:pict>
      </w:r>
      <w:r>
        <w:rPr>
          <w:w w:val="105"/>
          <w:sz w:val="17"/>
        </w:rPr>
        <w:t>Área</w:t>
        <w:tab/>
        <w:t>Grado</w:t>
        <w:tab/>
        <w:t>Promedio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8"/>
        </w:rPr>
      </w:pPr>
    </w:p>
    <w:p>
      <w:pPr>
        <w:spacing w:before="0"/>
        <w:ind w:left="2553" w:right="64" w:firstLine="0"/>
        <w:jc w:val="left"/>
        <w:rPr>
          <w:sz w:val="17"/>
        </w:rPr>
      </w:pPr>
      <w:r>
        <w:rPr/>
        <w:pict>
          <v:group style="position:absolute;margin-left:77.029999pt;margin-top:15.163901pt;width:441.4pt;height:.5pt;mso-position-horizontal-relative:page;mso-position-vertical-relative:paragraph;z-index:2344;mso-wrap-distance-left:0;mso-wrap-distance-right:0" coordorigin="1541,303" coordsize="8828,10">
            <v:line style="position:absolute" from="1546,308" to="2870,308" stroked="true" strokeweight=".48pt" strokecolor="#000000"/>
            <v:line style="position:absolute" from="2870,308" to="2880,308" stroked="true" strokeweight=".48pt" strokecolor="#000000"/>
            <v:line style="position:absolute" from="2880,308" to="3821,308" stroked="true" strokeweight=".48pt" strokecolor="#000000"/>
            <v:line style="position:absolute" from="3821,308" to="3830,308" stroked="true" strokeweight=".48pt" strokecolor="#000000"/>
            <v:line style="position:absolute" from="3830,308" to="4526,308" stroked="true" strokeweight=".48pt" strokecolor="#000000"/>
            <v:line style="position:absolute" from="4526,308" to="4536,308" stroked="true" strokeweight=".48pt" strokecolor="#000000"/>
            <v:line style="position:absolute" from="4536,308" to="5429,308" stroked="true" strokeweight=".48pt" strokecolor="#000000"/>
            <v:line style="position:absolute" from="5429,308" to="5438,308" stroked="true" strokeweight=".48pt" strokecolor="#000000"/>
            <v:line style="position:absolute" from="5438,308" to="6379,308" stroked="true" strokeweight=".48pt" strokecolor="#000000"/>
            <v:line style="position:absolute" from="6379,308" to="6389,308" stroked="true" strokeweight=".48pt" strokecolor="#000000"/>
            <v:line style="position:absolute" from="6389,308" to="7579,308" stroked="true" strokeweight=".48pt" strokecolor="#000000"/>
            <v:line style="position:absolute" from="7579,308" to="7589,308" stroked="true" strokeweight=".48pt" strokecolor="#000000"/>
            <v:line style="position:absolute" from="7589,308" to="8482,308" stroked="true" strokeweight=".48pt" strokecolor="#000000"/>
            <v:line style="position:absolute" from="8482,308" to="8491,308" stroked="true" strokeweight=".48pt" strokecolor="#000000"/>
            <v:line style="position:absolute" from="8491,308" to="9379,308" stroked="true" strokeweight=".48pt" strokecolor="#000000"/>
            <v:line style="position:absolute" from="9379,308" to="9384,308" stroked="true" strokeweight=".48pt" strokecolor="#000000"/>
            <v:line style="position:absolute" from="9384,308" to="10363,308" stroked="true" strokeweight=".48pt" strokecolor="#000000"/>
            <w10:wrap type="topAndBottom"/>
          </v:group>
        </w:pict>
      </w:r>
      <w:r>
        <w:rPr>
          <w:w w:val="105"/>
          <w:sz w:val="17"/>
        </w:rPr>
        <w:t>70%</w:t>
      </w:r>
    </w:p>
    <w:p>
      <w:pPr>
        <w:spacing w:line="376" w:lineRule="auto" w:before="0"/>
        <w:ind w:left="215" w:right="64" w:firstLine="0"/>
        <w:jc w:val="left"/>
        <w:rPr>
          <w:sz w:val="17"/>
        </w:rPr>
      </w:pPr>
      <w:r>
        <w:rPr>
          <w:b/>
          <w:w w:val="105"/>
          <w:sz w:val="17"/>
        </w:rPr>
        <w:t>FUENTE: </w:t>
      </w:r>
      <w:r>
        <w:rPr>
          <w:w w:val="105"/>
          <w:sz w:val="17"/>
        </w:rPr>
        <w:t>Sylvia Schmelkes (coord.), La calidad de la educación primaria: Estudio en cinco regiones de Puebla, México, Centro de Estudios Educativos, 1993.</w:t>
      </w:r>
    </w:p>
    <w:p>
      <w:pPr>
        <w:pStyle w:val="BodyText"/>
        <w:rPr>
          <w:sz w:val="18"/>
        </w:rPr>
      </w:pPr>
    </w:p>
    <w:p>
      <w:pPr>
        <w:pStyle w:val="BodyText"/>
        <w:rPr>
          <w:sz w:val="18"/>
        </w:rPr>
      </w:pPr>
    </w:p>
    <w:p>
      <w:pPr>
        <w:pStyle w:val="BodyText"/>
        <w:spacing w:before="3"/>
        <w:rPr>
          <w:sz w:val="15"/>
        </w:rPr>
      </w:pPr>
    </w:p>
    <w:p>
      <w:pPr>
        <w:pStyle w:val="BodyText"/>
        <w:spacing w:line="364" w:lineRule="auto" w:before="1"/>
        <w:ind w:left="215" w:right="232" w:firstLine="686"/>
        <w:jc w:val="both"/>
      </w:pPr>
      <w:r>
        <w:rPr/>
        <w:t>Ambos estudios mostraron que 84 de cada 100 niños reprobaron al concluir  </w:t>
      </w:r>
      <w:r>
        <w:rPr>
          <w:spacing w:val="-5"/>
        </w:rPr>
        <w:t>la </w:t>
      </w:r>
      <w:r>
        <w:rPr/>
        <w:t>primaria y entre  materias el resultado fue similar, salvo en Ciencias Naturales,  en donde </w:t>
      </w:r>
      <w:r>
        <w:rPr>
          <w:spacing w:val="-3"/>
        </w:rPr>
        <w:t>más del </w:t>
      </w:r>
      <w:r>
        <w:rPr/>
        <w:t>50% de los alumnos aprobaron en el estado de </w:t>
      </w:r>
      <w:r>
        <w:rPr>
          <w:spacing w:val="49"/>
        </w:rPr>
        <w:t> </w:t>
      </w:r>
      <w:r>
        <w:rPr/>
        <w:t>Aguascalientes.</w:t>
      </w:r>
    </w:p>
    <w:p>
      <w:pPr>
        <w:spacing w:after="0" w:line="364" w:lineRule="auto"/>
        <w:jc w:val="both"/>
        <w:sectPr>
          <w:pgSz w:w="11910" w:h="16840"/>
          <w:pgMar w:header="0" w:footer="1457" w:top="1580" w:bottom="1640" w:left="1440" w:right="1420"/>
        </w:sectPr>
      </w:pPr>
    </w:p>
    <w:p>
      <w:pPr>
        <w:pStyle w:val="BodyText"/>
        <w:rPr>
          <w:sz w:val="20"/>
        </w:rPr>
      </w:pPr>
    </w:p>
    <w:p>
      <w:pPr>
        <w:pStyle w:val="BodyText"/>
        <w:spacing w:before="2"/>
        <w:rPr>
          <w:sz w:val="16"/>
        </w:rPr>
      </w:pPr>
    </w:p>
    <w:p>
      <w:pPr>
        <w:pStyle w:val="BodyText"/>
        <w:spacing w:line="364" w:lineRule="auto" w:before="74"/>
        <w:ind w:left="116" w:right="107" w:firstLine="686"/>
        <w:jc w:val="both"/>
      </w:pPr>
      <w:r>
        <w:rPr/>
        <w:t>Las cifras oficiales indicaban que el sistema había elevado </w:t>
      </w:r>
      <w:r>
        <w:rPr>
          <w:spacing w:val="2"/>
        </w:rPr>
        <w:t>su </w:t>
      </w:r>
      <w:r>
        <w:rPr/>
        <w:t>eficiencia terminal, es </w:t>
      </w:r>
      <w:r>
        <w:rPr>
          <w:spacing w:val="-3"/>
        </w:rPr>
        <w:t>decir, </w:t>
      </w:r>
      <w:r>
        <w:rPr/>
        <w:t>más niños aprobaron </w:t>
      </w:r>
      <w:r>
        <w:rPr>
          <w:spacing w:val="-3"/>
        </w:rPr>
        <w:t>los </w:t>
      </w:r>
      <w:r>
        <w:rPr/>
        <w:t>cursos y permanecieron más ciclos en   </w:t>
      </w:r>
      <w:r>
        <w:rPr>
          <w:spacing w:val="-5"/>
        </w:rPr>
        <w:t>la </w:t>
      </w:r>
      <w:r>
        <w:rPr/>
        <w:t>escuela, empero los estudios mencionados pusieron en tela de juicio  tal  premisa, porque argumentaban que es diferente un aumento en la eficiencia terminal a elevar </w:t>
      </w:r>
      <w:r>
        <w:rPr>
          <w:spacing w:val="-4"/>
        </w:rPr>
        <w:t>la </w:t>
      </w:r>
      <w:r>
        <w:rPr/>
        <w:t>calidad educativa, pues por principio, las evaluaciones fueron realizadas bajo </w:t>
      </w:r>
      <w:r>
        <w:rPr>
          <w:spacing w:val="-5"/>
        </w:rPr>
        <w:t>la </w:t>
      </w:r>
      <w:r>
        <w:rPr/>
        <w:t>discrecionalidad del profesor y por tanto, </w:t>
      </w:r>
      <w:r>
        <w:rPr>
          <w:spacing w:val="3"/>
        </w:rPr>
        <w:t>con </w:t>
      </w:r>
      <w:r>
        <w:rPr/>
        <w:t>resultados tan dispares como inciertos. Los alumnos eran promovidos sin </w:t>
      </w:r>
      <w:r>
        <w:rPr>
          <w:spacing w:val="-3"/>
        </w:rPr>
        <w:t>la </w:t>
      </w:r>
      <w:r>
        <w:rPr/>
        <w:t>certidumbre de que poseen los conocimientos necesarios </w:t>
      </w:r>
      <w:r>
        <w:rPr>
          <w:spacing w:val="-3"/>
        </w:rPr>
        <w:t>y/o </w:t>
      </w:r>
      <w:r>
        <w:rPr>
          <w:spacing w:val="7"/>
        </w:rPr>
        <w:t> </w:t>
      </w:r>
      <w:r>
        <w:rPr/>
        <w:t>requisitados.</w:t>
      </w:r>
    </w:p>
    <w:p>
      <w:pPr>
        <w:pStyle w:val="BodyText"/>
        <w:spacing w:line="364" w:lineRule="auto" w:before="5"/>
        <w:ind w:left="116" w:right="116" w:firstLine="686"/>
        <w:jc w:val="both"/>
      </w:pPr>
      <w:r>
        <w:rPr/>
        <w:t>Adicionalmente se consideraron algunas aristas, </w:t>
      </w:r>
      <w:r>
        <w:rPr>
          <w:spacing w:val="-3"/>
        </w:rPr>
        <w:t>que </w:t>
      </w:r>
      <w:r>
        <w:rPr/>
        <w:t>a </w:t>
      </w:r>
      <w:r>
        <w:rPr>
          <w:spacing w:val="-4"/>
        </w:rPr>
        <w:t>la</w:t>
      </w:r>
      <w:r>
        <w:rPr>
          <w:spacing w:val="55"/>
        </w:rPr>
        <w:t> </w:t>
      </w:r>
      <w:r>
        <w:rPr/>
        <w:t>par de </w:t>
      </w:r>
      <w:r>
        <w:rPr>
          <w:spacing w:val="-5"/>
        </w:rPr>
        <w:t>la </w:t>
      </w:r>
      <w:r>
        <w:rPr/>
        <w:t>problemática anteriormente descrita, posibilitarían cierta</w:t>
      </w:r>
      <w:r>
        <w:rPr>
          <w:spacing w:val="60"/>
        </w:rPr>
        <w:t> </w:t>
      </w:r>
      <w:r>
        <w:rPr/>
        <w:t>influencia:</w:t>
      </w:r>
    </w:p>
    <w:p>
      <w:pPr>
        <w:pStyle w:val="ListParagraph"/>
        <w:numPr>
          <w:ilvl w:val="0"/>
          <w:numId w:val="13"/>
        </w:numPr>
        <w:tabs>
          <w:tab w:pos="1083" w:val="left" w:leader="none"/>
        </w:tabs>
        <w:spacing w:line="364" w:lineRule="auto" w:before="5" w:after="0"/>
        <w:ind w:left="116" w:right="107" w:firstLine="686"/>
        <w:jc w:val="both"/>
        <w:rPr>
          <w:sz w:val="23"/>
        </w:rPr>
      </w:pPr>
      <w:r>
        <w:rPr>
          <w:sz w:val="23"/>
        </w:rPr>
        <w:t>La crisis económica: sin embargo, los alumnos muestra cursaron </w:t>
      </w:r>
      <w:r>
        <w:rPr>
          <w:spacing w:val="-3"/>
          <w:sz w:val="23"/>
        </w:rPr>
        <w:t>de 1° </w:t>
      </w:r>
      <w:r>
        <w:rPr>
          <w:sz w:val="23"/>
        </w:rPr>
        <w:t>a  5° durante los años </w:t>
      </w:r>
      <w:r>
        <w:rPr>
          <w:spacing w:val="-3"/>
          <w:sz w:val="23"/>
        </w:rPr>
        <w:t>de </w:t>
      </w:r>
      <w:r>
        <w:rPr>
          <w:sz w:val="23"/>
        </w:rPr>
        <w:t>bonanza petrolera y un relativo incremento </w:t>
      </w:r>
      <w:r>
        <w:rPr>
          <w:spacing w:val="-4"/>
          <w:sz w:val="23"/>
        </w:rPr>
        <w:t>de </w:t>
      </w:r>
      <w:r>
        <w:rPr>
          <w:sz w:val="23"/>
        </w:rPr>
        <w:t>recursos a </w:t>
      </w:r>
      <w:r>
        <w:rPr>
          <w:spacing w:val="-5"/>
          <w:sz w:val="23"/>
        </w:rPr>
        <w:t>la </w:t>
      </w:r>
      <w:r>
        <w:rPr>
          <w:sz w:val="23"/>
        </w:rPr>
        <w:t>educación, con lo que se descartó el binomio de confluencia economía nacional – calidad.</w:t>
      </w:r>
    </w:p>
    <w:p>
      <w:pPr>
        <w:pStyle w:val="ListParagraph"/>
        <w:numPr>
          <w:ilvl w:val="0"/>
          <w:numId w:val="13"/>
        </w:numPr>
        <w:tabs>
          <w:tab w:pos="1145" w:val="left" w:leader="none"/>
        </w:tabs>
        <w:spacing w:line="364" w:lineRule="auto" w:before="5" w:after="0"/>
        <w:ind w:left="116" w:right="105" w:firstLine="686"/>
        <w:jc w:val="both"/>
        <w:rPr>
          <w:sz w:val="23"/>
        </w:rPr>
      </w:pPr>
      <w:r>
        <w:rPr>
          <w:sz w:val="23"/>
        </w:rPr>
        <w:t>La confiabilidad de los instrumentos de medición: En el análisis de  Gilberto Guevara se hizo tal cuestionamiento por su confiablidad estadística (veracidad en el qué y el nivel de confianza ofrecido por dichos instrumentos) y por otra parte, </w:t>
      </w:r>
      <w:r>
        <w:rPr>
          <w:spacing w:val="-3"/>
          <w:sz w:val="23"/>
        </w:rPr>
        <w:t>la </w:t>
      </w:r>
      <w:r>
        <w:rPr>
          <w:sz w:val="23"/>
        </w:rPr>
        <w:t>irrepetibilidad de </w:t>
      </w:r>
      <w:r>
        <w:rPr>
          <w:spacing w:val="-3"/>
          <w:sz w:val="23"/>
        </w:rPr>
        <w:t>la </w:t>
      </w:r>
      <w:r>
        <w:rPr>
          <w:sz w:val="23"/>
        </w:rPr>
        <w:t>prueba, que hacía imposible </w:t>
      </w:r>
      <w:r>
        <w:rPr>
          <w:spacing w:val="-5"/>
          <w:sz w:val="23"/>
        </w:rPr>
        <w:t>la </w:t>
      </w:r>
      <w:r>
        <w:rPr>
          <w:sz w:val="23"/>
        </w:rPr>
        <w:t>comparación de universos en tiempos diferidos; no tenía grupos de control, </w:t>
      </w:r>
      <w:r>
        <w:rPr>
          <w:spacing w:val="2"/>
          <w:sz w:val="23"/>
        </w:rPr>
        <w:t>ni </w:t>
      </w:r>
      <w:r>
        <w:rPr>
          <w:sz w:val="23"/>
        </w:rPr>
        <w:t>análisis </w:t>
      </w:r>
      <w:r>
        <w:rPr>
          <w:spacing w:val="-3"/>
          <w:sz w:val="23"/>
        </w:rPr>
        <w:t>de </w:t>
      </w:r>
      <w:r>
        <w:rPr>
          <w:sz w:val="23"/>
        </w:rPr>
        <w:t>varianza, empero, </w:t>
      </w:r>
      <w:r>
        <w:rPr>
          <w:spacing w:val="3"/>
          <w:sz w:val="23"/>
        </w:rPr>
        <w:t>el </w:t>
      </w:r>
      <w:r>
        <w:rPr>
          <w:sz w:val="23"/>
        </w:rPr>
        <w:t>análisis de Sylvia Schmelkes en </w:t>
      </w:r>
      <w:r>
        <w:rPr>
          <w:spacing w:val="3"/>
          <w:sz w:val="23"/>
        </w:rPr>
        <w:t>el </w:t>
      </w:r>
      <w:r>
        <w:rPr>
          <w:sz w:val="23"/>
        </w:rPr>
        <w:t>estado de Puebla, si contenía estos elementos y ofreció resultados similares.. más </w:t>
      </w:r>
      <w:r>
        <w:rPr>
          <w:spacing w:val="-3"/>
          <w:sz w:val="23"/>
        </w:rPr>
        <w:t>de la </w:t>
      </w:r>
      <w:r>
        <w:rPr>
          <w:sz w:val="23"/>
        </w:rPr>
        <w:t>mitad de </w:t>
      </w:r>
      <w:r>
        <w:rPr>
          <w:spacing w:val="-3"/>
          <w:sz w:val="23"/>
        </w:rPr>
        <w:t>los </w:t>
      </w:r>
      <w:r>
        <w:rPr>
          <w:sz w:val="23"/>
        </w:rPr>
        <w:t>alumnos reprobaron.</w:t>
      </w:r>
    </w:p>
    <w:p>
      <w:pPr>
        <w:pStyle w:val="ListParagraph"/>
        <w:numPr>
          <w:ilvl w:val="0"/>
          <w:numId w:val="13"/>
        </w:numPr>
        <w:tabs>
          <w:tab w:pos="1132" w:val="left" w:leader="none"/>
        </w:tabs>
        <w:spacing w:line="364" w:lineRule="auto" w:before="0" w:after="0"/>
        <w:ind w:left="116" w:right="106" w:firstLine="686"/>
        <w:jc w:val="both"/>
        <w:rPr>
          <w:sz w:val="23"/>
        </w:rPr>
      </w:pPr>
      <w:r>
        <w:rPr>
          <w:sz w:val="23"/>
        </w:rPr>
        <w:t>El desconocimiento de las pruebas estandarizadas por parte de los alumnos y ante la presencia de persona ajenas a su aula: Se consideró como una posibilidad, más no modificaría sustancialmente los </w:t>
      </w:r>
      <w:r>
        <w:rPr>
          <w:spacing w:val="6"/>
          <w:sz w:val="23"/>
        </w:rPr>
        <w:t> </w:t>
      </w:r>
      <w:r>
        <w:rPr>
          <w:sz w:val="23"/>
        </w:rPr>
        <w:t>resultados.</w:t>
      </w:r>
    </w:p>
    <w:p>
      <w:pPr>
        <w:pStyle w:val="ListParagraph"/>
        <w:numPr>
          <w:ilvl w:val="0"/>
          <w:numId w:val="13"/>
        </w:numPr>
        <w:tabs>
          <w:tab w:pos="1115" w:val="left" w:leader="none"/>
        </w:tabs>
        <w:spacing w:line="367" w:lineRule="auto" w:before="0" w:after="0"/>
        <w:ind w:left="116" w:right="105" w:firstLine="686"/>
        <w:jc w:val="both"/>
        <w:rPr>
          <w:sz w:val="23"/>
        </w:rPr>
      </w:pPr>
      <w:r>
        <w:rPr>
          <w:sz w:val="23"/>
        </w:rPr>
        <w:t>El currículum entendido como los objetivos, los materiales, los textos, rebasa la capacidad de los alumnos: la propuesta consecuente radicaba en el retorno a </w:t>
      </w:r>
      <w:r>
        <w:rPr>
          <w:spacing w:val="-3"/>
          <w:sz w:val="23"/>
        </w:rPr>
        <w:t>lo </w:t>
      </w:r>
      <w:r>
        <w:rPr>
          <w:sz w:val="23"/>
        </w:rPr>
        <w:t>básico, y entonces sí, </w:t>
      </w:r>
      <w:r>
        <w:rPr>
          <w:spacing w:val="-3"/>
          <w:sz w:val="23"/>
        </w:rPr>
        <w:t>se </w:t>
      </w:r>
      <w:r>
        <w:rPr>
          <w:sz w:val="23"/>
        </w:rPr>
        <w:t>recuperaría el nivel de aprendizaje.. aseveración minimalista altamente cuestionada por </w:t>
      </w:r>
      <w:r>
        <w:rPr>
          <w:spacing w:val="-3"/>
          <w:sz w:val="23"/>
        </w:rPr>
        <w:t>los </w:t>
      </w:r>
      <w:r>
        <w:rPr>
          <w:sz w:val="23"/>
        </w:rPr>
        <w:t>estudiosos del tema. De manera adicional, y como parte de una objetivación del sentido laboral nacional e internacional  de </w:t>
      </w:r>
      <w:r>
        <w:rPr>
          <w:spacing w:val="-4"/>
          <w:sz w:val="23"/>
        </w:rPr>
        <w:t>la  </w:t>
      </w:r>
      <w:r>
        <w:rPr>
          <w:sz w:val="23"/>
        </w:rPr>
        <w:t>educación, se observó </w:t>
      </w:r>
      <w:r>
        <w:rPr>
          <w:spacing w:val="-3"/>
          <w:sz w:val="23"/>
        </w:rPr>
        <w:t>que  </w:t>
      </w:r>
      <w:r>
        <w:rPr>
          <w:sz w:val="23"/>
        </w:rPr>
        <w:t>los  contenidos del mismo </w:t>
      </w:r>
      <w:r>
        <w:rPr>
          <w:spacing w:val="46"/>
          <w:sz w:val="23"/>
        </w:rPr>
        <w:t> </w:t>
      </w:r>
      <w:r>
        <w:rPr>
          <w:sz w:val="23"/>
        </w:rPr>
        <w:t>resultan</w:t>
      </w:r>
    </w:p>
    <w:p>
      <w:pPr>
        <w:spacing w:after="0" w:line="367" w:lineRule="auto"/>
        <w:jc w:val="both"/>
        <w:rPr>
          <w:sz w:val="23"/>
        </w:rPr>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235" w:right="147"/>
        <w:jc w:val="both"/>
      </w:pPr>
      <w:r>
        <w:rPr/>
        <w:t>obsoletos e irrelevantes para cuestiones prácticas, lo que postra en franca desventaja a los estudiantes en un breve futuro y pone mayor presión al sistema educativo.</w:t>
      </w:r>
    </w:p>
    <w:p>
      <w:pPr>
        <w:pStyle w:val="BodyText"/>
        <w:spacing w:line="364" w:lineRule="auto" w:before="5"/>
        <w:ind w:left="235" w:right="144" w:firstLine="686"/>
        <w:jc w:val="both"/>
      </w:pPr>
      <w:r>
        <w:rPr/>
        <w:t>Los resultados de aprendizaje relevante fueron muy bajos, tanto así, que no era posible afirmar que la educación primaria en las zonas estudiadas estuviera egresando alfabetas funcionales. La distribución de la calidad en la educación primaria se dio de manera polarizada entre la zona urbana de clase media y las demás regiones.</w:t>
      </w:r>
    </w:p>
    <w:p>
      <w:pPr>
        <w:pStyle w:val="BodyText"/>
        <w:spacing w:line="364" w:lineRule="auto" w:before="5"/>
        <w:ind w:left="235" w:right="147" w:firstLine="686"/>
        <w:jc w:val="both"/>
      </w:pPr>
      <w:r>
        <w:rPr/>
        <w:t>Algunos descubrimientos adicionales indicaron a los investigadores que había factores que incidían en la diferenciación de una escuela “buena” a una “mala”, tales</w:t>
      </w:r>
      <w:r>
        <w:rPr>
          <w:spacing w:val="30"/>
        </w:rPr>
        <w:t> </w:t>
      </w:r>
      <w:r>
        <w:rPr/>
        <w:t>como:</w:t>
      </w:r>
    </w:p>
    <w:p>
      <w:pPr>
        <w:pStyle w:val="BodyText"/>
        <w:spacing w:line="364" w:lineRule="auto" w:before="5"/>
        <w:ind w:left="235" w:right="154" w:firstLine="686"/>
        <w:jc w:val="both"/>
      </w:pPr>
      <w:r>
        <w:rPr/>
        <w:t>Del lado de </w:t>
      </w:r>
      <w:r>
        <w:rPr>
          <w:spacing w:val="-5"/>
        </w:rPr>
        <w:t>la </w:t>
      </w:r>
      <w:r>
        <w:rPr/>
        <w:t>oferta: el maestro como factor crucial, sus calificaciones, actividades y actitudes hacia el trabajo, lo que explica los mejores resultados </w:t>
      </w:r>
      <w:r>
        <w:rPr>
          <w:spacing w:val="3"/>
        </w:rPr>
        <w:t>de </w:t>
      </w:r>
      <w:r>
        <w:rPr>
          <w:spacing w:val="-4"/>
        </w:rPr>
        <w:t>la</w:t>
      </w:r>
      <w:r>
        <w:rPr>
          <w:spacing w:val="55"/>
        </w:rPr>
        <w:t> </w:t>
      </w:r>
      <w:r>
        <w:rPr/>
        <w:t>zona indígena que en la zona rural marginal, aunque sea por  poco.</w:t>
      </w:r>
    </w:p>
    <w:p>
      <w:pPr>
        <w:pStyle w:val="BodyText"/>
        <w:spacing w:line="364" w:lineRule="auto" w:before="5"/>
        <w:ind w:left="235" w:right="150" w:firstLine="686"/>
        <w:jc w:val="both"/>
      </w:pPr>
      <w:r>
        <w:rPr/>
        <w:t>Del lado de la demanda: el capital cultural y las aspiraciones de </w:t>
      </w:r>
      <w:r>
        <w:rPr>
          <w:spacing w:val="-3"/>
        </w:rPr>
        <w:t>la </w:t>
      </w:r>
      <w:r>
        <w:rPr/>
        <w:t>familia   son tal vez los factores que inciden en la calidad educativa. </w:t>
      </w:r>
      <w:r>
        <w:rPr>
          <w:spacing w:val="-3"/>
        </w:rPr>
        <w:t>Los </w:t>
      </w:r>
      <w:r>
        <w:rPr/>
        <w:t>investigadores identificaron </w:t>
      </w:r>
      <w:r>
        <w:rPr>
          <w:spacing w:val="-5"/>
        </w:rPr>
        <w:t>la </w:t>
      </w:r>
      <w:r>
        <w:rPr/>
        <w:t>mejor de la peor escuela en </w:t>
      </w:r>
      <w:r>
        <w:rPr>
          <w:spacing w:val="-4"/>
        </w:rPr>
        <w:t>la </w:t>
      </w:r>
      <w:r>
        <w:rPr/>
        <w:t>zona urbana </w:t>
      </w:r>
      <w:r>
        <w:rPr>
          <w:spacing w:val="2"/>
        </w:rPr>
        <w:t>de </w:t>
      </w:r>
      <w:r>
        <w:rPr/>
        <w:t>clase media y encontraron</w:t>
      </w:r>
      <w:r>
        <w:rPr>
          <w:spacing w:val="19"/>
        </w:rPr>
        <w:t> </w:t>
      </w:r>
      <w:r>
        <w:rPr/>
        <w:t>que:</w:t>
      </w:r>
    </w:p>
    <w:p>
      <w:pPr>
        <w:pStyle w:val="Heading3"/>
        <w:spacing w:line="264" w:lineRule="exact" w:before="5"/>
        <w:ind w:left="135" w:right="51"/>
        <w:jc w:val="center"/>
      </w:pPr>
      <w:r>
        <w:rPr/>
        <w:t>Tabla N° 9</w:t>
      </w:r>
    </w:p>
    <w:p>
      <w:pPr>
        <w:spacing w:line="264" w:lineRule="exact" w:before="0"/>
        <w:ind w:left="134" w:right="51" w:firstLine="0"/>
        <w:jc w:val="center"/>
        <w:rPr>
          <w:b/>
          <w:sz w:val="23"/>
        </w:rPr>
      </w:pPr>
      <w:r>
        <w:rPr>
          <w:b/>
          <w:sz w:val="23"/>
        </w:rPr>
        <w:t>Diferencias entre buenas y malas escuelas en zonas  urbanas</w:t>
      </w:r>
    </w:p>
    <w:p>
      <w:pPr>
        <w:pStyle w:val="BodyText"/>
        <w:rPr>
          <w:b/>
          <w:sz w:val="20"/>
        </w:rPr>
      </w:pPr>
    </w:p>
    <w:p>
      <w:pPr>
        <w:pStyle w:val="BodyText"/>
        <w:spacing w:before="4"/>
        <w:rPr>
          <w:b/>
          <w:sz w:val="12"/>
        </w:rPr>
      </w:pPr>
      <w:r>
        <w:rPr/>
        <w:pict>
          <v:line style="position:absolute;mso-position-horizontal-relative:page;mso-position-vertical-relative:paragraph;z-index:2392;mso-wrap-distance-left:0;mso-wrap-distance-right:0" from="77.279999pt,9.347978pt" to="514.318999pt,9.347978pt" stroked="true" strokeweight=".48pt" strokecolor="#000000">
            <w10:wrap type="topAndBottom"/>
          </v:line>
        </w:pict>
      </w:r>
    </w:p>
    <w:p>
      <w:pPr>
        <w:spacing w:before="0" w:after="123"/>
        <w:ind w:left="54" w:right="51" w:firstLine="0"/>
        <w:jc w:val="center"/>
        <w:rPr>
          <w:i/>
          <w:sz w:val="19"/>
        </w:rPr>
      </w:pPr>
      <w:r>
        <w:rPr>
          <w:i/>
          <w:w w:val="105"/>
          <w:sz w:val="19"/>
        </w:rPr>
        <w:t>ZONA URBANA DE CLASE MEDIA</w:t>
      </w:r>
    </w:p>
    <w:p>
      <w:pPr>
        <w:pStyle w:val="BodyText"/>
        <w:spacing w:line="20" w:lineRule="exact"/>
        <w:ind w:left="120"/>
        <w:rPr>
          <w:sz w:val="2"/>
        </w:rPr>
      </w:pPr>
      <w:r>
        <w:rPr>
          <w:sz w:val="2"/>
        </w:rPr>
        <w:pict>
          <v:group style="width:437.55pt;height:.5pt;mso-position-horizontal-relative:char;mso-position-vertical-relative:line" coordorigin="0,0" coordsize="8751,10">
            <v:line style="position:absolute" from="5,5" to="4378,5" stroked="true" strokeweight=".479pt" strokecolor="#000000"/>
            <v:line style="position:absolute" from="4378,5" to="4387,5" stroked="true" strokeweight=".479pt" strokecolor="#000000"/>
            <v:line style="position:absolute" from="4387,5" to="8746,5" stroked="true" strokeweight=".479pt" strokecolor="#000000"/>
          </v:group>
        </w:pict>
      </w:r>
      <w:r>
        <w:rPr>
          <w:sz w:val="2"/>
        </w:rPr>
      </w:r>
    </w:p>
    <w:p>
      <w:pPr>
        <w:tabs>
          <w:tab w:pos="4444" w:val="left" w:leader="none"/>
        </w:tabs>
        <w:spacing w:before="0"/>
        <w:ind w:left="0" w:right="51" w:firstLine="0"/>
        <w:jc w:val="center"/>
        <w:rPr>
          <w:i/>
          <w:sz w:val="19"/>
        </w:rPr>
      </w:pPr>
      <w:r>
        <w:rPr>
          <w:i/>
          <w:w w:val="105"/>
          <w:sz w:val="19"/>
        </w:rPr>
        <w:t>ESCUELA</w:t>
      </w:r>
      <w:r>
        <w:rPr>
          <w:i/>
          <w:spacing w:val="-16"/>
          <w:w w:val="105"/>
          <w:sz w:val="19"/>
        </w:rPr>
        <w:t> </w:t>
      </w:r>
      <w:r>
        <w:rPr>
          <w:i/>
          <w:w w:val="105"/>
          <w:sz w:val="19"/>
        </w:rPr>
        <w:t>BUENA</w:t>
        <w:tab/>
        <w:t>ESCUELA</w:t>
      </w:r>
      <w:r>
        <w:rPr>
          <w:i/>
          <w:spacing w:val="-38"/>
          <w:w w:val="105"/>
          <w:sz w:val="19"/>
        </w:rPr>
        <w:t> </w:t>
      </w:r>
      <w:r>
        <w:rPr>
          <w:i/>
          <w:w w:val="105"/>
          <w:sz w:val="19"/>
        </w:rPr>
        <w:t>MALA</w:t>
      </w:r>
    </w:p>
    <w:p>
      <w:pPr>
        <w:spacing w:after="0"/>
        <w:jc w:val="center"/>
        <w:rPr>
          <w:sz w:val="19"/>
        </w:rPr>
        <w:sectPr>
          <w:pgSz w:w="11910" w:h="16840"/>
          <w:pgMar w:header="0" w:footer="1457" w:top="1580" w:bottom="1640" w:left="1420" w:right="1500"/>
        </w:sectPr>
      </w:pPr>
    </w:p>
    <w:p>
      <w:pPr>
        <w:spacing w:before="122"/>
        <w:ind w:left="331" w:right="0" w:firstLine="0"/>
        <w:jc w:val="center"/>
        <w:rPr>
          <w:sz w:val="19"/>
        </w:rPr>
      </w:pPr>
      <w:r>
        <w:rPr>
          <w:w w:val="105"/>
          <w:sz w:val="19"/>
        </w:rPr>
        <w:t>Ayudan a sus hijos con las tareas.</w:t>
      </w:r>
    </w:p>
    <w:p>
      <w:pPr>
        <w:spacing w:line="369" w:lineRule="auto" w:before="122"/>
        <w:ind w:left="321" w:right="0" w:firstLine="0"/>
        <w:jc w:val="center"/>
        <w:rPr>
          <w:sz w:val="19"/>
        </w:rPr>
      </w:pPr>
      <w:r>
        <w:rPr>
          <w:w w:val="105"/>
          <w:sz w:val="19"/>
        </w:rPr>
        <w:t>Las</w:t>
      </w:r>
      <w:r>
        <w:rPr>
          <w:spacing w:val="-16"/>
          <w:w w:val="105"/>
          <w:sz w:val="19"/>
        </w:rPr>
        <w:t> </w:t>
      </w:r>
      <w:r>
        <w:rPr>
          <w:w w:val="105"/>
          <w:sz w:val="19"/>
        </w:rPr>
        <w:t>expectativas</w:t>
      </w:r>
      <w:r>
        <w:rPr>
          <w:spacing w:val="-16"/>
          <w:w w:val="105"/>
          <w:sz w:val="19"/>
        </w:rPr>
        <w:t> </w:t>
      </w:r>
      <w:r>
        <w:rPr>
          <w:w w:val="105"/>
          <w:sz w:val="19"/>
        </w:rPr>
        <w:t>de</w:t>
      </w:r>
      <w:r>
        <w:rPr>
          <w:spacing w:val="-16"/>
          <w:w w:val="105"/>
          <w:sz w:val="19"/>
        </w:rPr>
        <w:t> </w:t>
      </w:r>
      <w:r>
        <w:rPr>
          <w:w w:val="105"/>
          <w:sz w:val="19"/>
        </w:rPr>
        <w:t>los</w:t>
      </w:r>
      <w:r>
        <w:rPr>
          <w:spacing w:val="-16"/>
          <w:w w:val="105"/>
          <w:sz w:val="19"/>
        </w:rPr>
        <w:t> </w:t>
      </w:r>
      <w:r>
        <w:rPr>
          <w:w w:val="105"/>
          <w:sz w:val="19"/>
        </w:rPr>
        <w:t>padres</w:t>
      </w:r>
      <w:r>
        <w:rPr>
          <w:spacing w:val="-16"/>
          <w:w w:val="105"/>
          <w:sz w:val="19"/>
        </w:rPr>
        <w:t> </w:t>
      </w:r>
      <w:r>
        <w:rPr>
          <w:w w:val="105"/>
          <w:sz w:val="19"/>
        </w:rPr>
        <w:t>para</w:t>
      </w:r>
      <w:r>
        <w:rPr>
          <w:spacing w:val="-19"/>
          <w:w w:val="105"/>
          <w:sz w:val="19"/>
        </w:rPr>
        <w:t> </w:t>
      </w:r>
      <w:r>
        <w:rPr>
          <w:w w:val="105"/>
          <w:sz w:val="19"/>
        </w:rPr>
        <w:t>con</w:t>
      </w:r>
      <w:r>
        <w:rPr>
          <w:spacing w:val="-13"/>
          <w:w w:val="105"/>
          <w:sz w:val="19"/>
        </w:rPr>
        <w:t> </w:t>
      </w:r>
      <w:r>
        <w:rPr>
          <w:w w:val="105"/>
          <w:sz w:val="19"/>
        </w:rPr>
        <w:t>sus hijos</w:t>
      </w:r>
      <w:r>
        <w:rPr>
          <w:spacing w:val="-18"/>
          <w:w w:val="105"/>
          <w:sz w:val="19"/>
        </w:rPr>
        <w:t> </w:t>
      </w:r>
      <w:r>
        <w:rPr>
          <w:spacing w:val="-3"/>
          <w:w w:val="105"/>
          <w:sz w:val="19"/>
        </w:rPr>
        <w:t>son</w:t>
      </w:r>
      <w:r>
        <w:rPr>
          <w:spacing w:val="-18"/>
          <w:w w:val="105"/>
          <w:sz w:val="19"/>
        </w:rPr>
        <w:t> </w:t>
      </w:r>
      <w:r>
        <w:rPr>
          <w:w w:val="105"/>
          <w:sz w:val="19"/>
        </w:rPr>
        <w:t>de</w:t>
      </w:r>
      <w:r>
        <w:rPr>
          <w:spacing w:val="-18"/>
          <w:w w:val="105"/>
          <w:sz w:val="19"/>
        </w:rPr>
        <w:t> </w:t>
      </w:r>
      <w:r>
        <w:rPr>
          <w:w w:val="105"/>
          <w:sz w:val="19"/>
        </w:rPr>
        <w:t>nivel</w:t>
      </w:r>
      <w:r>
        <w:rPr>
          <w:spacing w:val="-18"/>
          <w:w w:val="105"/>
          <w:sz w:val="19"/>
        </w:rPr>
        <w:t> </w:t>
      </w:r>
      <w:r>
        <w:rPr>
          <w:w w:val="105"/>
          <w:sz w:val="19"/>
        </w:rPr>
        <w:t>universitario.</w:t>
      </w:r>
    </w:p>
    <w:p>
      <w:pPr>
        <w:spacing w:line="367" w:lineRule="auto" w:before="3"/>
        <w:ind w:left="327" w:right="0" w:firstLine="0"/>
        <w:jc w:val="center"/>
        <w:rPr>
          <w:sz w:val="19"/>
        </w:rPr>
      </w:pPr>
      <w:r>
        <w:rPr>
          <w:w w:val="105"/>
          <w:sz w:val="19"/>
        </w:rPr>
        <w:t>Las</w:t>
      </w:r>
      <w:r>
        <w:rPr>
          <w:spacing w:val="-22"/>
          <w:w w:val="105"/>
          <w:sz w:val="19"/>
        </w:rPr>
        <w:t> </w:t>
      </w:r>
      <w:r>
        <w:rPr>
          <w:w w:val="105"/>
          <w:sz w:val="19"/>
        </w:rPr>
        <w:t>expectativas</w:t>
      </w:r>
      <w:r>
        <w:rPr>
          <w:spacing w:val="-22"/>
          <w:w w:val="105"/>
          <w:sz w:val="19"/>
        </w:rPr>
        <w:t> </w:t>
      </w:r>
      <w:r>
        <w:rPr>
          <w:w w:val="105"/>
          <w:sz w:val="19"/>
        </w:rPr>
        <w:t>laborales</w:t>
      </w:r>
      <w:r>
        <w:rPr>
          <w:spacing w:val="-22"/>
          <w:w w:val="105"/>
          <w:sz w:val="19"/>
        </w:rPr>
        <w:t> </w:t>
      </w:r>
      <w:r>
        <w:rPr>
          <w:w w:val="105"/>
          <w:sz w:val="19"/>
        </w:rPr>
        <w:t>a</w:t>
      </w:r>
      <w:r>
        <w:rPr>
          <w:spacing w:val="-22"/>
          <w:w w:val="105"/>
          <w:sz w:val="19"/>
        </w:rPr>
        <w:t> </w:t>
      </w:r>
      <w:r>
        <w:rPr>
          <w:w w:val="105"/>
          <w:sz w:val="19"/>
        </w:rPr>
        <w:t>nivel</w:t>
      </w:r>
      <w:r>
        <w:rPr>
          <w:spacing w:val="-22"/>
          <w:w w:val="105"/>
          <w:sz w:val="19"/>
        </w:rPr>
        <w:t> </w:t>
      </w:r>
      <w:r>
        <w:rPr>
          <w:w w:val="105"/>
          <w:sz w:val="19"/>
        </w:rPr>
        <w:t>profesional, que</w:t>
      </w:r>
      <w:r>
        <w:rPr>
          <w:spacing w:val="-19"/>
          <w:w w:val="105"/>
          <w:sz w:val="19"/>
        </w:rPr>
        <w:t> </w:t>
      </w:r>
      <w:r>
        <w:rPr>
          <w:w w:val="105"/>
          <w:sz w:val="19"/>
        </w:rPr>
        <w:t>consigan</w:t>
      </w:r>
      <w:r>
        <w:rPr>
          <w:spacing w:val="-17"/>
          <w:w w:val="105"/>
          <w:sz w:val="19"/>
        </w:rPr>
        <w:t> </w:t>
      </w:r>
      <w:r>
        <w:rPr>
          <w:w w:val="105"/>
          <w:sz w:val="19"/>
        </w:rPr>
        <w:t>trabajo</w:t>
      </w:r>
      <w:r>
        <w:rPr>
          <w:spacing w:val="-17"/>
          <w:w w:val="105"/>
          <w:sz w:val="19"/>
        </w:rPr>
        <w:t> </w:t>
      </w:r>
      <w:r>
        <w:rPr>
          <w:w w:val="105"/>
          <w:sz w:val="19"/>
        </w:rPr>
        <w:t>en</w:t>
      </w:r>
      <w:r>
        <w:rPr>
          <w:spacing w:val="-19"/>
          <w:w w:val="105"/>
          <w:sz w:val="19"/>
        </w:rPr>
        <w:t> </w:t>
      </w:r>
      <w:r>
        <w:rPr>
          <w:w w:val="105"/>
          <w:sz w:val="19"/>
        </w:rPr>
        <w:t>oficinas,</w:t>
      </w:r>
      <w:r>
        <w:rPr>
          <w:spacing w:val="-22"/>
          <w:w w:val="105"/>
          <w:sz w:val="19"/>
        </w:rPr>
        <w:t> </w:t>
      </w:r>
      <w:r>
        <w:rPr>
          <w:w w:val="105"/>
          <w:sz w:val="19"/>
        </w:rPr>
        <w:t>comercios</w:t>
      </w:r>
      <w:r>
        <w:rPr>
          <w:spacing w:val="-19"/>
          <w:w w:val="105"/>
          <w:sz w:val="19"/>
        </w:rPr>
        <w:t> </w:t>
      </w:r>
      <w:r>
        <w:rPr>
          <w:w w:val="105"/>
          <w:sz w:val="19"/>
        </w:rPr>
        <w:t>o fueran</w:t>
      </w:r>
      <w:r>
        <w:rPr>
          <w:spacing w:val="-38"/>
          <w:w w:val="105"/>
          <w:sz w:val="19"/>
        </w:rPr>
        <w:t> </w:t>
      </w:r>
      <w:r>
        <w:rPr>
          <w:w w:val="105"/>
          <w:sz w:val="19"/>
        </w:rPr>
        <w:t>médicos.</w:t>
      </w:r>
    </w:p>
    <w:p>
      <w:pPr>
        <w:spacing w:line="369" w:lineRule="auto" w:before="5"/>
        <w:ind w:left="321" w:right="0" w:firstLine="0"/>
        <w:jc w:val="center"/>
        <w:rPr>
          <w:sz w:val="19"/>
        </w:rPr>
      </w:pPr>
      <w:r>
        <w:rPr>
          <w:w w:val="105"/>
          <w:sz w:val="19"/>
        </w:rPr>
        <w:t>Los estudiantes </w:t>
      </w:r>
      <w:r>
        <w:rPr>
          <w:spacing w:val="-3"/>
          <w:w w:val="105"/>
          <w:sz w:val="19"/>
        </w:rPr>
        <w:t>leen </w:t>
      </w:r>
      <w:r>
        <w:rPr>
          <w:w w:val="105"/>
          <w:sz w:val="19"/>
        </w:rPr>
        <w:t>periódicos, literatura infantil y enciclopedias.</w:t>
      </w:r>
    </w:p>
    <w:p>
      <w:pPr>
        <w:spacing w:before="122"/>
        <w:ind w:left="273" w:right="237" w:firstLine="0"/>
        <w:jc w:val="center"/>
        <w:rPr>
          <w:sz w:val="19"/>
        </w:rPr>
      </w:pPr>
      <w:r>
        <w:rPr/>
        <w:br w:type="column"/>
      </w:r>
      <w:r>
        <w:rPr>
          <w:w w:val="105"/>
          <w:sz w:val="19"/>
        </w:rPr>
        <w:t>Los alumnos no reciben ayuda.</w:t>
      </w:r>
    </w:p>
    <w:p>
      <w:pPr>
        <w:spacing w:line="369" w:lineRule="auto" w:before="122"/>
        <w:ind w:left="280" w:right="237" w:firstLine="0"/>
        <w:jc w:val="center"/>
        <w:rPr>
          <w:sz w:val="19"/>
        </w:rPr>
      </w:pPr>
      <w:r>
        <w:rPr>
          <w:w w:val="105"/>
          <w:sz w:val="19"/>
        </w:rPr>
        <w:t>Los</w:t>
      </w:r>
      <w:r>
        <w:rPr>
          <w:spacing w:val="-20"/>
          <w:w w:val="105"/>
          <w:sz w:val="19"/>
        </w:rPr>
        <w:t> </w:t>
      </w:r>
      <w:r>
        <w:rPr>
          <w:w w:val="105"/>
          <w:sz w:val="19"/>
        </w:rPr>
        <w:t>padres</w:t>
      </w:r>
      <w:r>
        <w:rPr>
          <w:spacing w:val="-20"/>
          <w:w w:val="105"/>
          <w:sz w:val="19"/>
        </w:rPr>
        <w:t> </w:t>
      </w:r>
      <w:r>
        <w:rPr>
          <w:w w:val="105"/>
          <w:sz w:val="19"/>
        </w:rPr>
        <w:t>consideran</w:t>
      </w:r>
      <w:r>
        <w:rPr>
          <w:spacing w:val="-22"/>
          <w:w w:val="105"/>
          <w:sz w:val="19"/>
        </w:rPr>
        <w:t> </w:t>
      </w:r>
      <w:r>
        <w:rPr>
          <w:w w:val="105"/>
          <w:sz w:val="19"/>
        </w:rPr>
        <w:t>que</w:t>
      </w:r>
      <w:r>
        <w:rPr>
          <w:spacing w:val="-20"/>
          <w:w w:val="105"/>
          <w:sz w:val="19"/>
        </w:rPr>
        <w:t> </w:t>
      </w:r>
      <w:r>
        <w:rPr>
          <w:w w:val="105"/>
          <w:sz w:val="19"/>
        </w:rPr>
        <w:t>sus</w:t>
      </w:r>
      <w:r>
        <w:rPr>
          <w:spacing w:val="-20"/>
          <w:w w:val="105"/>
          <w:sz w:val="19"/>
        </w:rPr>
        <w:t> </w:t>
      </w:r>
      <w:r>
        <w:rPr>
          <w:w w:val="105"/>
          <w:sz w:val="19"/>
        </w:rPr>
        <w:t>hijos</w:t>
      </w:r>
      <w:r>
        <w:rPr>
          <w:spacing w:val="-22"/>
          <w:w w:val="105"/>
          <w:sz w:val="19"/>
        </w:rPr>
        <w:t> </w:t>
      </w:r>
      <w:r>
        <w:rPr>
          <w:w w:val="105"/>
          <w:sz w:val="19"/>
        </w:rPr>
        <w:t>estudiarán una</w:t>
      </w:r>
      <w:r>
        <w:rPr>
          <w:spacing w:val="-18"/>
          <w:w w:val="105"/>
          <w:sz w:val="19"/>
        </w:rPr>
        <w:t> </w:t>
      </w:r>
      <w:r>
        <w:rPr>
          <w:w w:val="105"/>
          <w:sz w:val="19"/>
        </w:rPr>
        <w:t>carrera</w:t>
      </w:r>
      <w:r>
        <w:rPr>
          <w:spacing w:val="-15"/>
          <w:w w:val="105"/>
          <w:sz w:val="19"/>
        </w:rPr>
        <w:t> </w:t>
      </w:r>
      <w:r>
        <w:rPr>
          <w:w w:val="105"/>
          <w:sz w:val="19"/>
        </w:rPr>
        <w:t>técnica,</w:t>
      </w:r>
      <w:r>
        <w:rPr>
          <w:spacing w:val="-21"/>
          <w:w w:val="105"/>
          <w:sz w:val="19"/>
        </w:rPr>
        <w:t> </w:t>
      </w:r>
      <w:r>
        <w:rPr>
          <w:w w:val="105"/>
          <w:sz w:val="19"/>
        </w:rPr>
        <w:t>terminarán</w:t>
      </w:r>
      <w:r>
        <w:rPr>
          <w:spacing w:val="-15"/>
          <w:w w:val="105"/>
          <w:sz w:val="19"/>
        </w:rPr>
        <w:t> </w:t>
      </w:r>
      <w:r>
        <w:rPr>
          <w:spacing w:val="-3"/>
          <w:w w:val="105"/>
          <w:sz w:val="19"/>
        </w:rPr>
        <w:t>la</w:t>
      </w:r>
      <w:r>
        <w:rPr>
          <w:spacing w:val="-15"/>
          <w:w w:val="105"/>
          <w:sz w:val="19"/>
        </w:rPr>
        <w:t> </w:t>
      </w:r>
      <w:r>
        <w:rPr>
          <w:w w:val="105"/>
          <w:sz w:val="19"/>
        </w:rPr>
        <w:t>secundaria</w:t>
      </w:r>
      <w:r>
        <w:rPr>
          <w:spacing w:val="-15"/>
          <w:w w:val="105"/>
          <w:sz w:val="19"/>
        </w:rPr>
        <w:t> </w:t>
      </w:r>
      <w:r>
        <w:rPr>
          <w:w w:val="105"/>
          <w:sz w:val="19"/>
        </w:rPr>
        <w:t>y en</w:t>
      </w:r>
      <w:r>
        <w:rPr>
          <w:spacing w:val="-16"/>
          <w:w w:val="105"/>
          <w:sz w:val="19"/>
        </w:rPr>
        <w:t> </w:t>
      </w:r>
      <w:r>
        <w:rPr>
          <w:w w:val="105"/>
          <w:sz w:val="19"/>
        </w:rPr>
        <w:t>algunos</w:t>
      </w:r>
      <w:r>
        <w:rPr>
          <w:spacing w:val="-22"/>
          <w:w w:val="105"/>
          <w:sz w:val="19"/>
        </w:rPr>
        <w:t> </w:t>
      </w:r>
      <w:r>
        <w:rPr>
          <w:w w:val="105"/>
          <w:sz w:val="19"/>
        </w:rPr>
        <w:t>casos</w:t>
      </w:r>
      <w:r>
        <w:rPr>
          <w:spacing w:val="-18"/>
          <w:w w:val="105"/>
          <w:sz w:val="19"/>
        </w:rPr>
        <w:t> </w:t>
      </w:r>
      <w:r>
        <w:rPr>
          <w:w w:val="105"/>
          <w:sz w:val="19"/>
        </w:rPr>
        <w:t>llegarán</w:t>
      </w:r>
      <w:r>
        <w:rPr>
          <w:spacing w:val="-16"/>
          <w:w w:val="105"/>
          <w:sz w:val="19"/>
        </w:rPr>
        <w:t> </w:t>
      </w:r>
      <w:r>
        <w:rPr>
          <w:w w:val="105"/>
          <w:sz w:val="19"/>
        </w:rPr>
        <w:t>a</w:t>
      </w:r>
      <w:r>
        <w:rPr>
          <w:spacing w:val="-16"/>
          <w:w w:val="105"/>
          <w:sz w:val="19"/>
        </w:rPr>
        <w:t> </w:t>
      </w:r>
      <w:r>
        <w:rPr>
          <w:w w:val="105"/>
          <w:sz w:val="19"/>
        </w:rPr>
        <w:t>la</w:t>
      </w:r>
      <w:r>
        <w:rPr>
          <w:spacing w:val="-18"/>
          <w:w w:val="105"/>
          <w:sz w:val="19"/>
        </w:rPr>
        <w:t> </w:t>
      </w:r>
      <w:r>
        <w:rPr>
          <w:w w:val="105"/>
          <w:sz w:val="19"/>
        </w:rPr>
        <w:t>universidad.</w:t>
      </w:r>
    </w:p>
    <w:p>
      <w:pPr>
        <w:spacing w:line="369" w:lineRule="auto" w:before="0"/>
        <w:ind w:left="280" w:right="236" w:firstLine="0"/>
        <w:jc w:val="center"/>
        <w:rPr>
          <w:sz w:val="19"/>
        </w:rPr>
      </w:pPr>
      <w:r>
        <w:rPr>
          <w:w w:val="105"/>
          <w:sz w:val="19"/>
        </w:rPr>
        <w:t>Los estudiantes </w:t>
      </w:r>
      <w:r>
        <w:rPr>
          <w:spacing w:val="-3"/>
          <w:w w:val="105"/>
          <w:sz w:val="19"/>
        </w:rPr>
        <w:t>leen </w:t>
      </w:r>
      <w:r>
        <w:rPr>
          <w:w w:val="105"/>
          <w:sz w:val="19"/>
        </w:rPr>
        <w:t>sus libros </w:t>
      </w:r>
      <w:r>
        <w:rPr>
          <w:spacing w:val="2"/>
          <w:w w:val="105"/>
          <w:sz w:val="19"/>
        </w:rPr>
        <w:t>de </w:t>
      </w:r>
      <w:r>
        <w:rPr>
          <w:spacing w:val="-3"/>
          <w:w w:val="105"/>
          <w:sz w:val="19"/>
        </w:rPr>
        <w:t>texto </w:t>
      </w:r>
      <w:r>
        <w:rPr>
          <w:w w:val="105"/>
          <w:sz w:val="19"/>
        </w:rPr>
        <w:t>y pasquines, algunos </w:t>
      </w:r>
      <w:r>
        <w:rPr>
          <w:spacing w:val="-3"/>
          <w:w w:val="105"/>
          <w:sz w:val="19"/>
        </w:rPr>
        <w:t>leen </w:t>
      </w:r>
      <w:r>
        <w:rPr>
          <w:w w:val="105"/>
          <w:sz w:val="19"/>
        </w:rPr>
        <w:t>la Biblia y otros cuentan con libros para colorear.</w:t>
      </w:r>
    </w:p>
    <w:p>
      <w:pPr>
        <w:spacing w:after="0" w:line="369" w:lineRule="auto"/>
        <w:jc w:val="center"/>
        <w:rPr>
          <w:sz w:val="19"/>
        </w:rPr>
        <w:sectPr>
          <w:type w:val="continuous"/>
          <w:pgSz w:w="11910" w:h="16840"/>
          <w:pgMar w:top="1380" w:bottom="280" w:left="1420" w:right="1500"/>
          <w:cols w:num="2" w:equalWidth="0">
            <w:col w:w="4303" w:space="40"/>
            <w:col w:w="4647"/>
          </w:cols>
        </w:sectPr>
      </w:pPr>
    </w:p>
    <w:p>
      <w:pPr>
        <w:pStyle w:val="BodyText"/>
        <w:spacing w:line="20" w:lineRule="exact"/>
        <w:ind w:left="106"/>
        <w:rPr>
          <w:sz w:val="2"/>
        </w:rPr>
      </w:pPr>
      <w:r>
        <w:rPr>
          <w:sz w:val="2"/>
        </w:rPr>
        <w:pict>
          <v:group style="width:438.3pt;height:.5pt;mso-position-horizontal-relative:char;mso-position-vertical-relative:line" coordorigin="0,0" coordsize="8766,10">
            <v:line style="position:absolute" from="5,5" to="4392,5" stroked="true" strokeweight=".48pt" strokecolor="#000000"/>
            <v:line style="position:absolute" from="4378,5" to="4387,5" stroked="true" strokeweight=".48pt" strokecolor="#000000"/>
            <v:line style="position:absolute" from="4387,5" to="8760,5" stroked="true" strokeweight=".48pt" strokecolor="#000000"/>
          </v:group>
        </w:pict>
      </w:r>
      <w:r>
        <w:rPr>
          <w:sz w:val="2"/>
        </w:rPr>
      </w:r>
    </w:p>
    <w:p>
      <w:pPr>
        <w:spacing w:after="0" w:line="20" w:lineRule="exact"/>
        <w:rPr>
          <w:sz w:val="2"/>
        </w:rPr>
        <w:sectPr>
          <w:type w:val="continuous"/>
          <w:pgSz w:w="11910" w:h="16840"/>
          <w:pgMar w:top="1380" w:bottom="280" w:left="1420" w:right="1500"/>
        </w:sectPr>
      </w:pPr>
    </w:p>
    <w:p>
      <w:pPr>
        <w:pStyle w:val="BodyText"/>
        <w:rPr>
          <w:sz w:val="20"/>
        </w:rPr>
      </w:pPr>
    </w:p>
    <w:p>
      <w:pPr>
        <w:pStyle w:val="BodyText"/>
        <w:spacing w:before="2"/>
        <w:rPr>
          <w:sz w:val="16"/>
        </w:rPr>
      </w:pPr>
    </w:p>
    <w:p>
      <w:pPr>
        <w:pStyle w:val="BodyText"/>
        <w:spacing w:line="364" w:lineRule="auto" w:before="74"/>
        <w:ind w:left="235" w:right="162"/>
      </w:pPr>
      <w:r>
        <w:rPr/>
        <w:t>Mientras que en la zona indígena, se explica el lado de la oferta y su entorno, encontrando que:</w:t>
      </w:r>
    </w:p>
    <w:p>
      <w:pPr>
        <w:pStyle w:val="BodyText"/>
        <w:spacing w:before="6"/>
        <w:rPr>
          <w:sz w:val="17"/>
        </w:rPr>
      </w:pPr>
    </w:p>
    <w:p>
      <w:pPr>
        <w:pStyle w:val="Heading3"/>
        <w:spacing w:before="0"/>
        <w:ind w:left="140" w:right="51"/>
        <w:jc w:val="center"/>
      </w:pPr>
      <w:r>
        <w:rPr/>
        <w:t>Tabla N° 10</w:t>
      </w:r>
    </w:p>
    <w:p>
      <w:pPr>
        <w:spacing w:before="42"/>
        <w:ind w:left="133" w:right="51" w:firstLine="0"/>
        <w:jc w:val="center"/>
        <w:rPr>
          <w:b/>
          <w:sz w:val="23"/>
        </w:rPr>
      </w:pPr>
      <w:r>
        <w:rPr>
          <w:b/>
          <w:sz w:val="23"/>
        </w:rPr>
        <w:t>Diferencias entre buenas y malas escuelas en zonas  indígenas</w:t>
      </w:r>
    </w:p>
    <w:p>
      <w:pPr>
        <w:pStyle w:val="BodyText"/>
        <w:rPr>
          <w:b/>
          <w:sz w:val="20"/>
        </w:rPr>
      </w:pPr>
    </w:p>
    <w:p>
      <w:pPr>
        <w:pStyle w:val="BodyText"/>
        <w:spacing w:before="6"/>
        <w:rPr>
          <w:b/>
          <w:sz w:val="19"/>
        </w:rPr>
      </w:pPr>
    </w:p>
    <w:p>
      <w:pPr>
        <w:pStyle w:val="BodyText"/>
        <w:spacing w:line="20" w:lineRule="exact"/>
        <w:ind w:left="120"/>
        <w:rPr>
          <w:sz w:val="2"/>
        </w:rPr>
      </w:pPr>
      <w:r>
        <w:rPr>
          <w:sz w:val="2"/>
        </w:rPr>
        <w:pict>
          <v:group style="width:437.55pt;height:.5pt;mso-position-horizontal-relative:char;mso-position-vertical-relative:line" coordorigin="0,0" coordsize="8751,10">
            <v:line style="position:absolute" from="5,5" to="8746,5" stroked="true" strokeweight=".48pt" strokecolor="#000000"/>
          </v:group>
        </w:pict>
      </w:r>
      <w:r>
        <w:rPr>
          <w:sz w:val="2"/>
        </w:rPr>
      </w:r>
    </w:p>
    <w:p>
      <w:pPr>
        <w:spacing w:after="0" w:line="20" w:lineRule="exact"/>
        <w:rPr>
          <w:sz w:val="2"/>
        </w:rPr>
        <w:sectPr>
          <w:pgSz w:w="11910" w:h="16840"/>
          <w:pgMar w:header="0" w:footer="1457" w:top="1580" w:bottom="1640" w:left="1420" w:right="1500"/>
        </w:sectPr>
      </w:pPr>
    </w:p>
    <w:p>
      <w:pPr>
        <w:pStyle w:val="BodyText"/>
        <w:spacing w:before="8"/>
        <w:rPr>
          <w:b/>
          <w:sz w:val="28"/>
        </w:rPr>
      </w:pPr>
    </w:p>
    <w:p>
      <w:pPr>
        <w:spacing w:before="0"/>
        <w:ind w:left="1493" w:right="-13" w:firstLine="0"/>
        <w:jc w:val="left"/>
        <w:rPr>
          <w:i/>
          <w:sz w:val="19"/>
        </w:rPr>
      </w:pPr>
      <w:r>
        <w:rPr/>
        <w:pict>
          <v:shape style="position:absolute;margin-left:77.279999pt;margin-top:.030864pt;width:437.05pt;height:.1pt;mso-position-horizontal-relative:page;mso-position-vertical-relative:paragraph;z-index:-209272" coordorigin="1546,1" coordsize="8741,0" path="m1546,1l5918,1m5918,1l5928,1m5928,1l10286,1e" filled="false" stroked="true" strokeweight=".48pt" strokecolor="#000000">
            <v:path arrowok="t"/>
            <w10:wrap type="none"/>
          </v:shape>
        </w:pict>
      </w:r>
      <w:r>
        <w:rPr>
          <w:i/>
          <w:w w:val="105"/>
          <w:sz w:val="19"/>
        </w:rPr>
        <w:t>ESCUELA</w:t>
      </w:r>
      <w:r>
        <w:rPr>
          <w:i/>
          <w:spacing w:val="-39"/>
          <w:w w:val="105"/>
          <w:sz w:val="19"/>
        </w:rPr>
        <w:t> </w:t>
      </w:r>
      <w:r>
        <w:rPr>
          <w:i/>
          <w:w w:val="105"/>
          <w:sz w:val="19"/>
        </w:rPr>
        <w:t>BUENA</w:t>
      </w:r>
    </w:p>
    <w:p>
      <w:pPr>
        <w:spacing w:line="203" w:lineRule="exact" w:before="0"/>
        <w:ind w:left="554" w:right="-14" w:firstLine="0"/>
        <w:jc w:val="left"/>
        <w:rPr>
          <w:i/>
          <w:sz w:val="19"/>
        </w:rPr>
      </w:pPr>
      <w:r>
        <w:rPr/>
        <w:br w:type="column"/>
      </w:r>
      <w:r>
        <w:rPr>
          <w:i/>
          <w:w w:val="105"/>
          <w:sz w:val="19"/>
        </w:rPr>
        <w:t>ZONA</w:t>
      </w:r>
      <w:r>
        <w:rPr>
          <w:i/>
          <w:spacing w:val="-37"/>
          <w:w w:val="105"/>
          <w:sz w:val="19"/>
        </w:rPr>
        <w:t> </w:t>
      </w:r>
      <w:r>
        <w:rPr>
          <w:i/>
          <w:w w:val="105"/>
          <w:sz w:val="19"/>
        </w:rPr>
        <w:t>INDÍGENA</w:t>
      </w:r>
    </w:p>
    <w:p>
      <w:pPr>
        <w:pStyle w:val="BodyText"/>
        <w:spacing w:before="8"/>
        <w:rPr>
          <w:i/>
          <w:sz w:val="28"/>
        </w:rPr>
      </w:pPr>
      <w:r>
        <w:rPr/>
        <w:br w:type="column"/>
      </w:r>
      <w:r>
        <w:rPr>
          <w:i/>
          <w:sz w:val="28"/>
        </w:rPr>
      </w:r>
    </w:p>
    <w:p>
      <w:pPr>
        <w:spacing w:before="0"/>
        <w:ind w:left="626" w:right="0" w:firstLine="0"/>
        <w:jc w:val="left"/>
        <w:rPr>
          <w:i/>
          <w:sz w:val="19"/>
        </w:rPr>
      </w:pPr>
      <w:r>
        <w:rPr>
          <w:i/>
          <w:w w:val="105"/>
          <w:sz w:val="19"/>
        </w:rPr>
        <w:t>ESCUELA MALA</w:t>
      </w:r>
    </w:p>
    <w:p>
      <w:pPr>
        <w:spacing w:after="0"/>
        <w:jc w:val="left"/>
        <w:rPr>
          <w:sz w:val="19"/>
        </w:rPr>
        <w:sectPr>
          <w:type w:val="continuous"/>
          <w:pgSz w:w="11910" w:h="16840"/>
          <w:pgMar w:top="1380" w:bottom="280" w:left="1420" w:right="1500"/>
          <w:cols w:num="3" w:equalWidth="0">
            <w:col w:w="3136" w:space="40"/>
            <w:col w:w="2097" w:space="40"/>
            <w:col w:w="3677"/>
          </w:cols>
        </w:sectPr>
      </w:pPr>
    </w:p>
    <w:p>
      <w:pPr>
        <w:spacing w:line="367" w:lineRule="auto" w:before="122"/>
        <w:ind w:left="240" w:right="0" w:firstLine="0"/>
        <w:jc w:val="center"/>
        <w:rPr>
          <w:sz w:val="19"/>
        </w:rPr>
      </w:pPr>
      <w:r>
        <w:rPr>
          <w:w w:val="105"/>
          <w:sz w:val="19"/>
        </w:rPr>
        <w:t>Hay</w:t>
      </w:r>
      <w:r>
        <w:rPr>
          <w:spacing w:val="-21"/>
          <w:w w:val="105"/>
          <w:sz w:val="19"/>
        </w:rPr>
        <w:t> </w:t>
      </w:r>
      <w:r>
        <w:rPr>
          <w:w w:val="105"/>
          <w:sz w:val="19"/>
        </w:rPr>
        <w:t>uno</w:t>
      </w:r>
      <w:r>
        <w:rPr>
          <w:spacing w:val="-17"/>
          <w:w w:val="105"/>
          <w:sz w:val="19"/>
        </w:rPr>
        <w:t> </w:t>
      </w:r>
      <w:r>
        <w:rPr>
          <w:w w:val="105"/>
          <w:sz w:val="19"/>
        </w:rPr>
        <w:t>o</w:t>
      </w:r>
      <w:r>
        <w:rPr>
          <w:spacing w:val="-13"/>
          <w:w w:val="105"/>
          <w:sz w:val="19"/>
        </w:rPr>
        <w:t> </w:t>
      </w:r>
      <w:r>
        <w:rPr>
          <w:w w:val="105"/>
          <w:sz w:val="19"/>
        </w:rPr>
        <w:t>dos</w:t>
      </w:r>
      <w:r>
        <w:rPr>
          <w:spacing w:val="-21"/>
          <w:w w:val="105"/>
          <w:sz w:val="19"/>
        </w:rPr>
        <w:t> </w:t>
      </w:r>
      <w:r>
        <w:rPr>
          <w:w w:val="105"/>
          <w:sz w:val="19"/>
        </w:rPr>
        <w:t>maestros,</w:t>
      </w:r>
      <w:r>
        <w:rPr>
          <w:spacing w:val="-19"/>
          <w:w w:val="105"/>
          <w:sz w:val="19"/>
        </w:rPr>
        <w:t> </w:t>
      </w:r>
      <w:r>
        <w:rPr>
          <w:w w:val="105"/>
          <w:sz w:val="19"/>
        </w:rPr>
        <w:t>incluyendo</w:t>
      </w:r>
      <w:r>
        <w:rPr>
          <w:spacing w:val="-17"/>
          <w:w w:val="105"/>
          <w:sz w:val="19"/>
        </w:rPr>
        <w:t> </w:t>
      </w:r>
      <w:r>
        <w:rPr>
          <w:w w:val="105"/>
          <w:sz w:val="19"/>
        </w:rPr>
        <w:t>al</w:t>
      </w:r>
      <w:r>
        <w:rPr>
          <w:spacing w:val="-14"/>
          <w:w w:val="105"/>
          <w:sz w:val="19"/>
        </w:rPr>
        <w:t> </w:t>
      </w:r>
      <w:r>
        <w:rPr>
          <w:w w:val="105"/>
          <w:sz w:val="19"/>
        </w:rPr>
        <w:t>Director, que tiene un grupo a su cargo; </w:t>
      </w:r>
      <w:r>
        <w:rPr>
          <w:spacing w:val="-3"/>
          <w:w w:val="105"/>
          <w:sz w:val="19"/>
        </w:rPr>
        <w:t>el </w:t>
      </w:r>
      <w:r>
        <w:rPr>
          <w:w w:val="105"/>
          <w:sz w:val="19"/>
        </w:rPr>
        <w:t>maestro trabaja</w:t>
      </w:r>
      <w:r>
        <w:rPr>
          <w:spacing w:val="-18"/>
          <w:w w:val="105"/>
          <w:sz w:val="19"/>
        </w:rPr>
        <w:t> </w:t>
      </w:r>
      <w:r>
        <w:rPr>
          <w:w w:val="105"/>
          <w:sz w:val="19"/>
        </w:rPr>
        <w:t>con</w:t>
      </w:r>
      <w:r>
        <w:rPr>
          <w:spacing w:val="-18"/>
          <w:w w:val="105"/>
          <w:sz w:val="19"/>
        </w:rPr>
        <w:t> </w:t>
      </w:r>
      <w:r>
        <w:rPr>
          <w:w w:val="105"/>
          <w:sz w:val="19"/>
        </w:rPr>
        <w:t>primero</w:t>
      </w:r>
      <w:r>
        <w:rPr>
          <w:spacing w:val="-18"/>
          <w:w w:val="105"/>
          <w:sz w:val="19"/>
        </w:rPr>
        <w:t> </w:t>
      </w:r>
      <w:r>
        <w:rPr>
          <w:w w:val="105"/>
          <w:sz w:val="19"/>
        </w:rPr>
        <w:t>y</w:t>
      </w:r>
      <w:r>
        <w:rPr>
          <w:spacing w:val="-21"/>
          <w:w w:val="105"/>
          <w:sz w:val="19"/>
        </w:rPr>
        <w:t> </w:t>
      </w:r>
      <w:r>
        <w:rPr>
          <w:w w:val="105"/>
          <w:sz w:val="19"/>
        </w:rPr>
        <w:t>segundo</w:t>
      </w:r>
      <w:r>
        <w:rPr>
          <w:spacing w:val="-20"/>
          <w:w w:val="105"/>
          <w:sz w:val="19"/>
        </w:rPr>
        <w:t> </w:t>
      </w:r>
      <w:r>
        <w:rPr>
          <w:w w:val="105"/>
          <w:sz w:val="19"/>
        </w:rPr>
        <w:t>grados,</w:t>
      </w:r>
      <w:r>
        <w:rPr>
          <w:spacing w:val="-24"/>
          <w:w w:val="105"/>
          <w:sz w:val="19"/>
        </w:rPr>
        <w:t> </w:t>
      </w:r>
      <w:r>
        <w:rPr>
          <w:w w:val="105"/>
          <w:sz w:val="19"/>
        </w:rPr>
        <w:t>mientras que</w:t>
      </w:r>
      <w:r>
        <w:rPr>
          <w:spacing w:val="-18"/>
          <w:w w:val="105"/>
          <w:sz w:val="19"/>
        </w:rPr>
        <w:t> </w:t>
      </w:r>
      <w:r>
        <w:rPr>
          <w:spacing w:val="3"/>
          <w:w w:val="105"/>
          <w:sz w:val="19"/>
        </w:rPr>
        <w:t>el</w:t>
      </w:r>
      <w:r>
        <w:rPr>
          <w:spacing w:val="-18"/>
          <w:w w:val="105"/>
          <w:sz w:val="19"/>
        </w:rPr>
        <w:t> </w:t>
      </w:r>
      <w:r>
        <w:rPr>
          <w:w w:val="105"/>
          <w:sz w:val="19"/>
        </w:rPr>
        <w:t>Directora</w:t>
      </w:r>
      <w:r>
        <w:rPr>
          <w:spacing w:val="-14"/>
          <w:w w:val="105"/>
          <w:sz w:val="19"/>
        </w:rPr>
        <w:t> </w:t>
      </w:r>
      <w:r>
        <w:rPr>
          <w:w w:val="105"/>
          <w:sz w:val="19"/>
        </w:rPr>
        <w:t>trabaja</w:t>
      </w:r>
      <w:r>
        <w:rPr>
          <w:spacing w:val="-18"/>
          <w:w w:val="105"/>
          <w:sz w:val="19"/>
        </w:rPr>
        <w:t> </w:t>
      </w:r>
      <w:r>
        <w:rPr>
          <w:w w:val="105"/>
          <w:sz w:val="19"/>
        </w:rPr>
        <w:t>con</w:t>
      </w:r>
      <w:r>
        <w:rPr>
          <w:spacing w:val="-14"/>
          <w:w w:val="105"/>
          <w:sz w:val="19"/>
        </w:rPr>
        <w:t> </w:t>
      </w:r>
      <w:r>
        <w:rPr>
          <w:w w:val="105"/>
          <w:sz w:val="19"/>
        </w:rPr>
        <w:t>alumnos</w:t>
      </w:r>
      <w:r>
        <w:rPr>
          <w:spacing w:val="-18"/>
          <w:w w:val="105"/>
          <w:sz w:val="19"/>
        </w:rPr>
        <w:t> </w:t>
      </w:r>
      <w:r>
        <w:rPr>
          <w:w w:val="105"/>
          <w:sz w:val="19"/>
        </w:rPr>
        <w:t>de</w:t>
      </w:r>
      <w:r>
        <w:rPr>
          <w:spacing w:val="-14"/>
          <w:w w:val="105"/>
          <w:sz w:val="19"/>
        </w:rPr>
        <w:t> </w:t>
      </w:r>
      <w:r>
        <w:rPr>
          <w:w w:val="105"/>
          <w:sz w:val="19"/>
        </w:rPr>
        <w:t>tercero a </w:t>
      </w:r>
      <w:r>
        <w:rPr>
          <w:spacing w:val="-3"/>
          <w:w w:val="105"/>
          <w:sz w:val="19"/>
        </w:rPr>
        <w:t>sexto</w:t>
      </w:r>
      <w:r>
        <w:rPr>
          <w:spacing w:val="-24"/>
          <w:w w:val="105"/>
          <w:sz w:val="19"/>
        </w:rPr>
        <w:t> </w:t>
      </w:r>
      <w:r>
        <w:rPr>
          <w:w w:val="105"/>
          <w:sz w:val="19"/>
        </w:rPr>
        <w:t>grados.</w:t>
      </w:r>
    </w:p>
    <w:p>
      <w:pPr>
        <w:spacing w:before="5"/>
        <w:ind w:left="242" w:right="0" w:firstLine="0"/>
        <w:jc w:val="center"/>
        <w:rPr>
          <w:sz w:val="19"/>
        </w:rPr>
      </w:pPr>
      <w:r>
        <w:rPr>
          <w:w w:val="105"/>
          <w:sz w:val="19"/>
        </w:rPr>
        <w:t>Hay 43 alumnos.</w:t>
      </w:r>
    </w:p>
    <w:p>
      <w:pPr>
        <w:spacing w:before="117"/>
        <w:ind w:left="242" w:right="0" w:firstLine="0"/>
        <w:jc w:val="center"/>
        <w:rPr>
          <w:sz w:val="19"/>
        </w:rPr>
      </w:pPr>
      <w:r>
        <w:rPr>
          <w:w w:val="105"/>
          <w:sz w:val="19"/>
        </w:rPr>
        <w:t>El 100% de los alumnos son bilingües.</w:t>
      </w:r>
    </w:p>
    <w:p>
      <w:pPr>
        <w:spacing w:line="369" w:lineRule="auto" w:before="122"/>
        <w:ind w:left="240" w:right="338" w:firstLine="0"/>
        <w:jc w:val="center"/>
        <w:rPr>
          <w:sz w:val="19"/>
        </w:rPr>
      </w:pPr>
      <w:r>
        <w:rPr/>
        <w:br w:type="column"/>
      </w:r>
      <w:r>
        <w:rPr>
          <w:w w:val="105"/>
          <w:sz w:val="19"/>
        </w:rPr>
        <w:t>Hay</w:t>
      </w:r>
      <w:r>
        <w:rPr>
          <w:spacing w:val="-21"/>
          <w:w w:val="105"/>
          <w:sz w:val="19"/>
        </w:rPr>
        <w:t> </w:t>
      </w:r>
      <w:r>
        <w:rPr>
          <w:w w:val="105"/>
          <w:sz w:val="19"/>
        </w:rPr>
        <w:t>seis</w:t>
      </w:r>
      <w:r>
        <w:rPr>
          <w:spacing w:val="-16"/>
          <w:w w:val="105"/>
          <w:sz w:val="19"/>
        </w:rPr>
        <w:t> </w:t>
      </w:r>
      <w:r>
        <w:rPr>
          <w:w w:val="105"/>
          <w:sz w:val="19"/>
        </w:rPr>
        <w:t>maestros</w:t>
      </w:r>
      <w:r>
        <w:rPr>
          <w:spacing w:val="-13"/>
          <w:w w:val="105"/>
          <w:sz w:val="19"/>
        </w:rPr>
        <w:t> </w:t>
      </w:r>
      <w:r>
        <w:rPr>
          <w:w w:val="105"/>
          <w:sz w:val="19"/>
        </w:rPr>
        <w:t>(dos</w:t>
      </w:r>
      <w:r>
        <w:rPr>
          <w:spacing w:val="-16"/>
          <w:w w:val="105"/>
          <w:sz w:val="19"/>
        </w:rPr>
        <w:t> </w:t>
      </w:r>
      <w:r>
        <w:rPr>
          <w:w w:val="105"/>
          <w:sz w:val="19"/>
        </w:rPr>
        <w:t>hombres</w:t>
      </w:r>
      <w:r>
        <w:rPr>
          <w:spacing w:val="-16"/>
          <w:w w:val="105"/>
          <w:sz w:val="19"/>
        </w:rPr>
        <w:t> </w:t>
      </w:r>
      <w:r>
        <w:rPr>
          <w:w w:val="105"/>
          <w:sz w:val="19"/>
        </w:rPr>
        <w:t>y</w:t>
      </w:r>
      <w:r>
        <w:rPr>
          <w:spacing w:val="-19"/>
          <w:w w:val="105"/>
          <w:sz w:val="19"/>
        </w:rPr>
        <w:t> </w:t>
      </w:r>
      <w:r>
        <w:rPr>
          <w:w w:val="105"/>
          <w:sz w:val="19"/>
        </w:rPr>
        <w:t>cuatro mujeres).</w:t>
      </w:r>
      <w:r>
        <w:rPr>
          <w:spacing w:val="-20"/>
          <w:w w:val="105"/>
          <w:sz w:val="19"/>
        </w:rPr>
        <w:t> </w:t>
      </w:r>
      <w:r>
        <w:rPr>
          <w:w w:val="105"/>
          <w:sz w:val="19"/>
        </w:rPr>
        <w:t>Uno</w:t>
      </w:r>
      <w:r>
        <w:rPr>
          <w:spacing w:val="-20"/>
          <w:w w:val="105"/>
          <w:sz w:val="19"/>
        </w:rPr>
        <w:t> </w:t>
      </w:r>
      <w:r>
        <w:rPr>
          <w:w w:val="105"/>
          <w:sz w:val="19"/>
        </w:rPr>
        <w:t>para</w:t>
      </w:r>
      <w:r>
        <w:rPr>
          <w:spacing w:val="-20"/>
          <w:w w:val="105"/>
          <w:sz w:val="19"/>
        </w:rPr>
        <w:t> </w:t>
      </w:r>
      <w:r>
        <w:rPr>
          <w:w w:val="105"/>
          <w:sz w:val="19"/>
        </w:rPr>
        <w:t>cada</w:t>
      </w:r>
      <w:r>
        <w:rPr>
          <w:spacing w:val="-17"/>
          <w:w w:val="105"/>
          <w:sz w:val="19"/>
        </w:rPr>
        <w:t> </w:t>
      </w:r>
      <w:r>
        <w:rPr>
          <w:w w:val="105"/>
          <w:sz w:val="19"/>
        </w:rPr>
        <w:t>grado.</w:t>
      </w:r>
    </w:p>
    <w:p>
      <w:pPr>
        <w:spacing w:before="3"/>
        <w:ind w:left="240" w:right="329" w:firstLine="0"/>
        <w:jc w:val="center"/>
        <w:rPr>
          <w:sz w:val="19"/>
        </w:rPr>
      </w:pPr>
      <w:r>
        <w:rPr>
          <w:w w:val="105"/>
          <w:sz w:val="19"/>
        </w:rPr>
        <w:t>Hay 150 alumnos.</w:t>
      </w:r>
    </w:p>
    <w:p>
      <w:pPr>
        <w:spacing w:line="364" w:lineRule="auto" w:before="117"/>
        <w:ind w:left="240" w:right="343" w:firstLine="0"/>
        <w:jc w:val="center"/>
        <w:rPr>
          <w:sz w:val="19"/>
        </w:rPr>
      </w:pPr>
      <w:r>
        <w:rPr>
          <w:w w:val="105"/>
          <w:sz w:val="19"/>
        </w:rPr>
        <w:t>El</w:t>
      </w:r>
      <w:r>
        <w:rPr>
          <w:spacing w:val="-12"/>
          <w:w w:val="105"/>
          <w:sz w:val="19"/>
        </w:rPr>
        <w:t> </w:t>
      </w:r>
      <w:r>
        <w:rPr>
          <w:w w:val="105"/>
          <w:sz w:val="19"/>
        </w:rPr>
        <w:t>20%</w:t>
      </w:r>
      <w:r>
        <w:rPr>
          <w:spacing w:val="-14"/>
          <w:w w:val="105"/>
          <w:sz w:val="19"/>
        </w:rPr>
        <w:t> </w:t>
      </w:r>
      <w:r>
        <w:rPr>
          <w:w w:val="105"/>
          <w:sz w:val="19"/>
        </w:rPr>
        <w:t>de</w:t>
      </w:r>
      <w:r>
        <w:rPr>
          <w:spacing w:val="-12"/>
          <w:w w:val="105"/>
          <w:sz w:val="19"/>
        </w:rPr>
        <w:t> </w:t>
      </w:r>
      <w:r>
        <w:rPr>
          <w:w w:val="105"/>
          <w:sz w:val="19"/>
        </w:rPr>
        <w:t>los</w:t>
      </w:r>
      <w:r>
        <w:rPr>
          <w:spacing w:val="-18"/>
          <w:w w:val="105"/>
          <w:sz w:val="19"/>
        </w:rPr>
        <w:t> </w:t>
      </w:r>
      <w:r>
        <w:rPr>
          <w:w w:val="105"/>
          <w:sz w:val="19"/>
        </w:rPr>
        <w:t>alumnos</w:t>
      </w:r>
      <w:r>
        <w:rPr>
          <w:spacing w:val="-14"/>
          <w:w w:val="105"/>
          <w:sz w:val="19"/>
        </w:rPr>
        <w:t> </w:t>
      </w:r>
      <w:r>
        <w:rPr>
          <w:w w:val="105"/>
          <w:sz w:val="19"/>
        </w:rPr>
        <w:t>son</w:t>
      </w:r>
      <w:r>
        <w:rPr>
          <w:spacing w:val="-14"/>
          <w:w w:val="105"/>
          <w:sz w:val="19"/>
        </w:rPr>
        <w:t> </w:t>
      </w:r>
      <w:r>
        <w:rPr>
          <w:w w:val="105"/>
          <w:sz w:val="19"/>
        </w:rPr>
        <w:t>bilingües,</w:t>
      </w:r>
      <w:r>
        <w:rPr>
          <w:spacing w:val="-18"/>
          <w:w w:val="105"/>
          <w:sz w:val="19"/>
        </w:rPr>
        <w:t> </w:t>
      </w:r>
      <w:r>
        <w:rPr>
          <w:w w:val="105"/>
          <w:sz w:val="19"/>
        </w:rPr>
        <w:t>el</w:t>
      </w:r>
      <w:r>
        <w:rPr>
          <w:spacing w:val="-14"/>
          <w:w w:val="105"/>
          <w:sz w:val="19"/>
        </w:rPr>
        <w:t> </w:t>
      </w:r>
      <w:r>
        <w:rPr>
          <w:w w:val="105"/>
          <w:sz w:val="19"/>
        </w:rPr>
        <w:t>resto no habla</w:t>
      </w:r>
      <w:r>
        <w:rPr>
          <w:spacing w:val="-40"/>
          <w:w w:val="105"/>
          <w:sz w:val="19"/>
        </w:rPr>
        <w:t> </w:t>
      </w:r>
      <w:r>
        <w:rPr>
          <w:w w:val="105"/>
          <w:sz w:val="19"/>
        </w:rPr>
        <w:t>español.</w:t>
      </w:r>
    </w:p>
    <w:p>
      <w:pPr>
        <w:spacing w:after="0" w:line="364" w:lineRule="auto"/>
        <w:jc w:val="center"/>
        <w:rPr>
          <w:sz w:val="19"/>
        </w:rPr>
        <w:sectPr>
          <w:type w:val="continuous"/>
          <w:pgSz w:w="11910" w:h="16840"/>
          <w:pgMar w:top="1380" w:bottom="280" w:left="1420" w:right="1500"/>
          <w:cols w:num="2" w:equalWidth="0">
            <w:col w:w="4384" w:space="99"/>
            <w:col w:w="4507"/>
          </w:cols>
        </w:sectPr>
      </w:pPr>
    </w:p>
    <w:p>
      <w:pPr>
        <w:pStyle w:val="BodyText"/>
        <w:spacing w:before="2" w:after="1"/>
        <w:rPr>
          <w:sz w:val="10"/>
        </w:rPr>
      </w:pPr>
    </w:p>
    <w:p>
      <w:pPr>
        <w:pStyle w:val="BodyText"/>
        <w:spacing w:line="20" w:lineRule="exact"/>
        <w:ind w:left="106"/>
        <w:rPr>
          <w:sz w:val="2"/>
        </w:rPr>
      </w:pPr>
      <w:r>
        <w:rPr>
          <w:sz w:val="2"/>
        </w:rPr>
        <w:pict>
          <v:group style="width:438.3pt;height:.5pt;mso-position-horizontal-relative:char;mso-position-vertical-relative:line" coordorigin="0,0" coordsize="8766,10">
            <v:line style="position:absolute" from="5,5" to="4392,5" stroked="true" strokeweight=".48pt" strokecolor="#000000"/>
            <v:line style="position:absolute" from="4378,5" to="4387,5" stroked="true" strokeweight=".48pt" strokecolor="#000000"/>
            <v:line style="position:absolute" from="4387,5" to="8760,5" stroked="true" strokeweight=".48pt" strokecolor="#000000"/>
          </v:group>
        </w:pict>
      </w:r>
      <w:r>
        <w:rPr>
          <w:sz w:val="2"/>
        </w:rPr>
      </w:r>
    </w:p>
    <w:p>
      <w:pPr>
        <w:pStyle w:val="BodyText"/>
        <w:rPr>
          <w:sz w:val="20"/>
        </w:rPr>
      </w:pPr>
    </w:p>
    <w:p>
      <w:pPr>
        <w:pStyle w:val="BodyText"/>
        <w:spacing w:before="5"/>
        <w:rPr>
          <w:sz w:val="24"/>
        </w:rPr>
      </w:pPr>
    </w:p>
    <w:p>
      <w:pPr>
        <w:pStyle w:val="BodyText"/>
        <w:spacing w:line="362" w:lineRule="auto" w:before="74"/>
        <w:ind w:left="235" w:right="162"/>
      </w:pPr>
      <w:r>
        <w:rPr/>
        <w:t>Lo que contradijo a los expertos en educación indígena que aseveraban que retrasar </w:t>
      </w:r>
      <w:r>
        <w:rPr>
          <w:spacing w:val="-4"/>
        </w:rPr>
        <w:t>la </w:t>
      </w:r>
      <w:r>
        <w:rPr/>
        <w:t>enseñanza del español era</w:t>
      </w:r>
      <w:r>
        <w:rPr>
          <w:spacing w:val="50"/>
        </w:rPr>
        <w:t> </w:t>
      </w:r>
      <w:r>
        <w:rPr/>
        <w:t>mejor.</w:t>
      </w:r>
    </w:p>
    <w:p>
      <w:pPr>
        <w:pStyle w:val="BodyText"/>
        <w:spacing w:line="364" w:lineRule="auto" w:before="12"/>
        <w:ind w:left="235" w:right="147" w:firstLine="686"/>
        <w:jc w:val="both"/>
      </w:pPr>
      <w:r>
        <w:rPr/>
        <w:t>Sylvia Schmelkes, lo mismo que Martínez </w:t>
      </w:r>
      <w:r>
        <w:rPr>
          <w:spacing w:val="-3"/>
        </w:rPr>
        <w:t>Rizo </w:t>
      </w:r>
      <w:r>
        <w:rPr/>
        <w:t>y Muñoz Ulloa, llegó a </w:t>
      </w:r>
      <w:r>
        <w:rPr>
          <w:spacing w:val="-5"/>
        </w:rPr>
        <w:t>la </w:t>
      </w:r>
      <w:r>
        <w:rPr/>
        <w:t>conclusión de que: “el sistema educativo, en </w:t>
      </w:r>
      <w:r>
        <w:rPr>
          <w:spacing w:val="3"/>
        </w:rPr>
        <w:t>su </w:t>
      </w:r>
      <w:r>
        <w:rPr/>
        <w:t>operación natural, ofrece una educación pobre precisamente en aquellas situaciones en </w:t>
      </w:r>
      <w:r>
        <w:rPr>
          <w:spacing w:val="-3"/>
        </w:rPr>
        <w:t>las </w:t>
      </w:r>
      <w:r>
        <w:rPr/>
        <w:t>que las condiciones de </w:t>
      </w:r>
      <w:r>
        <w:rPr>
          <w:spacing w:val="-3"/>
        </w:rPr>
        <w:t>la </w:t>
      </w:r>
      <w:r>
        <w:rPr/>
        <w:t>demanda son más desfavorables. </w:t>
      </w:r>
      <w:r>
        <w:rPr>
          <w:spacing w:val="3"/>
        </w:rPr>
        <w:t>La </w:t>
      </w:r>
      <w:r>
        <w:rPr/>
        <w:t>falta de capacidad por parte de </w:t>
      </w:r>
      <w:r>
        <w:rPr>
          <w:spacing w:val="-3"/>
        </w:rPr>
        <w:t>las </w:t>
      </w:r>
      <w:r>
        <w:rPr/>
        <w:t>comunidades y de los padres de </w:t>
      </w:r>
      <w:r>
        <w:rPr>
          <w:spacing w:val="-3"/>
        </w:rPr>
        <w:t>exigir </w:t>
      </w:r>
      <w:r>
        <w:rPr/>
        <w:t>servicios educativos de mejor calidad, que   se da sobre todo en </w:t>
      </w:r>
      <w:r>
        <w:rPr>
          <w:spacing w:val="-3"/>
        </w:rPr>
        <w:t>la </w:t>
      </w:r>
      <w:r>
        <w:rPr/>
        <w:t>mayoría de estos contextos, cierra el círculo vicioso: </w:t>
      </w:r>
      <w:r>
        <w:rPr>
          <w:spacing w:val="-4"/>
        </w:rPr>
        <w:t>la </w:t>
      </w:r>
      <w:r>
        <w:rPr/>
        <w:t>calidad pobre </w:t>
      </w:r>
      <w:r>
        <w:rPr>
          <w:spacing w:val="2"/>
        </w:rPr>
        <w:t>de </w:t>
      </w:r>
      <w:r>
        <w:rPr/>
        <w:t>la educación ofrecida carece </w:t>
      </w:r>
      <w:r>
        <w:rPr>
          <w:spacing w:val="3"/>
        </w:rPr>
        <w:t>de </w:t>
      </w:r>
      <w:r>
        <w:rPr/>
        <w:t>puntos </w:t>
      </w:r>
      <w:r>
        <w:rPr>
          <w:spacing w:val="3"/>
        </w:rPr>
        <w:t>de </w:t>
      </w:r>
      <w:r>
        <w:rPr/>
        <w:t>referencia y de precisiones hacia su mejoramiento”. (Ornelas: 2009:</w:t>
      </w:r>
      <w:r>
        <w:rPr>
          <w:spacing w:val="58"/>
        </w:rPr>
        <w:t> </w:t>
      </w:r>
      <w:r>
        <w:rPr/>
        <w:t>244)</w:t>
      </w:r>
    </w:p>
    <w:p>
      <w:pPr>
        <w:pStyle w:val="BodyText"/>
        <w:spacing w:line="364" w:lineRule="auto" w:before="5"/>
        <w:ind w:left="235" w:right="148" w:firstLine="686"/>
        <w:jc w:val="both"/>
      </w:pPr>
      <w:r>
        <w:rPr/>
        <w:t>En 2006, </w:t>
      </w:r>
      <w:r>
        <w:rPr>
          <w:spacing w:val="-3"/>
        </w:rPr>
        <w:t>en </w:t>
      </w:r>
      <w:r>
        <w:rPr/>
        <w:t>el país había 28,355.7 miles de personas en edad de cursar </w:t>
      </w:r>
      <w:r>
        <w:rPr>
          <w:spacing w:val="-4"/>
        </w:rPr>
        <w:t>la </w:t>
      </w:r>
      <w:r>
        <w:rPr/>
        <w:t>educación básica (3 a 14 años), de los cuales </w:t>
      </w:r>
      <w:r>
        <w:rPr>
          <w:spacing w:val="3"/>
        </w:rPr>
        <w:t>el </w:t>
      </w:r>
      <w:r>
        <w:rPr/>
        <w:t>Sistema  Educativo  Nacional (SEN) absorbió </w:t>
      </w:r>
      <w:r>
        <w:rPr>
          <w:spacing w:val="3"/>
        </w:rPr>
        <w:t>al </w:t>
      </w:r>
      <w:r>
        <w:rPr/>
        <w:t>88.6% (25,131.8 miles de estudiantes), y quedaron sin ingresar  al servicio educativo 3,223.9 miles (11.4% de </w:t>
      </w:r>
      <w:r>
        <w:rPr>
          <w:spacing w:val="-3"/>
        </w:rPr>
        <w:t>los </w:t>
      </w:r>
      <w:r>
        <w:rPr/>
        <w:t>niños y jóvenes  en  edad  de cursar la educación básica), los cuales en su mayoría habitaban </w:t>
      </w:r>
      <w:r>
        <w:rPr>
          <w:spacing w:val="3"/>
        </w:rPr>
        <w:t>en </w:t>
      </w:r>
      <w:r>
        <w:rPr/>
        <w:t>localidades aisladas y de difícil acceso, en campamentos </w:t>
      </w:r>
      <w:r>
        <w:rPr>
          <w:spacing w:val="3"/>
        </w:rPr>
        <w:t>de </w:t>
      </w:r>
      <w:r>
        <w:rPr/>
        <w:t>jornaleros agrícolas migrantes, </w:t>
      </w:r>
      <w:r>
        <w:rPr>
          <w:spacing w:val="20"/>
        </w:rPr>
        <w:t> </w:t>
      </w:r>
      <w:r>
        <w:rPr/>
        <w:t>en</w:t>
      </w:r>
    </w:p>
    <w:p>
      <w:pPr>
        <w:spacing w:after="0" w:line="364" w:lineRule="auto"/>
        <w:jc w:val="both"/>
        <w:sectPr>
          <w:type w:val="continuous"/>
          <w:pgSz w:w="11910" w:h="16840"/>
          <w:pgMar w:top="1380" w:bottom="280" w:left="1420" w:right="1500"/>
        </w:sectPr>
      </w:pPr>
    </w:p>
    <w:p>
      <w:pPr>
        <w:pStyle w:val="BodyText"/>
        <w:rPr>
          <w:sz w:val="20"/>
        </w:rPr>
      </w:pPr>
    </w:p>
    <w:p>
      <w:pPr>
        <w:pStyle w:val="BodyText"/>
        <w:spacing w:before="2"/>
        <w:rPr>
          <w:sz w:val="16"/>
        </w:rPr>
      </w:pPr>
    </w:p>
    <w:p>
      <w:pPr>
        <w:pStyle w:val="BodyText"/>
        <w:spacing w:line="369" w:lineRule="auto" w:before="74"/>
        <w:ind w:left="115" w:right="112"/>
        <w:jc w:val="both"/>
      </w:pPr>
      <w:r>
        <w:rPr/>
        <w:t>zonas urbano-marginadas, o bien eran niños que vivían en situación de calle que  no se incorporaron al SEN. (RRC:</w:t>
      </w:r>
      <w:r>
        <w:rPr>
          <w:spacing w:val="39"/>
        </w:rPr>
        <w:t> </w:t>
      </w:r>
      <w:r>
        <w:rPr/>
        <w:t>2011).</w:t>
      </w:r>
    </w:p>
    <w:p>
      <w:pPr>
        <w:pStyle w:val="BodyText"/>
        <w:spacing w:line="364" w:lineRule="auto"/>
        <w:ind w:left="115" w:right="109" w:firstLine="686"/>
      </w:pPr>
      <w:r>
        <w:rPr/>
        <w:t>En </w:t>
      </w:r>
      <w:r>
        <w:rPr>
          <w:spacing w:val="3"/>
        </w:rPr>
        <w:t>el </w:t>
      </w:r>
      <w:r>
        <w:rPr/>
        <w:t>Plan Nacional de Desarrollo  2007-2012, </w:t>
      </w:r>
      <w:r>
        <w:rPr>
          <w:spacing w:val="2"/>
        </w:rPr>
        <w:t>se </w:t>
      </w:r>
      <w:r>
        <w:rPr/>
        <w:t>afirma que la cobertura   de </w:t>
      </w:r>
      <w:r>
        <w:rPr>
          <w:spacing w:val="-5"/>
        </w:rPr>
        <w:t>la </w:t>
      </w:r>
      <w:r>
        <w:rPr/>
        <w:t>educación básica presenta diferencias por nivel educativo: en preescolar es  de 66.9%; en primaria, de 94.1%, y en secundaria, de 87%, siendo dicha cobertura desigual e inequitativa entre regiones y grupos </w:t>
      </w:r>
      <w:r>
        <w:rPr>
          <w:spacing w:val="-3"/>
        </w:rPr>
        <w:t>de </w:t>
      </w:r>
      <w:r>
        <w:rPr/>
        <w:t>población. (RRC: </w:t>
      </w:r>
      <w:r>
        <w:rPr>
          <w:spacing w:val="22"/>
        </w:rPr>
        <w:t> </w:t>
      </w:r>
      <w:r>
        <w:rPr/>
        <w:t>2011).</w:t>
      </w:r>
    </w:p>
    <w:p>
      <w:pPr>
        <w:pStyle w:val="BodyText"/>
        <w:spacing w:line="364" w:lineRule="auto" w:before="5"/>
        <w:ind w:left="115" w:right="113" w:firstLine="686"/>
        <w:jc w:val="both"/>
      </w:pPr>
      <w:r>
        <w:rPr/>
        <w:t>En dicho documento, se reconoce que gran parte de la población no tiene oportunidad de acceder a una educación “de calidad”. En 2006, el 49.8% de las</w:t>
      </w:r>
    </w:p>
    <w:p>
      <w:pPr>
        <w:pStyle w:val="BodyText"/>
        <w:spacing w:line="364" w:lineRule="auto" w:before="5"/>
        <w:ind w:left="115" w:right="107"/>
        <w:jc w:val="both"/>
      </w:pPr>
      <w:r>
        <w:rPr/>
        <w:t>214.4 miles de escuelas de educación básica era multigrado; en su mayoría, los alumnos de estos planteles tienen una comprensión de lectura deficiente por razones obvias; el 30.4% de las escuelas de educación básica era de organización incompleta, esto es, ofrecían al menos un grado escolar sin completar los grados que integraban el nivel educativo (tres para preescolar, seis para primaria, y tres para secundaria).(RRC: 2011).</w:t>
      </w:r>
    </w:p>
    <w:p>
      <w:pPr>
        <w:pStyle w:val="BodyText"/>
        <w:spacing w:line="364" w:lineRule="auto" w:before="5"/>
        <w:ind w:left="115" w:right="104" w:firstLine="686"/>
        <w:jc w:val="both"/>
      </w:pPr>
      <w:r>
        <w:rPr/>
        <w:t>En materia de infraestructura educativa, el PND afirma que existen atrasos    y desigualdades… el 14% de las primarias presenta cuarteaduras en sus edificaciones; </w:t>
      </w:r>
      <w:r>
        <w:rPr>
          <w:spacing w:val="-3"/>
        </w:rPr>
        <w:t>en </w:t>
      </w:r>
      <w:r>
        <w:rPr/>
        <w:t>secundaria sólo el 50% de los planteles se encuentra </w:t>
      </w:r>
      <w:r>
        <w:rPr>
          <w:spacing w:val="3"/>
        </w:rPr>
        <w:t>en </w:t>
      </w:r>
      <w:r>
        <w:rPr/>
        <w:t>nivel óptimo, en el caso </w:t>
      </w:r>
      <w:r>
        <w:rPr>
          <w:spacing w:val="3"/>
        </w:rPr>
        <w:t>de </w:t>
      </w:r>
      <w:r>
        <w:rPr>
          <w:spacing w:val="-3"/>
        </w:rPr>
        <w:t>las </w:t>
      </w:r>
      <w:r>
        <w:rPr/>
        <w:t>telesecundarias, 4 de cada 10 cuentan con salón de cómputo y biblioteca, y la proporción de escuelas con laboratorios de  física,  química y biología es todavía menor.(RRC:</w:t>
      </w:r>
      <w:r>
        <w:rPr>
          <w:spacing w:val="51"/>
        </w:rPr>
        <w:t> </w:t>
      </w:r>
      <w:r>
        <w:rPr/>
        <w:t>2011).</w:t>
      </w:r>
    </w:p>
    <w:p>
      <w:pPr>
        <w:pStyle w:val="BodyText"/>
        <w:spacing w:line="364" w:lineRule="auto" w:before="5"/>
        <w:ind w:left="115" w:right="112" w:firstLine="686"/>
        <w:jc w:val="both"/>
      </w:pPr>
      <w:r>
        <w:rPr/>
        <w:t>Hay una diferencia de tres puntos y medio entre hombres y mujeres, ya que los primeros alcanzan una tasa de 94.4 por ciento y las segundas sólo 91.9; la brecha se mantiene en 3.5 desde 2000, pero tiene que ver con cambios generacionales.</w:t>
      </w:r>
    </w:p>
    <w:p>
      <w:pPr>
        <w:pStyle w:val="BodyText"/>
        <w:spacing w:line="364" w:lineRule="auto" w:before="5"/>
        <w:ind w:left="115" w:right="110" w:firstLine="686"/>
        <w:jc w:val="both"/>
      </w:pPr>
      <w:r>
        <w:rPr/>
        <w:t>Mientras que en </w:t>
      </w:r>
      <w:r>
        <w:rPr>
          <w:spacing w:val="3"/>
        </w:rPr>
        <w:t>el </w:t>
      </w:r>
      <w:r>
        <w:rPr/>
        <w:t>grupo de 60 años o más son analfabetas 9.9 por ciento  de hombres contra 15.3 de mujeres, es decir, una brecha de 5 puntos, </w:t>
      </w:r>
      <w:r>
        <w:rPr>
          <w:spacing w:val="-2"/>
        </w:rPr>
        <w:t>esa </w:t>
      </w:r>
      <w:r>
        <w:rPr/>
        <w:t>diferencia se reduce a 2.5 en el grupo entre 45 y 59 años, y a 0.8 entre </w:t>
      </w:r>
      <w:r>
        <w:rPr>
          <w:spacing w:val="3"/>
        </w:rPr>
        <w:t>35 </w:t>
      </w:r>
      <w:r>
        <w:rPr/>
        <w:t>y </w:t>
      </w:r>
      <w:r>
        <w:rPr>
          <w:spacing w:val="21"/>
        </w:rPr>
        <w:t> </w:t>
      </w:r>
      <w:r>
        <w:rPr/>
        <w:t>44.</w:t>
      </w:r>
    </w:p>
    <w:p>
      <w:pPr>
        <w:pStyle w:val="BodyText"/>
        <w:spacing w:line="364" w:lineRule="auto" w:before="5"/>
        <w:ind w:left="115" w:right="114" w:firstLine="686"/>
        <w:jc w:val="both"/>
      </w:pPr>
      <w:r>
        <w:rPr/>
        <w:t>Después la tendencia se revierte, pues 25 a 34 años ya hay  </w:t>
      </w:r>
      <w:r>
        <w:rPr>
          <w:spacing w:val="-2"/>
        </w:rPr>
        <w:t>más  </w:t>
      </w:r>
      <w:r>
        <w:rPr/>
        <w:t>analfabetas hombres, 1.8, que mujeres, sólo 1.4, y en </w:t>
      </w:r>
      <w:r>
        <w:rPr>
          <w:spacing w:val="2"/>
        </w:rPr>
        <w:t>el </w:t>
      </w:r>
      <w:r>
        <w:rPr/>
        <w:t>grupo de  15 a </w:t>
      </w:r>
      <w:r>
        <w:rPr>
          <w:spacing w:val="2"/>
        </w:rPr>
        <w:t>24 </w:t>
      </w:r>
      <w:r>
        <w:rPr/>
        <w:t>años  son 1.2 por ciento de hombres y sólo 0.8 de</w:t>
      </w:r>
      <w:r>
        <w:rPr>
          <w:spacing w:val="59"/>
        </w:rPr>
        <w:t> </w:t>
      </w:r>
      <w:r>
        <w:rPr/>
        <w:t>mujeres.</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6" w:right="108" w:firstLine="686"/>
        <w:jc w:val="both"/>
      </w:pPr>
      <w:r>
        <w:rPr/>
        <w:t>En este contexto, la Ley General de Educación estableció las bases y principios que regirían la política educativa en el país, entre las que sobresale la obligación del Estado de proporcionar educación básica con las adecuaciones requeridas para responder a las características lingüísticas y culturales de los diversos grupos indígenas del país, de la población rural dispersa y de los grupos migratorios, con el fin de proporcionar la igualdad de oportunidades en el acceso para que toda la población pudiera cursar la educación  básica.</w:t>
      </w:r>
    </w:p>
    <w:p>
      <w:pPr>
        <w:pStyle w:val="BodyText"/>
        <w:spacing w:line="364" w:lineRule="auto" w:before="5"/>
        <w:ind w:left="116" w:right="111" w:firstLine="686"/>
        <w:jc w:val="both"/>
      </w:pPr>
      <w:r>
        <w:rPr/>
        <w:t>Al respecto, en </w:t>
      </w:r>
      <w:r>
        <w:rPr>
          <w:spacing w:val="-5"/>
        </w:rPr>
        <w:t>la </w:t>
      </w:r>
      <w:r>
        <w:rPr/>
        <w:t>Ley Orgánica </w:t>
      </w:r>
      <w:r>
        <w:rPr>
          <w:spacing w:val="2"/>
        </w:rPr>
        <w:t>de </w:t>
      </w:r>
      <w:r>
        <w:rPr/>
        <w:t>la Administración Pública Federal se definieron las funciones de la SEP como responsable de la política educativa nacional, entre las </w:t>
      </w:r>
      <w:r>
        <w:rPr>
          <w:spacing w:val="-3"/>
        </w:rPr>
        <w:t>que </w:t>
      </w:r>
      <w:r>
        <w:rPr/>
        <w:t>sobresalen las </w:t>
      </w:r>
      <w:r>
        <w:rPr>
          <w:spacing w:val="-3"/>
        </w:rPr>
        <w:t>de </w:t>
      </w:r>
      <w:r>
        <w:rPr/>
        <w:t>organizar, vigilar y desarrollar </w:t>
      </w:r>
      <w:r>
        <w:rPr>
          <w:spacing w:val="-5"/>
        </w:rPr>
        <w:t>la </w:t>
      </w:r>
      <w:r>
        <w:rPr/>
        <w:t>enseñanza preescolar, primaria y secundaria y asegurar que </w:t>
      </w:r>
      <w:r>
        <w:rPr>
          <w:spacing w:val="3"/>
        </w:rPr>
        <w:t>se </w:t>
      </w:r>
      <w:r>
        <w:rPr/>
        <w:t>cumplan </w:t>
      </w:r>
      <w:r>
        <w:rPr>
          <w:spacing w:val="-2"/>
        </w:rPr>
        <w:t>las </w:t>
      </w:r>
      <w:r>
        <w:rPr/>
        <w:t>disposiciones constitucionales relativas a esos niveles educativos. (RRC: </w:t>
      </w:r>
      <w:r>
        <w:rPr>
          <w:spacing w:val="17"/>
        </w:rPr>
        <w:t> </w:t>
      </w:r>
      <w:r>
        <w:rPr/>
        <w:t>2011).</w:t>
      </w:r>
    </w:p>
    <w:p>
      <w:pPr>
        <w:pStyle w:val="BodyText"/>
        <w:spacing w:line="364" w:lineRule="auto"/>
        <w:ind w:left="116" w:right="105" w:firstLine="686"/>
        <w:jc w:val="both"/>
      </w:pPr>
      <w:r>
        <w:rPr/>
        <w:t>Por su parte, para el año 2010, el estudio denominado “Brechas” </w:t>
      </w:r>
      <w:r>
        <w:rPr>
          <w:spacing w:val="-3"/>
        </w:rPr>
        <w:t>dio </w:t>
      </w:r>
      <w:r>
        <w:rPr/>
        <w:t>a conocer </w:t>
      </w:r>
      <w:r>
        <w:rPr>
          <w:spacing w:val="3"/>
        </w:rPr>
        <w:t>su </w:t>
      </w:r>
      <w:r>
        <w:rPr/>
        <w:t>IDEI (Índice de Desempeño Educativo Incluyente en los Estados) que registra </w:t>
      </w:r>
      <w:r>
        <w:rPr>
          <w:spacing w:val="4"/>
        </w:rPr>
        <w:t>el </w:t>
      </w:r>
      <w:r>
        <w:rPr/>
        <w:t>esfuerzo que los estados realizan por mejorar </w:t>
      </w:r>
      <w:r>
        <w:rPr>
          <w:spacing w:val="-3"/>
        </w:rPr>
        <w:t>las </w:t>
      </w:r>
      <w:r>
        <w:rPr/>
        <w:t>condiciones de </w:t>
      </w:r>
      <w:r>
        <w:rPr>
          <w:i/>
        </w:rPr>
        <w:t>inclusión y calidad educativas</w:t>
      </w:r>
      <w:r>
        <w:rPr/>
        <w:t>; y presenta los valores observados contrastados con los que la entidad debería alcanzar de acuerdo a su contexto </w:t>
      </w:r>
      <w:r>
        <w:rPr>
          <w:spacing w:val="11"/>
        </w:rPr>
        <w:t> </w:t>
      </w:r>
      <w:r>
        <w:rPr/>
        <w:t>socioeducativo.</w:t>
      </w:r>
    </w:p>
    <w:p>
      <w:pPr>
        <w:pStyle w:val="BodyText"/>
        <w:spacing w:line="364" w:lineRule="auto" w:before="10"/>
        <w:ind w:left="116" w:right="106" w:firstLine="686"/>
        <w:jc w:val="both"/>
      </w:pPr>
      <w:r>
        <w:rPr/>
        <w:t>La finalidad del índice es dotar a la ciudadanía de </w:t>
      </w:r>
      <w:r>
        <w:rPr>
          <w:spacing w:val="-3"/>
        </w:rPr>
        <w:t>una </w:t>
      </w:r>
      <w:r>
        <w:rPr/>
        <w:t>herramienta de activación y exigencia, sin recomendaciones vistosas ni inmediatas, teniendo muy presente que el hecho de que un Estado alcance un desempeño relativamente alto no significa que </w:t>
      </w:r>
      <w:r>
        <w:rPr>
          <w:spacing w:val="-3"/>
        </w:rPr>
        <w:t>es un </w:t>
      </w:r>
      <w:r>
        <w:rPr/>
        <w:t>sistema altamente efectivo, por el contrario, si se compara  con otros países de contextos socioeducativos semejantes estos desempeños son malos o mediocres. (Mexicanos Primero, 2010:</w:t>
      </w:r>
      <w:r>
        <w:rPr>
          <w:spacing w:val="51"/>
        </w:rPr>
        <w:t> </w:t>
      </w:r>
      <w:r>
        <w:rPr/>
        <w:t>14).</w:t>
      </w:r>
    </w:p>
    <w:p>
      <w:pPr>
        <w:spacing w:after="0" w:line="364" w:lineRule="auto"/>
        <w:jc w:val="both"/>
        <w:sectPr>
          <w:footerReference w:type="default" r:id="rId41"/>
          <w:pgSz w:w="11910" w:h="16840"/>
          <w:pgMar w:footer="1457" w:header="0" w:top="1580" w:bottom="1640" w:left="1540" w:right="1540"/>
        </w:sectPr>
      </w:pPr>
    </w:p>
    <w:p>
      <w:pPr>
        <w:pStyle w:val="BodyText"/>
        <w:rPr>
          <w:sz w:val="20"/>
        </w:rPr>
      </w:pPr>
      <w:r>
        <w:rPr/>
        <w:pict>
          <v:shape style="position:absolute;margin-left:169.680008pt;margin-top:336.959991pt;width:25.95pt;height:19.7pt;mso-position-horizontal-relative:page;mso-position-vertical-relative:page;z-index:-209224" coordorigin="3394,6739" coordsize="519,394" path="m3912,6739l3806,6739,3499,6739,3394,6739,3394,7133,3499,7133,3806,7133,3912,7133,3912,6739e" filled="true" fillcolor="#ffbf00" stroked="false">
            <v:path arrowok="t"/>
            <v:fill type="solid"/>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1"/>
        </w:rPr>
      </w:pPr>
    </w:p>
    <w:p>
      <w:pPr>
        <w:pStyle w:val="Heading3"/>
        <w:spacing w:line="264" w:lineRule="exact" w:before="0"/>
        <w:ind w:left="1783" w:right="1791"/>
        <w:jc w:val="center"/>
      </w:pPr>
      <w:r>
        <w:rPr/>
        <w:t>Tabla N° 11</w:t>
      </w:r>
    </w:p>
    <w:p>
      <w:pPr>
        <w:spacing w:line="264" w:lineRule="exact" w:before="0"/>
        <w:ind w:left="965" w:right="977" w:firstLine="0"/>
        <w:jc w:val="center"/>
        <w:rPr>
          <w:b/>
          <w:sz w:val="23"/>
        </w:rPr>
      </w:pPr>
      <w:r>
        <w:rPr/>
        <w:pict>
          <v:shape style="position:absolute;margin-left:169.680008pt;margin-top:103.176407pt;width:25.95pt;height:19.95pt;mso-position-horizontal-relative:page;mso-position-vertical-relative:paragraph;z-index:-209248" coordorigin="3394,2064" coordsize="519,399" path="m3912,2064l3806,2064,3499,2064,3394,2064,3394,2462,3499,2462,3806,2462,3912,2462,3912,2064e" filled="true" fillcolor="#ffbf00" stroked="false">
            <v:path arrowok="t"/>
            <v:fill type="solid"/>
            <w10:wrap type="none"/>
          </v:shape>
        </w:pict>
      </w:r>
      <w:r>
        <w:rPr>
          <w:b/>
          <w:sz w:val="23"/>
        </w:rPr>
        <w:t>Índice de desempeño educativo incluyente (IDEI) en los  estados</w:t>
      </w:r>
    </w:p>
    <w:p>
      <w:pPr>
        <w:pStyle w:val="BodyText"/>
        <w:rPr>
          <w:b/>
          <w:sz w:val="20"/>
        </w:rPr>
      </w:pPr>
    </w:p>
    <w:p>
      <w:pPr>
        <w:pStyle w:val="BodyText"/>
        <w:spacing w:before="6" w:after="1"/>
        <w:rPr>
          <w:b/>
          <w:sz w:val="19"/>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72"/>
        <w:gridCol w:w="576"/>
        <w:gridCol w:w="523"/>
        <w:gridCol w:w="499"/>
        <w:gridCol w:w="550"/>
        <w:gridCol w:w="612"/>
        <w:gridCol w:w="283"/>
        <w:gridCol w:w="259"/>
        <w:gridCol w:w="1027"/>
        <w:gridCol w:w="581"/>
        <w:gridCol w:w="259"/>
        <w:gridCol w:w="259"/>
        <w:gridCol w:w="1018"/>
        <w:gridCol w:w="576"/>
        <w:gridCol w:w="523"/>
      </w:tblGrid>
      <w:tr>
        <w:trPr>
          <w:trHeight w:val="326" w:hRule="exact"/>
        </w:trPr>
        <w:tc>
          <w:tcPr>
            <w:tcW w:w="1272" w:type="dxa"/>
            <w:tcBorders>
              <w:left w:val="single" w:sz="4" w:space="0" w:color="000000"/>
              <w:bottom w:val="single" w:sz="4" w:space="0" w:color="000000"/>
              <w:right w:val="single" w:sz="4" w:space="0" w:color="000000"/>
            </w:tcBorders>
          </w:tcPr>
          <w:p>
            <w:pPr>
              <w:pStyle w:val="TableParagraph"/>
              <w:spacing w:before="9"/>
              <w:rPr>
                <w:b/>
                <w:sz w:val="12"/>
              </w:rPr>
            </w:pPr>
          </w:p>
          <w:p>
            <w:pPr>
              <w:pStyle w:val="TableParagraph"/>
              <w:ind w:left="63" w:right="78"/>
              <w:jc w:val="center"/>
              <w:rPr>
                <w:sz w:val="15"/>
              </w:rPr>
            </w:pPr>
            <w:r>
              <w:rPr>
                <w:w w:val="105"/>
                <w:sz w:val="15"/>
              </w:rPr>
              <w:t>ESTADO</w:t>
            </w:r>
          </w:p>
        </w:tc>
        <w:tc>
          <w:tcPr>
            <w:tcW w:w="576" w:type="dxa"/>
            <w:tcBorders>
              <w:left w:val="single" w:sz="4" w:space="0" w:color="000000"/>
              <w:bottom w:val="single" w:sz="4" w:space="0" w:color="000000"/>
            </w:tcBorders>
          </w:tcPr>
          <w:p>
            <w:pPr>
              <w:pStyle w:val="TableParagraph"/>
              <w:spacing w:before="9"/>
              <w:rPr>
                <w:b/>
                <w:sz w:val="12"/>
              </w:rPr>
            </w:pPr>
          </w:p>
          <w:p>
            <w:pPr>
              <w:pStyle w:val="TableParagraph"/>
              <w:ind w:left="80" w:right="83"/>
              <w:jc w:val="center"/>
              <w:rPr>
                <w:sz w:val="15"/>
              </w:rPr>
            </w:pPr>
            <w:r>
              <w:rPr>
                <w:w w:val="105"/>
                <w:sz w:val="15"/>
              </w:rPr>
              <w:t>Prim.</w:t>
            </w:r>
          </w:p>
        </w:tc>
        <w:tc>
          <w:tcPr>
            <w:tcW w:w="523" w:type="dxa"/>
            <w:tcBorders>
              <w:bottom w:val="single" w:sz="4" w:space="0" w:color="000000"/>
              <w:right w:val="single" w:sz="4" w:space="0" w:color="000000"/>
            </w:tcBorders>
          </w:tcPr>
          <w:p>
            <w:pPr>
              <w:pStyle w:val="TableParagraph"/>
              <w:spacing w:before="9"/>
              <w:rPr>
                <w:b/>
                <w:sz w:val="12"/>
              </w:rPr>
            </w:pPr>
          </w:p>
          <w:p>
            <w:pPr>
              <w:pStyle w:val="TableParagraph"/>
              <w:ind w:left="83" w:right="80"/>
              <w:jc w:val="center"/>
              <w:rPr>
                <w:sz w:val="15"/>
              </w:rPr>
            </w:pPr>
            <w:r>
              <w:rPr>
                <w:w w:val="105"/>
                <w:sz w:val="15"/>
              </w:rPr>
              <w:t>Sec.</w:t>
            </w:r>
          </w:p>
        </w:tc>
        <w:tc>
          <w:tcPr>
            <w:tcW w:w="1049" w:type="dxa"/>
            <w:gridSpan w:val="2"/>
            <w:tcBorders>
              <w:left w:val="single" w:sz="4" w:space="0" w:color="000000"/>
              <w:bottom w:val="single" w:sz="4" w:space="0" w:color="000000"/>
              <w:right w:val="single" w:sz="4" w:space="0" w:color="000000"/>
            </w:tcBorders>
          </w:tcPr>
          <w:p>
            <w:pPr>
              <w:pStyle w:val="TableParagraph"/>
              <w:spacing w:before="9"/>
              <w:rPr>
                <w:b/>
                <w:sz w:val="12"/>
              </w:rPr>
            </w:pPr>
          </w:p>
          <w:p>
            <w:pPr>
              <w:pStyle w:val="TableParagraph"/>
              <w:ind w:left="196"/>
              <w:rPr>
                <w:sz w:val="15"/>
              </w:rPr>
            </w:pPr>
            <w:r>
              <w:rPr>
                <w:w w:val="105"/>
                <w:sz w:val="15"/>
              </w:rPr>
              <w:t>ESTADO</w:t>
            </w:r>
          </w:p>
        </w:tc>
        <w:tc>
          <w:tcPr>
            <w:tcW w:w="612" w:type="dxa"/>
            <w:tcBorders>
              <w:left w:val="single" w:sz="4" w:space="0" w:color="000000"/>
              <w:bottom w:val="single" w:sz="4" w:space="0" w:color="000000"/>
            </w:tcBorders>
          </w:tcPr>
          <w:p>
            <w:pPr>
              <w:pStyle w:val="TableParagraph"/>
              <w:spacing w:before="9"/>
              <w:rPr>
                <w:b/>
                <w:sz w:val="12"/>
              </w:rPr>
            </w:pPr>
          </w:p>
          <w:p>
            <w:pPr>
              <w:pStyle w:val="TableParagraph"/>
              <w:ind w:left="94" w:right="104"/>
              <w:jc w:val="center"/>
              <w:rPr>
                <w:sz w:val="15"/>
              </w:rPr>
            </w:pPr>
            <w:r>
              <w:rPr>
                <w:w w:val="105"/>
                <w:sz w:val="15"/>
              </w:rPr>
              <w:t>Prim.</w:t>
            </w:r>
          </w:p>
        </w:tc>
        <w:tc>
          <w:tcPr>
            <w:tcW w:w="542" w:type="dxa"/>
            <w:gridSpan w:val="2"/>
            <w:tcBorders>
              <w:bottom w:val="single" w:sz="4" w:space="0" w:color="000000"/>
              <w:right w:val="single" w:sz="4" w:space="0" w:color="000000"/>
            </w:tcBorders>
          </w:tcPr>
          <w:p>
            <w:pPr>
              <w:pStyle w:val="TableParagraph"/>
              <w:spacing w:before="9"/>
              <w:rPr>
                <w:b/>
                <w:sz w:val="12"/>
              </w:rPr>
            </w:pPr>
          </w:p>
          <w:p>
            <w:pPr>
              <w:pStyle w:val="TableParagraph"/>
              <w:ind w:left="119"/>
              <w:rPr>
                <w:sz w:val="15"/>
              </w:rPr>
            </w:pPr>
            <w:r>
              <w:rPr>
                <w:w w:val="105"/>
                <w:sz w:val="15"/>
              </w:rPr>
              <w:t>Sec.</w:t>
            </w:r>
          </w:p>
        </w:tc>
        <w:tc>
          <w:tcPr>
            <w:tcW w:w="1027" w:type="dxa"/>
            <w:tcBorders>
              <w:left w:val="single" w:sz="4" w:space="0" w:color="000000"/>
              <w:bottom w:val="single" w:sz="4" w:space="0" w:color="000000"/>
              <w:right w:val="single" w:sz="4" w:space="0" w:color="000000"/>
            </w:tcBorders>
          </w:tcPr>
          <w:p>
            <w:pPr>
              <w:pStyle w:val="TableParagraph"/>
              <w:spacing w:before="9"/>
              <w:rPr>
                <w:b/>
                <w:sz w:val="12"/>
              </w:rPr>
            </w:pPr>
          </w:p>
          <w:p>
            <w:pPr>
              <w:pStyle w:val="TableParagraph"/>
              <w:ind w:left="163" w:right="166"/>
              <w:jc w:val="center"/>
              <w:rPr>
                <w:sz w:val="15"/>
              </w:rPr>
            </w:pPr>
            <w:r>
              <w:rPr>
                <w:w w:val="105"/>
                <w:sz w:val="15"/>
              </w:rPr>
              <w:t>ESTADO</w:t>
            </w:r>
          </w:p>
        </w:tc>
        <w:tc>
          <w:tcPr>
            <w:tcW w:w="581" w:type="dxa"/>
            <w:tcBorders>
              <w:left w:val="single" w:sz="4" w:space="0" w:color="000000"/>
              <w:bottom w:val="single" w:sz="4" w:space="0" w:color="000000"/>
            </w:tcBorders>
          </w:tcPr>
          <w:p>
            <w:pPr>
              <w:pStyle w:val="TableParagraph"/>
              <w:spacing w:before="9"/>
              <w:rPr>
                <w:b/>
                <w:sz w:val="12"/>
              </w:rPr>
            </w:pPr>
          </w:p>
          <w:p>
            <w:pPr>
              <w:pStyle w:val="TableParagraph"/>
              <w:ind w:left="81" w:right="87"/>
              <w:jc w:val="center"/>
              <w:rPr>
                <w:sz w:val="15"/>
              </w:rPr>
            </w:pPr>
            <w:r>
              <w:rPr>
                <w:w w:val="105"/>
                <w:sz w:val="15"/>
              </w:rPr>
              <w:t>Prim.</w:t>
            </w:r>
          </w:p>
        </w:tc>
        <w:tc>
          <w:tcPr>
            <w:tcW w:w="518" w:type="dxa"/>
            <w:gridSpan w:val="2"/>
            <w:tcBorders>
              <w:bottom w:val="single" w:sz="4" w:space="0" w:color="000000"/>
              <w:right w:val="single" w:sz="4" w:space="0" w:color="000000"/>
            </w:tcBorders>
          </w:tcPr>
          <w:p>
            <w:pPr>
              <w:pStyle w:val="TableParagraph"/>
              <w:spacing w:before="9"/>
              <w:rPr>
                <w:b/>
                <w:sz w:val="12"/>
              </w:rPr>
            </w:pPr>
          </w:p>
          <w:p>
            <w:pPr>
              <w:pStyle w:val="TableParagraph"/>
              <w:ind w:left="99"/>
              <w:rPr>
                <w:sz w:val="15"/>
              </w:rPr>
            </w:pPr>
            <w:r>
              <w:rPr>
                <w:w w:val="105"/>
                <w:sz w:val="15"/>
              </w:rPr>
              <w:t>Sec.</w:t>
            </w:r>
          </w:p>
        </w:tc>
        <w:tc>
          <w:tcPr>
            <w:tcW w:w="1018" w:type="dxa"/>
            <w:tcBorders>
              <w:left w:val="single" w:sz="4" w:space="0" w:color="000000"/>
              <w:bottom w:val="single" w:sz="4" w:space="0" w:color="000000"/>
              <w:right w:val="single" w:sz="4" w:space="0" w:color="000000"/>
            </w:tcBorders>
          </w:tcPr>
          <w:p>
            <w:pPr>
              <w:pStyle w:val="TableParagraph"/>
              <w:spacing w:before="9"/>
              <w:rPr>
                <w:b/>
                <w:sz w:val="12"/>
              </w:rPr>
            </w:pPr>
          </w:p>
          <w:p>
            <w:pPr>
              <w:pStyle w:val="TableParagraph"/>
              <w:ind w:left="152" w:right="167"/>
              <w:jc w:val="center"/>
              <w:rPr>
                <w:sz w:val="15"/>
              </w:rPr>
            </w:pPr>
            <w:r>
              <w:rPr>
                <w:w w:val="105"/>
                <w:sz w:val="15"/>
              </w:rPr>
              <w:t>ESTADO</w:t>
            </w:r>
          </w:p>
        </w:tc>
        <w:tc>
          <w:tcPr>
            <w:tcW w:w="1099" w:type="dxa"/>
            <w:gridSpan w:val="2"/>
            <w:tcBorders>
              <w:left w:val="single" w:sz="4" w:space="0" w:color="000000"/>
              <w:bottom w:val="single" w:sz="4" w:space="0" w:color="000000"/>
              <w:right w:val="single" w:sz="4" w:space="0" w:color="000000"/>
            </w:tcBorders>
          </w:tcPr>
          <w:p>
            <w:pPr>
              <w:pStyle w:val="TableParagraph"/>
              <w:spacing w:before="9"/>
              <w:rPr>
                <w:b/>
                <w:sz w:val="12"/>
              </w:rPr>
            </w:pPr>
          </w:p>
          <w:p>
            <w:pPr>
              <w:pStyle w:val="TableParagraph"/>
              <w:tabs>
                <w:tab w:pos="673" w:val="left" w:leader="none"/>
              </w:tabs>
              <w:ind w:left="102"/>
              <w:rPr>
                <w:sz w:val="15"/>
              </w:rPr>
            </w:pPr>
            <w:r>
              <w:rPr>
                <w:w w:val="105"/>
                <w:sz w:val="15"/>
              </w:rPr>
              <w:t>Prim.</w:t>
              <w:tab/>
              <w:t>Sec.</w:t>
            </w:r>
          </w:p>
        </w:tc>
      </w:tr>
      <w:tr>
        <w:trPr>
          <w:trHeight w:val="403" w:hRule="exact"/>
        </w:trPr>
        <w:tc>
          <w:tcPr>
            <w:tcW w:w="1272" w:type="dxa"/>
            <w:tcBorders>
              <w:top w:val="single" w:sz="4" w:space="0" w:color="000000"/>
              <w:left w:val="single" w:sz="4" w:space="0" w:color="000000"/>
              <w:right w:val="single" w:sz="4" w:space="0" w:color="000000"/>
            </w:tcBorders>
          </w:tcPr>
          <w:p>
            <w:pPr>
              <w:pStyle w:val="TableParagraph"/>
              <w:spacing w:before="3"/>
              <w:ind w:left="74" w:right="78"/>
              <w:jc w:val="center"/>
              <w:rPr>
                <w:sz w:val="15"/>
              </w:rPr>
            </w:pPr>
            <w:r>
              <w:rPr>
                <w:w w:val="105"/>
                <w:sz w:val="15"/>
              </w:rPr>
              <w:t>Nuevo León</w:t>
            </w:r>
          </w:p>
        </w:tc>
        <w:tc>
          <w:tcPr>
            <w:tcW w:w="576" w:type="dxa"/>
            <w:tcBorders>
              <w:top w:val="single" w:sz="4" w:space="0" w:color="000000"/>
              <w:left w:val="single" w:sz="4" w:space="0" w:color="000000"/>
            </w:tcBorders>
            <w:shd w:val="clear" w:color="auto" w:fill="91CF4F"/>
          </w:tcPr>
          <w:p>
            <w:pPr>
              <w:pStyle w:val="TableParagraph"/>
              <w:spacing w:before="3"/>
              <w:ind w:right="3"/>
              <w:jc w:val="center"/>
              <w:rPr>
                <w:sz w:val="15"/>
              </w:rPr>
            </w:pPr>
            <w:r>
              <w:rPr>
                <w:w w:val="102"/>
                <w:sz w:val="15"/>
              </w:rPr>
              <w:t>1</w:t>
            </w:r>
          </w:p>
        </w:tc>
        <w:tc>
          <w:tcPr>
            <w:tcW w:w="523" w:type="dxa"/>
            <w:tcBorders>
              <w:top w:val="single" w:sz="4" w:space="0" w:color="000000"/>
              <w:right w:val="single" w:sz="4" w:space="0" w:color="000000"/>
            </w:tcBorders>
            <w:shd w:val="clear" w:color="auto" w:fill="91CF4F"/>
          </w:tcPr>
          <w:p>
            <w:pPr>
              <w:pStyle w:val="TableParagraph"/>
              <w:spacing w:before="3"/>
              <w:jc w:val="center"/>
              <w:rPr>
                <w:sz w:val="15"/>
              </w:rPr>
            </w:pPr>
            <w:r>
              <w:rPr>
                <w:w w:val="102"/>
                <w:sz w:val="15"/>
              </w:rPr>
              <w:t>2</w:t>
            </w:r>
          </w:p>
        </w:tc>
        <w:tc>
          <w:tcPr>
            <w:tcW w:w="1049" w:type="dxa"/>
            <w:gridSpan w:val="2"/>
            <w:tcBorders>
              <w:top w:val="single" w:sz="4" w:space="0" w:color="000000"/>
              <w:left w:val="single" w:sz="4" w:space="0" w:color="000000"/>
              <w:right w:val="single" w:sz="4" w:space="0" w:color="000000"/>
            </w:tcBorders>
          </w:tcPr>
          <w:p>
            <w:pPr>
              <w:pStyle w:val="TableParagraph"/>
              <w:spacing w:before="3"/>
              <w:ind w:left="249"/>
              <w:rPr>
                <w:sz w:val="15"/>
              </w:rPr>
            </w:pPr>
            <w:r>
              <w:rPr>
                <w:w w:val="105"/>
                <w:sz w:val="15"/>
              </w:rPr>
              <w:t>Hidalgo</w:t>
            </w:r>
          </w:p>
        </w:tc>
        <w:tc>
          <w:tcPr>
            <w:tcW w:w="612" w:type="dxa"/>
            <w:tcBorders>
              <w:top w:val="single" w:sz="4" w:space="0" w:color="000000"/>
              <w:left w:val="single" w:sz="4" w:space="0" w:color="000000"/>
            </w:tcBorders>
            <w:shd w:val="clear" w:color="auto" w:fill="FFBF00"/>
          </w:tcPr>
          <w:p>
            <w:pPr>
              <w:pStyle w:val="TableParagraph"/>
              <w:spacing w:before="3"/>
              <w:ind w:right="5"/>
              <w:jc w:val="center"/>
              <w:rPr>
                <w:sz w:val="15"/>
              </w:rPr>
            </w:pPr>
            <w:r>
              <w:rPr>
                <w:w w:val="102"/>
                <w:sz w:val="15"/>
              </w:rPr>
              <w:t>9</w:t>
            </w:r>
          </w:p>
        </w:tc>
        <w:tc>
          <w:tcPr>
            <w:tcW w:w="542" w:type="dxa"/>
            <w:gridSpan w:val="2"/>
            <w:tcBorders>
              <w:top w:val="single" w:sz="4" w:space="0" w:color="000000"/>
              <w:right w:val="single" w:sz="4" w:space="0" w:color="000000"/>
            </w:tcBorders>
            <w:shd w:val="clear" w:color="auto" w:fill="91CF4F"/>
          </w:tcPr>
          <w:p>
            <w:pPr>
              <w:pStyle w:val="TableParagraph"/>
              <w:spacing w:before="3"/>
              <w:ind w:left="8"/>
              <w:jc w:val="center"/>
              <w:rPr>
                <w:sz w:val="15"/>
              </w:rPr>
            </w:pPr>
            <w:r>
              <w:rPr>
                <w:w w:val="102"/>
                <w:sz w:val="15"/>
              </w:rPr>
              <w:t>1</w:t>
            </w:r>
          </w:p>
        </w:tc>
        <w:tc>
          <w:tcPr>
            <w:tcW w:w="1027" w:type="dxa"/>
            <w:tcBorders>
              <w:top w:val="single" w:sz="4" w:space="0" w:color="000000"/>
              <w:left w:val="single" w:sz="4" w:space="0" w:color="000000"/>
              <w:right w:val="thickThinMediumGap" w:sz="23" w:space="0" w:color="FFBF00"/>
            </w:tcBorders>
          </w:tcPr>
          <w:p>
            <w:pPr>
              <w:pStyle w:val="TableParagraph"/>
              <w:spacing w:before="3"/>
              <w:ind w:left="109" w:right="37"/>
              <w:jc w:val="center"/>
              <w:rPr>
                <w:sz w:val="15"/>
              </w:rPr>
            </w:pPr>
            <w:r>
              <w:rPr>
                <w:w w:val="105"/>
                <w:sz w:val="15"/>
              </w:rPr>
              <w:t>Veracuz</w:t>
            </w:r>
          </w:p>
        </w:tc>
        <w:tc>
          <w:tcPr>
            <w:tcW w:w="581" w:type="dxa"/>
            <w:tcBorders>
              <w:top w:val="single" w:sz="4" w:space="0" w:color="000000"/>
              <w:left w:val="single" w:sz="4" w:space="0" w:color="000000"/>
            </w:tcBorders>
            <w:shd w:val="clear" w:color="auto" w:fill="FFBF00"/>
          </w:tcPr>
          <w:p>
            <w:pPr>
              <w:pStyle w:val="TableParagraph"/>
              <w:spacing w:before="3"/>
              <w:ind w:left="80" w:right="87"/>
              <w:jc w:val="center"/>
              <w:rPr>
                <w:sz w:val="15"/>
              </w:rPr>
            </w:pPr>
            <w:r>
              <w:rPr>
                <w:w w:val="105"/>
                <w:sz w:val="15"/>
              </w:rPr>
              <w:t>17</w:t>
            </w:r>
          </w:p>
        </w:tc>
        <w:tc>
          <w:tcPr>
            <w:tcW w:w="518" w:type="dxa"/>
            <w:gridSpan w:val="2"/>
            <w:tcBorders>
              <w:top w:val="single" w:sz="4" w:space="0" w:color="000000"/>
              <w:right w:val="single" w:sz="4" w:space="0" w:color="000000"/>
            </w:tcBorders>
            <w:shd w:val="clear" w:color="auto" w:fill="FFBF00"/>
          </w:tcPr>
          <w:p>
            <w:pPr>
              <w:pStyle w:val="TableParagraph"/>
              <w:spacing w:before="3"/>
              <w:ind w:left="148" w:right="150"/>
              <w:jc w:val="center"/>
              <w:rPr>
                <w:sz w:val="15"/>
              </w:rPr>
            </w:pPr>
            <w:r>
              <w:rPr>
                <w:w w:val="105"/>
                <w:sz w:val="15"/>
              </w:rPr>
              <w:t>21</w:t>
            </w:r>
          </w:p>
        </w:tc>
        <w:tc>
          <w:tcPr>
            <w:tcW w:w="1018" w:type="dxa"/>
            <w:tcBorders>
              <w:top w:val="single" w:sz="4" w:space="0" w:color="000000"/>
              <w:left w:val="single" w:sz="40" w:space="0" w:color="FFBF00"/>
              <w:right w:val="single" w:sz="46" w:space="0" w:color="FFBF00"/>
            </w:tcBorders>
          </w:tcPr>
          <w:p>
            <w:pPr>
              <w:pStyle w:val="TableParagraph"/>
              <w:spacing w:before="3"/>
              <w:ind w:left="27" w:right="26"/>
              <w:jc w:val="center"/>
              <w:rPr>
                <w:sz w:val="15"/>
              </w:rPr>
            </w:pPr>
            <w:r>
              <w:rPr>
                <w:w w:val="105"/>
                <w:sz w:val="15"/>
              </w:rPr>
              <w:t>México</w:t>
            </w:r>
          </w:p>
        </w:tc>
        <w:tc>
          <w:tcPr>
            <w:tcW w:w="1099" w:type="dxa"/>
            <w:gridSpan w:val="2"/>
            <w:tcBorders>
              <w:top w:val="single" w:sz="4" w:space="0" w:color="000000"/>
              <w:left w:val="single" w:sz="4" w:space="0" w:color="000000"/>
              <w:bottom w:val="single" w:sz="42" w:space="0" w:color="FFFF00"/>
              <w:right w:val="single" w:sz="4" w:space="0" w:color="000000"/>
            </w:tcBorders>
            <w:shd w:val="clear" w:color="auto" w:fill="FFBF00"/>
          </w:tcPr>
          <w:p>
            <w:pPr>
              <w:pStyle w:val="TableParagraph"/>
              <w:tabs>
                <w:tab w:pos="748" w:val="left" w:leader="none"/>
              </w:tabs>
              <w:spacing w:before="3"/>
              <w:ind w:left="196"/>
              <w:rPr>
                <w:sz w:val="15"/>
              </w:rPr>
            </w:pPr>
            <w:r>
              <w:rPr>
                <w:w w:val="105"/>
                <w:sz w:val="15"/>
              </w:rPr>
              <w:t>25</w:t>
              <w:tab/>
            </w:r>
            <w:r>
              <w:rPr>
                <w:spacing w:val="-5"/>
                <w:w w:val="105"/>
                <w:sz w:val="15"/>
              </w:rPr>
              <w:t>12</w:t>
            </w:r>
          </w:p>
        </w:tc>
      </w:tr>
      <w:tr>
        <w:trPr>
          <w:trHeight w:val="610" w:hRule="exact"/>
        </w:trPr>
        <w:tc>
          <w:tcPr>
            <w:tcW w:w="1272" w:type="dxa"/>
            <w:tcBorders>
              <w:left w:val="single" w:sz="4" w:space="0" w:color="000000"/>
              <w:right w:val="single" w:sz="4" w:space="0" w:color="000000"/>
            </w:tcBorders>
          </w:tcPr>
          <w:p>
            <w:pPr>
              <w:pStyle w:val="TableParagraph"/>
              <w:spacing w:before="104"/>
              <w:ind w:left="75" w:right="72"/>
              <w:jc w:val="center"/>
              <w:rPr>
                <w:sz w:val="15"/>
              </w:rPr>
            </w:pPr>
            <w:r>
              <w:rPr>
                <w:w w:val="105"/>
                <w:sz w:val="15"/>
              </w:rPr>
              <w:t>Puebla</w:t>
            </w:r>
          </w:p>
        </w:tc>
        <w:tc>
          <w:tcPr>
            <w:tcW w:w="576" w:type="dxa"/>
            <w:tcBorders>
              <w:left w:val="single" w:sz="4" w:space="0" w:color="000000"/>
            </w:tcBorders>
            <w:shd w:val="clear" w:color="auto" w:fill="91CF4F"/>
          </w:tcPr>
          <w:p>
            <w:pPr>
              <w:pStyle w:val="TableParagraph"/>
              <w:spacing w:before="104"/>
              <w:ind w:right="3"/>
              <w:jc w:val="center"/>
              <w:rPr>
                <w:sz w:val="15"/>
              </w:rPr>
            </w:pPr>
            <w:r>
              <w:rPr>
                <w:w w:val="102"/>
                <w:sz w:val="15"/>
              </w:rPr>
              <w:t>2</w:t>
            </w:r>
          </w:p>
        </w:tc>
        <w:tc>
          <w:tcPr>
            <w:tcW w:w="523" w:type="dxa"/>
            <w:tcBorders>
              <w:right w:val="single" w:sz="4" w:space="0" w:color="000000"/>
            </w:tcBorders>
            <w:shd w:val="clear" w:color="auto" w:fill="91CF4F"/>
          </w:tcPr>
          <w:p>
            <w:pPr>
              <w:pStyle w:val="TableParagraph"/>
              <w:spacing w:before="104"/>
              <w:jc w:val="center"/>
              <w:rPr>
                <w:sz w:val="15"/>
              </w:rPr>
            </w:pPr>
            <w:r>
              <w:rPr>
                <w:w w:val="102"/>
                <w:sz w:val="15"/>
              </w:rPr>
              <w:t>7</w:t>
            </w:r>
          </w:p>
        </w:tc>
        <w:tc>
          <w:tcPr>
            <w:tcW w:w="1049" w:type="dxa"/>
            <w:gridSpan w:val="2"/>
            <w:tcBorders>
              <w:left w:val="single" w:sz="4" w:space="0" w:color="000000"/>
              <w:right w:val="single" w:sz="4" w:space="0" w:color="000000"/>
            </w:tcBorders>
          </w:tcPr>
          <w:p>
            <w:pPr>
              <w:pStyle w:val="TableParagraph"/>
              <w:spacing w:before="104"/>
              <w:ind w:left="254"/>
              <w:rPr>
                <w:sz w:val="15"/>
              </w:rPr>
            </w:pPr>
            <w:r>
              <w:rPr>
                <w:w w:val="105"/>
                <w:sz w:val="15"/>
              </w:rPr>
              <w:t>Sinaloa</w:t>
            </w:r>
          </w:p>
        </w:tc>
        <w:tc>
          <w:tcPr>
            <w:tcW w:w="612" w:type="dxa"/>
            <w:tcBorders>
              <w:left w:val="single" w:sz="4" w:space="0" w:color="000000"/>
            </w:tcBorders>
            <w:shd w:val="clear" w:color="auto" w:fill="FFBF00"/>
          </w:tcPr>
          <w:p>
            <w:pPr>
              <w:pStyle w:val="TableParagraph"/>
              <w:spacing w:before="104"/>
              <w:ind w:left="94" w:right="99"/>
              <w:jc w:val="center"/>
              <w:rPr>
                <w:sz w:val="15"/>
              </w:rPr>
            </w:pPr>
            <w:r>
              <w:rPr>
                <w:w w:val="105"/>
                <w:sz w:val="15"/>
              </w:rPr>
              <w:t>10</w:t>
            </w:r>
          </w:p>
        </w:tc>
        <w:tc>
          <w:tcPr>
            <w:tcW w:w="542" w:type="dxa"/>
            <w:gridSpan w:val="2"/>
            <w:tcBorders>
              <w:right w:val="single" w:sz="4" w:space="0" w:color="000000"/>
            </w:tcBorders>
            <w:shd w:val="clear" w:color="auto" w:fill="FFBF00"/>
          </w:tcPr>
          <w:p>
            <w:pPr>
              <w:pStyle w:val="TableParagraph"/>
              <w:spacing w:before="104"/>
              <w:ind w:left="187"/>
              <w:rPr>
                <w:sz w:val="15"/>
              </w:rPr>
            </w:pPr>
            <w:r>
              <w:rPr>
                <w:w w:val="105"/>
                <w:sz w:val="15"/>
              </w:rPr>
              <w:t>13</w:t>
            </w:r>
          </w:p>
        </w:tc>
        <w:tc>
          <w:tcPr>
            <w:tcW w:w="1027" w:type="dxa"/>
            <w:tcBorders>
              <w:left w:val="single" w:sz="4" w:space="0" w:color="000000"/>
              <w:right w:val="thickThinMediumGap" w:sz="23" w:space="0" w:color="FFBF00"/>
            </w:tcBorders>
          </w:tcPr>
          <w:p>
            <w:pPr>
              <w:pStyle w:val="TableParagraph"/>
              <w:spacing w:line="280" w:lineRule="auto" w:before="3"/>
              <w:ind w:left="369" w:hanging="173"/>
              <w:rPr>
                <w:sz w:val="15"/>
              </w:rPr>
            </w:pPr>
            <w:r>
              <w:rPr>
                <w:sz w:val="15"/>
              </w:rPr>
              <w:t>Quintana </w:t>
            </w:r>
            <w:r>
              <w:rPr>
                <w:w w:val="105"/>
                <w:sz w:val="15"/>
              </w:rPr>
              <w:t>Roo</w:t>
            </w:r>
          </w:p>
        </w:tc>
        <w:tc>
          <w:tcPr>
            <w:tcW w:w="581" w:type="dxa"/>
            <w:tcBorders>
              <w:left w:val="single" w:sz="4" w:space="0" w:color="000000"/>
            </w:tcBorders>
            <w:shd w:val="clear" w:color="auto" w:fill="FFBF00"/>
          </w:tcPr>
          <w:p>
            <w:pPr>
              <w:pStyle w:val="TableParagraph"/>
              <w:spacing w:before="104"/>
              <w:ind w:left="80" w:right="87"/>
              <w:jc w:val="center"/>
              <w:rPr>
                <w:sz w:val="15"/>
              </w:rPr>
            </w:pPr>
            <w:r>
              <w:rPr>
                <w:w w:val="105"/>
                <w:sz w:val="15"/>
              </w:rPr>
              <w:t>18</w:t>
            </w:r>
          </w:p>
        </w:tc>
        <w:tc>
          <w:tcPr>
            <w:tcW w:w="518" w:type="dxa"/>
            <w:gridSpan w:val="2"/>
            <w:tcBorders>
              <w:right w:val="single" w:sz="4" w:space="0" w:color="000000"/>
            </w:tcBorders>
            <w:shd w:val="clear" w:color="auto" w:fill="FFBF00"/>
          </w:tcPr>
          <w:p>
            <w:pPr>
              <w:pStyle w:val="TableParagraph"/>
              <w:spacing w:before="104"/>
              <w:ind w:left="148" w:right="150"/>
              <w:jc w:val="center"/>
              <w:rPr>
                <w:sz w:val="15"/>
              </w:rPr>
            </w:pPr>
            <w:r>
              <w:rPr>
                <w:w w:val="105"/>
                <w:sz w:val="15"/>
              </w:rPr>
              <w:t>23</w:t>
            </w:r>
          </w:p>
        </w:tc>
        <w:tc>
          <w:tcPr>
            <w:tcW w:w="1018" w:type="dxa"/>
            <w:tcBorders>
              <w:left w:val="single" w:sz="40" w:space="0" w:color="FFBF00"/>
              <w:right w:val="single" w:sz="46" w:space="0" w:color="FFFF00"/>
            </w:tcBorders>
          </w:tcPr>
          <w:p>
            <w:pPr>
              <w:pStyle w:val="TableParagraph"/>
              <w:spacing w:before="104"/>
              <w:ind w:left="27" w:right="15"/>
              <w:jc w:val="center"/>
              <w:rPr>
                <w:sz w:val="15"/>
              </w:rPr>
            </w:pPr>
            <w:r>
              <w:rPr>
                <w:w w:val="105"/>
                <w:sz w:val="15"/>
              </w:rPr>
              <w:t>Guerrero</w:t>
            </w:r>
          </w:p>
        </w:tc>
        <w:tc>
          <w:tcPr>
            <w:tcW w:w="1099" w:type="dxa"/>
            <w:gridSpan w:val="2"/>
            <w:tcBorders>
              <w:left w:val="single" w:sz="4" w:space="0" w:color="000000"/>
              <w:right w:val="single" w:sz="4" w:space="0" w:color="000000"/>
            </w:tcBorders>
            <w:shd w:val="clear" w:color="auto" w:fill="FFFF00"/>
          </w:tcPr>
          <w:p>
            <w:pPr>
              <w:pStyle w:val="TableParagraph"/>
              <w:tabs>
                <w:tab w:pos="748" w:val="left" w:leader="none"/>
              </w:tabs>
              <w:spacing w:before="104"/>
              <w:ind w:left="196"/>
              <w:rPr>
                <w:sz w:val="15"/>
              </w:rPr>
            </w:pPr>
            <w:r>
              <w:rPr>
                <w:w w:val="105"/>
                <w:sz w:val="15"/>
              </w:rPr>
              <w:t>26</w:t>
              <w:tab/>
            </w:r>
            <w:r>
              <w:rPr>
                <w:spacing w:val="-5"/>
                <w:w w:val="105"/>
                <w:sz w:val="15"/>
              </w:rPr>
              <w:t>29</w:t>
            </w:r>
          </w:p>
        </w:tc>
      </w:tr>
      <w:tr>
        <w:trPr>
          <w:trHeight w:val="293" w:hRule="exact"/>
        </w:trPr>
        <w:tc>
          <w:tcPr>
            <w:tcW w:w="1272" w:type="dxa"/>
            <w:tcBorders>
              <w:left w:val="single" w:sz="4" w:space="0" w:color="000000"/>
              <w:right w:val="single" w:sz="4" w:space="0" w:color="000000"/>
            </w:tcBorders>
          </w:tcPr>
          <w:p>
            <w:pPr>
              <w:pStyle w:val="TableParagraph"/>
              <w:spacing w:line="171" w:lineRule="exact"/>
              <w:ind w:left="75" w:right="75"/>
              <w:jc w:val="center"/>
              <w:rPr>
                <w:sz w:val="15"/>
              </w:rPr>
            </w:pPr>
            <w:r>
              <w:rPr>
                <w:w w:val="105"/>
                <w:sz w:val="15"/>
              </w:rPr>
              <w:t>Sonora</w:t>
            </w:r>
          </w:p>
        </w:tc>
        <w:tc>
          <w:tcPr>
            <w:tcW w:w="576" w:type="dxa"/>
            <w:tcBorders>
              <w:left w:val="single" w:sz="4" w:space="0" w:color="000000"/>
            </w:tcBorders>
            <w:shd w:val="clear" w:color="auto" w:fill="91CF4F"/>
          </w:tcPr>
          <w:p>
            <w:pPr>
              <w:pStyle w:val="TableParagraph"/>
              <w:spacing w:line="171" w:lineRule="exact"/>
              <w:ind w:right="3"/>
              <w:jc w:val="center"/>
              <w:rPr>
                <w:sz w:val="15"/>
              </w:rPr>
            </w:pPr>
            <w:r>
              <w:rPr>
                <w:w w:val="102"/>
                <w:sz w:val="15"/>
              </w:rPr>
              <w:t>3</w:t>
            </w:r>
          </w:p>
        </w:tc>
        <w:tc>
          <w:tcPr>
            <w:tcW w:w="523" w:type="dxa"/>
            <w:tcBorders>
              <w:right w:val="single" w:sz="4" w:space="0" w:color="000000"/>
            </w:tcBorders>
            <w:shd w:val="clear" w:color="auto" w:fill="91CF4F"/>
          </w:tcPr>
          <w:p>
            <w:pPr>
              <w:pStyle w:val="TableParagraph"/>
              <w:spacing w:line="171" w:lineRule="exact"/>
              <w:ind w:left="80" w:right="80"/>
              <w:jc w:val="center"/>
              <w:rPr>
                <w:sz w:val="15"/>
              </w:rPr>
            </w:pPr>
            <w:r>
              <w:rPr>
                <w:w w:val="105"/>
                <w:sz w:val="15"/>
              </w:rPr>
              <w:t>10</w:t>
            </w:r>
          </w:p>
        </w:tc>
        <w:tc>
          <w:tcPr>
            <w:tcW w:w="1049" w:type="dxa"/>
            <w:gridSpan w:val="2"/>
            <w:tcBorders>
              <w:left w:val="single" w:sz="4" w:space="0" w:color="000000"/>
              <w:right w:val="single" w:sz="4" w:space="0" w:color="000000"/>
            </w:tcBorders>
          </w:tcPr>
          <w:p>
            <w:pPr>
              <w:pStyle w:val="TableParagraph"/>
              <w:spacing w:line="171" w:lineRule="exact"/>
              <w:ind w:left="216"/>
              <w:rPr>
                <w:sz w:val="15"/>
              </w:rPr>
            </w:pPr>
            <w:r>
              <w:rPr>
                <w:w w:val="105"/>
                <w:sz w:val="15"/>
              </w:rPr>
              <w:t>Durango</w:t>
            </w:r>
          </w:p>
        </w:tc>
        <w:tc>
          <w:tcPr>
            <w:tcW w:w="612" w:type="dxa"/>
            <w:tcBorders>
              <w:left w:val="single" w:sz="4" w:space="0" w:color="000000"/>
            </w:tcBorders>
            <w:shd w:val="clear" w:color="auto" w:fill="FFBF00"/>
          </w:tcPr>
          <w:p>
            <w:pPr>
              <w:pStyle w:val="TableParagraph"/>
              <w:spacing w:line="171" w:lineRule="exact"/>
              <w:ind w:left="94" w:right="99"/>
              <w:jc w:val="center"/>
              <w:rPr>
                <w:sz w:val="15"/>
              </w:rPr>
            </w:pPr>
            <w:r>
              <w:rPr>
                <w:w w:val="105"/>
                <w:sz w:val="15"/>
              </w:rPr>
              <w:t>11</w:t>
            </w:r>
          </w:p>
        </w:tc>
        <w:tc>
          <w:tcPr>
            <w:tcW w:w="542" w:type="dxa"/>
            <w:gridSpan w:val="2"/>
            <w:tcBorders>
              <w:right w:val="single" w:sz="4" w:space="0" w:color="000000"/>
            </w:tcBorders>
            <w:shd w:val="clear" w:color="auto" w:fill="FFBF00"/>
          </w:tcPr>
          <w:p>
            <w:pPr>
              <w:pStyle w:val="TableParagraph"/>
              <w:spacing w:line="171" w:lineRule="exact"/>
              <w:ind w:left="187"/>
              <w:rPr>
                <w:sz w:val="15"/>
              </w:rPr>
            </w:pPr>
            <w:r>
              <w:rPr>
                <w:w w:val="105"/>
                <w:sz w:val="15"/>
              </w:rPr>
              <w:t>15</w:t>
            </w:r>
          </w:p>
        </w:tc>
        <w:tc>
          <w:tcPr>
            <w:tcW w:w="1027" w:type="dxa"/>
            <w:tcBorders>
              <w:left w:val="single" w:sz="4" w:space="0" w:color="000000"/>
              <w:right w:val="thickThinMediumGap" w:sz="23" w:space="0" w:color="FFBF00"/>
            </w:tcBorders>
          </w:tcPr>
          <w:p>
            <w:pPr>
              <w:pStyle w:val="TableParagraph"/>
              <w:spacing w:line="171" w:lineRule="exact"/>
              <w:ind w:left="109" w:right="49"/>
              <w:jc w:val="center"/>
              <w:rPr>
                <w:sz w:val="15"/>
              </w:rPr>
            </w:pPr>
            <w:r>
              <w:rPr>
                <w:w w:val="105"/>
                <w:sz w:val="15"/>
              </w:rPr>
              <w:t>Coahuila</w:t>
            </w:r>
          </w:p>
        </w:tc>
        <w:tc>
          <w:tcPr>
            <w:tcW w:w="581" w:type="dxa"/>
            <w:tcBorders>
              <w:left w:val="single" w:sz="4" w:space="0" w:color="000000"/>
            </w:tcBorders>
            <w:shd w:val="clear" w:color="auto" w:fill="FFBF00"/>
          </w:tcPr>
          <w:p>
            <w:pPr>
              <w:pStyle w:val="TableParagraph"/>
              <w:spacing w:line="171" w:lineRule="exact"/>
              <w:ind w:left="80" w:right="87"/>
              <w:jc w:val="center"/>
              <w:rPr>
                <w:sz w:val="15"/>
              </w:rPr>
            </w:pPr>
            <w:r>
              <w:rPr>
                <w:w w:val="105"/>
                <w:sz w:val="15"/>
              </w:rPr>
              <w:t>19</w:t>
            </w:r>
          </w:p>
        </w:tc>
        <w:tc>
          <w:tcPr>
            <w:tcW w:w="518" w:type="dxa"/>
            <w:gridSpan w:val="2"/>
            <w:tcBorders>
              <w:right w:val="single" w:sz="4" w:space="0" w:color="000000"/>
            </w:tcBorders>
            <w:shd w:val="clear" w:color="auto" w:fill="FFBF00"/>
          </w:tcPr>
          <w:p>
            <w:pPr>
              <w:pStyle w:val="TableParagraph"/>
              <w:spacing w:line="171" w:lineRule="exact"/>
              <w:ind w:left="148" w:right="150"/>
              <w:jc w:val="center"/>
              <w:rPr>
                <w:sz w:val="15"/>
              </w:rPr>
            </w:pPr>
            <w:r>
              <w:rPr>
                <w:w w:val="105"/>
                <w:sz w:val="15"/>
              </w:rPr>
              <w:t>14</w:t>
            </w:r>
          </w:p>
        </w:tc>
        <w:tc>
          <w:tcPr>
            <w:tcW w:w="1018" w:type="dxa"/>
            <w:tcBorders>
              <w:left w:val="single" w:sz="40" w:space="0" w:color="FFBF00"/>
              <w:right w:val="single" w:sz="46" w:space="0" w:color="FFFF00"/>
            </w:tcBorders>
          </w:tcPr>
          <w:p>
            <w:pPr>
              <w:pStyle w:val="TableParagraph"/>
              <w:spacing w:line="171" w:lineRule="exact"/>
              <w:ind w:left="27" w:right="26"/>
              <w:jc w:val="center"/>
              <w:rPr>
                <w:sz w:val="15"/>
              </w:rPr>
            </w:pPr>
            <w:r>
              <w:rPr>
                <w:w w:val="105"/>
                <w:sz w:val="15"/>
              </w:rPr>
              <w:t>Colima</w:t>
            </w:r>
          </w:p>
        </w:tc>
        <w:tc>
          <w:tcPr>
            <w:tcW w:w="576" w:type="dxa"/>
            <w:tcBorders>
              <w:left w:val="single" w:sz="4" w:space="0" w:color="000000"/>
              <w:right w:val="single" w:sz="42" w:space="0" w:color="FFBF00"/>
            </w:tcBorders>
            <w:shd w:val="clear" w:color="auto" w:fill="FFFF00"/>
          </w:tcPr>
          <w:p>
            <w:pPr>
              <w:pStyle w:val="TableParagraph"/>
              <w:spacing w:line="171" w:lineRule="exact"/>
              <w:ind w:left="196"/>
              <w:rPr>
                <w:sz w:val="15"/>
              </w:rPr>
            </w:pPr>
            <w:r>
              <w:rPr>
                <w:w w:val="105"/>
                <w:sz w:val="15"/>
              </w:rPr>
              <w:t>27</w:t>
            </w:r>
          </w:p>
        </w:tc>
        <w:tc>
          <w:tcPr>
            <w:tcW w:w="523" w:type="dxa"/>
            <w:tcBorders>
              <w:top w:val="single" w:sz="42" w:space="0" w:color="FFFF00"/>
              <w:left w:val="single" w:sz="42" w:space="0" w:color="FFFF00"/>
              <w:right w:val="single" w:sz="4" w:space="0" w:color="000000"/>
            </w:tcBorders>
            <w:shd w:val="clear" w:color="auto" w:fill="FFBF00"/>
          </w:tcPr>
          <w:p>
            <w:pPr>
              <w:pStyle w:val="TableParagraph"/>
              <w:spacing w:line="118" w:lineRule="exact"/>
              <w:ind w:left="124"/>
              <w:rPr>
                <w:sz w:val="15"/>
              </w:rPr>
            </w:pPr>
            <w:r>
              <w:rPr>
                <w:w w:val="105"/>
                <w:sz w:val="15"/>
              </w:rPr>
              <w:t>19</w:t>
            </w:r>
          </w:p>
        </w:tc>
      </w:tr>
      <w:tr>
        <w:trPr>
          <w:trHeight w:val="509" w:hRule="exact"/>
        </w:trPr>
        <w:tc>
          <w:tcPr>
            <w:tcW w:w="1272" w:type="dxa"/>
            <w:tcBorders>
              <w:left w:val="single" w:sz="4" w:space="0" w:color="000000"/>
              <w:right w:val="single" w:sz="4" w:space="0" w:color="000000"/>
            </w:tcBorders>
          </w:tcPr>
          <w:p>
            <w:pPr>
              <w:pStyle w:val="TableParagraph"/>
              <w:spacing w:before="108"/>
              <w:ind w:left="71" w:right="78"/>
              <w:jc w:val="center"/>
              <w:rPr>
                <w:sz w:val="15"/>
              </w:rPr>
            </w:pPr>
            <w:r>
              <w:rPr>
                <w:w w:val="105"/>
                <w:sz w:val="15"/>
              </w:rPr>
              <w:t>Zacatecas</w:t>
            </w:r>
          </w:p>
        </w:tc>
        <w:tc>
          <w:tcPr>
            <w:tcW w:w="576" w:type="dxa"/>
            <w:tcBorders>
              <w:left w:val="single" w:sz="4" w:space="0" w:color="000000"/>
            </w:tcBorders>
            <w:shd w:val="clear" w:color="auto" w:fill="91CF4F"/>
          </w:tcPr>
          <w:p>
            <w:pPr>
              <w:pStyle w:val="TableParagraph"/>
              <w:spacing w:before="108"/>
              <w:ind w:right="3"/>
              <w:jc w:val="center"/>
              <w:rPr>
                <w:sz w:val="15"/>
              </w:rPr>
            </w:pPr>
            <w:r>
              <w:rPr>
                <w:w w:val="102"/>
                <w:sz w:val="15"/>
              </w:rPr>
              <w:t>4</w:t>
            </w:r>
          </w:p>
        </w:tc>
        <w:tc>
          <w:tcPr>
            <w:tcW w:w="523" w:type="dxa"/>
            <w:tcBorders>
              <w:right w:val="single" w:sz="4" w:space="0" w:color="000000"/>
            </w:tcBorders>
            <w:shd w:val="clear" w:color="auto" w:fill="91CF4F"/>
          </w:tcPr>
          <w:p>
            <w:pPr>
              <w:pStyle w:val="TableParagraph"/>
              <w:spacing w:before="108"/>
              <w:jc w:val="center"/>
              <w:rPr>
                <w:sz w:val="15"/>
              </w:rPr>
            </w:pPr>
            <w:r>
              <w:rPr>
                <w:w w:val="102"/>
                <w:sz w:val="15"/>
              </w:rPr>
              <w:t>4</w:t>
            </w:r>
          </w:p>
        </w:tc>
        <w:tc>
          <w:tcPr>
            <w:tcW w:w="1049" w:type="dxa"/>
            <w:gridSpan w:val="2"/>
            <w:tcBorders>
              <w:left w:val="single" w:sz="4" w:space="0" w:color="000000"/>
              <w:right w:val="single" w:sz="4" w:space="0" w:color="000000"/>
            </w:tcBorders>
          </w:tcPr>
          <w:p>
            <w:pPr>
              <w:pStyle w:val="TableParagraph"/>
              <w:spacing w:before="108"/>
              <w:ind w:left="225"/>
              <w:rPr>
                <w:sz w:val="15"/>
              </w:rPr>
            </w:pPr>
            <w:r>
              <w:rPr>
                <w:w w:val="105"/>
                <w:sz w:val="15"/>
              </w:rPr>
              <w:t>Tlaxcala</w:t>
            </w:r>
          </w:p>
        </w:tc>
        <w:tc>
          <w:tcPr>
            <w:tcW w:w="612" w:type="dxa"/>
            <w:tcBorders>
              <w:left w:val="single" w:sz="4" w:space="0" w:color="000000"/>
            </w:tcBorders>
            <w:shd w:val="clear" w:color="auto" w:fill="FFBF00"/>
          </w:tcPr>
          <w:p>
            <w:pPr>
              <w:pStyle w:val="TableParagraph"/>
              <w:spacing w:before="108"/>
              <w:ind w:left="94" w:right="99"/>
              <w:jc w:val="center"/>
              <w:rPr>
                <w:sz w:val="15"/>
              </w:rPr>
            </w:pPr>
            <w:r>
              <w:rPr>
                <w:w w:val="105"/>
                <w:sz w:val="15"/>
              </w:rPr>
              <w:t>12</w:t>
            </w:r>
          </w:p>
        </w:tc>
        <w:tc>
          <w:tcPr>
            <w:tcW w:w="542" w:type="dxa"/>
            <w:gridSpan w:val="2"/>
            <w:tcBorders>
              <w:right w:val="single" w:sz="4" w:space="0" w:color="000000"/>
            </w:tcBorders>
            <w:shd w:val="clear" w:color="auto" w:fill="FFBF00"/>
          </w:tcPr>
          <w:p>
            <w:pPr>
              <w:pStyle w:val="TableParagraph"/>
              <w:spacing w:before="108"/>
              <w:ind w:left="187"/>
              <w:rPr>
                <w:sz w:val="15"/>
              </w:rPr>
            </w:pPr>
            <w:r>
              <w:rPr>
                <w:w w:val="105"/>
                <w:sz w:val="15"/>
              </w:rPr>
              <w:t>11</w:t>
            </w:r>
          </w:p>
        </w:tc>
        <w:tc>
          <w:tcPr>
            <w:tcW w:w="1027" w:type="dxa"/>
            <w:tcBorders>
              <w:left w:val="single" w:sz="4" w:space="0" w:color="000000"/>
              <w:right w:val="thickThinMediumGap" w:sz="23" w:space="0" w:color="FFBF00"/>
            </w:tcBorders>
          </w:tcPr>
          <w:p>
            <w:pPr>
              <w:pStyle w:val="TableParagraph"/>
              <w:spacing w:before="108"/>
              <w:ind w:left="109" w:right="53"/>
              <w:jc w:val="center"/>
              <w:rPr>
                <w:sz w:val="15"/>
              </w:rPr>
            </w:pPr>
            <w:r>
              <w:rPr>
                <w:w w:val="105"/>
                <w:sz w:val="15"/>
              </w:rPr>
              <w:t>Chihuahua</w:t>
            </w:r>
          </w:p>
        </w:tc>
        <w:tc>
          <w:tcPr>
            <w:tcW w:w="581" w:type="dxa"/>
            <w:tcBorders>
              <w:left w:val="single" w:sz="4" w:space="0" w:color="000000"/>
            </w:tcBorders>
            <w:shd w:val="clear" w:color="auto" w:fill="FFBF00"/>
          </w:tcPr>
          <w:p>
            <w:pPr>
              <w:pStyle w:val="TableParagraph"/>
              <w:spacing w:before="108"/>
              <w:ind w:left="80" w:right="87"/>
              <w:jc w:val="center"/>
              <w:rPr>
                <w:sz w:val="15"/>
              </w:rPr>
            </w:pPr>
            <w:r>
              <w:rPr>
                <w:w w:val="105"/>
                <w:sz w:val="15"/>
              </w:rPr>
              <w:t>20</w:t>
            </w:r>
          </w:p>
        </w:tc>
        <w:tc>
          <w:tcPr>
            <w:tcW w:w="518" w:type="dxa"/>
            <w:gridSpan w:val="2"/>
            <w:tcBorders>
              <w:right w:val="single" w:sz="4" w:space="0" w:color="000000"/>
            </w:tcBorders>
            <w:shd w:val="clear" w:color="auto" w:fill="FFBF00"/>
          </w:tcPr>
          <w:p>
            <w:pPr>
              <w:pStyle w:val="TableParagraph"/>
              <w:spacing w:before="108"/>
              <w:ind w:left="148" w:right="150"/>
              <w:jc w:val="center"/>
              <w:rPr>
                <w:sz w:val="15"/>
              </w:rPr>
            </w:pPr>
            <w:r>
              <w:rPr>
                <w:w w:val="105"/>
                <w:sz w:val="15"/>
              </w:rPr>
              <w:t>18</w:t>
            </w:r>
          </w:p>
        </w:tc>
        <w:tc>
          <w:tcPr>
            <w:tcW w:w="1018" w:type="dxa"/>
            <w:tcBorders>
              <w:left w:val="single" w:sz="40" w:space="0" w:color="FFBF00"/>
              <w:right w:val="single" w:sz="46" w:space="0" w:color="FFFF00"/>
            </w:tcBorders>
          </w:tcPr>
          <w:p>
            <w:pPr>
              <w:pStyle w:val="TableParagraph"/>
              <w:spacing w:before="108"/>
              <w:ind w:left="27" w:right="27"/>
              <w:jc w:val="center"/>
              <w:rPr>
                <w:sz w:val="15"/>
              </w:rPr>
            </w:pPr>
            <w:r>
              <w:rPr>
                <w:w w:val="105"/>
                <w:sz w:val="15"/>
              </w:rPr>
              <w:t>Morelos</w:t>
            </w:r>
          </w:p>
        </w:tc>
        <w:tc>
          <w:tcPr>
            <w:tcW w:w="576" w:type="dxa"/>
            <w:tcBorders>
              <w:left w:val="single" w:sz="4" w:space="0" w:color="000000"/>
              <w:bottom w:val="single" w:sz="42" w:space="0" w:color="FF0000"/>
              <w:right w:val="single" w:sz="42" w:space="0" w:color="FFBF00"/>
            </w:tcBorders>
            <w:shd w:val="clear" w:color="auto" w:fill="FFFF00"/>
          </w:tcPr>
          <w:p>
            <w:pPr>
              <w:pStyle w:val="TableParagraph"/>
              <w:spacing w:before="108"/>
              <w:ind w:left="196"/>
              <w:rPr>
                <w:sz w:val="15"/>
              </w:rPr>
            </w:pPr>
            <w:r>
              <w:rPr>
                <w:w w:val="105"/>
                <w:sz w:val="15"/>
              </w:rPr>
              <w:t>28</w:t>
            </w:r>
          </w:p>
        </w:tc>
        <w:tc>
          <w:tcPr>
            <w:tcW w:w="523" w:type="dxa"/>
            <w:tcBorders>
              <w:left w:val="single" w:sz="42" w:space="0" w:color="FFFF00"/>
              <w:bottom w:val="single" w:sz="42" w:space="0" w:color="FF0000"/>
              <w:right w:val="single" w:sz="4" w:space="0" w:color="000000"/>
            </w:tcBorders>
            <w:shd w:val="clear" w:color="auto" w:fill="FFBF00"/>
          </w:tcPr>
          <w:p>
            <w:pPr>
              <w:pStyle w:val="TableParagraph"/>
              <w:spacing w:before="108"/>
              <w:ind w:left="124"/>
              <w:rPr>
                <w:sz w:val="15"/>
              </w:rPr>
            </w:pPr>
            <w:r>
              <w:rPr>
                <w:w w:val="105"/>
                <w:sz w:val="15"/>
              </w:rPr>
              <w:t>25</w:t>
            </w:r>
          </w:p>
        </w:tc>
      </w:tr>
      <w:tr>
        <w:trPr>
          <w:trHeight w:val="608" w:hRule="exact"/>
        </w:trPr>
        <w:tc>
          <w:tcPr>
            <w:tcW w:w="1272" w:type="dxa"/>
            <w:tcBorders>
              <w:left w:val="single" w:sz="4" w:space="0" w:color="000000"/>
              <w:right w:val="single" w:sz="4" w:space="0" w:color="000000"/>
            </w:tcBorders>
          </w:tcPr>
          <w:p>
            <w:pPr>
              <w:pStyle w:val="TableParagraph"/>
              <w:spacing w:before="103"/>
              <w:ind w:left="75" w:right="78"/>
              <w:jc w:val="center"/>
              <w:rPr>
                <w:sz w:val="15"/>
              </w:rPr>
            </w:pPr>
            <w:r>
              <w:rPr>
                <w:w w:val="105"/>
                <w:sz w:val="15"/>
              </w:rPr>
              <w:t>Aguascalientes</w:t>
            </w:r>
          </w:p>
        </w:tc>
        <w:tc>
          <w:tcPr>
            <w:tcW w:w="576" w:type="dxa"/>
            <w:tcBorders>
              <w:left w:val="single" w:sz="4" w:space="0" w:color="000000"/>
            </w:tcBorders>
            <w:shd w:val="clear" w:color="auto" w:fill="91CF4F"/>
          </w:tcPr>
          <w:p>
            <w:pPr>
              <w:pStyle w:val="TableParagraph"/>
              <w:spacing w:before="103"/>
              <w:ind w:right="3"/>
              <w:jc w:val="center"/>
              <w:rPr>
                <w:sz w:val="15"/>
              </w:rPr>
            </w:pPr>
            <w:r>
              <w:rPr>
                <w:w w:val="102"/>
                <w:sz w:val="15"/>
              </w:rPr>
              <w:t>5</w:t>
            </w:r>
          </w:p>
        </w:tc>
        <w:tc>
          <w:tcPr>
            <w:tcW w:w="523" w:type="dxa"/>
            <w:tcBorders>
              <w:right w:val="single" w:sz="4" w:space="0" w:color="000000"/>
            </w:tcBorders>
            <w:shd w:val="clear" w:color="auto" w:fill="91CF4F"/>
          </w:tcPr>
          <w:p>
            <w:pPr>
              <w:pStyle w:val="TableParagraph"/>
              <w:spacing w:before="103"/>
              <w:jc w:val="center"/>
              <w:rPr>
                <w:sz w:val="15"/>
              </w:rPr>
            </w:pPr>
            <w:r>
              <w:rPr>
                <w:w w:val="102"/>
                <w:sz w:val="15"/>
              </w:rPr>
              <w:t>5</w:t>
            </w:r>
          </w:p>
        </w:tc>
        <w:tc>
          <w:tcPr>
            <w:tcW w:w="1049" w:type="dxa"/>
            <w:gridSpan w:val="2"/>
            <w:tcBorders>
              <w:left w:val="single" w:sz="4" w:space="0" w:color="000000"/>
              <w:right w:val="single" w:sz="4" w:space="0" w:color="000000"/>
            </w:tcBorders>
          </w:tcPr>
          <w:p>
            <w:pPr>
              <w:pStyle w:val="TableParagraph"/>
              <w:spacing w:before="103"/>
              <w:ind w:left="278"/>
              <w:rPr>
                <w:sz w:val="15"/>
              </w:rPr>
            </w:pPr>
            <w:r>
              <w:rPr>
                <w:w w:val="105"/>
                <w:sz w:val="15"/>
              </w:rPr>
              <w:t>Jalisco</w:t>
            </w:r>
          </w:p>
        </w:tc>
        <w:tc>
          <w:tcPr>
            <w:tcW w:w="612" w:type="dxa"/>
            <w:tcBorders>
              <w:left w:val="single" w:sz="4" w:space="0" w:color="000000"/>
            </w:tcBorders>
            <w:shd w:val="clear" w:color="auto" w:fill="FFBF00"/>
          </w:tcPr>
          <w:p>
            <w:pPr>
              <w:pStyle w:val="TableParagraph"/>
              <w:spacing w:before="103"/>
              <w:ind w:left="94" w:right="99"/>
              <w:jc w:val="center"/>
              <w:rPr>
                <w:sz w:val="15"/>
              </w:rPr>
            </w:pPr>
            <w:r>
              <w:rPr>
                <w:w w:val="105"/>
                <w:sz w:val="15"/>
              </w:rPr>
              <w:t>13</w:t>
            </w:r>
          </w:p>
        </w:tc>
        <w:tc>
          <w:tcPr>
            <w:tcW w:w="542" w:type="dxa"/>
            <w:gridSpan w:val="2"/>
            <w:tcBorders>
              <w:right w:val="single" w:sz="4" w:space="0" w:color="000000"/>
            </w:tcBorders>
            <w:shd w:val="clear" w:color="auto" w:fill="FFBF00"/>
          </w:tcPr>
          <w:p>
            <w:pPr>
              <w:pStyle w:val="TableParagraph"/>
              <w:spacing w:before="103"/>
              <w:ind w:left="187"/>
              <w:rPr>
                <w:sz w:val="15"/>
              </w:rPr>
            </w:pPr>
            <w:r>
              <w:rPr>
                <w:w w:val="105"/>
                <w:sz w:val="15"/>
              </w:rPr>
              <w:t>24</w:t>
            </w:r>
          </w:p>
        </w:tc>
        <w:tc>
          <w:tcPr>
            <w:tcW w:w="1027" w:type="dxa"/>
            <w:tcBorders>
              <w:left w:val="single" w:sz="4" w:space="0" w:color="000000"/>
              <w:right w:val="thickThinMediumGap" w:sz="23" w:space="0" w:color="FFBF00"/>
            </w:tcBorders>
          </w:tcPr>
          <w:p>
            <w:pPr>
              <w:pStyle w:val="TableParagraph"/>
              <w:spacing w:line="280" w:lineRule="auto" w:before="2"/>
              <w:ind w:left="292" w:hanging="82"/>
              <w:rPr>
                <w:sz w:val="15"/>
              </w:rPr>
            </w:pPr>
            <w:r>
              <w:rPr>
                <w:w w:val="105"/>
                <w:sz w:val="15"/>
              </w:rPr>
              <w:t>San Luis Potosí</w:t>
            </w:r>
          </w:p>
        </w:tc>
        <w:tc>
          <w:tcPr>
            <w:tcW w:w="581" w:type="dxa"/>
            <w:tcBorders>
              <w:left w:val="single" w:sz="4" w:space="0" w:color="000000"/>
            </w:tcBorders>
            <w:shd w:val="clear" w:color="auto" w:fill="FFBF00"/>
          </w:tcPr>
          <w:p>
            <w:pPr>
              <w:pStyle w:val="TableParagraph"/>
              <w:spacing w:before="103"/>
              <w:ind w:left="80" w:right="87"/>
              <w:jc w:val="center"/>
              <w:rPr>
                <w:sz w:val="15"/>
              </w:rPr>
            </w:pPr>
            <w:r>
              <w:rPr>
                <w:w w:val="105"/>
                <w:sz w:val="15"/>
              </w:rPr>
              <w:t>21</w:t>
            </w:r>
          </w:p>
        </w:tc>
        <w:tc>
          <w:tcPr>
            <w:tcW w:w="518" w:type="dxa"/>
            <w:gridSpan w:val="2"/>
            <w:tcBorders>
              <w:right w:val="single" w:sz="4" w:space="0" w:color="000000"/>
            </w:tcBorders>
            <w:shd w:val="clear" w:color="auto" w:fill="FFBF00"/>
          </w:tcPr>
          <w:p>
            <w:pPr>
              <w:pStyle w:val="TableParagraph"/>
              <w:spacing w:before="103"/>
              <w:ind w:left="148" w:right="150"/>
              <w:jc w:val="center"/>
              <w:rPr>
                <w:sz w:val="15"/>
              </w:rPr>
            </w:pPr>
            <w:r>
              <w:rPr>
                <w:w w:val="105"/>
                <w:sz w:val="15"/>
              </w:rPr>
              <w:t>20</w:t>
            </w:r>
          </w:p>
        </w:tc>
        <w:tc>
          <w:tcPr>
            <w:tcW w:w="1018" w:type="dxa"/>
            <w:tcBorders>
              <w:left w:val="single" w:sz="40" w:space="0" w:color="FFBF00"/>
              <w:right w:val="single" w:sz="46" w:space="0" w:color="FF0000"/>
            </w:tcBorders>
          </w:tcPr>
          <w:p>
            <w:pPr>
              <w:pStyle w:val="TableParagraph"/>
              <w:spacing w:before="103"/>
              <w:ind w:left="27" w:right="27"/>
              <w:jc w:val="center"/>
              <w:rPr>
                <w:sz w:val="15"/>
              </w:rPr>
            </w:pPr>
            <w:r>
              <w:rPr>
                <w:w w:val="105"/>
                <w:sz w:val="15"/>
              </w:rPr>
              <w:t>Tamaulipas</w:t>
            </w:r>
          </w:p>
        </w:tc>
        <w:tc>
          <w:tcPr>
            <w:tcW w:w="1099" w:type="dxa"/>
            <w:gridSpan w:val="2"/>
            <w:tcBorders>
              <w:left w:val="single" w:sz="4" w:space="0" w:color="000000"/>
              <w:right w:val="single" w:sz="4" w:space="0" w:color="000000"/>
            </w:tcBorders>
            <w:shd w:val="clear" w:color="auto" w:fill="FF0000"/>
          </w:tcPr>
          <w:p>
            <w:pPr>
              <w:pStyle w:val="TableParagraph"/>
              <w:tabs>
                <w:tab w:pos="748" w:val="left" w:leader="none"/>
              </w:tabs>
              <w:spacing w:before="103"/>
              <w:ind w:left="196"/>
              <w:rPr>
                <w:sz w:val="15"/>
              </w:rPr>
            </w:pPr>
            <w:r>
              <w:rPr>
                <w:w w:val="105"/>
                <w:sz w:val="15"/>
              </w:rPr>
              <w:t>29</w:t>
              <w:tab/>
            </w:r>
            <w:r>
              <w:rPr>
                <w:spacing w:val="-5"/>
                <w:w w:val="105"/>
                <w:sz w:val="15"/>
              </w:rPr>
              <w:t>30</w:t>
            </w:r>
          </w:p>
        </w:tc>
      </w:tr>
      <w:tr>
        <w:trPr>
          <w:trHeight w:val="394" w:hRule="exact"/>
        </w:trPr>
        <w:tc>
          <w:tcPr>
            <w:tcW w:w="1272" w:type="dxa"/>
            <w:tcBorders>
              <w:left w:val="single" w:sz="4" w:space="0" w:color="000000"/>
              <w:right w:val="single" w:sz="4" w:space="0" w:color="000000"/>
            </w:tcBorders>
          </w:tcPr>
          <w:p>
            <w:pPr>
              <w:pStyle w:val="TableParagraph"/>
              <w:spacing w:line="172" w:lineRule="exact"/>
              <w:ind w:left="70" w:right="78"/>
              <w:jc w:val="center"/>
              <w:rPr>
                <w:sz w:val="15"/>
              </w:rPr>
            </w:pPr>
            <w:r>
              <w:rPr>
                <w:w w:val="105"/>
                <w:sz w:val="15"/>
              </w:rPr>
              <w:t>Yucatán</w:t>
            </w:r>
          </w:p>
        </w:tc>
        <w:tc>
          <w:tcPr>
            <w:tcW w:w="576" w:type="dxa"/>
            <w:tcBorders>
              <w:left w:val="single" w:sz="4" w:space="0" w:color="000000"/>
              <w:bottom w:val="single" w:sz="42" w:space="0" w:color="FFBF00"/>
            </w:tcBorders>
            <w:shd w:val="clear" w:color="auto" w:fill="91CF4F"/>
          </w:tcPr>
          <w:p>
            <w:pPr>
              <w:pStyle w:val="TableParagraph"/>
              <w:spacing w:line="172" w:lineRule="exact"/>
              <w:ind w:right="3"/>
              <w:jc w:val="center"/>
              <w:rPr>
                <w:sz w:val="15"/>
              </w:rPr>
            </w:pPr>
            <w:r>
              <w:rPr>
                <w:w w:val="102"/>
                <w:sz w:val="15"/>
              </w:rPr>
              <w:t>6</w:t>
            </w:r>
          </w:p>
        </w:tc>
        <w:tc>
          <w:tcPr>
            <w:tcW w:w="523" w:type="dxa"/>
            <w:tcBorders>
              <w:right w:val="single" w:sz="4" w:space="0" w:color="000000"/>
            </w:tcBorders>
            <w:shd w:val="clear" w:color="auto" w:fill="91CF4F"/>
          </w:tcPr>
          <w:p>
            <w:pPr>
              <w:pStyle w:val="TableParagraph"/>
              <w:spacing w:line="172" w:lineRule="exact"/>
              <w:ind w:left="80" w:right="80"/>
              <w:jc w:val="center"/>
              <w:rPr>
                <w:sz w:val="15"/>
              </w:rPr>
            </w:pPr>
            <w:r>
              <w:rPr>
                <w:w w:val="105"/>
                <w:sz w:val="15"/>
              </w:rPr>
              <w:t>17</w:t>
            </w:r>
          </w:p>
        </w:tc>
        <w:tc>
          <w:tcPr>
            <w:tcW w:w="1049" w:type="dxa"/>
            <w:gridSpan w:val="2"/>
            <w:tcBorders>
              <w:left w:val="single" w:sz="4" w:space="0" w:color="000000"/>
              <w:right w:val="single" w:sz="4" w:space="0" w:color="000000"/>
            </w:tcBorders>
          </w:tcPr>
          <w:p>
            <w:pPr>
              <w:pStyle w:val="TableParagraph"/>
              <w:spacing w:line="172" w:lineRule="exact"/>
              <w:ind w:left="268"/>
              <w:rPr>
                <w:sz w:val="15"/>
              </w:rPr>
            </w:pPr>
            <w:r>
              <w:rPr>
                <w:w w:val="105"/>
                <w:sz w:val="15"/>
              </w:rPr>
              <w:t>Nayarit</w:t>
            </w:r>
          </w:p>
        </w:tc>
        <w:tc>
          <w:tcPr>
            <w:tcW w:w="612" w:type="dxa"/>
            <w:tcBorders>
              <w:left w:val="single" w:sz="4" w:space="0" w:color="000000"/>
            </w:tcBorders>
            <w:shd w:val="clear" w:color="auto" w:fill="FFBF00"/>
          </w:tcPr>
          <w:p>
            <w:pPr>
              <w:pStyle w:val="TableParagraph"/>
              <w:spacing w:line="172" w:lineRule="exact"/>
              <w:ind w:left="94" w:right="99"/>
              <w:jc w:val="center"/>
              <w:rPr>
                <w:sz w:val="15"/>
              </w:rPr>
            </w:pPr>
            <w:r>
              <w:rPr>
                <w:w w:val="105"/>
                <w:sz w:val="15"/>
              </w:rPr>
              <w:t>14</w:t>
            </w:r>
          </w:p>
        </w:tc>
        <w:tc>
          <w:tcPr>
            <w:tcW w:w="542" w:type="dxa"/>
            <w:gridSpan w:val="2"/>
            <w:tcBorders>
              <w:right w:val="single" w:sz="4" w:space="0" w:color="000000"/>
            </w:tcBorders>
            <w:shd w:val="clear" w:color="auto" w:fill="FFBF00"/>
          </w:tcPr>
          <w:p>
            <w:pPr>
              <w:pStyle w:val="TableParagraph"/>
              <w:spacing w:line="172" w:lineRule="exact"/>
              <w:ind w:left="8"/>
              <w:jc w:val="center"/>
              <w:rPr>
                <w:sz w:val="15"/>
              </w:rPr>
            </w:pPr>
            <w:r>
              <w:rPr>
                <w:w w:val="102"/>
                <w:sz w:val="15"/>
              </w:rPr>
              <w:t>9</w:t>
            </w:r>
          </w:p>
        </w:tc>
        <w:tc>
          <w:tcPr>
            <w:tcW w:w="1027" w:type="dxa"/>
            <w:tcBorders>
              <w:left w:val="single" w:sz="4" w:space="0" w:color="000000"/>
              <w:right w:val="thickThinMediumGap" w:sz="23" w:space="0" w:color="FFBF00"/>
            </w:tcBorders>
          </w:tcPr>
          <w:p>
            <w:pPr>
              <w:pStyle w:val="TableParagraph"/>
              <w:spacing w:line="172" w:lineRule="exact"/>
              <w:ind w:left="109" w:right="52"/>
              <w:jc w:val="center"/>
              <w:rPr>
                <w:sz w:val="15"/>
              </w:rPr>
            </w:pPr>
            <w:r>
              <w:rPr>
                <w:w w:val="105"/>
                <w:sz w:val="15"/>
              </w:rPr>
              <w:t>Campeche</w:t>
            </w:r>
          </w:p>
        </w:tc>
        <w:tc>
          <w:tcPr>
            <w:tcW w:w="581" w:type="dxa"/>
            <w:tcBorders>
              <w:left w:val="single" w:sz="4" w:space="0" w:color="000000"/>
              <w:right w:val="single" w:sz="40" w:space="0" w:color="FFFF00"/>
            </w:tcBorders>
            <w:shd w:val="clear" w:color="auto" w:fill="FFBF00"/>
          </w:tcPr>
          <w:p>
            <w:pPr>
              <w:pStyle w:val="TableParagraph"/>
              <w:spacing w:line="172" w:lineRule="exact"/>
              <w:ind w:left="175" w:right="135"/>
              <w:jc w:val="center"/>
              <w:rPr>
                <w:sz w:val="15"/>
              </w:rPr>
            </w:pPr>
            <w:r>
              <w:rPr>
                <w:w w:val="105"/>
                <w:sz w:val="15"/>
              </w:rPr>
              <w:t>22</w:t>
            </w:r>
          </w:p>
        </w:tc>
        <w:tc>
          <w:tcPr>
            <w:tcW w:w="518" w:type="dxa"/>
            <w:gridSpan w:val="2"/>
            <w:tcBorders>
              <w:top w:val="single" w:sz="44" w:space="0" w:color="FFBF00"/>
              <w:left w:val="single" w:sz="42" w:space="0" w:color="FFBF00"/>
              <w:right w:val="single" w:sz="4" w:space="0" w:color="000000"/>
            </w:tcBorders>
            <w:shd w:val="clear" w:color="auto" w:fill="FFFF00"/>
          </w:tcPr>
          <w:p>
            <w:pPr>
              <w:pStyle w:val="TableParagraph"/>
              <w:spacing w:line="117" w:lineRule="exact"/>
              <w:ind w:left="120"/>
              <w:rPr>
                <w:sz w:val="15"/>
              </w:rPr>
            </w:pPr>
            <w:r>
              <w:rPr>
                <w:w w:val="105"/>
                <w:sz w:val="15"/>
              </w:rPr>
              <w:t>28</w:t>
            </w:r>
          </w:p>
        </w:tc>
        <w:tc>
          <w:tcPr>
            <w:tcW w:w="1018" w:type="dxa"/>
            <w:tcBorders>
              <w:left w:val="single" w:sz="40" w:space="0" w:color="FFFF00"/>
              <w:right w:val="single" w:sz="46" w:space="0" w:color="FF0000"/>
            </w:tcBorders>
          </w:tcPr>
          <w:p>
            <w:pPr>
              <w:pStyle w:val="TableParagraph"/>
              <w:spacing w:line="172" w:lineRule="exact"/>
              <w:ind w:left="27" w:right="19"/>
              <w:jc w:val="center"/>
              <w:rPr>
                <w:sz w:val="15"/>
              </w:rPr>
            </w:pPr>
            <w:r>
              <w:rPr>
                <w:w w:val="105"/>
                <w:sz w:val="15"/>
              </w:rPr>
              <w:t>Chiapas</w:t>
            </w:r>
          </w:p>
        </w:tc>
        <w:tc>
          <w:tcPr>
            <w:tcW w:w="576" w:type="dxa"/>
            <w:tcBorders>
              <w:left w:val="single" w:sz="4" w:space="0" w:color="000000"/>
              <w:right w:val="single" w:sz="42" w:space="0" w:color="FFBF00"/>
            </w:tcBorders>
            <w:shd w:val="clear" w:color="auto" w:fill="FF0000"/>
          </w:tcPr>
          <w:p>
            <w:pPr>
              <w:pStyle w:val="TableParagraph"/>
              <w:spacing w:line="172" w:lineRule="exact"/>
              <w:ind w:left="196"/>
              <w:rPr>
                <w:sz w:val="15"/>
              </w:rPr>
            </w:pPr>
            <w:r>
              <w:rPr>
                <w:w w:val="105"/>
                <w:sz w:val="15"/>
              </w:rPr>
              <w:t>30</w:t>
            </w:r>
          </w:p>
        </w:tc>
        <w:tc>
          <w:tcPr>
            <w:tcW w:w="523" w:type="dxa"/>
            <w:tcBorders>
              <w:top w:val="single" w:sz="44" w:space="0" w:color="FF0000"/>
              <w:left w:val="single" w:sz="42" w:space="0" w:color="FF0000"/>
              <w:bottom w:val="single" w:sz="42" w:space="0" w:color="FF0000"/>
              <w:right w:val="single" w:sz="4" w:space="0" w:color="000000"/>
            </w:tcBorders>
            <w:shd w:val="clear" w:color="auto" w:fill="FFBF00"/>
          </w:tcPr>
          <w:p>
            <w:pPr>
              <w:pStyle w:val="TableParagraph"/>
              <w:spacing w:line="117" w:lineRule="exact"/>
              <w:ind w:left="124"/>
              <w:rPr>
                <w:sz w:val="15"/>
              </w:rPr>
            </w:pPr>
            <w:r>
              <w:rPr>
                <w:w w:val="105"/>
                <w:sz w:val="15"/>
              </w:rPr>
              <w:t>16</w:t>
            </w:r>
          </w:p>
        </w:tc>
      </w:tr>
      <w:tr>
        <w:trPr>
          <w:trHeight w:val="610" w:hRule="exact"/>
        </w:trPr>
        <w:tc>
          <w:tcPr>
            <w:tcW w:w="1272" w:type="dxa"/>
            <w:tcBorders>
              <w:left w:val="single" w:sz="4" w:space="0" w:color="000000"/>
              <w:right w:val="single" w:sz="44" w:space="0" w:color="FFBF00"/>
            </w:tcBorders>
          </w:tcPr>
          <w:p>
            <w:pPr>
              <w:pStyle w:val="TableParagraph"/>
              <w:spacing w:before="104"/>
              <w:ind w:left="205" w:right="152"/>
              <w:jc w:val="center"/>
              <w:rPr>
                <w:sz w:val="15"/>
              </w:rPr>
            </w:pPr>
            <w:r>
              <w:rPr>
                <w:w w:val="105"/>
                <w:sz w:val="15"/>
              </w:rPr>
              <w:t>Guanajuato</w:t>
            </w:r>
          </w:p>
        </w:tc>
        <w:tc>
          <w:tcPr>
            <w:tcW w:w="576" w:type="dxa"/>
            <w:tcBorders>
              <w:left w:val="single" w:sz="4" w:space="0" w:color="000000"/>
            </w:tcBorders>
            <w:shd w:val="clear" w:color="auto" w:fill="FFBF00"/>
          </w:tcPr>
          <w:p>
            <w:pPr>
              <w:pStyle w:val="TableParagraph"/>
              <w:spacing w:before="104"/>
              <w:ind w:right="3"/>
              <w:jc w:val="center"/>
              <w:rPr>
                <w:sz w:val="15"/>
              </w:rPr>
            </w:pPr>
            <w:r>
              <w:rPr>
                <w:w w:val="102"/>
                <w:sz w:val="15"/>
              </w:rPr>
              <w:t>7</w:t>
            </w:r>
          </w:p>
        </w:tc>
        <w:tc>
          <w:tcPr>
            <w:tcW w:w="523" w:type="dxa"/>
            <w:tcBorders>
              <w:left w:val="single" w:sz="42" w:space="0" w:color="FFBF00"/>
              <w:right w:val="single" w:sz="4" w:space="0" w:color="000000"/>
            </w:tcBorders>
            <w:shd w:val="clear" w:color="auto" w:fill="91CF4F"/>
          </w:tcPr>
          <w:p>
            <w:pPr>
              <w:pStyle w:val="TableParagraph"/>
              <w:spacing w:before="104"/>
              <w:ind w:right="51"/>
              <w:jc w:val="center"/>
              <w:rPr>
                <w:sz w:val="15"/>
              </w:rPr>
            </w:pPr>
            <w:r>
              <w:rPr>
                <w:w w:val="102"/>
                <w:sz w:val="15"/>
              </w:rPr>
              <w:t>3</w:t>
            </w:r>
          </w:p>
        </w:tc>
        <w:tc>
          <w:tcPr>
            <w:tcW w:w="1049" w:type="dxa"/>
            <w:gridSpan w:val="2"/>
            <w:tcBorders>
              <w:left w:val="single" w:sz="4" w:space="0" w:color="000000"/>
              <w:right w:val="single" w:sz="4" w:space="0" w:color="000000"/>
            </w:tcBorders>
          </w:tcPr>
          <w:p>
            <w:pPr>
              <w:pStyle w:val="TableParagraph"/>
              <w:spacing w:line="273" w:lineRule="auto" w:before="8"/>
              <w:ind w:left="249" w:right="256" w:firstLine="24"/>
              <w:rPr>
                <w:sz w:val="15"/>
              </w:rPr>
            </w:pPr>
            <w:r>
              <w:rPr>
                <w:w w:val="105"/>
                <w:sz w:val="15"/>
              </w:rPr>
              <w:t>Distrito </w:t>
            </w:r>
            <w:r>
              <w:rPr>
                <w:sz w:val="15"/>
              </w:rPr>
              <w:t>Federal</w:t>
            </w:r>
          </w:p>
        </w:tc>
        <w:tc>
          <w:tcPr>
            <w:tcW w:w="612" w:type="dxa"/>
            <w:tcBorders>
              <w:left w:val="single" w:sz="4" w:space="0" w:color="000000"/>
            </w:tcBorders>
            <w:shd w:val="clear" w:color="auto" w:fill="FFBF00"/>
          </w:tcPr>
          <w:p>
            <w:pPr>
              <w:pStyle w:val="TableParagraph"/>
              <w:spacing w:before="104"/>
              <w:ind w:left="94" w:right="99"/>
              <w:jc w:val="center"/>
              <w:rPr>
                <w:sz w:val="15"/>
              </w:rPr>
            </w:pPr>
            <w:r>
              <w:rPr>
                <w:w w:val="105"/>
                <w:sz w:val="15"/>
              </w:rPr>
              <w:t>15</w:t>
            </w:r>
          </w:p>
        </w:tc>
        <w:tc>
          <w:tcPr>
            <w:tcW w:w="542" w:type="dxa"/>
            <w:gridSpan w:val="2"/>
            <w:tcBorders>
              <w:right w:val="single" w:sz="4" w:space="0" w:color="000000"/>
            </w:tcBorders>
            <w:shd w:val="clear" w:color="auto" w:fill="91CF4F"/>
          </w:tcPr>
          <w:p>
            <w:pPr>
              <w:pStyle w:val="TableParagraph"/>
              <w:spacing w:before="104"/>
              <w:ind w:left="8"/>
              <w:jc w:val="center"/>
              <w:rPr>
                <w:sz w:val="15"/>
              </w:rPr>
            </w:pPr>
            <w:r>
              <w:rPr>
                <w:w w:val="102"/>
                <w:sz w:val="15"/>
              </w:rPr>
              <w:t>8</w:t>
            </w:r>
          </w:p>
        </w:tc>
        <w:tc>
          <w:tcPr>
            <w:tcW w:w="1027" w:type="dxa"/>
            <w:tcBorders>
              <w:left w:val="single" w:sz="4" w:space="0" w:color="000000"/>
              <w:right w:val="thickThinMediumGap" w:sz="23" w:space="0" w:color="FFBF00"/>
            </w:tcBorders>
          </w:tcPr>
          <w:p>
            <w:pPr>
              <w:pStyle w:val="TableParagraph"/>
              <w:spacing w:before="104"/>
              <w:ind w:left="109" w:right="48"/>
              <w:jc w:val="center"/>
              <w:rPr>
                <w:sz w:val="15"/>
              </w:rPr>
            </w:pPr>
            <w:r>
              <w:rPr>
                <w:w w:val="105"/>
                <w:sz w:val="15"/>
              </w:rPr>
              <w:t>Tabasco</w:t>
            </w:r>
          </w:p>
        </w:tc>
        <w:tc>
          <w:tcPr>
            <w:tcW w:w="581" w:type="dxa"/>
            <w:tcBorders>
              <w:left w:val="single" w:sz="4" w:space="0" w:color="000000"/>
              <w:right w:val="single" w:sz="40" w:space="0" w:color="FFFF00"/>
            </w:tcBorders>
            <w:shd w:val="clear" w:color="auto" w:fill="FFBF00"/>
          </w:tcPr>
          <w:p>
            <w:pPr>
              <w:pStyle w:val="TableParagraph"/>
              <w:spacing w:before="104"/>
              <w:ind w:left="175" w:right="135"/>
              <w:jc w:val="center"/>
              <w:rPr>
                <w:sz w:val="15"/>
              </w:rPr>
            </w:pPr>
            <w:r>
              <w:rPr>
                <w:w w:val="105"/>
                <w:sz w:val="15"/>
              </w:rPr>
              <w:t>23</w:t>
            </w:r>
          </w:p>
        </w:tc>
        <w:tc>
          <w:tcPr>
            <w:tcW w:w="518" w:type="dxa"/>
            <w:gridSpan w:val="2"/>
            <w:tcBorders>
              <w:left w:val="single" w:sz="42" w:space="0" w:color="FFBF00"/>
              <w:right w:val="single" w:sz="4" w:space="0" w:color="000000"/>
            </w:tcBorders>
            <w:shd w:val="clear" w:color="auto" w:fill="FFFF00"/>
          </w:tcPr>
          <w:p>
            <w:pPr>
              <w:pStyle w:val="TableParagraph"/>
              <w:spacing w:before="104"/>
              <w:ind w:left="120"/>
              <w:rPr>
                <w:sz w:val="15"/>
              </w:rPr>
            </w:pPr>
            <w:r>
              <w:rPr>
                <w:w w:val="105"/>
                <w:sz w:val="15"/>
              </w:rPr>
              <w:t>27</w:t>
            </w:r>
          </w:p>
        </w:tc>
        <w:tc>
          <w:tcPr>
            <w:tcW w:w="1018" w:type="dxa"/>
            <w:tcBorders>
              <w:left w:val="single" w:sz="40" w:space="0" w:color="FFFF00"/>
              <w:right w:val="single" w:sz="46" w:space="0" w:color="FF0000"/>
            </w:tcBorders>
          </w:tcPr>
          <w:p>
            <w:pPr>
              <w:pStyle w:val="TableParagraph"/>
              <w:spacing w:before="104"/>
              <w:ind w:left="21" w:right="27"/>
              <w:jc w:val="center"/>
              <w:rPr>
                <w:sz w:val="15"/>
              </w:rPr>
            </w:pPr>
            <w:r>
              <w:rPr>
                <w:w w:val="105"/>
                <w:sz w:val="15"/>
              </w:rPr>
              <w:t>Michoacán</w:t>
            </w:r>
          </w:p>
        </w:tc>
        <w:tc>
          <w:tcPr>
            <w:tcW w:w="576" w:type="dxa"/>
            <w:tcBorders>
              <w:left w:val="single" w:sz="4" w:space="0" w:color="000000"/>
            </w:tcBorders>
            <w:shd w:val="clear" w:color="auto" w:fill="FF0000"/>
          </w:tcPr>
          <w:p>
            <w:pPr>
              <w:pStyle w:val="TableParagraph"/>
              <w:spacing w:before="104"/>
              <w:ind w:left="196"/>
              <w:rPr>
                <w:sz w:val="15"/>
              </w:rPr>
            </w:pPr>
            <w:r>
              <w:rPr>
                <w:w w:val="105"/>
                <w:sz w:val="15"/>
              </w:rPr>
              <w:t>31</w:t>
            </w:r>
          </w:p>
        </w:tc>
        <w:tc>
          <w:tcPr>
            <w:tcW w:w="523" w:type="dxa"/>
            <w:tcBorders>
              <w:right w:val="single" w:sz="4" w:space="0" w:color="000000"/>
            </w:tcBorders>
            <w:shd w:val="clear" w:color="auto" w:fill="FF0000"/>
          </w:tcPr>
          <w:p>
            <w:pPr>
              <w:pStyle w:val="TableParagraph"/>
              <w:spacing w:before="104"/>
              <w:ind w:left="177"/>
              <w:rPr>
                <w:sz w:val="15"/>
              </w:rPr>
            </w:pPr>
            <w:r>
              <w:rPr>
                <w:w w:val="105"/>
                <w:sz w:val="15"/>
              </w:rPr>
              <w:t>32</w:t>
            </w:r>
          </w:p>
        </w:tc>
      </w:tr>
      <w:tr>
        <w:trPr>
          <w:trHeight w:val="821" w:hRule="exact"/>
        </w:trPr>
        <w:tc>
          <w:tcPr>
            <w:tcW w:w="1272" w:type="dxa"/>
            <w:tcBorders>
              <w:left w:val="single" w:sz="4" w:space="0" w:color="000000"/>
              <w:bottom w:val="single" w:sz="4" w:space="0" w:color="000000"/>
              <w:right w:val="single" w:sz="44" w:space="0" w:color="FFBF00"/>
            </w:tcBorders>
          </w:tcPr>
          <w:p>
            <w:pPr>
              <w:pStyle w:val="TableParagraph"/>
              <w:spacing w:before="9"/>
              <w:rPr>
                <w:b/>
                <w:sz w:val="17"/>
              </w:rPr>
            </w:pPr>
          </w:p>
          <w:p>
            <w:pPr>
              <w:pStyle w:val="TableParagraph"/>
              <w:ind w:left="205" w:right="152"/>
              <w:jc w:val="center"/>
              <w:rPr>
                <w:sz w:val="15"/>
              </w:rPr>
            </w:pPr>
            <w:r>
              <w:rPr>
                <w:w w:val="105"/>
                <w:sz w:val="15"/>
              </w:rPr>
              <w:t>Querétaro</w:t>
            </w:r>
          </w:p>
        </w:tc>
        <w:tc>
          <w:tcPr>
            <w:tcW w:w="576" w:type="dxa"/>
            <w:tcBorders>
              <w:left w:val="single" w:sz="4" w:space="0" w:color="000000"/>
              <w:bottom w:val="single" w:sz="4" w:space="0" w:color="000000"/>
            </w:tcBorders>
            <w:shd w:val="clear" w:color="auto" w:fill="FFBF00"/>
          </w:tcPr>
          <w:p>
            <w:pPr>
              <w:pStyle w:val="TableParagraph"/>
              <w:spacing w:before="9"/>
              <w:rPr>
                <w:b/>
                <w:sz w:val="17"/>
              </w:rPr>
            </w:pPr>
          </w:p>
          <w:p>
            <w:pPr>
              <w:pStyle w:val="TableParagraph"/>
              <w:ind w:right="3"/>
              <w:jc w:val="center"/>
              <w:rPr>
                <w:sz w:val="15"/>
              </w:rPr>
            </w:pPr>
            <w:r>
              <w:rPr>
                <w:w w:val="102"/>
                <w:sz w:val="15"/>
              </w:rPr>
              <w:t>8</w:t>
            </w:r>
          </w:p>
        </w:tc>
        <w:tc>
          <w:tcPr>
            <w:tcW w:w="523" w:type="dxa"/>
            <w:tcBorders>
              <w:left w:val="single" w:sz="42" w:space="0" w:color="FFBF00"/>
              <w:bottom w:val="single" w:sz="4" w:space="0" w:color="000000"/>
              <w:right w:val="single" w:sz="4" w:space="0" w:color="000000"/>
            </w:tcBorders>
            <w:shd w:val="clear" w:color="auto" w:fill="91CF4F"/>
          </w:tcPr>
          <w:p>
            <w:pPr>
              <w:pStyle w:val="TableParagraph"/>
              <w:spacing w:before="9"/>
              <w:rPr>
                <w:b/>
                <w:sz w:val="17"/>
              </w:rPr>
            </w:pPr>
          </w:p>
          <w:p>
            <w:pPr>
              <w:pStyle w:val="TableParagraph"/>
              <w:ind w:right="51"/>
              <w:jc w:val="center"/>
              <w:rPr>
                <w:sz w:val="15"/>
              </w:rPr>
            </w:pPr>
            <w:r>
              <w:rPr>
                <w:w w:val="102"/>
                <w:sz w:val="15"/>
              </w:rPr>
              <w:t>6</w:t>
            </w:r>
          </w:p>
        </w:tc>
        <w:tc>
          <w:tcPr>
            <w:tcW w:w="1049" w:type="dxa"/>
            <w:gridSpan w:val="2"/>
            <w:tcBorders>
              <w:left w:val="single" w:sz="4" w:space="0" w:color="000000"/>
              <w:bottom w:val="single" w:sz="4" w:space="0" w:color="000000"/>
              <w:right w:val="single" w:sz="4" w:space="0" w:color="000000"/>
            </w:tcBorders>
          </w:tcPr>
          <w:p>
            <w:pPr>
              <w:pStyle w:val="TableParagraph"/>
              <w:spacing w:line="283" w:lineRule="auto" w:before="3"/>
              <w:ind w:left="192" w:right="195" w:firstLine="1"/>
              <w:jc w:val="center"/>
              <w:rPr>
                <w:sz w:val="15"/>
              </w:rPr>
            </w:pPr>
            <w:r>
              <w:rPr>
                <w:w w:val="105"/>
                <w:sz w:val="15"/>
              </w:rPr>
              <w:t>Baja </w:t>
            </w:r>
            <w:r>
              <w:rPr>
                <w:sz w:val="15"/>
              </w:rPr>
              <w:t>California </w:t>
            </w:r>
            <w:r>
              <w:rPr>
                <w:w w:val="105"/>
                <w:sz w:val="15"/>
              </w:rPr>
              <w:t>Sur</w:t>
            </w:r>
          </w:p>
        </w:tc>
        <w:tc>
          <w:tcPr>
            <w:tcW w:w="612" w:type="dxa"/>
            <w:tcBorders>
              <w:left w:val="single" w:sz="4" w:space="0" w:color="000000"/>
              <w:bottom w:val="single" w:sz="4" w:space="0" w:color="000000"/>
            </w:tcBorders>
            <w:shd w:val="clear" w:color="auto" w:fill="FFBF00"/>
          </w:tcPr>
          <w:p>
            <w:pPr>
              <w:pStyle w:val="TableParagraph"/>
              <w:spacing w:before="9"/>
              <w:rPr>
                <w:b/>
                <w:sz w:val="17"/>
              </w:rPr>
            </w:pPr>
          </w:p>
          <w:p>
            <w:pPr>
              <w:pStyle w:val="TableParagraph"/>
              <w:ind w:left="94" w:right="99"/>
              <w:jc w:val="center"/>
              <w:rPr>
                <w:sz w:val="15"/>
              </w:rPr>
            </w:pPr>
            <w:r>
              <w:rPr>
                <w:w w:val="105"/>
                <w:sz w:val="15"/>
              </w:rPr>
              <w:t>16</w:t>
            </w:r>
          </w:p>
        </w:tc>
        <w:tc>
          <w:tcPr>
            <w:tcW w:w="542" w:type="dxa"/>
            <w:gridSpan w:val="2"/>
            <w:tcBorders>
              <w:bottom w:val="single" w:sz="4" w:space="0" w:color="000000"/>
              <w:right w:val="single" w:sz="4" w:space="0" w:color="000000"/>
            </w:tcBorders>
            <w:shd w:val="clear" w:color="auto" w:fill="FFBF00"/>
          </w:tcPr>
          <w:p>
            <w:pPr>
              <w:pStyle w:val="TableParagraph"/>
              <w:spacing w:before="9"/>
              <w:rPr>
                <w:b/>
                <w:sz w:val="17"/>
              </w:rPr>
            </w:pPr>
          </w:p>
          <w:p>
            <w:pPr>
              <w:pStyle w:val="TableParagraph"/>
              <w:ind w:left="187"/>
              <w:rPr>
                <w:sz w:val="15"/>
              </w:rPr>
            </w:pPr>
            <w:r>
              <w:rPr>
                <w:w w:val="105"/>
                <w:sz w:val="15"/>
              </w:rPr>
              <w:t>22</w:t>
            </w:r>
          </w:p>
        </w:tc>
        <w:tc>
          <w:tcPr>
            <w:tcW w:w="1027" w:type="dxa"/>
            <w:tcBorders>
              <w:left w:val="single" w:sz="4" w:space="0" w:color="000000"/>
              <w:bottom w:val="single" w:sz="4" w:space="0" w:color="000000"/>
              <w:right w:val="thickThinMediumGap" w:sz="23" w:space="0" w:color="FFBF00"/>
            </w:tcBorders>
          </w:tcPr>
          <w:p>
            <w:pPr>
              <w:pStyle w:val="TableParagraph"/>
              <w:spacing w:line="273" w:lineRule="auto" w:before="109"/>
              <w:ind w:left="182" w:firstLine="177"/>
              <w:rPr>
                <w:sz w:val="15"/>
              </w:rPr>
            </w:pPr>
            <w:r>
              <w:rPr>
                <w:w w:val="105"/>
                <w:sz w:val="15"/>
              </w:rPr>
              <w:t>Baja </w:t>
            </w:r>
            <w:r>
              <w:rPr>
                <w:sz w:val="15"/>
              </w:rPr>
              <w:t>California</w:t>
            </w:r>
          </w:p>
        </w:tc>
        <w:tc>
          <w:tcPr>
            <w:tcW w:w="581" w:type="dxa"/>
            <w:tcBorders>
              <w:left w:val="single" w:sz="4" w:space="0" w:color="000000"/>
              <w:bottom w:val="single" w:sz="4" w:space="0" w:color="000000"/>
              <w:right w:val="single" w:sz="40" w:space="0" w:color="FFFF00"/>
            </w:tcBorders>
            <w:shd w:val="clear" w:color="auto" w:fill="FFBF00"/>
          </w:tcPr>
          <w:p>
            <w:pPr>
              <w:pStyle w:val="TableParagraph"/>
              <w:spacing w:before="9"/>
              <w:rPr>
                <w:b/>
                <w:sz w:val="17"/>
              </w:rPr>
            </w:pPr>
          </w:p>
          <w:p>
            <w:pPr>
              <w:pStyle w:val="TableParagraph"/>
              <w:ind w:left="175" w:right="135"/>
              <w:jc w:val="center"/>
              <w:rPr>
                <w:sz w:val="15"/>
              </w:rPr>
            </w:pPr>
            <w:r>
              <w:rPr>
                <w:w w:val="105"/>
                <w:sz w:val="15"/>
              </w:rPr>
              <w:t>24</w:t>
            </w:r>
          </w:p>
        </w:tc>
        <w:tc>
          <w:tcPr>
            <w:tcW w:w="518" w:type="dxa"/>
            <w:gridSpan w:val="2"/>
            <w:tcBorders>
              <w:left w:val="single" w:sz="42" w:space="0" w:color="FFBF00"/>
              <w:bottom w:val="single" w:sz="4" w:space="0" w:color="000000"/>
              <w:right w:val="single" w:sz="4" w:space="0" w:color="000000"/>
            </w:tcBorders>
            <w:shd w:val="clear" w:color="auto" w:fill="FFFF00"/>
          </w:tcPr>
          <w:p>
            <w:pPr>
              <w:pStyle w:val="TableParagraph"/>
              <w:spacing w:before="9"/>
              <w:rPr>
                <w:b/>
                <w:sz w:val="17"/>
              </w:rPr>
            </w:pPr>
          </w:p>
          <w:p>
            <w:pPr>
              <w:pStyle w:val="TableParagraph"/>
              <w:ind w:left="120"/>
              <w:rPr>
                <w:sz w:val="15"/>
              </w:rPr>
            </w:pPr>
            <w:r>
              <w:rPr>
                <w:w w:val="105"/>
                <w:sz w:val="15"/>
              </w:rPr>
              <w:t>26</w:t>
            </w:r>
          </w:p>
        </w:tc>
        <w:tc>
          <w:tcPr>
            <w:tcW w:w="1018" w:type="dxa"/>
            <w:tcBorders>
              <w:left w:val="single" w:sz="40" w:space="0" w:color="FFFF00"/>
              <w:bottom w:val="single" w:sz="4" w:space="0" w:color="000000"/>
              <w:right w:val="single" w:sz="46" w:space="0" w:color="FF0000"/>
            </w:tcBorders>
          </w:tcPr>
          <w:p>
            <w:pPr>
              <w:pStyle w:val="TableParagraph"/>
              <w:spacing w:before="9"/>
              <w:rPr>
                <w:b/>
                <w:sz w:val="17"/>
              </w:rPr>
            </w:pPr>
          </w:p>
          <w:p>
            <w:pPr>
              <w:pStyle w:val="TableParagraph"/>
              <w:ind w:left="27" w:right="21"/>
              <w:jc w:val="center"/>
              <w:rPr>
                <w:sz w:val="15"/>
              </w:rPr>
            </w:pPr>
            <w:r>
              <w:rPr>
                <w:w w:val="105"/>
                <w:sz w:val="15"/>
              </w:rPr>
              <w:t>Oaxaca</w:t>
            </w:r>
          </w:p>
        </w:tc>
        <w:tc>
          <w:tcPr>
            <w:tcW w:w="576" w:type="dxa"/>
            <w:tcBorders>
              <w:left w:val="single" w:sz="4" w:space="0" w:color="000000"/>
              <w:bottom w:val="single" w:sz="4" w:space="0" w:color="000000"/>
            </w:tcBorders>
            <w:shd w:val="clear" w:color="auto" w:fill="FF0000"/>
          </w:tcPr>
          <w:p>
            <w:pPr>
              <w:pStyle w:val="TableParagraph"/>
              <w:spacing w:before="9"/>
              <w:rPr>
                <w:b/>
                <w:sz w:val="17"/>
              </w:rPr>
            </w:pPr>
          </w:p>
          <w:p>
            <w:pPr>
              <w:pStyle w:val="TableParagraph"/>
              <w:ind w:left="196"/>
              <w:rPr>
                <w:sz w:val="15"/>
              </w:rPr>
            </w:pPr>
            <w:r>
              <w:rPr>
                <w:w w:val="105"/>
                <w:sz w:val="15"/>
              </w:rPr>
              <w:t>32</w:t>
            </w:r>
          </w:p>
        </w:tc>
        <w:tc>
          <w:tcPr>
            <w:tcW w:w="523" w:type="dxa"/>
            <w:tcBorders>
              <w:bottom w:val="single" w:sz="4" w:space="0" w:color="000000"/>
              <w:right w:val="single" w:sz="4" w:space="0" w:color="000000"/>
            </w:tcBorders>
            <w:shd w:val="clear" w:color="auto" w:fill="FF0000"/>
          </w:tcPr>
          <w:p>
            <w:pPr>
              <w:pStyle w:val="TableParagraph"/>
              <w:spacing w:before="9"/>
              <w:rPr>
                <w:b/>
                <w:sz w:val="17"/>
              </w:rPr>
            </w:pPr>
          </w:p>
          <w:p>
            <w:pPr>
              <w:pStyle w:val="TableParagraph"/>
              <w:ind w:left="177"/>
              <w:rPr>
                <w:sz w:val="15"/>
              </w:rPr>
            </w:pPr>
            <w:r>
              <w:rPr>
                <w:w w:val="105"/>
                <w:sz w:val="15"/>
              </w:rPr>
              <w:t>31</w:t>
            </w:r>
          </w:p>
        </w:tc>
      </w:tr>
      <w:tr>
        <w:trPr>
          <w:trHeight w:val="322" w:hRule="exact"/>
        </w:trPr>
        <w:tc>
          <w:tcPr>
            <w:tcW w:w="8818" w:type="dxa"/>
            <w:gridSpan w:val="15"/>
            <w:tcBorders>
              <w:top w:val="single" w:sz="4" w:space="0" w:color="000000"/>
            </w:tcBorders>
            <w:shd w:val="clear" w:color="auto" w:fill="75913B"/>
          </w:tcPr>
          <w:p>
            <w:pPr>
              <w:pStyle w:val="TableParagraph"/>
              <w:spacing w:before="4"/>
              <w:rPr>
                <w:b/>
                <w:sz w:val="12"/>
              </w:rPr>
            </w:pPr>
          </w:p>
          <w:p>
            <w:pPr>
              <w:pStyle w:val="TableParagraph"/>
              <w:ind w:left="3531" w:right="3531"/>
              <w:jc w:val="center"/>
              <w:rPr>
                <w:b/>
                <w:sz w:val="15"/>
              </w:rPr>
            </w:pPr>
            <w:r>
              <w:rPr>
                <w:w w:val="105"/>
                <w:sz w:val="15"/>
              </w:rPr>
              <w:t>Desempeño </w:t>
            </w:r>
            <w:r>
              <w:rPr>
                <w:b/>
                <w:w w:val="105"/>
                <w:sz w:val="15"/>
              </w:rPr>
              <w:t>MUY ALTO</w:t>
            </w:r>
          </w:p>
        </w:tc>
      </w:tr>
      <w:tr>
        <w:trPr>
          <w:trHeight w:val="644" w:hRule="exact"/>
        </w:trPr>
        <w:tc>
          <w:tcPr>
            <w:tcW w:w="2870" w:type="dxa"/>
            <w:gridSpan w:val="4"/>
            <w:tcBorders>
              <w:right w:val="single" w:sz="40" w:space="0" w:color="FFBF00"/>
            </w:tcBorders>
            <w:shd w:val="clear" w:color="auto" w:fill="91CF4F"/>
          </w:tcPr>
          <w:p>
            <w:pPr>
              <w:pStyle w:val="TableParagraph"/>
              <w:rPr>
                <w:b/>
                <w:sz w:val="14"/>
              </w:rPr>
            </w:pPr>
          </w:p>
          <w:p>
            <w:pPr>
              <w:pStyle w:val="TableParagraph"/>
              <w:spacing w:before="6"/>
              <w:rPr>
                <w:b/>
                <w:sz w:val="12"/>
              </w:rPr>
            </w:pPr>
          </w:p>
          <w:p>
            <w:pPr>
              <w:pStyle w:val="TableParagraph"/>
              <w:ind w:left="782"/>
              <w:rPr>
                <w:b/>
                <w:sz w:val="15"/>
              </w:rPr>
            </w:pPr>
            <w:r>
              <w:rPr>
                <w:w w:val="105"/>
                <w:sz w:val="15"/>
              </w:rPr>
              <w:t>Desempeño </w:t>
            </w:r>
            <w:r>
              <w:rPr>
                <w:b/>
                <w:w w:val="105"/>
                <w:sz w:val="15"/>
              </w:rPr>
              <w:t>ALTO</w:t>
            </w:r>
          </w:p>
        </w:tc>
        <w:tc>
          <w:tcPr>
            <w:tcW w:w="1445" w:type="dxa"/>
            <w:gridSpan w:val="3"/>
            <w:tcBorders>
              <w:left w:val="single" w:sz="44" w:space="0" w:color="91CF4F"/>
              <w:right w:val="single" w:sz="42" w:space="0" w:color="FFFF00"/>
            </w:tcBorders>
            <w:shd w:val="clear" w:color="auto" w:fill="FFBF00"/>
          </w:tcPr>
          <w:p>
            <w:pPr>
              <w:pStyle w:val="TableParagraph"/>
              <w:spacing w:before="9"/>
              <w:rPr>
                <w:b/>
                <w:sz w:val="12"/>
              </w:rPr>
            </w:pPr>
          </w:p>
          <w:p>
            <w:pPr>
              <w:pStyle w:val="TableParagraph"/>
              <w:ind w:left="247"/>
              <w:rPr>
                <w:sz w:val="15"/>
              </w:rPr>
            </w:pPr>
            <w:r>
              <w:rPr>
                <w:w w:val="105"/>
                <w:sz w:val="15"/>
              </w:rPr>
              <w:t>Desempeño</w:t>
            </w:r>
          </w:p>
          <w:p>
            <w:pPr>
              <w:pStyle w:val="TableParagraph"/>
              <w:spacing w:before="11"/>
              <w:rPr>
                <w:b/>
                <w:sz w:val="12"/>
              </w:rPr>
            </w:pPr>
          </w:p>
          <w:p>
            <w:pPr>
              <w:pStyle w:val="TableParagraph"/>
              <w:ind w:left="228"/>
              <w:rPr>
                <w:b/>
                <w:sz w:val="15"/>
              </w:rPr>
            </w:pPr>
            <w:r>
              <w:rPr>
                <w:b/>
                <w:w w:val="105"/>
                <w:sz w:val="15"/>
              </w:rPr>
              <w:t>ESPERADO</w:t>
            </w:r>
          </w:p>
        </w:tc>
        <w:tc>
          <w:tcPr>
            <w:tcW w:w="2126" w:type="dxa"/>
            <w:gridSpan w:val="4"/>
            <w:tcBorders>
              <w:left w:val="single" w:sz="42" w:space="0" w:color="FFBF00"/>
              <w:right w:val="single" w:sz="42" w:space="0" w:color="FF0000"/>
            </w:tcBorders>
            <w:shd w:val="clear" w:color="auto" w:fill="FFFF00"/>
          </w:tcPr>
          <w:p>
            <w:pPr>
              <w:pStyle w:val="TableParagraph"/>
              <w:rPr>
                <w:b/>
                <w:sz w:val="14"/>
              </w:rPr>
            </w:pPr>
          </w:p>
          <w:p>
            <w:pPr>
              <w:pStyle w:val="TableParagraph"/>
              <w:spacing w:before="6"/>
              <w:rPr>
                <w:b/>
                <w:sz w:val="12"/>
              </w:rPr>
            </w:pPr>
          </w:p>
          <w:p>
            <w:pPr>
              <w:pStyle w:val="TableParagraph"/>
              <w:ind w:left="350"/>
              <w:rPr>
                <w:b/>
                <w:sz w:val="15"/>
              </w:rPr>
            </w:pPr>
            <w:r>
              <w:rPr>
                <w:w w:val="105"/>
                <w:sz w:val="15"/>
              </w:rPr>
              <w:t>Desempeño </w:t>
            </w:r>
            <w:r>
              <w:rPr>
                <w:b/>
                <w:w w:val="105"/>
                <w:sz w:val="15"/>
              </w:rPr>
              <w:t>BAJO</w:t>
            </w:r>
          </w:p>
        </w:tc>
        <w:tc>
          <w:tcPr>
            <w:tcW w:w="2376" w:type="dxa"/>
            <w:gridSpan w:val="4"/>
            <w:tcBorders>
              <w:left w:val="single" w:sz="42" w:space="0" w:color="FFFF00"/>
            </w:tcBorders>
            <w:shd w:val="clear" w:color="auto" w:fill="FF0000"/>
          </w:tcPr>
          <w:p>
            <w:pPr>
              <w:pStyle w:val="TableParagraph"/>
              <w:spacing w:before="9"/>
              <w:rPr>
                <w:b/>
                <w:sz w:val="12"/>
              </w:rPr>
            </w:pPr>
          </w:p>
          <w:p>
            <w:pPr>
              <w:pStyle w:val="TableParagraph"/>
              <w:ind w:left="283"/>
              <w:rPr>
                <w:b/>
                <w:sz w:val="15"/>
              </w:rPr>
            </w:pPr>
            <w:r>
              <w:rPr>
                <w:w w:val="105"/>
                <w:sz w:val="15"/>
              </w:rPr>
              <w:t>Desempeño </w:t>
            </w:r>
            <w:r>
              <w:rPr>
                <w:b/>
                <w:w w:val="105"/>
                <w:sz w:val="15"/>
              </w:rPr>
              <w:t>MUY BAJO</w:t>
            </w:r>
          </w:p>
        </w:tc>
      </w:tr>
    </w:tbl>
    <w:p>
      <w:pPr>
        <w:pStyle w:val="BodyText"/>
        <w:rPr>
          <w:b/>
          <w:sz w:val="25"/>
        </w:rPr>
      </w:pPr>
    </w:p>
    <w:p>
      <w:pPr>
        <w:spacing w:before="81"/>
        <w:ind w:left="216" w:right="64" w:firstLine="0"/>
        <w:jc w:val="left"/>
        <w:rPr>
          <w:sz w:val="19"/>
        </w:rPr>
      </w:pPr>
      <w:r>
        <w:rPr>
          <w:b/>
          <w:w w:val="105"/>
          <w:sz w:val="19"/>
        </w:rPr>
        <w:t>FUENTE: </w:t>
      </w:r>
      <w:r>
        <w:rPr>
          <w:w w:val="105"/>
          <w:sz w:val="19"/>
        </w:rPr>
        <w:t>Elaboración propia con base en los datos ofrecidos por Mexicanos Primero, 2010.</w:t>
      </w:r>
    </w:p>
    <w:p>
      <w:pPr>
        <w:pStyle w:val="BodyText"/>
        <w:rPr>
          <w:sz w:val="20"/>
        </w:rPr>
      </w:pPr>
    </w:p>
    <w:p>
      <w:pPr>
        <w:pStyle w:val="BodyText"/>
        <w:rPr>
          <w:sz w:val="20"/>
        </w:rPr>
      </w:pPr>
    </w:p>
    <w:p>
      <w:pPr>
        <w:pStyle w:val="BodyText"/>
        <w:spacing w:before="7"/>
        <w:rPr>
          <w:sz w:val="26"/>
        </w:rPr>
      </w:pPr>
    </w:p>
    <w:p>
      <w:pPr>
        <w:pStyle w:val="BodyText"/>
        <w:tabs>
          <w:tab w:pos="1804" w:val="left" w:leader="none"/>
          <w:tab w:pos="3424" w:val="left" w:leader="none"/>
          <w:tab w:pos="6044" w:val="left" w:leader="none"/>
          <w:tab w:pos="7629" w:val="left" w:leader="none"/>
        </w:tabs>
        <w:spacing w:line="364" w:lineRule="auto"/>
        <w:ind w:left="216" w:right="224" w:firstLine="686"/>
        <w:jc w:val="both"/>
      </w:pPr>
      <w:r>
        <w:rPr/>
        <w:t>Adicionalmente a </w:t>
      </w:r>
      <w:r>
        <w:rPr>
          <w:spacing w:val="-5"/>
        </w:rPr>
        <w:t>lo  </w:t>
      </w:r>
      <w:r>
        <w:rPr/>
        <w:t>anterior se han implementado evaluaciones diversas  que contribuyen a </w:t>
      </w:r>
      <w:r>
        <w:rPr>
          <w:spacing w:val="-3"/>
        </w:rPr>
        <w:t>la </w:t>
      </w:r>
      <w:r>
        <w:rPr/>
        <w:t>confirmación de resultados de acuerdo a los niveles y esferas de aplicación son operadas a través del INEE, que es nuestro país el responsable de</w:t>
        <w:tab/>
        <w:t>las</w:t>
        <w:tab/>
        <w:t>aplicaciones</w:t>
        <w:tab/>
        <w:t>de</w:t>
        <w:tab/>
        <w:t>evaluación. (INEE).(</w:t>
      </w:r>
      <w:hyperlink r:id="rId43">
        <w:r>
          <w:rPr>
            <w:color w:val="0000FF"/>
            <w:u w:val="single" w:color="0000FF"/>
          </w:rPr>
          <w:t>http://www.inee.edu.mx/index.php/servicios/pisa</w:t>
        </w:r>
        <w:r>
          <w:rPr/>
          <w:t>).</w:t>
        </w:r>
      </w:hyperlink>
    </w:p>
    <w:p>
      <w:pPr>
        <w:pStyle w:val="BodyText"/>
        <w:spacing w:line="367" w:lineRule="auto"/>
        <w:ind w:left="216" w:right="231" w:firstLine="686"/>
        <w:jc w:val="both"/>
      </w:pPr>
      <w:r>
        <w:rPr/>
        <w:t>La SEP ha desarrollado las pruebas llamadas Exámenes Nacionales  de Logro Académico en Centros Escolares (ENLACE), diseñadas para dar resultados por alumno.</w:t>
      </w:r>
    </w:p>
    <w:p>
      <w:pPr>
        <w:spacing w:after="0" w:line="367" w:lineRule="auto"/>
        <w:jc w:val="both"/>
        <w:sectPr>
          <w:footerReference w:type="default" r:id="rId42"/>
          <w:pgSz w:w="11910" w:h="16840"/>
          <w:pgMar w:footer="1457" w:header="0" w:top="1580" w:bottom="1640" w:left="1440" w:right="1420"/>
          <w:pgNumType w:start="161"/>
        </w:sectPr>
      </w:pPr>
    </w:p>
    <w:p>
      <w:pPr>
        <w:pStyle w:val="BodyText"/>
        <w:rPr>
          <w:sz w:val="20"/>
        </w:rPr>
      </w:pPr>
    </w:p>
    <w:p>
      <w:pPr>
        <w:pStyle w:val="BodyText"/>
        <w:spacing w:before="2"/>
        <w:rPr>
          <w:sz w:val="16"/>
        </w:rPr>
      </w:pPr>
    </w:p>
    <w:p>
      <w:pPr>
        <w:pStyle w:val="BodyText"/>
        <w:spacing w:line="364" w:lineRule="auto" w:before="74"/>
        <w:ind w:left="116" w:right="105" w:firstLine="686"/>
        <w:jc w:val="both"/>
      </w:pPr>
      <w:r>
        <w:rPr/>
        <w:t>Particularmente, Enlace </w:t>
      </w:r>
      <w:r>
        <w:rPr>
          <w:spacing w:val="-3"/>
        </w:rPr>
        <w:t>es </w:t>
      </w:r>
      <w:r>
        <w:rPr/>
        <w:t>un programa diseñado y operado por  la SEP  cuyo propósito, es contribuir al avance educativo de cada alumna y alumno, cada centro escolar y cada entidad federativa. Aunado al trabajo </w:t>
      </w:r>
      <w:r>
        <w:rPr>
          <w:spacing w:val="-2"/>
        </w:rPr>
        <w:t>diario </w:t>
      </w:r>
      <w:r>
        <w:rPr>
          <w:spacing w:val="3"/>
        </w:rPr>
        <w:t>de </w:t>
      </w:r>
      <w:r>
        <w:rPr>
          <w:spacing w:val="-3"/>
        </w:rPr>
        <w:t>los </w:t>
      </w:r>
      <w:r>
        <w:rPr/>
        <w:t>docentes,   </w:t>
      </w:r>
      <w:r>
        <w:rPr>
          <w:spacing w:val="-5"/>
        </w:rPr>
        <w:t>la </w:t>
      </w:r>
      <w:r>
        <w:rPr/>
        <w:t>conducción de los directivos, el compromiso de </w:t>
      </w:r>
      <w:r>
        <w:rPr>
          <w:spacing w:val="-3"/>
        </w:rPr>
        <w:t>las </w:t>
      </w:r>
      <w:r>
        <w:rPr/>
        <w:t>autoridades, la participación  de los padres de familia y el esfuerzo de los alumnas y alumnos. Representa </w:t>
      </w:r>
      <w:r>
        <w:rPr>
          <w:spacing w:val="-5"/>
        </w:rPr>
        <w:t>la </w:t>
      </w:r>
      <w:r>
        <w:rPr/>
        <w:t>acción evaluativa </w:t>
      </w:r>
      <w:r>
        <w:rPr>
          <w:spacing w:val="-3"/>
        </w:rPr>
        <w:t>de </w:t>
      </w:r>
      <w:r>
        <w:rPr/>
        <w:t>mayor dimensión </w:t>
      </w:r>
      <w:r>
        <w:rPr>
          <w:spacing w:val="3"/>
        </w:rPr>
        <w:t>en </w:t>
      </w:r>
      <w:r>
        <w:rPr/>
        <w:t>el Sistema Educativo Nacional en </w:t>
      </w:r>
      <w:r>
        <w:rPr>
          <w:spacing w:val="-3"/>
        </w:rPr>
        <w:t>virtud </w:t>
      </w:r>
      <w:r>
        <w:rPr/>
        <w:t>de </w:t>
      </w:r>
      <w:r>
        <w:rPr>
          <w:spacing w:val="-3"/>
        </w:rPr>
        <w:t>la </w:t>
      </w:r>
      <w:r>
        <w:rPr/>
        <w:t>cantidad de pruebas diferentes que se aplican y </w:t>
      </w:r>
      <w:r>
        <w:rPr>
          <w:spacing w:val="-5"/>
        </w:rPr>
        <w:t>la </w:t>
      </w:r>
      <w:r>
        <w:rPr/>
        <w:t>cobertura que </w:t>
      </w:r>
      <w:r>
        <w:rPr>
          <w:spacing w:val="40"/>
        </w:rPr>
        <w:t> </w:t>
      </w:r>
      <w:r>
        <w:rPr/>
        <w:t>tiene.</w:t>
      </w:r>
    </w:p>
    <w:p>
      <w:pPr>
        <w:pStyle w:val="BodyText"/>
        <w:spacing w:line="364" w:lineRule="auto" w:before="5"/>
        <w:ind w:left="116" w:right="108" w:firstLine="686"/>
        <w:jc w:val="both"/>
      </w:pPr>
      <w:r>
        <w:rPr/>
        <w:t>En cuanto a la cobertura de Enlace, son evaluadas todas las alumnas y alumnos de 3º a 6º grados de primaria y de 1º a 3er grado de secundaria, tanto en escuelas públicas como privadas. En el nivel de bachillerato, se evalúa a la población que cursa el último año en una mayoría de las instituciones que ofrecen estos estudios, independientemente de que se trate del bachillerato general  o alguna de las múltiples orientaciones de este nivel.</w:t>
      </w:r>
    </w:p>
    <w:p>
      <w:pPr>
        <w:pStyle w:val="BodyText"/>
        <w:spacing w:line="364" w:lineRule="auto" w:before="10"/>
        <w:ind w:left="116" w:right="107" w:firstLine="686"/>
        <w:jc w:val="both"/>
      </w:pPr>
      <w:r>
        <w:rPr/>
        <w:t>EXCALE (Examen para la Calidad y el logro educativo) es </w:t>
      </w:r>
      <w:r>
        <w:rPr>
          <w:spacing w:val="-3"/>
        </w:rPr>
        <w:t>una </w:t>
      </w:r>
      <w:r>
        <w:rPr/>
        <w:t>evaluación nacional que </w:t>
      </w:r>
      <w:r>
        <w:rPr>
          <w:spacing w:val="2"/>
        </w:rPr>
        <w:t>se </w:t>
      </w:r>
      <w:r>
        <w:rPr/>
        <w:t>aplica a una muestra representativa de estudiantes de escuelas públicas y privadas, de educación básica de todo el país. Su plan de evaluación se basa en un programa cuatrianual, es decir, un mismo grado se  evaluará  cada cuatro años  y tiene por objetivo aportar información para conocer en qué medida   se está cumpliendo con los propósitos educativos que se formalizan en el currículo nacional. Indica el grado en que un estudiante domina los contenidos curriculares correspondientes a las asignaturas de español, matemáticas, ciencias sociales, ciencias naturales, en los grados de tercero de preescolar, tercero y sexto en primaria así como en tercero de secundaria. Las asignaturas de ciencias sociales    y ciencias naturales </w:t>
      </w:r>
      <w:r>
        <w:rPr>
          <w:spacing w:val="2"/>
        </w:rPr>
        <w:t>no </w:t>
      </w:r>
      <w:r>
        <w:rPr>
          <w:spacing w:val="-3"/>
        </w:rPr>
        <w:t>aplican </w:t>
      </w:r>
      <w:r>
        <w:rPr/>
        <w:t>en</w:t>
      </w:r>
      <w:r>
        <w:rPr>
          <w:spacing w:val="59"/>
        </w:rPr>
        <w:t> </w:t>
      </w:r>
      <w:r>
        <w:rPr/>
        <w:t>preescolar.</w:t>
      </w:r>
    </w:p>
    <w:p>
      <w:pPr>
        <w:pStyle w:val="BodyText"/>
        <w:spacing w:line="364" w:lineRule="auto" w:before="5"/>
        <w:ind w:left="116" w:right="103" w:firstLine="686"/>
        <w:jc w:val="both"/>
      </w:pPr>
      <w:r>
        <w:rPr/>
        <w:t>En 2004 la Dirección de Pruebas y Medición (DPM) inició </w:t>
      </w:r>
      <w:r>
        <w:rPr>
          <w:spacing w:val="4"/>
        </w:rPr>
        <w:t>el </w:t>
      </w:r>
      <w:r>
        <w:rPr/>
        <w:t>desarrollo de su modelo para </w:t>
      </w:r>
      <w:r>
        <w:rPr>
          <w:spacing w:val="3"/>
        </w:rPr>
        <w:t>el </w:t>
      </w:r>
      <w:r>
        <w:rPr/>
        <w:t>diseño, construcción, aplicación y validación de los EXCALE, el   cual </w:t>
      </w:r>
      <w:r>
        <w:rPr>
          <w:spacing w:val="2"/>
        </w:rPr>
        <w:t>se </w:t>
      </w:r>
      <w:r>
        <w:rPr/>
        <w:t>concluyó </w:t>
      </w:r>
      <w:r>
        <w:rPr>
          <w:spacing w:val="3"/>
        </w:rPr>
        <w:t>en </w:t>
      </w:r>
      <w:r>
        <w:rPr/>
        <w:t>2005. A partir de </w:t>
      </w:r>
      <w:r>
        <w:rPr>
          <w:spacing w:val="3"/>
        </w:rPr>
        <w:t>ese </w:t>
      </w:r>
      <w:r>
        <w:rPr/>
        <w:t>mismo 2004 </w:t>
      </w:r>
      <w:r>
        <w:rPr>
          <w:spacing w:val="2"/>
        </w:rPr>
        <w:t>se </w:t>
      </w:r>
      <w:r>
        <w:rPr/>
        <w:t>inició </w:t>
      </w:r>
      <w:r>
        <w:rPr>
          <w:spacing w:val="3"/>
        </w:rPr>
        <w:t>el </w:t>
      </w:r>
      <w:r>
        <w:rPr/>
        <w:t>desarrollo de </w:t>
      </w:r>
      <w:r>
        <w:rPr>
          <w:spacing w:val="-2"/>
        </w:rPr>
        <w:t>los </w:t>
      </w:r>
      <w:r>
        <w:rPr/>
        <w:t>primeros EXCALE contemplados en el Plan General de  Evaluación  del  Aprendizaje (PGEA): las pruebas de Español y Matemáticas para </w:t>
      </w:r>
      <w:r>
        <w:rPr>
          <w:spacing w:val="-3"/>
        </w:rPr>
        <w:t>los  </w:t>
      </w:r>
      <w:r>
        <w:rPr/>
        <w:t>estudiantes de 6º de primaria (EXCALE-06) y 3º de secundaria (EXCALE-09); como parte de </w:t>
      </w:r>
      <w:r>
        <w:rPr>
          <w:spacing w:val="37"/>
        </w:rPr>
        <w:t> </w:t>
      </w:r>
      <w:r>
        <w:rPr/>
        <w:t>la</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9" w:lineRule="auto" w:before="74"/>
        <w:ind w:left="115" w:right="191"/>
      </w:pPr>
      <w:r>
        <w:rPr/>
        <w:t>prueba de Español, se desarrolló el módulo de Expresión Escrita, incluyendo sus rúbricas de calificación.</w:t>
      </w:r>
    </w:p>
    <w:p>
      <w:pPr>
        <w:pStyle w:val="BodyText"/>
        <w:spacing w:line="364" w:lineRule="auto"/>
        <w:ind w:left="115" w:right="109" w:firstLine="686"/>
        <w:jc w:val="both"/>
      </w:pPr>
      <w:r>
        <w:rPr/>
        <w:t>Las pruebas PISA al igual que </w:t>
      </w:r>
      <w:r>
        <w:rPr>
          <w:spacing w:val="-3"/>
        </w:rPr>
        <w:t>las </w:t>
      </w:r>
      <w:r>
        <w:rPr/>
        <w:t>desarrolladas por el INEE, </w:t>
      </w:r>
      <w:r>
        <w:rPr>
          <w:spacing w:val="-2"/>
        </w:rPr>
        <w:t>llamadas </w:t>
      </w:r>
      <w:r>
        <w:rPr/>
        <w:t>Exámenes de </w:t>
      </w:r>
      <w:r>
        <w:rPr>
          <w:spacing w:val="-5"/>
        </w:rPr>
        <w:t>la </w:t>
      </w:r>
      <w:r>
        <w:rPr/>
        <w:t>Calidad y </w:t>
      </w:r>
      <w:r>
        <w:rPr>
          <w:spacing w:val="3"/>
        </w:rPr>
        <w:t>el </w:t>
      </w:r>
      <w:r>
        <w:rPr/>
        <w:t>Logro Educativos  (Excale), cuentan con un diseño  que sirve para dar resultados globales del Sistema Educativo Nacional (SEN) y de los sistemas estatales, pero no por alumno ni por escuela, pues para  </w:t>
      </w:r>
      <w:r>
        <w:rPr>
          <w:spacing w:val="-3"/>
        </w:rPr>
        <w:t>ello  </w:t>
      </w:r>
      <w:r>
        <w:rPr/>
        <w:t>se crearon las pruebas antes</w:t>
      </w:r>
      <w:r>
        <w:rPr>
          <w:spacing w:val="40"/>
        </w:rPr>
        <w:t> </w:t>
      </w:r>
      <w:r>
        <w:rPr/>
        <w:t>mencionadas.</w:t>
      </w:r>
    </w:p>
    <w:p>
      <w:pPr>
        <w:pStyle w:val="BodyText"/>
        <w:spacing w:line="364" w:lineRule="auto" w:before="5"/>
        <w:ind w:left="115" w:right="106" w:firstLine="686"/>
        <w:jc w:val="both"/>
      </w:pPr>
      <w:r>
        <w:rPr/>
        <w:t>PISA (Programme for International Student Assesment –Programa Internacional para la Evaluación del Estudiante-), es un estudio comparativo de evaluación de los resultados de los sistemas educativos, coordinado por la OCDE (Organización para la Cooperación y el Desarrollo Económicos),que tiene por objetivo conocer el nivel de habilidades necesarias que han adquirido los estudiantes para participar plenamente en la sociedad, centrándose en dominios claves como Lectura, Ciencias y Matemáticas. Mide si los estudiantes tienen la capacidad de reproducir lo que han aprendido, de transferir sus conocimientos y aplicarlos en nuevos contextos académicos y no académicos, de identificar si son capaces de analizar, razonar y comunicar sus ideas efectivamente, y si tienen la capacidad de seguir aprendiendo durante toda la  vida.</w:t>
      </w:r>
    </w:p>
    <w:p>
      <w:pPr>
        <w:pStyle w:val="BodyText"/>
        <w:spacing w:line="364" w:lineRule="auto" w:before="5"/>
        <w:ind w:left="115" w:right="108" w:firstLine="686"/>
        <w:jc w:val="both"/>
      </w:pPr>
      <w:r>
        <w:rPr/>
        <w:t>Se aplica cada tres años. En cada ciclo </w:t>
      </w:r>
      <w:r>
        <w:rPr>
          <w:spacing w:val="3"/>
        </w:rPr>
        <w:t>se </w:t>
      </w:r>
      <w:r>
        <w:rPr/>
        <w:t>enfatiza uno de </w:t>
      </w:r>
      <w:r>
        <w:rPr>
          <w:spacing w:val="-3"/>
        </w:rPr>
        <w:t>los </w:t>
      </w:r>
      <w:r>
        <w:rPr/>
        <w:t>tres dominios de evaluación y los otros son evaluados con menor profundidad. En 2000 el principal dominio fue Lectura, en 2003 Matemáticas, en 2006 Ciencias  y en 2009  se regresa a Lectura, y así sucesivamente, el análisis de los resultados conlleva aproximadamente año y medio y son consideradas como la muestra </w:t>
      </w:r>
      <w:r>
        <w:rPr>
          <w:spacing w:val="-3"/>
        </w:rPr>
        <w:t>más </w:t>
      </w:r>
      <w:r>
        <w:rPr/>
        <w:t>confiable de este </w:t>
      </w:r>
      <w:r>
        <w:rPr>
          <w:spacing w:val="-3"/>
        </w:rPr>
        <w:t>tipo </w:t>
      </w:r>
      <w:r>
        <w:rPr/>
        <w:t>a nivel</w:t>
      </w:r>
      <w:r>
        <w:rPr>
          <w:spacing w:val="36"/>
        </w:rPr>
        <w:t> </w:t>
      </w:r>
      <w:r>
        <w:rPr/>
        <w:t>mundial.</w:t>
      </w:r>
    </w:p>
    <w:p>
      <w:pPr>
        <w:pStyle w:val="BodyText"/>
        <w:spacing w:line="364" w:lineRule="auto" w:before="5"/>
        <w:ind w:left="115" w:right="107" w:firstLine="686"/>
        <w:jc w:val="both"/>
      </w:pPr>
      <w:r>
        <w:rPr/>
        <w:t>Dicha evaluación </w:t>
      </w:r>
      <w:r>
        <w:rPr>
          <w:spacing w:val="2"/>
        </w:rPr>
        <w:t>se </w:t>
      </w:r>
      <w:r>
        <w:rPr>
          <w:spacing w:val="-3"/>
        </w:rPr>
        <w:t>aplica </w:t>
      </w:r>
      <w:r>
        <w:rPr/>
        <w:t>a los países miembros de la OCDE, pero no de manera obligatoria. Los  países no miembros también lo pueden hacer solicitando  su</w:t>
      </w:r>
      <w:r>
        <w:rPr>
          <w:spacing w:val="15"/>
        </w:rPr>
        <w:t> </w:t>
      </w:r>
      <w:r>
        <w:rPr/>
        <w:t>inclusión.</w:t>
      </w:r>
    </w:p>
    <w:p>
      <w:pPr>
        <w:pStyle w:val="BodyText"/>
        <w:spacing w:line="364" w:lineRule="auto" w:before="5"/>
        <w:ind w:left="115" w:right="106" w:firstLine="686"/>
        <w:jc w:val="both"/>
      </w:pPr>
      <w:r>
        <w:rPr/>
        <w:t>La prueba se aplica a muestras de estudiantes que van </w:t>
      </w:r>
      <w:r>
        <w:rPr>
          <w:spacing w:val="-3"/>
        </w:rPr>
        <w:t>de </w:t>
      </w:r>
      <w:r>
        <w:rPr/>
        <w:t>4 </w:t>
      </w:r>
      <w:r>
        <w:rPr>
          <w:spacing w:val="-3"/>
        </w:rPr>
        <w:t>mil </w:t>
      </w:r>
      <w:r>
        <w:rPr/>
        <w:t>500 a diez mil, de una muestra mínima de ciento cincuenta escuelas, para asegurar </w:t>
      </w:r>
      <w:r>
        <w:rPr>
          <w:spacing w:val="-5"/>
        </w:rPr>
        <w:t>la </w:t>
      </w:r>
      <w:r>
        <w:rPr/>
        <w:t>representatividad del país </w:t>
      </w:r>
      <w:r>
        <w:rPr>
          <w:spacing w:val="3"/>
        </w:rPr>
        <w:t>en </w:t>
      </w:r>
      <w:r>
        <w:rPr/>
        <w:t>su conjunto.  </w:t>
      </w:r>
      <w:r>
        <w:rPr>
          <w:spacing w:val="-3"/>
        </w:rPr>
        <w:t>Los  </w:t>
      </w:r>
      <w:r>
        <w:rPr/>
        <w:t>países pueden solicitar ampliar </w:t>
      </w:r>
      <w:r>
        <w:rPr>
          <w:spacing w:val="-6"/>
        </w:rPr>
        <w:t>la  </w:t>
      </w:r>
      <w:r>
        <w:rPr/>
        <w:t>de  sus  centros  educativos   para  tener  </w:t>
      </w:r>
      <w:r>
        <w:rPr>
          <w:spacing w:val="-3"/>
        </w:rPr>
        <w:t>mayor   </w:t>
      </w:r>
      <w:r>
        <w:rPr/>
        <w:t>representatividad.  La   </w:t>
      </w:r>
      <w:r>
        <w:rPr>
          <w:spacing w:val="16"/>
        </w:rPr>
        <w:t> </w:t>
      </w:r>
      <w:r>
        <w:rPr/>
        <w:t>población</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9" w:lineRule="auto" w:before="74"/>
        <w:ind w:left="115" w:right="191"/>
      </w:pPr>
      <w:r>
        <w:rPr/>
        <w:t>objetivo son los estudiantes de 15 años tres meses a 16 </w:t>
      </w:r>
      <w:r>
        <w:rPr>
          <w:spacing w:val="-4"/>
        </w:rPr>
        <w:t>años </w:t>
      </w:r>
      <w:r>
        <w:rPr/>
        <w:t>dos meses, (de manera abreviada </w:t>
      </w:r>
      <w:r>
        <w:rPr>
          <w:spacing w:val="3"/>
        </w:rPr>
        <w:t>se </w:t>
      </w:r>
      <w:r>
        <w:rPr>
          <w:spacing w:val="-3"/>
        </w:rPr>
        <w:t>dice </w:t>
      </w:r>
      <w:r>
        <w:rPr/>
        <w:t>población de 15</w:t>
      </w:r>
      <w:r>
        <w:rPr>
          <w:spacing w:val="56"/>
        </w:rPr>
        <w:t> </w:t>
      </w:r>
      <w:r>
        <w:rPr/>
        <w:t>años).</w:t>
      </w:r>
    </w:p>
    <w:p>
      <w:pPr>
        <w:pStyle w:val="BodyText"/>
        <w:spacing w:line="364" w:lineRule="auto"/>
        <w:ind w:left="115" w:right="107" w:firstLine="686"/>
        <w:jc w:val="both"/>
      </w:pPr>
      <w:r>
        <w:rPr/>
        <w:t>Desde el primer ciclo de aplicación en </w:t>
      </w:r>
      <w:r>
        <w:rPr>
          <w:spacing w:val="3"/>
        </w:rPr>
        <w:t>el </w:t>
      </w:r>
      <w:r>
        <w:rPr>
          <w:spacing w:val="-3"/>
        </w:rPr>
        <w:t>año </w:t>
      </w:r>
      <w:r>
        <w:rPr/>
        <w:t>2000 México </w:t>
      </w:r>
      <w:r>
        <w:rPr>
          <w:spacing w:val="-3"/>
        </w:rPr>
        <w:t>evaluó </w:t>
      </w:r>
      <w:r>
        <w:rPr/>
        <w:t>a una muestra de 5 mil 276 estudiantes. En 2003, se amplió y se evaluaron a 29 mil 983 estudiantes de 15 años de secundaria y educación media superior. La ventaja de haber tenido esa muestra en 2003 fue disponer de resultados  con  representatividad nacional y </w:t>
      </w:r>
      <w:r>
        <w:rPr>
          <w:spacing w:val="2"/>
        </w:rPr>
        <w:t>por </w:t>
      </w:r>
      <w:r>
        <w:rPr/>
        <w:t>entidad; a diferencia </w:t>
      </w:r>
      <w:r>
        <w:rPr>
          <w:spacing w:val="2"/>
        </w:rPr>
        <w:t>del </w:t>
      </w:r>
      <w:r>
        <w:rPr/>
        <w:t>2000, cuando </w:t>
      </w:r>
      <w:r>
        <w:rPr>
          <w:spacing w:val="-3"/>
        </w:rPr>
        <w:t>los </w:t>
      </w:r>
      <w:r>
        <w:rPr/>
        <w:t>resultados sólo fueron a nivel nacional. A partir de </w:t>
      </w:r>
      <w:r>
        <w:rPr>
          <w:spacing w:val="3"/>
        </w:rPr>
        <w:t>ese </w:t>
      </w:r>
      <w:r>
        <w:rPr/>
        <w:t>ciclo </w:t>
      </w:r>
      <w:r>
        <w:rPr>
          <w:spacing w:val="3"/>
        </w:rPr>
        <w:t>se </w:t>
      </w:r>
      <w:r>
        <w:rPr/>
        <w:t>ha mantenido </w:t>
      </w:r>
      <w:r>
        <w:rPr>
          <w:spacing w:val="-4"/>
        </w:rPr>
        <w:t>la </w:t>
      </w:r>
      <w:r>
        <w:rPr/>
        <w:t>decisión de  tener una muestra ampliada. </w:t>
      </w:r>
      <w:r>
        <w:rPr>
          <w:spacing w:val="2"/>
        </w:rPr>
        <w:t>Del </w:t>
      </w:r>
      <w:r>
        <w:rPr/>
        <w:t>total de estudiantes </w:t>
      </w:r>
      <w:r>
        <w:rPr>
          <w:spacing w:val="3"/>
        </w:rPr>
        <w:t>de </w:t>
      </w:r>
      <w:r>
        <w:rPr/>
        <w:t>15 </w:t>
      </w:r>
      <w:r>
        <w:rPr>
          <w:spacing w:val="-3"/>
        </w:rPr>
        <w:t>años  </w:t>
      </w:r>
      <w:r>
        <w:rPr/>
        <w:t>de  las listas que envían </w:t>
      </w:r>
      <w:r>
        <w:rPr>
          <w:spacing w:val="-3"/>
        </w:rPr>
        <w:t>las </w:t>
      </w:r>
      <w:r>
        <w:rPr/>
        <w:t>escuelas de </w:t>
      </w:r>
      <w:r>
        <w:rPr>
          <w:spacing w:val="-4"/>
        </w:rPr>
        <w:t>la </w:t>
      </w:r>
      <w:r>
        <w:rPr/>
        <w:t>muestra, sólo se seleccionan al azar a 35 alumnos de cada escuela, por </w:t>
      </w:r>
      <w:r>
        <w:rPr>
          <w:spacing w:val="-4"/>
        </w:rPr>
        <w:t>lo </w:t>
      </w:r>
      <w:r>
        <w:rPr/>
        <w:t>cual algunos presentan la prueba y otros no; los resultados no afectan las calificaciones de los estudiantes, puesto que éstos se  usan sólo para propósitos de investigación comparativa entre los diferentes países participantes. El propósito final de PISA es usar los resultados para retroalimentar </w:t>
      </w:r>
      <w:r>
        <w:rPr>
          <w:spacing w:val="-3"/>
        </w:rPr>
        <w:t>los </w:t>
      </w:r>
      <w:r>
        <w:rPr/>
        <w:t>sistemas educativos. (PISA </w:t>
      </w:r>
      <w:r>
        <w:rPr>
          <w:spacing w:val="20"/>
        </w:rPr>
        <w:t> </w:t>
      </w:r>
      <w:hyperlink r:id="rId43">
        <w:r>
          <w:rPr>
            <w:color w:val="0000FF"/>
            <w:u w:val="single" w:color="0000FF"/>
          </w:rPr>
          <w:t>http://www.inee.edu.mx/index.php/servicios/pisa</w:t>
        </w:r>
        <w:r>
          <w:rPr/>
          <w:t>).</w:t>
        </w:r>
      </w:hyperlink>
    </w:p>
    <w:p>
      <w:pPr>
        <w:pStyle w:val="BodyText"/>
        <w:spacing w:line="364" w:lineRule="auto"/>
        <w:ind w:left="116" w:right="106" w:firstLine="686"/>
        <w:jc w:val="both"/>
      </w:pPr>
      <w:r>
        <w:rPr/>
        <w:t>El país que ha mostrado mejores resultados en </w:t>
      </w:r>
      <w:r>
        <w:rPr>
          <w:spacing w:val="-3"/>
        </w:rPr>
        <w:t>las </w:t>
      </w:r>
      <w:r>
        <w:rPr/>
        <w:t>evaluaciones de sus alumnos </w:t>
      </w:r>
      <w:r>
        <w:rPr>
          <w:spacing w:val="-3"/>
        </w:rPr>
        <w:t>es </w:t>
      </w:r>
      <w:r>
        <w:rPr/>
        <w:t>Finlandia, con </w:t>
      </w:r>
      <w:r>
        <w:rPr>
          <w:spacing w:val="-3"/>
        </w:rPr>
        <w:t>lo </w:t>
      </w:r>
      <w:r>
        <w:rPr/>
        <w:t>que </w:t>
      </w:r>
      <w:r>
        <w:rPr>
          <w:spacing w:val="-4"/>
        </w:rPr>
        <w:t>los </w:t>
      </w:r>
      <w:r>
        <w:rPr/>
        <w:t>ojos de los  demás países se han tornado  hacia éste con el objetivo de analizarle cual caso de éxito de </w:t>
      </w:r>
      <w:r>
        <w:rPr>
          <w:spacing w:val="-5"/>
        </w:rPr>
        <w:t>lo </w:t>
      </w:r>
      <w:r>
        <w:rPr/>
        <w:t>que  pudiera significar una “mejor educación” a </w:t>
      </w:r>
      <w:r>
        <w:rPr>
          <w:spacing w:val="-3"/>
        </w:rPr>
        <w:t>los </w:t>
      </w:r>
      <w:r>
        <w:rPr/>
        <w:t>ciudadanos. Esta visión integra qué se enseña?, quién enseña?, las políticas de inversión en educación, </w:t>
      </w:r>
      <w:r>
        <w:rPr>
          <w:spacing w:val="9"/>
        </w:rPr>
        <w:t> </w:t>
      </w:r>
      <w:r>
        <w:rPr/>
        <w:t>etc.</w:t>
      </w:r>
    </w:p>
    <w:p>
      <w:pPr>
        <w:pStyle w:val="BodyText"/>
        <w:spacing w:line="364" w:lineRule="auto" w:before="5"/>
        <w:ind w:left="116" w:right="105" w:firstLine="686"/>
        <w:jc w:val="both"/>
      </w:pPr>
      <w:r>
        <w:rPr/>
        <w:t>La diferencia entre Enlace, Excale y PISA radica en sus propósitos y características. Los tres son instrumentos </w:t>
      </w:r>
      <w:r>
        <w:rPr>
          <w:spacing w:val="-3"/>
        </w:rPr>
        <w:t>de </w:t>
      </w:r>
      <w:r>
        <w:rPr/>
        <w:t>evaluación respondidos por actores  de las escuelas, aunque sólo uno de ellos está destinado  a  evaluar  </w:t>
      </w:r>
      <w:r>
        <w:rPr>
          <w:spacing w:val="-3"/>
        </w:rPr>
        <w:t>los </w:t>
      </w:r>
      <w:r>
        <w:rPr/>
        <w:t>desempeños educativos de las personas. Enlace se </w:t>
      </w:r>
      <w:r>
        <w:rPr>
          <w:spacing w:val="-3"/>
        </w:rPr>
        <w:t>aplica </w:t>
      </w:r>
      <w:r>
        <w:rPr/>
        <w:t>a todos los estudiantes de cierto grado escolar y su propósito es proporcionar información sobre </w:t>
      </w:r>
      <w:r>
        <w:rPr>
          <w:spacing w:val="3"/>
        </w:rPr>
        <w:t>su </w:t>
      </w:r>
      <w:r>
        <w:rPr/>
        <w:t>rendimiento. Los otros </w:t>
      </w:r>
      <w:r>
        <w:rPr>
          <w:spacing w:val="-3"/>
        </w:rPr>
        <w:t>dos </w:t>
      </w:r>
      <w:r>
        <w:rPr/>
        <w:t>instrumentos se aplican a muestras de estudiantes en función de su grado escolar (en </w:t>
      </w:r>
      <w:r>
        <w:rPr>
          <w:spacing w:val="2"/>
        </w:rPr>
        <w:t>el </w:t>
      </w:r>
      <w:r>
        <w:rPr/>
        <w:t>caso de Excale) o de su edad (en el caso de PISA) para conocer el comportamiento del sistema educativo nacional. Además, Enlace y Excale están apegados a currículum, característica que no </w:t>
      </w:r>
      <w:r>
        <w:rPr>
          <w:spacing w:val="4"/>
        </w:rPr>
        <w:t>se </w:t>
      </w:r>
      <w:r>
        <w:rPr/>
        <w:t>repite con PISA, que evalúa</w:t>
      </w:r>
      <w:r>
        <w:rPr>
          <w:spacing w:val="38"/>
        </w:rPr>
        <w:t> </w:t>
      </w:r>
      <w:r>
        <w:rPr/>
        <w:t>competencias.</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6" w:right="111" w:firstLine="686"/>
        <w:jc w:val="both"/>
      </w:pPr>
      <w:r>
        <w:rPr/>
        <w:t>El objetivo común </w:t>
      </w:r>
      <w:r>
        <w:rPr>
          <w:spacing w:val="-5"/>
        </w:rPr>
        <w:t>es </w:t>
      </w:r>
      <w:r>
        <w:rPr/>
        <w:t>el de traducir los resultados en insumos  para  beneficios individuales y colectivos, y como punto de partida de acciones transformadoras que procuren </w:t>
      </w:r>
      <w:r>
        <w:rPr>
          <w:spacing w:val="3"/>
        </w:rPr>
        <w:t>el </w:t>
      </w:r>
      <w:r>
        <w:rPr/>
        <w:t>desarrollo y avance de nuestro país y </w:t>
      </w:r>
      <w:r>
        <w:rPr>
          <w:spacing w:val="7"/>
        </w:rPr>
        <w:t> </w:t>
      </w:r>
      <w:r>
        <w:rPr/>
        <w:t>sociedad.</w:t>
      </w:r>
    </w:p>
    <w:p>
      <w:pPr>
        <w:pStyle w:val="BodyText"/>
        <w:spacing w:line="364" w:lineRule="auto" w:before="5"/>
        <w:ind w:left="116" w:right="109" w:firstLine="686"/>
        <w:jc w:val="both"/>
      </w:pPr>
      <w:r>
        <w:rPr/>
        <w:t>Según el Plan Nacional de Desarrollo 2006-2012, el desempeño de </w:t>
      </w:r>
      <w:r>
        <w:rPr>
          <w:spacing w:val="-2"/>
        </w:rPr>
        <w:t>los </w:t>
      </w:r>
      <w:r>
        <w:rPr/>
        <w:t>estudiantes de primaria y secundaria era muy bajo en comprensión de lectura, expresión escrita y matemáticas. </w:t>
      </w:r>
      <w:r>
        <w:rPr>
          <w:spacing w:val="-3"/>
        </w:rPr>
        <w:t>Los </w:t>
      </w:r>
      <w:r>
        <w:rPr/>
        <w:t>resultados de la prueba Enlace arrojaron que los alumnos de primaria y secundaria tienen un  nivel elemental de conocimientos    y mostraron que las escuelas privadas obtienen mejores resultados que </w:t>
      </w:r>
      <w:r>
        <w:rPr>
          <w:spacing w:val="-2"/>
        </w:rPr>
        <w:t>las </w:t>
      </w:r>
      <w:r>
        <w:rPr/>
        <w:t>públicas, y que los alumnos de telesecundaria, de educación comunitaria y de </w:t>
      </w:r>
      <w:r>
        <w:rPr>
          <w:spacing w:val="-5"/>
        </w:rPr>
        <w:t>la </w:t>
      </w:r>
      <w:r>
        <w:rPr/>
        <w:t>modalidad indígena son quienes obtuvieron los puntajes </w:t>
      </w:r>
      <w:r>
        <w:rPr>
          <w:spacing w:val="-3"/>
        </w:rPr>
        <w:t>más </w:t>
      </w:r>
      <w:r>
        <w:rPr>
          <w:spacing w:val="21"/>
        </w:rPr>
        <w:t> </w:t>
      </w:r>
      <w:r>
        <w:rPr/>
        <w:t>bajos.</w:t>
      </w:r>
    </w:p>
    <w:p>
      <w:pPr>
        <w:pStyle w:val="BodyText"/>
        <w:spacing w:line="364" w:lineRule="auto" w:before="5"/>
        <w:ind w:left="116" w:right="113" w:firstLine="686"/>
        <w:jc w:val="both"/>
      </w:pPr>
      <w:r>
        <w:rPr/>
        <w:t>Los niveles alcanzados por </w:t>
      </w:r>
      <w:r>
        <w:rPr>
          <w:spacing w:val="-3"/>
        </w:rPr>
        <w:t>la </w:t>
      </w:r>
      <w:r>
        <w:rPr/>
        <w:t>población estudiantil derivados  de  </w:t>
      </w:r>
      <w:r>
        <w:rPr>
          <w:spacing w:val="-3"/>
        </w:rPr>
        <w:t>las  </w:t>
      </w:r>
      <w:r>
        <w:rPr/>
        <w:t>pruebas internas Enlace (2010) y Excale (2008) muestran  </w:t>
      </w:r>
      <w:r>
        <w:rPr>
          <w:spacing w:val="-3"/>
        </w:rPr>
        <w:t>los  </w:t>
      </w:r>
      <w:r>
        <w:rPr/>
        <w:t>siguientes  resultados.</w:t>
      </w:r>
    </w:p>
    <w:p>
      <w:pPr>
        <w:spacing w:before="9"/>
        <w:ind w:left="2052" w:right="2052" w:firstLine="0"/>
        <w:jc w:val="center"/>
        <w:rPr>
          <w:b/>
          <w:sz w:val="21"/>
        </w:rPr>
      </w:pPr>
      <w:r>
        <w:rPr>
          <w:b/>
          <w:sz w:val="21"/>
        </w:rPr>
        <w:t>Gráfica N°1</w:t>
      </w:r>
    </w:p>
    <w:p>
      <w:pPr>
        <w:spacing w:before="3"/>
        <w:ind w:left="4" w:right="0" w:firstLine="0"/>
        <w:jc w:val="center"/>
        <w:rPr>
          <w:b/>
          <w:sz w:val="21"/>
        </w:rPr>
      </w:pPr>
      <w:r>
        <w:rPr>
          <w:b/>
          <w:sz w:val="21"/>
        </w:rPr>
        <w:t>Niveles de logro en EXCALE 2008 y Enlace  2010</w:t>
      </w:r>
    </w:p>
    <w:p>
      <w:pPr>
        <w:pStyle w:val="BodyText"/>
        <w:spacing w:before="3"/>
        <w:rPr>
          <w:b/>
          <w:sz w:val="25"/>
        </w:rPr>
      </w:pPr>
      <w:r>
        <w:rPr/>
        <w:pict>
          <v:group style="position:absolute;margin-left:98.639999pt;margin-top:16.496895pt;width:397.95pt;height:209.05pt;mso-position-horizontal-relative:page;mso-position-vertical-relative:paragraph;z-index:2824;mso-wrap-distance-left:0;mso-wrap-distance-right:0" coordorigin="1973,330" coordsize="7959,4181">
            <v:shape style="position:absolute;left:2909;top:565;width:5093;height:3437" type="#_x0000_t75" stroked="false">
              <v:imagedata r:id="rId44" o:title=""/>
            </v:shape>
            <v:line style="position:absolute" from="3766,556" to="3766,4055" stroked="true" strokeweight=".721pt" strokecolor="#858585"/>
            <v:line style="position:absolute" from="4615,556" to="4615,4055" stroked="true" strokeweight=".721pt" strokecolor="#858585"/>
            <v:line style="position:absolute" from="5446,556" to="5446,4055" stroked="true" strokeweight=".72pt" strokecolor="#858585"/>
            <v:line style="position:absolute" from="6295,556" to="6295,4055" stroked="true" strokeweight=".721pt" strokecolor="#858585"/>
            <v:line style="position:absolute" from="7145,556" to="7145,4055" stroked="true" strokeweight=".72pt" strokecolor="#858585"/>
            <v:line style="position:absolute" from="7994,556" to="7994,4055" stroked="true" strokeweight=".719pt" strokecolor="#858585"/>
            <v:shape style="position:absolute;left:2909;top:2754;width:2304;height:850" type="#_x0000_t75" stroked="false">
              <v:imagedata r:id="rId45" o:title=""/>
            </v:shape>
            <v:shape style="position:absolute;left:2909;top:1040;width:2261;height:835" type="#_x0000_t75" stroked="false">
              <v:imagedata r:id="rId46" o:title=""/>
            </v:shape>
            <v:shape style="position:absolute;left:5054;top:2754;width:1296;height:850" type="#_x0000_t75" stroked="false">
              <v:imagedata r:id="rId47" o:title=""/>
            </v:shape>
            <v:shape style="position:absolute;left:5011;top:1040;width:1771;height:835" type="#_x0000_t75" stroked="false">
              <v:imagedata r:id="rId48" o:title=""/>
            </v:shape>
            <v:shape style="position:absolute;left:6192;top:2754;width:965;height:850" type="#_x0000_t75" stroked="false">
              <v:imagedata r:id="rId49" o:title=""/>
            </v:shape>
            <v:shape style="position:absolute;left:6610;top:1040;width:547;height:835" type="#_x0000_t75" stroked="false">
              <v:imagedata r:id="rId50" o:title=""/>
            </v:shape>
            <v:shape style="position:absolute;left:6998;top:2754;width:245;height:850" type="#_x0000_t75" stroked="false">
              <v:imagedata r:id="rId51" o:title=""/>
            </v:shape>
            <v:shape style="position:absolute;left:6998;top:1040;width:245;height:835" type="#_x0000_t75" stroked="false">
              <v:imagedata r:id="rId52" o:title=""/>
            </v:shape>
            <v:shape style="position:absolute;left:2923;top:1069;width:4277;height:2462" type="#_x0000_t75" stroked="false">
              <v:imagedata r:id="rId53" o:title=""/>
            </v:shape>
            <v:line style="position:absolute" from="2918,3995" to="7992,3995" stroked="true" strokeweight=".72pt" strokecolor="#858585"/>
            <v:line style="position:absolute" from="2916,556" to="2916,4055" stroked="true" strokeweight=".72pt" strokecolor="#858585"/>
            <v:line style="position:absolute" from="2846,3995" to="2918,3995" stroked="true" strokeweight=".72pt" strokecolor="#858585"/>
            <v:line style="position:absolute" from="2846,2276" to="2918,2276" stroked="true" strokeweight=".72pt" strokecolor="#858585"/>
            <v:line style="position:absolute" from="2846,558" to="2918,558" stroked="true" strokeweight=".719pt" strokecolor="#858585"/>
            <v:shape style="position:absolute;left:8438;top:1818;width:173;height:158" type="#_x0000_t75" stroked="false">
              <v:imagedata r:id="rId54" o:title=""/>
            </v:shape>
            <v:shape style="position:absolute;left:8438;top:2178;width:173;height:158" type="#_x0000_t75" stroked="false">
              <v:imagedata r:id="rId55" o:title=""/>
            </v:shape>
            <v:shape style="position:absolute;left:8438;top:2524;width:173;height:158" type="#_x0000_t75" stroked="false">
              <v:imagedata r:id="rId56" o:title=""/>
            </v:shape>
            <v:shape style="position:absolute;left:8438;top:2869;width:173;height:158" type="#_x0000_t75" stroked="false">
              <v:imagedata r:id="rId57" o:title=""/>
            </v:shape>
            <v:shape style="position:absolute;left:1973;top:330;width:7958;height:4181" type="#_x0000_t75" stroked="false">
              <v:imagedata r:id="rId58" o:title=""/>
            </v:shape>
            <v:shape style="position:absolute;left:2126;top:1338;width:640;height:191" type="#_x0000_t202" filled="false" stroked="false">
              <v:textbox inset="0,0,0,0">
                <w:txbxContent>
                  <w:p>
                    <w:pPr>
                      <w:spacing w:line="190" w:lineRule="exact" w:before="0"/>
                      <w:ind w:left="0" w:right="0" w:firstLine="0"/>
                      <w:jc w:val="left"/>
                      <w:rPr>
                        <w:rFonts w:ascii="Calibri"/>
                        <w:sz w:val="19"/>
                      </w:rPr>
                    </w:pPr>
                    <w:r>
                      <w:rPr>
                        <w:rFonts w:ascii="Calibri"/>
                        <w:sz w:val="19"/>
                      </w:rPr>
                      <w:t>ENLACE </w:t>
                    </w:r>
                  </w:p>
                </w:txbxContent>
              </v:textbox>
              <w10:wrap type="none"/>
            </v:shape>
            <v:shape style="position:absolute;left:8630;top:1809;width:1091;height:1251" type="#_x0000_t202" filled="false" stroked="false">
              <v:textbox inset="0,0,0,0">
                <w:txbxContent>
                  <w:p>
                    <w:pPr>
                      <w:spacing w:line="199" w:lineRule="exact" w:before="0"/>
                      <w:ind w:left="0" w:right="0" w:firstLine="0"/>
                      <w:jc w:val="left"/>
                      <w:rPr>
                        <w:rFonts w:ascii="Calibri"/>
                        <w:sz w:val="19"/>
                      </w:rPr>
                    </w:pPr>
                    <w:r>
                      <w:rPr>
                        <w:rFonts w:ascii="Calibri"/>
                        <w:sz w:val="19"/>
                      </w:rPr>
                      <w:t>INSUFICIENTE</w:t>
                    </w:r>
                  </w:p>
                  <w:p>
                    <w:pPr>
                      <w:spacing w:line="362" w:lineRule="auto" w:before="123"/>
                      <w:ind w:left="0" w:right="0" w:firstLine="0"/>
                      <w:jc w:val="left"/>
                      <w:rPr>
                        <w:rFonts w:ascii="Calibri"/>
                        <w:sz w:val="19"/>
                      </w:rPr>
                    </w:pPr>
                    <w:r>
                      <w:rPr>
                        <w:rFonts w:ascii="Calibri"/>
                        <w:sz w:val="19"/>
                      </w:rPr>
                      <w:t>ELEMENTAL BUENO</w:t>
                    </w:r>
                  </w:p>
                  <w:p>
                    <w:pPr>
                      <w:spacing w:line="223" w:lineRule="exact" w:before="5"/>
                      <w:ind w:left="0" w:right="0" w:firstLine="0"/>
                      <w:jc w:val="left"/>
                      <w:rPr>
                        <w:rFonts w:ascii="Calibri"/>
                        <w:sz w:val="19"/>
                      </w:rPr>
                    </w:pPr>
                    <w:r>
                      <w:rPr>
                        <w:rFonts w:ascii="Calibri"/>
                        <w:sz w:val="19"/>
                      </w:rPr>
                      <w:t>EXC ELENTE</w:t>
                    </w:r>
                  </w:p>
                </w:txbxContent>
              </v:textbox>
              <w10:wrap type="none"/>
            </v:shape>
            <v:shape style="position:absolute;left:2150;top:3066;width:604;height:191" type="#_x0000_t202" filled="false" stroked="false">
              <v:textbox inset="0,0,0,0">
                <w:txbxContent>
                  <w:p>
                    <w:pPr>
                      <w:spacing w:line="190" w:lineRule="exact" w:before="0"/>
                      <w:ind w:left="0" w:right="0" w:firstLine="0"/>
                      <w:jc w:val="left"/>
                      <w:rPr>
                        <w:rFonts w:ascii="Calibri"/>
                        <w:sz w:val="19"/>
                      </w:rPr>
                    </w:pPr>
                    <w:r>
                      <w:rPr>
                        <w:rFonts w:ascii="Calibri"/>
                        <w:sz w:val="19"/>
                      </w:rPr>
                      <w:t>EXCALE</w:t>
                    </w:r>
                  </w:p>
                </w:txbxContent>
              </v:textbox>
              <w10:wrap type="none"/>
            </v:shape>
            <v:shape style="position:absolute;left:2875;top:4180;width:97;height:191" type="#_x0000_t202" filled="false" stroked="false">
              <v:textbox inset="0,0,0,0">
                <w:txbxContent>
                  <w:p>
                    <w:pPr>
                      <w:spacing w:line="190" w:lineRule="exact" w:before="0"/>
                      <w:ind w:left="0" w:right="0" w:firstLine="0"/>
                      <w:jc w:val="left"/>
                      <w:rPr>
                        <w:rFonts w:ascii="Calibri"/>
                        <w:sz w:val="19"/>
                      </w:rPr>
                    </w:pPr>
                    <w:r>
                      <w:rPr>
                        <w:rFonts w:ascii="Calibri"/>
                        <w:w w:val="100"/>
                        <w:sz w:val="19"/>
                      </w:rPr>
                      <w:t>0</w:t>
                    </w:r>
                  </w:p>
                </w:txbxContent>
              </v:textbox>
              <w10:wrap type="none"/>
            </v:shape>
            <v:shape style="position:absolute;left:3672;top:4180;width:212;height:191" type="#_x0000_t202" filled="false" stroked="false">
              <v:textbox inset="0,0,0,0">
                <w:txbxContent>
                  <w:p>
                    <w:pPr>
                      <w:spacing w:line="190" w:lineRule="exact" w:before="0"/>
                      <w:ind w:left="0" w:right="-1" w:firstLine="0"/>
                      <w:jc w:val="left"/>
                      <w:rPr>
                        <w:rFonts w:ascii="Calibri"/>
                        <w:sz w:val="19"/>
                      </w:rPr>
                    </w:pPr>
                    <w:r>
                      <w:rPr>
                        <w:rFonts w:ascii="Calibri"/>
                        <w:sz w:val="19"/>
                      </w:rPr>
                      <w:t>20</w:t>
                    </w:r>
                  </w:p>
                </w:txbxContent>
              </v:textbox>
              <w10:wrap type="none"/>
            </v:shape>
            <v:shape style="position:absolute;left:4522;top:4180;width:202;height:191" type="#_x0000_t202" filled="false" stroked="false">
              <v:textbox inset="0,0,0,0">
                <w:txbxContent>
                  <w:p>
                    <w:pPr>
                      <w:spacing w:line="190" w:lineRule="exact" w:before="0"/>
                      <w:ind w:left="0" w:right="-11" w:firstLine="0"/>
                      <w:jc w:val="left"/>
                      <w:rPr>
                        <w:rFonts w:ascii="Calibri"/>
                        <w:sz w:val="19"/>
                      </w:rPr>
                    </w:pPr>
                    <w:r>
                      <w:rPr>
                        <w:rFonts w:ascii="Calibri"/>
                        <w:sz w:val="19"/>
                      </w:rPr>
                      <w:t>40</w:t>
                    </w:r>
                  </w:p>
                </w:txbxContent>
              </v:textbox>
              <w10:wrap type="none"/>
            </v:shape>
            <v:shape style="position:absolute;left:5371;top:4180;width:202;height:191" type="#_x0000_t202" filled="false" stroked="false">
              <v:textbox inset="0,0,0,0">
                <w:txbxContent>
                  <w:p>
                    <w:pPr>
                      <w:spacing w:line="190" w:lineRule="exact" w:before="0"/>
                      <w:ind w:left="0" w:right="-11" w:firstLine="0"/>
                      <w:jc w:val="left"/>
                      <w:rPr>
                        <w:rFonts w:ascii="Calibri"/>
                        <w:sz w:val="19"/>
                      </w:rPr>
                    </w:pPr>
                    <w:r>
                      <w:rPr>
                        <w:rFonts w:ascii="Calibri"/>
                        <w:sz w:val="19"/>
                      </w:rPr>
                      <w:t>60</w:t>
                    </w:r>
                  </w:p>
                </w:txbxContent>
              </v:textbox>
              <w10:wrap type="none"/>
            </v:shape>
            <v:shape style="position:absolute;left:6221;top:4180;width:202;height:191" type="#_x0000_t202" filled="false" stroked="false">
              <v:textbox inset="0,0,0,0">
                <w:txbxContent>
                  <w:p>
                    <w:pPr>
                      <w:spacing w:line="190" w:lineRule="exact" w:before="0"/>
                      <w:ind w:left="0" w:right="-11" w:firstLine="0"/>
                      <w:jc w:val="left"/>
                      <w:rPr>
                        <w:rFonts w:ascii="Calibri"/>
                        <w:sz w:val="19"/>
                      </w:rPr>
                    </w:pPr>
                    <w:r>
                      <w:rPr>
                        <w:rFonts w:ascii="Calibri"/>
                        <w:sz w:val="19"/>
                      </w:rPr>
                      <w:t>80</w:t>
                    </w:r>
                  </w:p>
                </w:txbxContent>
              </v:textbox>
              <w10:wrap type="none"/>
            </v:shape>
            <v:shape style="position:absolute;left:7022;top:4180;width:303;height:191" type="#_x0000_t202" filled="false" stroked="false">
              <v:textbox inset="0,0,0,0">
                <w:txbxContent>
                  <w:p>
                    <w:pPr>
                      <w:spacing w:line="190" w:lineRule="exact" w:before="0"/>
                      <w:ind w:left="0" w:right="-6" w:firstLine="0"/>
                      <w:jc w:val="left"/>
                      <w:rPr>
                        <w:rFonts w:ascii="Calibri"/>
                        <w:sz w:val="19"/>
                      </w:rPr>
                    </w:pPr>
                    <w:r>
                      <w:rPr>
                        <w:rFonts w:ascii="Calibri"/>
                        <w:sz w:val="19"/>
                      </w:rPr>
                      <w:t>100</w:t>
                    </w:r>
                  </w:p>
                </w:txbxContent>
              </v:textbox>
              <w10:wrap type="none"/>
            </v:shape>
            <v:shape style="position:absolute;left:7867;top:4180;width:307;height:191" type="#_x0000_t202" filled="false" stroked="false">
              <v:textbox inset="0,0,0,0">
                <w:txbxContent>
                  <w:p>
                    <w:pPr>
                      <w:spacing w:line="190" w:lineRule="exact" w:before="0"/>
                      <w:ind w:left="0" w:right="-2" w:firstLine="0"/>
                      <w:jc w:val="left"/>
                      <w:rPr>
                        <w:rFonts w:ascii="Calibri"/>
                        <w:sz w:val="19"/>
                      </w:rPr>
                    </w:pPr>
                    <w:r>
                      <w:rPr>
                        <w:rFonts w:ascii="Calibri"/>
                        <w:sz w:val="19"/>
                      </w:rPr>
                      <w:t>120</w:t>
                    </w:r>
                  </w:p>
                </w:txbxContent>
              </v:textbox>
              <w10:wrap type="none"/>
            </v:shape>
            <w10:wrap type="topAndBottom"/>
          </v:group>
        </w:pict>
      </w:r>
    </w:p>
    <w:tbl>
      <w:tblPr>
        <w:tblW w:w="0" w:type="auto"/>
        <w:jc w:val="left"/>
        <w:tblInd w:w="13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03"/>
        <w:gridCol w:w="1560"/>
        <w:gridCol w:w="1368"/>
        <w:gridCol w:w="902"/>
        <w:gridCol w:w="1368"/>
      </w:tblGrid>
      <w:tr>
        <w:trPr>
          <w:trHeight w:val="331" w:hRule="exact"/>
        </w:trPr>
        <w:tc>
          <w:tcPr>
            <w:tcW w:w="2563" w:type="dxa"/>
            <w:gridSpan w:val="2"/>
            <w:tcBorders>
              <w:bottom w:val="single" w:sz="4" w:space="0" w:color="000000"/>
              <w:right w:val="single" w:sz="4" w:space="0" w:color="000000"/>
            </w:tcBorders>
          </w:tcPr>
          <w:p>
            <w:pPr>
              <w:pStyle w:val="TableParagraph"/>
              <w:spacing w:before="95"/>
              <w:ind w:left="1108"/>
              <w:rPr>
                <w:i/>
                <w:sz w:val="19"/>
              </w:rPr>
            </w:pPr>
            <w:r>
              <w:rPr>
                <w:i/>
                <w:w w:val="105"/>
                <w:sz w:val="19"/>
              </w:rPr>
              <w:t>INSUFICIENTE</w:t>
            </w:r>
          </w:p>
        </w:tc>
        <w:tc>
          <w:tcPr>
            <w:tcW w:w="1368" w:type="dxa"/>
            <w:tcBorders>
              <w:left w:val="single" w:sz="4" w:space="0" w:color="000000"/>
              <w:bottom w:val="single" w:sz="4" w:space="0" w:color="000000"/>
              <w:right w:val="single" w:sz="4" w:space="0" w:color="000000"/>
            </w:tcBorders>
          </w:tcPr>
          <w:p>
            <w:pPr>
              <w:pStyle w:val="TableParagraph"/>
              <w:spacing w:before="95"/>
              <w:ind w:left="105"/>
              <w:rPr>
                <w:i/>
                <w:sz w:val="19"/>
              </w:rPr>
            </w:pPr>
            <w:r>
              <w:rPr>
                <w:i/>
                <w:w w:val="105"/>
                <w:sz w:val="19"/>
              </w:rPr>
              <w:t>ELEMENTAL</w:t>
            </w:r>
          </w:p>
        </w:tc>
        <w:tc>
          <w:tcPr>
            <w:tcW w:w="902" w:type="dxa"/>
            <w:tcBorders>
              <w:left w:val="single" w:sz="4" w:space="0" w:color="000000"/>
              <w:bottom w:val="single" w:sz="4" w:space="0" w:color="000000"/>
              <w:right w:val="single" w:sz="4" w:space="0" w:color="000000"/>
            </w:tcBorders>
          </w:tcPr>
          <w:p>
            <w:pPr>
              <w:pStyle w:val="TableParagraph"/>
              <w:spacing w:before="95"/>
              <w:ind w:left="105"/>
              <w:rPr>
                <w:i/>
                <w:sz w:val="19"/>
              </w:rPr>
            </w:pPr>
            <w:r>
              <w:rPr>
                <w:i/>
                <w:w w:val="105"/>
                <w:sz w:val="19"/>
              </w:rPr>
              <w:t>BUENO</w:t>
            </w:r>
          </w:p>
        </w:tc>
        <w:tc>
          <w:tcPr>
            <w:tcW w:w="1368" w:type="dxa"/>
            <w:tcBorders>
              <w:left w:val="single" w:sz="4" w:space="0" w:color="000000"/>
              <w:bottom w:val="single" w:sz="4" w:space="0" w:color="000000"/>
            </w:tcBorders>
          </w:tcPr>
          <w:p>
            <w:pPr>
              <w:pStyle w:val="TableParagraph"/>
              <w:spacing w:before="95"/>
              <w:ind w:left="105"/>
              <w:rPr>
                <w:i/>
                <w:sz w:val="19"/>
              </w:rPr>
            </w:pPr>
            <w:r>
              <w:rPr>
                <w:i/>
                <w:w w:val="105"/>
                <w:sz w:val="19"/>
              </w:rPr>
              <w:t>EXCELENTE</w:t>
            </w:r>
          </w:p>
        </w:tc>
      </w:tr>
      <w:tr>
        <w:trPr>
          <w:trHeight w:val="653" w:hRule="exact"/>
        </w:trPr>
        <w:tc>
          <w:tcPr>
            <w:tcW w:w="1003" w:type="dxa"/>
            <w:tcBorders>
              <w:top w:val="single" w:sz="4" w:space="0" w:color="000000"/>
              <w:bottom w:val="single" w:sz="4" w:space="0" w:color="000000"/>
              <w:right w:val="single" w:sz="4" w:space="0" w:color="000000"/>
            </w:tcBorders>
          </w:tcPr>
          <w:p>
            <w:pPr>
              <w:pStyle w:val="TableParagraph"/>
              <w:spacing w:line="322" w:lineRule="exact" w:before="11"/>
              <w:ind w:left="120" w:firstLine="4"/>
              <w:rPr>
                <w:i/>
                <w:sz w:val="19"/>
              </w:rPr>
            </w:pPr>
            <w:r>
              <w:rPr>
                <w:i/>
                <w:sz w:val="19"/>
              </w:rPr>
              <w:t>EXCALE </w:t>
            </w:r>
            <w:r>
              <w:rPr>
                <w:i/>
                <w:sz w:val="19"/>
              </w:rPr>
              <w:t>ENLACE</w:t>
            </w:r>
          </w:p>
        </w:tc>
        <w:tc>
          <w:tcPr>
            <w:tcW w:w="1560" w:type="dxa"/>
            <w:tcBorders>
              <w:top w:val="single" w:sz="4" w:space="0" w:color="000000"/>
              <w:left w:val="single" w:sz="4" w:space="0" w:color="000000"/>
              <w:bottom w:val="single" w:sz="4" w:space="0" w:color="000000"/>
              <w:right w:val="single" w:sz="4" w:space="0" w:color="000000"/>
            </w:tcBorders>
          </w:tcPr>
          <w:p>
            <w:pPr>
              <w:pStyle w:val="TableParagraph"/>
              <w:spacing w:before="28"/>
              <w:ind w:left="562" w:right="558"/>
              <w:jc w:val="center"/>
              <w:rPr>
                <w:i/>
                <w:sz w:val="19"/>
              </w:rPr>
            </w:pPr>
            <w:r>
              <w:rPr>
                <w:i/>
                <w:w w:val="105"/>
                <w:sz w:val="19"/>
              </w:rPr>
              <w:t>52</w:t>
            </w:r>
          </w:p>
          <w:p>
            <w:pPr>
              <w:pStyle w:val="TableParagraph"/>
              <w:spacing w:before="108"/>
              <w:ind w:left="563" w:right="558"/>
              <w:jc w:val="center"/>
              <w:rPr>
                <w:i/>
                <w:sz w:val="19"/>
              </w:rPr>
            </w:pPr>
            <w:r>
              <w:rPr>
                <w:i/>
                <w:w w:val="105"/>
                <w:sz w:val="19"/>
              </w:rPr>
              <w:t>50.9</w:t>
            </w:r>
          </w:p>
        </w:tc>
        <w:tc>
          <w:tcPr>
            <w:tcW w:w="1368" w:type="dxa"/>
            <w:tcBorders>
              <w:top w:val="single" w:sz="4" w:space="0" w:color="000000"/>
              <w:left w:val="single" w:sz="4" w:space="0" w:color="000000"/>
              <w:bottom w:val="single" w:sz="4" w:space="0" w:color="000000"/>
              <w:right w:val="single" w:sz="4" w:space="0" w:color="000000"/>
            </w:tcBorders>
          </w:tcPr>
          <w:p>
            <w:pPr>
              <w:pStyle w:val="TableParagraph"/>
              <w:spacing w:before="28"/>
              <w:ind w:left="550" w:right="546"/>
              <w:jc w:val="center"/>
              <w:rPr>
                <w:i/>
                <w:sz w:val="19"/>
              </w:rPr>
            </w:pPr>
            <w:r>
              <w:rPr>
                <w:i/>
                <w:w w:val="105"/>
                <w:sz w:val="19"/>
              </w:rPr>
              <w:t>27</w:t>
            </w:r>
          </w:p>
          <w:p>
            <w:pPr>
              <w:pStyle w:val="TableParagraph"/>
              <w:spacing w:before="108"/>
              <w:ind w:left="550" w:right="546"/>
              <w:jc w:val="center"/>
              <w:rPr>
                <w:i/>
                <w:sz w:val="19"/>
              </w:rPr>
            </w:pPr>
            <w:r>
              <w:rPr>
                <w:i/>
                <w:w w:val="105"/>
                <w:sz w:val="19"/>
              </w:rPr>
              <w:t>38</w:t>
            </w:r>
          </w:p>
        </w:tc>
        <w:tc>
          <w:tcPr>
            <w:tcW w:w="902" w:type="dxa"/>
            <w:tcBorders>
              <w:top w:val="single" w:sz="4" w:space="0" w:color="000000"/>
              <w:left w:val="single" w:sz="4" w:space="0" w:color="000000"/>
              <w:bottom w:val="single" w:sz="4" w:space="0" w:color="000000"/>
              <w:right w:val="single" w:sz="4" w:space="0" w:color="000000"/>
            </w:tcBorders>
          </w:tcPr>
          <w:p>
            <w:pPr>
              <w:pStyle w:val="TableParagraph"/>
              <w:spacing w:before="28"/>
              <w:ind w:left="319" w:right="310"/>
              <w:jc w:val="center"/>
              <w:rPr>
                <w:i/>
                <w:sz w:val="19"/>
              </w:rPr>
            </w:pPr>
            <w:r>
              <w:rPr>
                <w:i/>
                <w:w w:val="105"/>
                <w:sz w:val="19"/>
              </w:rPr>
              <w:t>19</w:t>
            </w:r>
          </w:p>
          <w:p>
            <w:pPr>
              <w:pStyle w:val="TableParagraph"/>
              <w:spacing w:before="108"/>
              <w:ind w:left="3"/>
              <w:jc w:val="center"/>
              <w:rPr>
                <w:i/>
                <w:sz w:val="19"/>
              </w:rPr>
            </w:pPr>
            <w:r>
              <w:rPr>
                <w:i/>
                <w:w w:val="103"/>
                <w:sz w:val="19"/>
              </w:rPr>
              <w:t>9</w:t>
            </w:r>
          </w:p>
        </w:tc>
        <w:tc>
          <w:tcPr>
            <w:tcW w:w="1368" w:type="dxa"/>
            <w:tcBorders>
              <w:top w:val="single" w:sz="4" w:space="0" w:color="000000"/>
              <w:left w:val="single" w:sz="4" w:space="0" w:color="000000"/>
              <w:bottom w:val="single" w:sz="4" w:space="0" w:color="000000"/>
            </w:tcBorders>
          </w:tcPr>
          <w:p>
            <w:pPr>
              <w:pStyle w:val="TableParagraph"/>
              <w:spacing w:before="28"/>
              <w:ind w:left="3"/>
              <w:jc w:val="center"/>
              <w:rPr>
                <w:i/>
                <w:sz w:val="19"/>
              </w:rPr>
            </w:pPr>
            <w:r>
              <w:rPr>
                <w:i/>
                <w:w w:val="103"/>
                <w:sz w:val="19"/>
              </w:rPr>
              <w:t>2</w:t>
            </w:r>
          </w:p>
          <w:p>
            <w:pPr>
              <w:pStyle w:val="TableParagraph"/>
              <w:spacing w:before="108"/>
              <w:ind w:left="523" w:right="522"/>
              <w:jc w:val="center"/>
              <w:rPr>
                <w:i/>
                <w:sz w:val="19"/>
              </w:rPr>
            </w:pPr>
            <w:r>
              <w:rPr>
                <w:i/>
                <w:w w:val="105"/>
                <w:sz w:val="19"/>
              </w:rPr>
              <w:t>2.2</w:t>
            </w:r>
          </w:p>
        </w:tc>
      </w:tr>
    </w:tbl>
    <w:p>
      <w:pPr>
        <w:pStyle w:val="BodyText"/>
        <w:spacing w:before="6"/>
        <w:rPr>
          <w:b/>
          <w:sz w:val="27"/>
        </w:rPr>
      </w:pPr>
    </w:p>
    <w:p>
      <w:pPr>
        <w:spacing w:before="81"/>
        <w:ind w:left="2756" w:right="191" w:firstLine="0"/>
        <w:jc w:val="left"/>
        <w:rPr>
          <w:sz w:val="19"/>
        </w:rPr>
      </w:pPr>
      <w:r>
        <w:rPr>
          <w:b/>
          <w:w w:val="105"/>
          <w:sz w:val="19"/>
        </w:rPr>
        <w:t>FUENTE: </w:t>
      </w:r>
      <w:r>
        <w:rPr>
          <w:w w:val="105"/>
          <w:sz w:val="19"/>
        </w:rPr>
        <w:t>Mexicanos Primero 2010: 3.</w:t>
      </w:r>
    </w:p>
    <w:p>
      <w:pPr>
        <w:spacing w:after="0"/>
        <w:jc w:val="left"/>
        <w:rPr>
          <w:sz w:val="19"/>
        </w:rPr>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6" w:right="508" w:firstLine="686"/>
        <w:jc w:val="both"/>
      </w:pPr>
      <w:r>
        <w:rPr/>
        <w:t>En el ámbito internacional, los resultados de la  prueba  PISA  2006 mostraron que </w:t>
      </w:r>
      <w:r>
        <w:rPr>
          <w:spacing w:val="-4"/>
        </w:rPr>
        <w:t>los </w:t>
      </w:r>
      <w:r>
        <w:rPr/>
        <w:t>conocimientos y habilidades de los alumnos mexicanos se ubicaron en el nivel básico de desempeño </w:t>
      </w:r>
      <w:r>
        <w:rPr>
          <w:spacing w:val="-3"/>
        </w:rPr>
        <w:t>en </w:t>
      </w:r>
      <w:r>
        <w:rPr/>
        <w:t>lectura, matemáticas y ciencias. En  las tres asignaturas evaluadas, México ocupó el último lugar entre los países miembros de la OCDE, </w:t>
      </w:r>
      <w:r>
        <w:rPr>
          <w:spacing w:val="-3"/>
        </w:rPr>
        <w:t>los </w:t>
      </w:r>
      <w:r>
        <w:rPr/>
        <w:t>estudiantes mexicanos quedaron como si no supieran </w:t>
      </w:r>
      <w:r>
        <w:rPr>
          <w:spacing w:val="-3"/>
        </w:rPr>
        <w:t>leer, </w:t>
      </w:r>
      <w:r>
        <w:rPr>
          <w:spacing w:val="5"/>
        </w:rPr>
        <w:t>ni </w:t>
      </w:r>
      <w:r>
        <w:rPr/>
        <w:t>escribir, </w:t>
      </w:r>
      <w:r>
        <w:rPr>
          <w:spacing w:val="5"/>
        </w:rPr>
        <w:t>ni </w:t>
      </w:r>
      <w:r>
        <w:rPr/>
        <w:t>hacer cuentas básicas; </w:t>
      </w:r>
      <w:r>
        <w:rPr>
          <w:spacing w:val="-3"/>
        </w:rPr>
        <w:t>en </w:t>
      </w:r>
      <w:r>
        <w:rPr/>
        <w:t>el comparativo de resultados, </w:t>
      </w:r>
      <w:r>
        <w:rPr>
          <w:spacing w:val="-2"/>
        </w:rPr>
        <w:t>las </w:t>
      </w:r>
      <w:r>
        <w:rPr/>
        <w:t>evaluaciones nos </w:t>
      </w:r>
      <w:r>
        <w:rPr>
          <w:spacing w:val="-3"/>
        </w:rPr>
        <w:t>han </w:t>
      </w:r>
      <w:r>
        <w:rPr/>
        <w:t>colocado en un lugar “deshonroso”, aun con relación a otras naciones “menores”, como </w:t>
      </w:r>
      <w:r>
        <w:rPr>
          <w:spacing w:val="3"/>
        </w:rPr>
        <w:t>se </w:t>
      </w:r>
      <w:r>
        <w:rPr/>
        <w:t>puede observar a</w:t>
      </w:r>
      <w:r>
        <w:rPr>
          <w:spacing w:val="54"/>
        </w:rPr>
        <w:t> </w:t>
      </w:r>
      <w:r>
        <w:rPr/>
        <w:t>continuación.</w:t>
      </w:r>
    </w:p>
    <w:p>
      <w:pPr>
        <w:pStyle w:val="BodyText"/>
        <w:rPr>
          <w:sz w:val="22"/>
        </w:rPr>
      </w:pPr>
    </w:p>
    <w:p>
      <w:pPr>
        <w:pStyle w:val="BodyText"/>
        <w:rPr>
          <w:sz w:val="22"/>
        </w:rPr>
      </w:pPr>
    </w:p>
    <w:p>
      <w:pPr>
        <w:pStyle w:val="BodyText"/>
        <w:rPr>
          <w:sz w:val="22"/>
        </w:rPr>
      </w:pPr>
    </w:p>
    <w:p>
      <w:pPr>
        <w:spacing w:before="191"/>
        <w:ind w:left="280" w:right="673" w:firstLine="0"/>
        <w:jc w:val="center"/>
        <w:rPr>
          <w:b/>
          <w:sz w:val="21"/>
        </w:rPr>
      </w:pPr>
      <w:r>
        <w:rPr>
          <w:b/>
          <w:sz w:val="21"/>
        </w:rPr>
        <w:t>Gráfica N° 2</w:t>
      </w:r>
    </w:p>
    <w:p>
      <w:pPr>
        <w:spacing w:line="242" w:lineRule="auto" w:before="8"/>
        <w:ind w:left="280" w:right="681" w:firstLine="0"/>
        <w:jc w:val="center"/>
        <w:rPr>
          <w:b/>
          <w:sz w:val="21"/>
        </w:rPr>
      </w:pPr>
      <w:r>
        <w:rPr/>
        <w:drawing>
          <wp:anchor distT="0" distB="0" distL="0" distR="0" allowOverlap="1" layoutInCell="1" locked="0" behindDoc="1" simplePos="0" relativeHeight="268226543">
            <wp:simplePos x="0" y="0"/>
            <wp:positionH relativeFrom="page">
              <wp:posOffset>1054595</wp:posOffset>
            </wp:positionH>
            <wp:positionV relativeFrom="paragraph">
              <wp:posOffset>687970</wp:posOffset>
            </wp:positionV>
            <wp:extent cx="3907523" cy="2889504"/>
            <wp:effectExtent l="0" t="0" r="0" b="0"/>
            <wp:wrapNone/>
            <wp:docPr id="5" name="image18.png" descr=""/>
            <wp:cNvGraphicFramePr>
              <a:graphicFrameLocks noChangeAspect="1"/>
            </wp:cNvGraphicFramePr>
            <a:graphic>
              <a:graphicData uri="http://schemas.openxmlformats.org/drawingml/2006/picture">
                <pic:pic>
                  <pic:nvPicPr>
                    <pic:cNvPr id="6" name="image18.png"/>
                    <pic:cNvPicPr/>
                  </pic:nvPicPr>
                  <pic:blipFill>
                    <a:blip r:embed="rId59" cstate="print"/>
                    <a:stretch>
                      <a:fillRect/>
                    </a:stretch>
                  </pic:blipFill>
                  <pic:spPr>
                    <a:xfrm>
                      <a:off x="0" y="0"/>
                      <a:ext cx="3907523" cy="2889504"/>
                    </a:xfrm>
                    <a:prstGeom prst="rect">
                      <a:avLst/>
                    </a:prstGeom>
                  </pic:spPr>
                </pic:pic>
              </a:graphicData>
            </a:graphic>
          </wp:anchor>
        </w:drawing>
      </w:r>
      <w:r>
        <w:rPr>
          <w:b/>
          <w:sz w:val="21"/>
        </w:rPr>
        <w:t>Desempeño de los estudiantes de 15 años en México, comparado con el promedio de los países miembros de la OCDE, PISA 2006  (ciencias)</w:t>
      </w:r>
    </w:p>
    <w:p>
      <w:pPr>
        <w:pStyle w:val="BodyText"/>
        <w:rPr>
          <w:b/>
          <w:sz w:val="20"/>
        </w:rPr>
      </w:pPr>
    </w:p>
    <w:p>
      <w:pPr>
        <w:pStyle w:val="BodyText"/>
        <w:rPr>
          <w:b/>
          <w:sz w:val="20"/>
        </w:rPr>
      </w:pPr>
    </w:p>
    <w:p>
      <w:pPr>
        <w:pStyle w:val="BodyText"/>
        <w:rPr>
          <w:b/>
          <w:sz w:val="20"/>
        </w:rPr>
      </w:pPr>
    </w:p>
    <w:p>
      <w:pPr>
        <w:pStyle w:val="BodyText"/>
        <w:spacing w:before="6"/>
        <w:rPr>
          <w:b/>
          <w:sz w:val="25"/>
        </w:rPr>
      </w:pPr>
      <w:r>
        <w:rPr/>
        <w:pict>
          <v:group style="position:absolute;margin-left:401.028992pt;margin-top:16.672529pt;width:131.550pt;height:.5pt;mso-position-horizontal-relative:page;mso-position-vertical-relative:paragraph;z-index:2848;mso-wrap-distance-left:0;mso-wrap-distance-right:0" coordorigin="8021,333" coordsize="2631,10">
            <v:line style="position:absolute" from="8026,338" to="9235,338" stroked="true" strokeweight=".48pt" strokecolor="#000000"/>
            <v:line style="position:absolute" from="9235,338" to="9245,338" stroked="true" strokeweight=".48pt" strokecolor="#000000"/>
            <v:line style="position:absolute" from="9245,338" to="9955,338" stroked="true" strokeweight=".48pt" strokecolor="#000000"/>
            <v:line style="position:absolute" from="9955,338" to="9965,338" stroked="true" strokeweight=".48pt" strokecolor="#000000"/>
            <v:line style="position:absolute" from="9965,338" to="10646,338" stroked="true" strokeweight=".48pt" strokecolor="#000000"/>
            <w10:wrap type="topAndBottom"/>
          </v:group>
        </w:pict>
      </w:r>
    </w:p>
    <w:p>
      <w:pPr>
        <w:tabs>
          <w:tab w:pos="8544" w:val="left" w:leader="none"/>
        </w:tabs>
        <w:spacing w:before="0"/>
        <w:ind w:left="7805" w:right="189" w:firstLine="0"/>
        <w:jc w:val="left"/>
        <w:rPr>
          <w:i/>
          <w:sz w:val="17"/>
        </w:rPr>
      </w:pPr>
      <w:r>
        <w:rPr>
          <w:i/>
          <w:w w:val="105"/>
          <w:sz w:val="17"/>
        </w:rPr>
        <w:t>OCDE</w:t>
        <w:tab/>
        <w:t>MÉX.</w:t>
      </w:r>
    </w:p>
    <w:p>
      <w:pPr>
        <w:pStyle w:val="BodyText"/>
        <w:spacing w:before="7"/>
        <w:rPr>
          <w:i/>
          <w:sz w:val="20"/>
        </w:rPr>
      </w:pPr>
    </w:p>
    <w:tbl>
      <w:tblPr>
        <w:tblW w:w="0" w:type="auto"/>
        <w:jc w:val="left"/>
        <w:tblInd w:w="64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68"/>
        <w:gridCol w:w="456"/>
        <w:gridCol w:w="678"/>
        <w:gridCol w:w="733"/>
      </w:tblGrid>
      <w:tr>
        <w:trPr>
          <w:trHeight w:val="662" w:hRule="exact"/>
        </w:trPr>
        <w:tc>
          <w:tcPr>
            <w:tcW w:w="1224" w:type="dxa"/>
            <w:gridSpan w:val="2"/>
            <w:tcBorders>
              <w:left w:val="nil"/>
            </w:tcBorders>
          </w:tcPr>
          <w:p>
            <w:pPr>
              <w:pStyle w:val="TableParagraph"/>
              <w:spacing w:line="283" w:lineRule="auto"/>
              <w:ind w:left="287" w:hanging="96"/>
              <w:rPr>
                <w:i/>
                <w:sz w:val="17"/>
              </w:rPr>
            </w:pPr>
            <w:r>
              <w:rPr>
                <w:i/>
                <w:w w:val="105"/>
                <w:sz w:val="17"/>
              </w:rPr>
              <w:t>Por debajo </w:t>
            </w:r>
            <w:r>
              <w:rPr>
                <w:i/>
                <w:w w:val="105"/>
                <w:sz w:val="17"/>
              </w:rPr>
              <w:t>del Nivel</w:t>
            </w:r>
          </w:p>
        </w:tc>
        <w:tc>
          <w:tcPr>
            <w:tcW w:w="678" w:type="dxa"/>
            <w:tcBorders>
              <w:right w:val="nil"/>
            </w:tcBorders>
          </w:tcPr>
          <w:p>
            <w:pPr>
              <w:pStyle w:val="TableParagraph"/>
              <w:spacing w:before="109"/>
              <w:ind w:right="260"/>
              <w:jc w:val="right"/>
              <w:rPr>
                <w:i/>
                <w:sz w:val="17"/>
              </w:rPr>
            </w:pPr>
            <w:r>
              <w:rPr>
                <w:i/>
                <w:w w:val="104"/>
                <w:sz w:val="17"/>
              </w:rPr>
              <w:t>5</w:t>
            </w:r>
          </w:p>
        </w:tc>
        <w:tc>
          <w:tcPr>
            <w:tcW w:w="733" w:type="dxa"/>
            <w:tcBorders>
              <w:left w:val="nil"/>
              <w:right w:val="nil"/>
            </w:tcBorders>
          </w:tcPr>
          <w:p>
            <w:pPr>
              <w:pStyle w:val="TableParagraph"/>
              <w:spacing w:before="109"/>
              <w:ind w:left="197" w:right="148"/>
              <w:jc w:val="center"/>
              <w:rPr>
                <w:i/>
                <w:sz w:val="17"/>
              </w:rPr>
            </w:pPr>
            <w:r>
              <w:rPr>
                <w:i/>
                <w:w w:val="105"/>
                <w:sz w:val="17"/>
              </w:rPr>
              <w:t>18.2</w:t>
            </w:r>
          </w:p>
        </w:tc>
      </w:tr>
      <w:tr>
        <w:trPr>
          <w:trHeight w:val="439" w:hRule="exact"/>
        </w:trPr>
        <w:tc>
          <w:tcPr>
            <w:tcW w:w="1224" w:type="dxa"/>
            <w:gridSpan w:val="2"/>
            <w:tcBorders>
              <w:left w:val="nil"/>
              <w:bottom w:val="single" w:sz="2" w:space="0" w:color="000000"/>
            </w:tcBorders>
          </w:tcPr>
          <w:p>
            <w:pPr>
              <w:pStyle w:val="TableParagraph"/>
              <w:spacing w:before="3"/>
              <w:ind w:left="350"/>
              <w:rPr>
                <w:i/>
                <w:sz w:val="17"/>
              </w:rPr>
            </w:pPr>
            <w:r>
              <w:rPr>
                <w:i/>
                <w:w w:val="105"/>
                <w:sz w:val="17"/>
              </w:rPr>
              <w:t>Nivel 1</w:t>
            </w:r>
          </w:p>
        </w:tc>
        <w:tc>
          <w:tcPr>
            <w:tcW w:w="678" w:type="dxa"/>
            <w:tcBorders>
              <w:bottom w:val="single" w:sz="2" w:space="0" w:color="000000"/>
              <w:right w:val="nil"/>
            </w:tcBorders>
          </w:tcPr>
          <w:p>
            <w:pPr>
              <w:pStyle w:val="TableParagraph"/>
              <w:spacing w:before="3"/>
              <w:ind w:right="220"/>
              <w:jc w:val="right"/>
              <w:rPr>
                <w:i/>
                <w:sz w:val="17"/>
              </w:rPr>
            </w:pPr>
            <w:r>
              <w:rPr>
                <w:i/>
                <w:sz w:val="17"/>
              </w:rPr>
              <w:t>14</w:t>
            </w:r>
          </w:p>
        </w:tc>
        <w:tc>
          <w:tcPr>
            <w:tcW w:w="733" w:type="dxa"/>
            <w:tcBorders>
              <w:left w:val="nil"/>
              <w:bottom w:val="single" w:sz="2" w:space="0" w:color="000000"/>
              <w:right w:val="nil"/>
            </w:tcBorders>
          </w:tcPr>
          <w:p>
            <w:pPr>
              <w:pStyle w:val="TableParagraph"/>
              <w:spacing w:before="3"/>
              <w:ind w:left="197" w:right="148"/>
              <w:jc w:val="center"/>
              <w:rPr>
                <w:i/>
                <w:sz w:val="17"/>
              </w:rPr>
            </w:pPr>
            <w:r>
              <w:rPr>
                <w:i/>
                <w:w w:val="105"/>
                <w:sz w:val="17"/>
              </w:rPr>
              <w:t>32.8</w:t>
            </w:r>
          </w:p>
        </w:tc>
      </w:tr>
      <w:tr>
        <w:trPr>
          <w:trHeight w:val="434" w:hRule="exact"/>
        </w:trPr>
        <w:tc>
          <w:tcPr>
            <w:tcW w:w="768" w:type="dxa"/>
            <w:tcBorders>
              <w:top w:val="single" w:sz="2" w:space="0" w:color="000000"/>
              <w:left w:val="nil"/>
              <w:right w:val="nil"/>
            </w:tcBorders>
          </w:tcPr>
          <w:p>
            <w:pPr>
              <w:pStyle w:val="TableParagraph"/>
              <w:spacing w:before="3"/>
              <w:ind w:left="326"/>
              <w:rPr>
                <w:i/>
                <w:sz w:val="17"/>
              </w:rPr>
            </w:pPr>
            <w:r>
              <w:rPr>
                <w:i/>
                <w:w w:val="105"/>
                <w:sz w:val="17"/>
              </w:rPr>
              <w:t>Nivel</w:t>
            </w:r>
          </w:p>
        </w:tc>
        <w:tc>
          <w:tcPr>
            <w:tcW w:w="456" w:type="dxa"/>
            <w:tcBorders>
              <w:top w:val="single" w:sz="2" w:space="0" w:color="000000"/>
              <w:left w:val="nil"/>
            </w:tcBorders>
          </w:tcPr>
          <w:p>
            <w:pPr>
              <w:pStyle w:val="TableParagraph"/>
              <w:spacing w:before="3"/>
              <w:ind w:left="47"/>
              <w:rPr>
                <w:i/>
                <w:sz w:val="17"/>
              </w:rPr>
            </w:pPr>
            <w:r>
              <w:rPr>
                <w:i/>
                <w:w w:val="104"/>
                <w:sz w:val="17"/>
              </w:rPr>
              <w:t>2</w:t>
            </w:r>
          </w:p>
        </w:tc>
        <w:tc>
          <w:tcPr>
            <w:tcW w:w="678" w:type="dxa"/>
            <w:tcBorders>
              <w:top w:val="single" w:sz="2" w:space="0" w:color="000000"/>
              <w:right w:val="nil"/>
            </w:tcBorders>
          </w:tcPr>
          <w:p>
            <w:pPr>
              <w:pStyle w:val="TableParagraph"/>
              <w:spacing w:before="3"/>
              <w:ind w:right="220"/>
              <w:jc w:val="right"/>
              <w:rPr>
                <w:i/>
                <w:sz w:val="17"/>
              </w:rPr>
            </w:pPr>
            <w:r>
              <w:rPr>
                <w:i/>
                <w:sz w:val="17"/>
              </w:rPr>
              <w:t>24</w:t>
            </w:r>
          </w:p>
        </w:tc>
        <w:tc>
          <w:tcPr>
            <w:tcW w:w="733" w:type="dxa"/>
            <w:tcBorders>
              <w:top w:val="single" w:sz="2" w:space="0" w:color="000000"/>
              <w:left w:val="nil"/>
              <w:right w:val="nil"/>
            </w:tcBorders>
          </w:tcPr>
          <w:p>
            <w:pPr>
              <w:pStyle w:val="TableParagraph"/>
              <w:spacing w:before="3"/>
              <w:ind w:left="197" w:right="148"/>
              <w:jc w:val="center"/>
              <w:rPr>
                <w:i/>
                <w:sz w:val="17"/>
              </w:rPr>
            </w:pPr>
            <w:r>
              <w:rPr>
                <w:i/>
                <w:w w:val="105"/>
                <w:sz w:val="17"/>
              </w:rPr>
              <w:t>30.8</w:t>
            </w:r>
          </w:p>
        </w:tc>
      </w:tr>
      <w:tr>
        <w:trPr>
          <w:trHeight w:val="437" w:hRule="exact"/>
        </w:trPr>
        <w:tc>
          <w:tcPr>
            <w:tcW w:w="1224" w:type="dxa"/>
            <w:gridSpan w:val="2"/>
            <w:tcBorders>
              <w:left w:val="nil"/>
            </w:tcBorders>
          </w:tcPr>
          <w:p>
            <w:pPr>
              <w:pStyle w:val="TableParagraph"/>
              <w:spacing w:line="194" w:lineRule="exact"/>
              <w:ind w:left="350"/>
              <w:rPr>
                <w:i/>
                <w:sz w:val="17"/>
              </w:rPr>
            </w:pPr>
            <w:r>
              <w:rPr>
                <w:i/>
                <w:w w:val="105"/>
                <w:sz w:val="17"/>
              </w:rPr>
              <w:t>Nivel 3</w:t>
            </w:r>
          </w:p>
        </w:tc>
        <w:tc>
          <w:tcPr>
            <w:tcW w:w="678" w:type="dxa"/>
            <w:tcBorders>
              <w:right w:val="nil"/>
            </w:tcBorders>
          </w:tcPr>
          <w:p>
            <w:pPr>
              <w:pStyle w:val="TableParagraph"/>
              <w:spacing w:line="194" w:lineRule="exact"/>
              <w:ind w:right="220"/>
              <w:jc w:val="right"/>
              <w:rPr>
                <w:i/>
                <w:sz w:val="17"/>
              </w:rPr>
            </w:pPr>
            <w:r>
              <w:rPr>
                <w:i/>
                <w:sz w:val="17"/>
              </w:rPr>
              <w:t>27</w:t>
            </w:r>
          </w:p>
        </w:tc>
        <w:tc>
          <w:tcPr>
            <w:tcW w:w="733" w:type="dxa"/>
            <w:tcBorders>
              <w:left w:val="nil"/>
              <w:right w:val="nil"/>
            </w:tcBorders>
          </w:tcPr>
          <w:p>
            <w:pPr>
              <w:pStyle w:val="TableParagraph"/>
              <w:spacing w:line="194" w:lineRule="exact"/>
              <w:ind w:left="197" w:right="148"/>
              <w:jc w:val="center"/>
              <w:rPr>
                <w:i/>
                <w:sz w:val="17"/>
              </w:rPr>
            </w:pPr>
            <w:r>
              <w:rPr>
                <w:i/>
                <w:w w:val="105"/>
                <w:sz w:val="17"/>
              </w:rPr>
              <w:t>14.8</w:t>
            </w:r>
          </w:p>
        </w:tc>
      </w:tr>
      <w:tr>
        <w:trPr>
          <w:trHeight w:val="437" w:hRule="exact"/>
        </w:trPr>
        <w:tc>
          <w:tcPr>
            <w:tcW w:w="1224" w:type="dxa"/>
            <w:gridSpan w:val="2"/>
            <w:tcBorders>
              <w:left w:val="nil"/>
            </w:tcBorders>
          </w:tcPr>
          <w:p>
            <w:pPr>
              <w:pStyle w:val="TableParagraph"/>
              <w:spacing w:before="3"/>
              <w:ind w:left="350"/>
              <w:rPr>
                <w:i/>
                <w:sz w:val="17"/>
              </w:rPr>
            </w:pPr>
            <w:r>
              <w:rPr>
                <w:i/>
                <w:w w:val="105"/>
                <w:sz w:val="17"/>
              </w:rPr>
              <w:t>Nivel 4</w:t>
            </w:r>
          </w:p>
        </w:tc>
        <w:tc>
          <w:tcPr>
            <w:tcW w:w="678" w:type="dxa"/>
            <w:tcBorders>
              <w:right w:val="nil"/>
            </w:tcBorders>
          </w:tcPr>
          <w:p>
            <w:pPr>
              <w:pStyle w:val="TableParagraph"/>
              <w:spacing w:before="3"/>
              <w:ind w:right="220"/>
              <w:jc w:val="right"/>
              <w:rPr>
                <w:i/>
                <w:sz w:val="17"/>
              </w:rPr>
            </w:pPr>
            <w:r>
              <w:rPr>
                <w:i/>
                <w:sz w:val="17"/>
              </w:rPr>
              <w:t>20</w:t>
            </w:r>
          </w:p>
        </w:tc>
        <w:tc>
          <w:tcPr>
            <w:tcW w:w="733" w:type="dxa"/>
            <w:tcBorders>
              <w:left w:val="nil"/>
              <w:right w:val="nil"/>
            </w:tcBorders>
          </w:tcPr>
          <w:p>
            <w:pPr>
              <w:pStyle w:val="TableParagraph"/>
              <w:spacing w:before="3"/>
              <w:ind w:left="186" w:right="148"/>
              <w:jc w:val="center"/>
              <w:rPr>
                <w:i/>
                <w:sz w:val="17"/>
              </w:rPr>
            </w:pPr>
            <w:r>
              <w:rPr>
                <w:i/>
                <w:w w:val="105"/>
                <w:sz w:val="17"/>
              </w:rPr>
              <w:t>3.2</w:t>
            </w:r>
          </w:p>
        </w:tc>
      </w:tr>
      <w:tr>
        <w:trPr>
          <w:trHeight w:val="437" w:hRule="exact"/>
        </w:trPr>
        <w:tc>
          <w:tcPr>
            <w:tcW w:w="1224" w:type="dxa"/>
            <w:gridSpan w:val="2"/>
            <w:tcBorders>
              <w:left w:val="nil"/>
            </w:tcBorders>
          </w:tcPr>
          <w:p>
            <w:pPr>
              <w:pStyle w:val="TableParagraph"/>
              <w:spacing w:line="194" w:lineRule="exact"/>
              <w:ind w:left="350"/>
              <w:rPr>
                <w:i/>
                <w:sz w:val="17"/>
              </w:rPr>
            </w:pPr>
            <w:r>
              <w:rPr>
                <w:i/>
                <w:w w:val="105"/>
                <w:sz w:val="17"/>
              </w:rPr>
              <w:t>Nivel 5</w:t>
            </w:r>
          </w:p>
        </w:tc>
        <w:tc>
          <w:tcPr>
            <w:tcW w:w="678" w:type="dxa"/>
            <w:tcBorders>
              <w:right w:val="nil"/>
            </w:tcBorders>
          </w:tcPr>
          <w:p>
            <w:pPr>
              <w:pStyle w:val="TableParagraph"/>
              <w:spacing w:line="194" w:lineRule="exact"/>
              <w:ind w:right="260"/>
              <w:jc w:val="right"/>
              <w:rPr>
                <w:i/>
                <w:sz w:val="17"/>
              </w:rPr>
            </w:pPr>
            <w:r>
              <w:rPr>
                <w:i/>
                <w:w w:val="104"/>
                <w:sz w:val="17"/>
              </w:rPr>
              <w:t>8</w:t>
            </w:r>
          </w:p>
        </w:tc>
        <w:tc>
          <w:tcPr>
            <w:tcW w:w="733" w:type="dxa"/>
            <w:tcBorders>
              <w:left w:val="nil"/>
              <w:right w:val="nil"/>
            </w:tcBorders>
          </w:tcPr>
          <w:p>
            <w:pPr>
              <w:pStyle w:val="TableParagraph"/>
              <w:spacing w:line="194" w:lineRule="exact"/>
              <w:ind w:left="186" w:right="148"/>
              <w:jc w:val="center"/>
              <w:rPr>
                <w:i/>
                <w:sz w:val="17"/>
              </w:rPr>
            </w:pPr>
            <w:r>
              <w:rPr>
                <w:i/>
                <w:w w:val="105"/>
                <w:sz w:val="17"/>
              </w:rPr>
              <w:t>0.3</w:t>
            </w:r>
          </w:p>
        </w:tc>
      </w:tr>
      <w:tr>
        <w:trPr>
          <w:trHeight w:val="437" w:hRule="exact"/>
        </w:trPr>
        <w:tc>
          <w:tcPr>
            <w:tcW w:w="1224" w:type="dxa"/>
            <w:gridSpan w:val="2"/>
            <w:tcBorders>
              <w:left w:val="nil"/>
            </w:tcBorders>
          </w:tcPr>
          <w:p>
            <w:pPr>
              <w:pStyle w:val="TableParagraph"/>
              <w:spacing w:line="194" w:lineRule="exact"/>
              <w:ind w:left="350"/>
              <w:rPr>
                <w:i/>
                <w:sz w:val="17"/>
              </w:rPr>
            </w:pPr>
            <w:r>
              <w:rPr>
                <w:i/>
                <w:w w:val="105"/>
                <w:sz w:val="17"/>
              </w:rPr>
              <w:t>Nivel 6</w:t>
            </w:r>
          </w:p>
        </w:tc>
        <w:tc>
          <w:tcPr>
            <w:tcW w:w="678" w:type="dxa"/>
            <w:tcBorders>
              <w:right w:val="nil"/>
            </w:tcBorders>
          </w:tcPr>
          <w:p>
            <w:pPr>
              <w:pStyle w:val="TableParagraph"/>
              <w:spacing w:line="194" w:lineRule="exact"/>
              <w:ind w:right="260"/>
              <w:jc w:val="right"/>
              <w:rPr>
                <w:i/>
                <w:sz w:val="17"/>
              </w:rPr>
            </w:pPr>
            <w:r>
              <w:rPr>
                <w:i/>
                <w:w w:val="104"/>
                <w:sz w:val="17"/>
              </w:rPr>
              <w:t>2</w:t>
            </w:r>
          </w:p>
        </w:tc>
        <w:tc>
          <w:tcPr>
            <w:tcW w:w="733" w:type="dxa"/>
            <w:tcBorders>
              <w:left w:val="nil"/>
              <w:right w:val="nil"/>
            </w:tcBorders>
          </w:tcPr>
          <w:p>
            <w:pPr>
              <w:pStyle w:val="TableParagraph"/>
              <w:spacing w:line="194" w:lineRule="exact"/>
              <w:ind w:left="44"/>
              <w:jc w:val="center"/>
              <w:rPr>
                <w:i/>
                <w:sz w:val="17"/>
              </w:rPr>
            </w:pPr>
            <w:r>
              <w:rPr>
                <w:i/>
                <w:w w:val="104"/>
                <w:sz w:val="17"/>
              </w:rPr>
              <w:t>0</w:t>
            </w:r>
          </w:p>
        </w:tc>
      </w:tr>
    </w:tbl>
    <w:p>
      <w:pPr>
        <w:pStyle w:val="BodyText"/>
        <w:rPr>
          <w:i/>
          <w:sz w:val="18"/>
        </w:rPr>
      </w:pPr>
    </w:p>
    <w:p>
      <w:pPr>
        <w:pStyle w:val="BodyText"/>
        <w:rPr>
          <w:i/>
          <w:sz w:val="18"/>
        </w:rPr>
      </w:pPr>
    </w:p>
    <w:p>
      <w:pPr>
        <w:pStyle w:val="BodyText"/>
        <w:rPr>
          <w:i/>
          <w:sz w:val="18"/>
        </w:rPr>
      </w:pPr>
    </w:p>
    <w:p>
      <w:pPr>
        <w:spacing w:before="132"/>
        <w:ind w:left="2535" w:right="189" w:firstLine="0"/>
        <w:jc w:val="left"/>
        <w:rPr>
          <w:sz w:val="19"/>
        </w:rPr>
      </w:pPr>
      <w:r>
        <w:rPr>
          <w:b/>
          <w:w w:val="105"/>
          <w:sz w:val="19"/>
        </w:rPr>
        <w:t>FUENTE: </w:t>
      </w:r>
      <w:r>
        <w:rPr>
          <w:w w:val="105"/>
          <w:sz w:val="19"/>
        </w:rPr>
        <w:t>OCDE (2007) y OCDE, 2010: 48</w:t>
      </w:r>
    </w:p>
    <w:p>
      <w:pPr>
        <w:pStyle w:val="BodyText"/>
        <w:rPr>
          <w:sz w:val="20"/>
        </w:rPr>
      </w:pPr>
    </w:p>
    <w:p>
      <w:pPr>
        <w:pStyle w:val="BodyText"/>
        <w:rPr>
          <w:sz w:val="20"/>
        </w:rPr>
      </w:pPr>
    </w:p>
    <w:p>
      <w:pPr>
        <w:pStyle w:val="BodyText"/>
        <w:rPr>
          <w:sz w:val="20"/>
        </w:rPr>
      </w:pPr>
    </w:p>
    <w:p>
      <w:pPr>
        <w:pStyle w:val="BodyText"/>
        <w:spacing w:before="8"/>
        <w:rPr>
          <w:sz w:val="15"/>
        </w:rPr>
      </w:pPr>
    </w:p>
    <w:p>
      <w:pPr>
        <w:pStyle w:val="BodyText"/>
        <w:spacing w:line="364" w:lineRule="auto" w:before="73"/>
        <w:ind w:left="115" w:right="189" w:firstLine="686"/>
      </w:pPr>
      <w:r>
        <w:rPr/>
        <w:t>No sólo hay una gran distancia en cuanto al aprovechamiento escolar que separa a México </w:t>
      </w:r>
      <w:r>
        <w:rPr>
          <w:spacing w:val="2"/>
        </w:rPr>
        <w:t>de </w:t>
      </w:r>
      <w:r>
        <w:rPr/>
        <w:t>otros países </w:t>
      </w:r>
      <w:r>
        <w:rPr>
          <w:spacing w:val="-3"/>
        </w:rPr>
        <w:t>del </w:t>
      </w:r>
      <w:r>
        <w:rPr/>
        <w:t>mundo. También hay una brecha en </w:t>
      </w:r>
      <w:r>
        <w:rPr>
          <w:spacing w:val="-5"/>
        </w:rPr>
        <w:t>la  </w:t>
      </w:r>
      <w:r>
        <w:rPr>
          <w:spacing w:val="46"/>
        </w:rPr>
        <w:t> </w:t>
      </w:r>
      <w:r>
        <w:rPr/>
        <w:t>visión,</w:t>
      </w:r>
    </w:p>
    <w:p>
      <w:pPr>
        <w:spacing w:after="0" w:line="364" w:lineRule="auto"/>
        <w:sectPr>
          <w:pgSz w:w="11910" w:h="16840"/>
          <w:pgMar w:header="0" w:footer="1457" w:top="1580" w:bottom="1640" w:left="1540" w:right="1140"/>
        </w:sectPr>
      </w:pPr>
    </w:p>
    <w:p>
      <w:pPr>
        <w:pStyle w:val="BodyText"/>
        <w:rPr>
          <w:sz w:val="20"/>
        </w:rPr>
      </w:pPr>
    </w:p>
    <w:p>
      <w:pPr>
        <w:pStyle w:val="BodyText"/>
        <w:spacing w:before="2"/>
        <w:rPr>
          <w:sz w:val="16"/>
        </w:rPr>
      </w:pPr>
    </w:p>
    <w:p>
      <w:pPr>
        <w:spacing w:line="369" w:lineRule="auto" w:before="74"/>
        <w:ind w:left="115" w:right="191" w:firstLine="0"/>
        <w:jc w:val="left"/>
        <w:rPr>
          <w:sz w:val="19"/>
        </w:rPr>
      </w:pPr>
      <w:r>
        <w:rPr>
          <w:sz w:val="23"/>
        </w:rPr>
        <w:t>corresponsabilidad y servicio de urgencia de nuestra nación para poner el tema educativo como prioridad   </w:t>
      </w:r>
      <w:r>
        <w:rPr>
          <w:sz w:val="19"/>
        </w:rPr>
        <w:t>(Mexicanos Primero: 2010: 1).</w:t>
      </w:r>
    </w:p>
    <w:p>
      <w:pPr>
        <w:pStyle w:val="BodyText"/>
        <w:spacing w:before="4"/>
      </w:pPr>
    </w:p>
    <w:p>
      <w:pPr>
        <w:pStyle w:val="BodyText"/>
        <w:spacing w:line="364" w:lineRule="auto"/>
        <w:ind w:left="115" w:right="107" w:firstLine="686"/>
        <w:jc w:val="both"/>
      </w:pPr>
      <w:r>
        <w:rPr/>
        <w:t>Visto hacia el interior y como comparativo proporcional y paralelo de los resultados anteriormente expuestos, </w:t>
      </w:r>
      <w:r>
        <w:rPr>
          <w:spacing w:val="-3"/>
        </w:rPr>
        <w:t>tenemos </w:t>
      </w:r>
      <w:r>
        <w:rPr/>
        <w:t>los resultados para Lectura de </w:t>
      </w:r>
      <w:r>
        <w:rPr>
          <w:spacing w:val="-4"/>
        </w:rPr>
        <w:t>la </w:t>
      </w:r>
      <w:r>
        <w:rPr/>
        <w:t>prueba ENLACE, que muestran que un </w:t>
      </w:r>
      <w:r>
        <w:rPr>
          <w:spacing w:val="-3"/>
        </w:rPr>
        <w:t>quinto </w:t>
      </w:r>
      <w:r>
        <w:rPr>
          <w:spacing w:val="2"/>
        </w:rPr>
        <w:t>de </w:t>
      </w:r>
      <w:r>
        <w:rPr>
          <w:spacing w:val="-3"/>
        </w:rPr>
        <w:t>los </w:t>
      </w:r>
      <w:r>
        <w:rPr/>
        <w:t>alumnos de primaria y prácticamente </w:t>
      </w:r>
      <w:r>
        <w:rPr>
          <w:spacing w:val="-4"/>
        </w:rPr>
        <w:t>la </w:t>
      </w:r>
      <w:r>
        <w:rPr/>
        <w:t>mitad de los de secundaria y preparatoria están en el nivel de insuficiente. Con los últimos datos de </w:t>
      </w:r>
      <w:r>
        <w:rPr>
          <w:spacing w:val="-3"/>
        </w:rPr>
        <w:t>PISA </w:t>
      </w:r>
      <w:r>
        <w:rPr/>
        <w:t>se confirma el insatisfactorio logro de aprendizaje: más </w:t>
      </w:r>
      <w:r>
        <w:rPr>
          <w:spacing w:val="3"/>
        </w:rPr>
        <w:t>de </w:t>
      </w:r>
      <w:r>
        <w:rPr>
          <w:spacing w:val="-3"/>
        </w:rPr>
        <w:t>la </w:t>
      </w:r>
      <w:r>
        <w:rPr/>
        <w:t>mitad de los estudiantes mexicanos </w:t>
      </w:r>
      <w:r>
        <w:rPr>
          <w:spacing w:val="-3"/>
        </w:rPr>
        <w:t>que  </w:t>
      </w:r>
      <w:r>
        <w:rPr/>
        <w:t>aplicaron  </w:t>
      </w:r>
      <w:r>
        <w:rPr>
          <w:spacing w:val="-5"/>
        </w:rPr>
        <w:t>la  </w:t>
      </w:r>
      <w:r>
        <w:rPr/>
        <w:t>prueba se ubican en los niveles 0 y 1, de los seis niveles que contempla la prueba; es decir, más del 50% de los estudiantes mexicanos de 15 años se encuentran sin las habilidades mínimas para enfrentar las demandas del mundo contemporáneo  en términos académicos”(Mexicanos Primero, 2009:</w:t>
      </w:r>
      <w:r>
        <w:rPr>
          <w:spacing w:val="57"/>
        </w:rPr>
        <w:t> </w:t>
      </w:r>
      <w:r>
        <w:rPr/>
        <w:t>6).</w:t>
      </w:r>
    </w:p>
    <w:p>
      <w:pPr>
        <w:pStyle w:val="BodyText"/>
        <w:spacing w:before="2"/>
        <w:rPr>
          <w:sz w:val="24"/>
        </w:rPr>
      </w:pPr>
    </w:p>
    <w:p>
      <w:pPr>
        <w:spacing w:before="0"/>
        <w:ind w:left="2056" w:right="2052" w:firstLine="0"/>
        <w:jc w:val="center"/>
        <w:rPr>
          <w:b/>
          <w:sz w:val="21"/>
        </w:rPr>
      </w:pPr>
      <w:r>
        <w:rPr>
          <w:b/>
          <w:sz w:val="21"/>
        </w:rPr>
        <w:t>Gráfica N° 3</w:t>
      </w:r>
    </w:p>
    <w:p>
      <w:pPr>
        <w:spacing w:before="8"/>
        <w:ind w:left="8" w:right="0" w:firstLine="0"/>
        <w:jc w:val="center"/>
        <w:rPr>
          <w:b/>
          <w:sz w:val="21"/>
        </w:rPr>
      </w:pPr>
      <w:r>
        <w:rPr>
          <w:b/>
          <w:sz w:val="21"/>
        </w:rPr>
        <w:t>Porcentaje de alumnos nivel 0 en lectura (PISA  2006)</w:t>
      </w:r>
    </w:p>
    <w:p>
      <w:pPr>
        <w:pStyle w:val="BodyText"/>
        <w:rPr>
          <w:b/>
          <w:sz w:val="20"/>
        </w:rPr>
      </w:pPr>
    </w:p>
    <w:p>
      <w:pPr>
        <w:pStyle w:val="BodyText"/>
        <w:spacing w:before="10"/>
        <w:rPr>
          <w:b/>
          <w:sz w:val="24"/>
        </w:rPr>
      </w:pPr>
      <w:r>
        <w:rPr/>
        <w:drawing>
          <wp:anchor distT="0" distB="0" distL="0" distR="0" allowOverlap="1" layoutInCell="1" locked="0" behindDoc="0" simplePos="0" relativeHeight="2896">
            <wp:simplePos x="0" y="0"/>
            <wp:positionH relativeFrom="page">
              <wp:posOffset>1054595</wp:posOffset>
            </wp:positionH>
            <wp:positionV relativeFrom="paragraph">
              <wp:posOffset>206741</wp:posOffset>
            </wp:positionV>
            <wp:extent cx="5370584" cy="3145536"/>
            <wp:effectExtent l="0" t="0" r="0" b="0"/>
            <wp:wrapTopAndBottom/>
            <wp:docPr id="7" name="image19.png" descr=""/>
            <wp:cNvGraphicFramePr>
              <a:graphicFrameLocks noChangeAspect="1"/>
            </wp:cNvGraphicFramePr>
            <a:graphic>
              <a:graphicData uri="http://schemas.openxmlformats.org/drawingml/2006/picture">
                <pic:pic>
                  <pic:nvPicPr>
                    <pic:cNvPr id="8" name="image19.png"/>
                    <pic:cNvPicPr/>
                  </pic:nvPicPr>
                  <pic:blipFill>
                    <a:blip r:embed="rId60" cstate="print"/>
                    <a:stretch>
                      <a:fillRect/>
                    </a:stretch>
                  </pic:blipFill>
                  <pic:spPr>
                    <a:xfrm>
                      <a:off x="0" y="0"/>
                      <a:ext cx="5370584" cy="3145536"/>
                    </a:xfrm>
                    <a:prstGeom prst="rect">
                      <a:avLst/>
                    </a:prstGeom>
                  </pic:spPr>
                </pic:pic>
              </a:graphicData>
            </a:graphic>
          </wp:anchor>
        </w:drawing>
      </w:r>
    </w:p>
    <w:p>
      <w:pPr>
        <w:pStyle w:val="BodyText"/>
        <w:rPr>
          <w:b/>
          <w:sz w:val="15"/>
        </w:rPr>
      </w:pPr>
    </w:p>
    <w:p>
      <w:pPr>
        <w:spacing w:before="81"/>
        <w:ind w:left="2727" w:right="191" w:firstLine="0"/>
        <w:jc w:val="left"/>
        <w:rPr>
          <w:sz w:val="19"/>
        </w:rPr>
      </w:pPr>
      <w:r>
        <w:rPr>
          <w:b/>
          <w:w w:val="105"/>
          <w:sz w:val="19"/>
        </w:rPr>
        <w:t>FUENTE: </w:t>
      </w:r>
      <w:r>
        <w:rPr>
          <w:w w:val="105"/>
          <w:sz w:val="19"/>
        </w:rPr>
        <w:t>Mexicanos Primero, 2010: 9</w:t>
      </w:r>
    </w:p>
    <w:p>
      <w:pPr>
        <w:spacing w:after="0"/>
        <w:jc w:val="left"/>
        <w:rPr>
          <w:sz w:val="19"/>
        </w:rPr>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6" w:right="110" w:firstLine="686"/>
        <w:jc w:val="both"/>
      </w:pPr>
      <w:r>
        <w:rPr/>
        <w:t>México ha aumentado </w:t>
      </w:r>
      <w:r>
        <w:rPr>
          <w:spacing w:val="-5"/>
        </w:rPr>
        <w:t>la </w:t>
      </w:r>
      <w:r>
        <w:rPr/>
        <w:t>inversión en educación de manera constante, no sólo en términos absolutos, sino también en términos del porcentaje del PIB dedicado a la educación. Con un 21.7%, </w:t>
      </w:r>
      <w:r>
        <w:rPr>
          <w:spacing w:val="-4"/>
        </w:rPr>
        <w:t>la </w:t>
      </w:r>
      <w:r>
        <w:rPr/>
        <w:t>proporción del gasto público invertido  en educación es una </w:t>
      </w:r>
      <w:r>
        <w:rPr>
          <w:spacing w:val="-3"/>
        </w:rPr>
        <w:t>de </w:t>
      </w:r>
      <w:r>
        <w:rPr/>
        <w:t>las </w:t>
      </w:r>
      <w:r>
        <w:rPr>
          <w:spacing w:val="-3"/>
        </w:rPr>
        <w:t>más </w:t>
      </w:r>
      <w:r>
        <w:rPr/>
        <w:t>grandes entre los países de la OCDE (13.3% </w:t>
      </w:r>
      <w:r>
        <w:rPr>
          <w:spacing w:val="-4"/>
        </w:rPr>
        <w:t>es  </w:t>
      </w:r>
      <w:r>
        <w:rPr>
          <w:spacing w:val="55"/>
        </w:rPr>
        <w:t> </w:t>
      </w:r>
      <w:r>
        <w:rPr/>
        <w:t>el promedio </w:t>
      </w:r>
      <w:r>
        <w:rPr>
          <w:spacing w:val="3"/>
        </w:rPr>
        <w:t>de </w:t>
      </w:r>
      <w:r>
        <w:rPr/>
        <w:t>la</w:t>
      </w:r>
      <w:r>
        <w:rPr>
          <w:spacing w:val="14"/>
        </w:rPr>
        <w:t> </w:t>
      </w:r>
      <w:r>
        <w:rPr/>
        <w:t>OCDE).</w:t>
      </w:r>
    </w:p>
    <w:p>
      <w:pPr>
        <w:pStyle w:val="BodyText"/>
        <w:spacing w:line="364" w:lineRule="auto" w:before="5"/>
        <w:ind w:left="116" w:right="107" w:firstLine="686"/>
        <w:jc w:val="both"/>
      </w:pPr>
      <w:r>
        <w:rPr/>
        <w:t>De hecho, basado en estas cifras, el compromiso económico del gobierno mexicano está por encima del de </w:t>
      </w:r>
      <w:r>
        <w:rPr>
          <w:spacing w:val="-5"/>
        </w:rPr>
        <w:t>la </w:t>
      </w:r>
      <w:r>
        <w:rPr/>
        <w:t>mayoría </w:t>
      </w:r>
      <w:r>
        <w:rPr>
          <w:spacing w:val="3"/>
        </w:rPr>
        <w:t>de </w:t>
      </w:r>
      <w:r>
        <w:rPr/>
        <w:t>los países de la OCDE. Sin embargo, el tamaño </w:t>
      </w:r>
      <w:r>
        <w:rPr>
          <w:spacing w:val="2"/>
        </w:rPr>
        <w:t>de </w:t>
      </w:r>
      <w:r>
        <w:rPr>
          <w:spacing w:val="3"/>
        </w:rPr>
        <w:t>su </w:t>
      </w:r>
      <w:r>
        <w:rPr/>
        <w:t>población joven hace que </w:t>
      </w:r>
      <w:r>
        <w:rPr>
          <w:spacing w:val="-3"/>
        </w:rPr>
        <w:t>la </w:t>
      </w:r>
      <w:r>
        <w:rPr/>
        <w:t>cantidad gastada por estudiante resulte más bien baja. El gasto por estudiante sigue siendo bajo  para  los estándares internacionales. </w:t>
      </w:r>
      <w:r>
        <w:rPr>
          <w:spacing w:val="3"/>
        </w:rPr>
        <w:t>El </w:t>
      </w:r>
      <w:r>
        <w:rPr/>
        <w:t>gasto por estudiante en educación primaria en México es de 2 mil 11 dólares  estadounidenses  (ajustados según las  diferencias en </w:t>
      </w:r>
      <w:r>
        <w:rPr>
          <w:spacing w:val="-4"/>
        </w:rPr>
        <w:t>la </w:t>
      </w:r>
      <w:r>
        <w:rPr/>
        <w:t>paridad del poder adquisitivo en 2010), ni siquiera un tercio </w:t>
      </w:r>
      <w:r>
        <w:rPr>
          <w:spacing w:val="3"/>
        </w:rPr>
        <w:t>del </w:t>
      </w:r>
      <w:r>
        <w:rPr/>
        <w:t>promedio de   </w:t>
      </w:r>
      <w:r>
        <w:rPr>
          <w:spacing w:val="-5"/>
        </w:rPr>
        <w:t>la </w:t>
      </w:r>
      <w:r>
        <w:rPr/>
        <w:t>OCDE (6 mil 741 dólares</w:t>
      </w:r>
      <w:r>
        <w:rPr>
          <w:spacing w:val="61"/>
        </w:rPr>
        <w:t> </w:t>
      </w:r>
      <w:r>
        <w:rPr/>
        <w:t>estadounidenses).</w:t>
      </w:r>
    </w:p>
    <w:p>
      <w:pPr>
        <w:pStyle w:val="BodyText"/>
        <w:spacing w:line="364" w:lineRule="auto" w:before="10"/>
        <w:ind w:left="116" w:right="104" w:firstLine="686"/>
        <w:jc w:val="both"/>
      </w:pPr>
      <w:r>
        <w:rPr/>
        <w:t>El gasto por estudiante en educación media básica (1,814 dólares estadounidenses) </w:t>
      </w:r>
      <w:r>
        <w:rPr>
          <w:spacing w:val="-3"/>
        </w:rPr>
        <w:t>es  un </w:t>
      </w:r>
      <w:r>
        <w:rPr/>
        <w:t>poco más </w:t>
      </w:r>
      <w:r>
        <w:rPr>
          <w:spacing w:val="2"/>
        </w:rPr>
        <w:t>de </w:t>
      </w:r>
      <w:r>
        <w:rPr/>
        <w:t>una cuarta parte del promedio de la OCDE  de 7 mil 598 dólares estadounidenses. Aunque esto refleje en parte la estructura demográfica de </w:t>
      </w:r>
      <w:r>
        <w:rPr>
          <w:spacing w:val="-4"/>
        </w:rPr>
        <w:t>la </w:t>
      </w:r>
      <w:r>
        <w:rPr/>
        <w:t>población mexicana, que es </w:t>
      </w:r>
      <w:r>
        <w:rPr>
          <w:spacing w:val="-3"/>
        </w:rPr>
        <w:t>más </w:t>
      </w:r>
      <w:r>
        <w:rPr/>
        <w:t>joven que la población de </w:t>
      </w:r>
      <w:r>
        <w:rPr>
          <w:spacing w:val="-5"/>
        </w:rPr>
        <w:t>la </w:t>
      </w:r>
      <w:r>
        <w:rPr/>
        <w:t>mayoría de los países de la OCDE, hay una urgente necesidad de analizar cómo optimizar el gasto para aumentar la eficacia de la inversión en educación.(OCDE, 2010b, Education at a Glance 2010: OCDE Indicators, OCDE, </w:t>
      </w:r>
      <w:r>
        <w:rPr>
          <w:spacing w:val="9"/>
        </w:rPr>
        <w:t> </w:t>
      </w:r>
      <w:r>
        <w:rPr/>
        <w:t>París).</w:t>
      </w:r>
    </w:p>
    <w:p>
      <w:pPr>
        <w:pStyle w:val="BodyText"/>
        <w:spacing w:line="364" w:lineRule="auto" w:before="5"/>
        <w:ind w:left="116" w:right="103"/>
        <w:jc w:val="both"/>
      </w:pPr>
      <w:r>
        <w:rPr/>
        <w:t>Comparada con otros países de </w:t>
      </w:r>
      <w:r>
        <w:rPr>
          <w:spacing w:val="-3"/>
        </w:rPr>
        <w:t>la </w:t>
      </w:r>
      <w:r>
        <w:rPr/>
        <w:t>OCDE, </w:t>
      </w:r>
      <w:r>
        <w:rPr>
          <w:spacing w:val="-3"/>
        </w:rPr>
        <w:t>la  </w:t>
      </w:r>
      <w:r>
        <w:rPr/>
        <w:t>remuneración del personal absorbe  un porcentaje muy elevado del gasto en educación (92.2%) en los niveles de primaria, secundaria y postsecundaria no terciaria, mientras que otros gastos corrientes, por </w:t>
      </w:r>
      <w:r>
        <w:rPr>
          <w:spacing w:val="-3"/>
        </w:rPr>
        <w:t>ejemplo, </w:t>
      </w:r>
      <w:r>
        <w:rPr/>
        <w:t>los materiales didácticos, representan una parte muy pequeña del gasto total (7.8%). (OCDE, 2010:</w:t>
      </w:r>
      <w:r>
        <w:rPr>
          <w:spacing w:val="51"/>
        </w:rPr>
        <w:t> </w:t>
      </w:r>
      <w:r>
        <w:rPr/>
        <w:t>53).</w:t>
      </w:r>
    </w:p>
    <w:p>
      <w:pPr>
        <w:pStyle w:val="BodyText"/>
        <w:spacing w:line="367" w:lineRule="auto"/>
        <w:ind w:left="116" w:right="105" w:firstLine="686"/>
        <w:jc w:val="both"/>
      </w:pPr>
      <w:r>
        <w:rPr/>
        <w:t>Del mismo modo, el gasto corriente total representa el 97.5% del gasto total de México, y los gastos en inversión de capital sólo el 2.5%. Este </w:t>
      </w:r>
      <w:r>
        <w:rPr>
          <w:spacing w:val="-3"/>
        </w:rPr>
        <w:t>es </w:t>
      </w:r>
      <w:r>
        <w:rPr/>
        <w:t>el segundo gasto corriente más alto, después de Portugal, entre los países de </w:t>
      </w:r>
      <w:r>
        <w:rPr>
          <w:spacing w:val="-3"/>
        </w:rPr>
        <w:t>la  </w:t>
      </w:r>
      <w:r>
        <w:rPr/>
        <w:t>OCDE (OCDE, 2010b). Que </w:t>
      </w:r>
      <w:r>
        <w:rPr>
          <w:spacing w:val="-3"/>
        </w:rPr>
        <w:t>las </w:t>
      </w:r>
      <w:r>
        <w:rPr/>
        <w:t>escuelas dependan de las donaciones de </w:t>
      </w:r>
      <w:r>
        <w:rPr>
          <w:spacing w:val="-3"/>
        </w:rPr>
        <w:t>los </w:t>
      </w:r>
      <w:r>
        <w:rPr/>
        <w:t>padres de familia significa que las escuelas que atienden a comunidades más prosperas reciben más  dinero, mientras  que </w:t>
      </w:r>
      <w:r>
        <w:rPr>
          <w:spacing w:val="-3"/>
        </w:rPr>
        <w:t>las  </w:t>
      </w:r>
      <w:r>
        <w:rPr/>
        <w:t>escuelas  que atienden  a </w:t>
      </w:r>
      <w:r>
        <w:rPr>
          <w:spacing w:val="-3"/>
        </w:rPr>
        <w:t>los  </w:t>
      </w:r>
      <w:r>
        <w:rPr/>
        <w:t>niños de   </w:t>
      </w:r>
      <w:r>
        <w:rPr>
          <w:spacing w:val="40"/>
        </w:rPr>
        <w:t> </w:t>
      </w:r>
      <w:r>
        <w:rPr>
          <w:spacing w:val="-2"/>
        </w:rPr>
        <w:t>las</w:t>
      </w:r>
    </w:p>
    <w:p>
      <w:pPr>
        <w:spacing w:after="0" w:line="367"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9" w:lineRule="auto" w:before="74"/>
        <w:ind w:left="115"/>
      </w:pPr>
      <w:r>
        <w:rPr/>
        <w:t>familias pobres reciben menos. Esto ha dado lugar a una injusticia endémica enquistada en el sistema.(OCDE, 2010:</w:t>
      </w:r>
      <w:r>
        <w:rPr>
          <w:spacing w:val="56"/>
        </w:rPr>
        <w:t> </w:t>
      </w:r>
      <w:r>
        <w:rPr>
          <w:spacing w:val="-3"/>
        </w:rPr>
        <w:t>52).</w:t>
      </w:r>
    </w:p>
    <w:p>
      <w:pPr>
        <w:pStyle w:val="BodyText"/>
        <w:spacing w:line="364" w:lineRule="auto"/>
        <w:ind w:left="115" w:right="166" w:firstLine="686"/>
        <w:jc w:val="both"/>
      </w:pPr>
      <w:r>
        <w:rPr/>
        <w:t>Si se analiza </w:t>
      </w:r>
      <w:r>
        <w:rPr>
          <w:spacing w:val="2"/>
        </w:rPr>
        <w:t>con </w:t>
      </w:r>
      <w:r>
        <w:rPr/>
        <w:t>más detalle el gasto educativo  en México, se concluye  que en el nivel de educación primaria sólo </w:t>
      </w:r>
      <w:r>
        <w:rPr>
          <w:spacing w:val="2"/>
        </w:rPr>
        <w:t>el </w:t>
      </w:r>
      <w:r>
        <w:rPr/>
        <w:t>1.9% del gasto </w:t>
      </w:r>
      <w:r>
        <w:rPr>
          <w:spacing w:val="3"/>
        </w:rPr>
        <w:t>se </w:t>
      </w:r>
      <w:r>
        <w:rPr/>
        <w:t>dedica al gasto de capital, cuando el promedio de la OCDE es de 7.8%y en el nivel de educación media, el gasto </w:t>
      </w:r>
      <w:r>
        <w:rPr>
          <w:spacing w:val="-4"/>
        </w:rPr>
        <w:t>es </w:t>
      </w:r>
      <w:r>
        <w:rPr/>
        <w:t>del 3.2%, cuando el promedio de </w:t>
      </w:r>
      <w:r>
        <w:rPr>
          <w:spacing w:val="-5"/>
        </w:rPr>
        <w:t>la </w:t>
      </w:r>
      <w:r>
        <w:rPr/>
        <w:t>OCDE </w:t>
      </w:r>
      <w:r>
        <w:rPr>
          <w:spacing w:val="-3"/>
        </w:rPr>
        <w:t>es </w:t>
      </w:r>
      <w:r>
        <w:rPr/>
        <w:t>de 7.4%.(OCDE 2010b) (OCDE, 2010:</w:t>
      </w:r>
      <w:r>
        <w:rPr>
          <w:spacing w:val="27"/>
        </w:rPr>
        <w:t> </w:t>
      </w:r>
      <w:r>
        <w:rPr/>
        <w:t>53).</w:t>
      </w:r>
    </w:p>
    <w:p>
      <w:pPr>
        <w:pStyle w:val="BodyText"/>
        <w:spacing w:before="6"/>
        <w:rPr>
          <w:sz w:val="32"/>
        </w:rPr>
      </w:pPr>
    </w:p>
    <w:p>
      <w:pPr>
        <w:spacing w:before="0"/>
        <w:ind w:left="589" w:right="642" w:firstLine="0"/>
        <w:jc w:val="center"/>
        <w:rPr>
          <w:b/>
          <w:sz w:val="21"/>
        </w:rPr>
      </w:pPr>
      <w:r>
        <w:rPr>
          <w:b/>
          <w:sz w:val="21"/>
        </w:rPr>
        <w:t>Gráfica Nº 4</w:t>
      </w:r>
    </w:p>
    <w:p>
      <w:pPr>
        <w:spacing w:line="252" w:lineRule="auto" w:before="3"/>
        <w:ind w:left="646" w:right="642" w:firstLine="0"/>
        <w:jc w:val="center"/>
        <w:rPr>
          <w:b/>
          <w:sz w:val="21"/>
        </w:rPr>
      </w:pPr>
      <w:r>
        <w:rPr>
          <w:b/>
          <w:sz w:val="21"/>
        </w:rPr>
        <w:t>Distribución del gasto corriente en instituciones educativas para educación primaria, secundaria y postsecundaria no terciaria,  2007</w:t>
      </w:r>
    </w:p>
    <w:p>
      <w:pPr>
        <w:pStyle w:val="BodyText"/>
        <w:spacing w:before="7"/>
        <w:rPr>
          <w:b/>
          <w:sz w:val="19"/>
        </w:rPr>
      </w:pPr>
      <w:r>
        <w:rPr/>
        <w:drawing>
          <wp:anchor distT="0" distB="0" distL="0" distR="0" allowOverlap="1" layoutInCell="1" locked="0" behindDoc="0" simplePos="0" relativeHeight="2920">
            <wp:simplePos x="0" y="0"/>
            <wp:positionH relativeFrom="page">
              <wp:posOffset>1054595</wp:posOffset>
            </wp:positionH>
            <wp:positionV relativeFrom="paragraph">
              <wp:posOffset>168546</wp:posOffset>
            </wp:positionV>
            <wp:extent cx="5492496" cy="3169920"/>
            <wp:effectExtent l="0" t="0" r="0" b="0"/>
            <wp:wrapTopAndBottom/>
            <wp:docPr id="9" name="image20.png" descr=""/>
            <wp:cNvGraphicFramePr>
              <a:graphicFrameLocks noChangeAspect="1"/>
            </wp:cNvGraphicFramePr>
            <a:graphic>
              <a:graphicData uri="http://schemas.openxmlformats.org/drawingml/2006/picture">
                <pic:pic>
                  <pic:nvPicPr>
                    <pic:cNvPr id="10" name="image20.png"/>
                    <pic:cNvPicPr/>
                  </pic:nvPicPr>
                  <pic:blipFill>
                    <a:blip r:embed="rId61" cstate="print"/>
                    <a:stretch>
                      <a:fillRect/>
                    </a:stretch>
                  </pic:blipFill>
                  <pic:spPr>
                    <a:xfrm>
                      <a:off x="0" y="0"/>
                      <a:ext cx="5492496" cy="3169920"/>
                    </a:xfrm>
                    <a:prstGeom prst="rect">
                      <a:avLst/>
                    </a:prstGeom>
                  </pic:spPr>
                </pic:pic>
              </a:graphicData>
            </a:graphic>
          </wp:anchor>
        </w:drawing>
      </w:r>
    </w:p>
    <w:p>
      <w:pPr>
        <w:pStyle w:val="BodyText"/>
        <w:rPr>
          <w:b/>
          <w:sz w:val="20"/>
        </w:rPr>
      </w:pPr>
    </w:p>
    <w:p>
      <w:pPr>
        <w:pStyle w:val="BodyText"/>
        <w:spacing w:before="8"/>
        <w:rPr>
          <w:b/>
          <w:sz w:val="28"/>
        </w:rPr>
      </w:pPr>
    </w:p>
    <w:p>
      <w:pPr>
        <w:spacing w:line="247" w:lineRule="auto" w:before="1"/>
        <w:ind w:left="115" w:right="6359" w:firstLine="0"/>
        <w:jc w:val="left"/>
        <w:rPr>
          <w:sz w:val="19"/>
        </w:rPr>
      </w:pPr>
      <w:r>
        <w:rPr>
          <w:w w:val="105"/>
          <w:sz w:val="19"/>
        </w:rPr>
        <w:t>Sólo instituciones públicas. Año de referencia: 2008.</w:t>
      </w:r>
    </w:p>
    <w:p>
      <w:pPr>
        <w:spacing w:line="242" w:lineRule="auto" w:before="0"/>
        <w:ind w:left="115" w:right="3520" w:firstLine="0"/>
        <w:jc w:val="left"/>
        <w:rPr>
          <w:sz w:val="19"/>
        </w:rPr>
      </w:pPr>
      <w:r>
        <w:rPr>
          <w:w w:val="105"/>
          <w:sz w:val="19"/>
        </w:rPr>
        <w:t>Algunos niveles educativos están incluidos dentro de otros. Años de referencia: 2006.</w:t>
      </w:r>
    </w:p>
    <w:p>
      <w:pPr>
        <w:pStyle w:val="BodyText"/>
        <w:spacing w:before="2"/>
        <w:rPr>
          <w:sz w:val="24"/>
        </w:rPr>
      </w:pPr>
    </w:p>
    <w:p>
      <w:pPr>
        <w:spacing w:line="244" w:lineRule="auto" w:before="0"/>
        <w:ind w:left="115" w:right="165" w:firstLine="0"/>
        <w:jc w:val="both"/>
        <w:rPr>
          <w:sz w:val="19"/>
        </w:rPr>
      </w:pPr>
      <w:r>
        <w:rPr>
          <w:b/>
          <w:w w:val="105"/>
          <w:sz w:val="19"/>
        </w:rPr>
        <w:t>Nota: </w:t>
      </w:r>
      <w:r>
        <w:rPr>
          <w:w w:val="105"/>
          <w:sz w:val="19"/>
        </w:rPr>
        <w:t>Los países están clasificados en orden descendente según el gasto total en instituciones educativas</w:t>
      </w:r>
      <w:r>
        <w:rPr>
          <w:spacing w:val="-6"/>
          <w:w w:val="105"/>
          <w:sz w:val="19"/>
        </w:rPr>
        <w:t> </w:t>
      </w:r>
      <w:r>
        <w:rPr>
          <w:w w:val="105"/>
          <w:sz w:val="19"/>
        </w:rPr>
        <w:t>de</w:t>
      </w:r>
      <w:r>
        <w:rPr>
          <w:spacing w:val="-6"/>
          <w:w w:val="105"/>
          <w:sz w:val="19"/>
        </w:rPr>
        <w:t> </w:t>
      </w:r>
      <w:r>
        <w:rPr>
          <w:w w:val="105"/>
          <w:sz w:val="19"/>
        </w:rPr>
        <w:t>educación</w:t>
      </w:r>
      <w:r>
        <w:rPr>
          <w:spacing w:val="-6"/>
          <w:w w:val="105"/>
          <w:sz w:val="19"/>
        </w:rPr>
        <w:t> </w:t>
      </w:r>
      <w:r>
        <w:rPr>
          <w:w w:val="105"/>
          <w:sz w:val="19"/>
        </w:rPr>
        <w:t>primaria,</w:t>
      </w:r>
      <w:r>
        <w:rPr>
          <w:spacing w:val="-6"/>
          <w:w w:val="105"/>
          <w:sz w:val="19"/>
        </w:rPr>
        <w:t> </w:t>
      </w:r>
      <w:r>
        <w:rPr>
          <w:w w:val="105"/>
          <w:sz w:val="19"/>
        </w:rPr>
        <w:t>secundaria</w:t>
      </w:r>
      <w:r>
        <w:rPr>
          <w:spacing w:val="-2"/>
          <w:w w:val="105"/>
          <w:sz w:val="19"/>
        </w:rPr>
        <w:t> </w:t>
      </w:r>
      <w:r>
        <w:rPr>
          <w:w w:val="105"/>
          <w:sz w:val="19"/>
        </w:rPr>
        <w:t>y</w:t>
      </w:r>
      <w:r>
        <w:rPr>
          <w:spacing w:val="-11"/>
          <w:w w:val="105"/>
          <w:sz w:val="19"/>
        </w:rPr>
        <w:t> </w:t>
      </w:r>
      <w:r>
        <w:rPr>
          <w:w w:val="105"/>
          <w:sz w:val="19"/>
        </w:rPr>
        <w:t>postsecundaria</w:t>
      </w:r>
      <w:r>
        <w:rPr>
          <w:spacing w:val="-6"/>
          <w:w w:val="105"/>
          <w:sz w:val="19"/>
        </w:rPr>
        <w:t> </w:t>
      </w:r>
      <w:r>
        <w:rPr>
          <w:w w:val="105"/>
          <w:sz w:val="19"/>
        </w:rPr>
        <w:t>no</w:t>
      </w:r>
      <w:r>
        <w:rPr>
          <w:spacing w:val="-1"/>
          <w:w w:val="105"/>
          <w:sz w:val="19"/>
        </w:rPr>
        <w:t> </w:t>
      </w:r>
      <w:r>
        <w:rPr>
          <w:w w:val="105"/>
          <w:sz w:val="19"/>
        </w:rPr>
        <w:t>terciaria.</w:t>
      </w:r>
      <w:r>
        <w:rPr>
          <w:spacing w:val="-6"/>
          <w:w w:val="105"/>
          <w:sz w:val="19"/>
        </w:rPr>
        <w:t> </w:t>
      </w:r>
      <w:r>
        <w:rPr>
          <w:w w:val="105"/>
          <w:sz w:val="19"/>
        </w:rPr>
        <w:t>La</w:t>
      </w:r>
      <w:r>
        <w:rPr>
          <w:spacing w:val="-10"/>
          <w:w w:val="105"/>
          <w:sz w:val="19"/>
        </w:rPr>
        <w:t> </w:t>
      </w:r>
      <w:r>
        <w:rPr>
          <w:w w:val="105"/>
          <w:sz w:val="19"/>
        </w:rPr>
        <w:t>gráfica</w:t>
      </w:r>
      <w:r>
        <w:rPr>
          <w:spacing w:val="-6"/>
          <w:w w:val="105"/>
          <w:sz w:val="19"/>
        </w:rPr>
        <w:t> </w:t>
      </w:r>
      <w:r>
        <w:rPr>
          <w:w w:val="105"/>
          <w:sz w:val="19"/>
        </w:rPr>
        <w:t>muestra</w:t>
      </w:r>
      <w:r>
        <w:rPr>
          <w:spacing w:val="-6"/>
          <w:w w:val="105"/>
          <w:sz w:val="19"/>
        </w:rPr>
        <w:t> </w:t>
      </w:r>
      <w:r>
        <w:rPr>
          <w:w w:val="105"/>
          <w:sz w:val="19"/>
        </w:rPr>
        <w:t>la distribución del gasto corriente en instituciones educativas por tipo de recurso. El gasto en instituciones educativas puede dividirse en gasto de capital y gasto corriente. Dentro del gasto corriente </w:t>
      </w:r>
      <w:r>
        <w:rPr>
          <w:spacing w:val="-4"/>
          <w:w w:val="105"/>
          <w:sz w:val="19"/>
        </w:rPr>
        <w:t>se </w:t>
      </w:r>
      <w:r>
        <w:rPr>
          <w:w w:val="105"/>
          <w:sz w:val="19"/>
        </w:rPr>
        <w:t>puede distinguir el gasto </w:t>
      </w:r>
      <w:r>
        <w:rPr>
          <w:spacing w:val="-3"/>
          <w:w w:val="105"/>
          <w:sz w:val="19"/>
        </w:rPr>
        <w:t>en </w:t>
      </w:r>
      <w:r>
        <w:rPr>
          <w:w w:val="105"/>
          <w:sz w:val="19"/>
        </w:rPr>
        <w:t>la enseñanza comparado </w:t>
      </w:r>
      <w:r>
        <w:rPr>
          <w:spacing w:val="-3"/>
          <w:w w:val="105"/>
          <w:sz w:val="19"/>
        </w:rPr>
        <w:t>al </w:t>
      </w:r>
      <w:r>
        <w:rPr>
          <w:w w:val="105"/>
          <w:sz w:val="19"/>
        </w:rPr>
        <w:t>auxiliar y los servicios de investigación</w:t>
      </w:r>
      <w:r>
        <w:rPr>
          <w:spacing w:val="-27"/>
          <w:w w:val="105"/>
          <w:sz w:val="19"/>
        </w:rPr>
        <w:t> </w:t>
      </w:r>
      <w:r>
        <w:rPr>
          <w:w w:val="105"/>
          <w:sz w:val="19"/>
        </w:rPr>
        <w:t>y</w:t>
      </w:r>
      <w:r>
        <w:rPr>
          <w:spacing w:val="-31"/>
          <w:w w:val="105"/>
          <w:sz w:val="19"/>
        </w:rPr>
        <w:t> </w:t>
      </w:r>
      <w:r>
        <w:rPr>
          <w:w w:val="105"/>
          <w:sz w:val="19"/>
        </w:rPr>
        <w:t>desarrollo.</w:t>
      </w:r>
    </w:p>
    <w:p>
      <w:pPr>
        <w:spacing w:after="0" w:line="244" w:lineRule="auto"/>
        <w:jc w:val="both"/>
        <w:rPr>
          <w:sz w:val="19"/>
        </w:rPr>
        <w:sectPr>
          <w:pgSz w:w="11910" w:h="16840"/>
          <w:pgMar w:header="0" w:footer="1457" w:top="1580" w:bottom="1640" w:left="1540" w:right="1480"/>
        </w:sectPr>
      </w:pPr>
    </w:p>
    <w:p>
      <w:pPr>
        <w:pStyle w:val="BodyText"/>
        <w:rPr>
          <w:sz w:val="20"/>
        </w:rPr>
      </w:pPr>
    </w:p>
    <w:p>
      <w:pPr>
        <w:pStyle w:val="BodyText"/>
        <w:rPr>
          <w:sz w:val="20"/>
        </w:rPr>
      </w:pPr>
    </w:p>
    <w:p>
      <w:pPr>
        <w:pStyle w:val="BodyText"/>
        <w:rPr>
          <w:sz w:val="20"/>
        </w:rPr>
      </w:pPr>
    </w:p>
    <w:p>
      <w:pPr>
        <w:pStyle w:val="BodyText"/>
        <w:spacing w:before="7"/>
        <w:rPr>
          <w:sz w:val="27"/>
        </w:rPr>
      </w:pPr>
    </w:p>
    <w:p>
      <w:pPr>
        <w:spacing w:before="77"/>
        <w:ind w:left="2052" w:right="2052" w:firstLine="0"/>
        <w:jc w:val="center"/>
        <w:rPr>
          <w:b/>
          <w:sz w:val="21"/>
        </w:rPr>
      </w:pPr>
      <w:r>
        <w:rPr>
          <w:b/>
          <w:sz w:val="21"/>
        </w:rPr>
        <w:t>Tabla N° 12</w:t>
      </w:r>
    </w:p>
    <w:p>
      <w:pPr>
        <w:spacing w:before="3"/>
        <w:ind w:left="5" w:right="0" w:firstLine="0"/>
        <w:jc w:val="center"/>
        <w:rPr>
          <w:b/>
          <w:sz w:val="21"/>
        </w:rPr>
      </w:pPr>
      <w:r>
        <w:rPr/>
        <w:pict>
          <v:group style="position:absolute;margin-left:91.679001pt;margin-top:81.998894pt;width:198.25pt;height:24.5pt;mso-position-horizontal-relative:page;mso-position-vertical-relative:paragraph;z-index:-208840" coordorigin="1834,1640" coordsize="3965,490">
            <v:shape style="position:absolute;left:1834;top:1688;width:1344;height:399" coordorigin="1834,1688" coordsize="1344,399" path="m3178,1688l3072,1688,1939,1688,1834,1688,1834,2082,1939,2082,1939,2086,3072,2086,3072,2082,3178,2082,3178,1688e" filled="true" fillcolor="#9aba58" stroked="false">
              <v:path arrowok="t"/>
              <v:fill type="solid"/>
            </v:shape>
            <v:shape style="position:absolute;left:3235;top:1688;width:1272;height:394" coordorigin="3235,1688" coordsize="1272,394" path="m3235,1688l3235,2082m4507,1688l4507,2082e" filled="false" stroked="true" strokeweight="4.8pt" strokecolor="#9aba58">
              <v:path arrowok="t"/>
            </v:shape>
            <v:shape style="position:absolute;left:3283;top:1688;width:2516;height:399" coordorigin="3283,1688" coordsize="2516,399" path="m4459,1688l3283,1688,3283,2086,4459,2086,4459,1688m5798,1688l5698,1688,5693,1688,4666,1688,4565,1688,4565,2082,4666,2082,4666,2086,5698,2086,5698,2082,5798,2082,5798,1688e" filled="true" fillcolor="#9aba58" stroked="false">
              <v:path arrowok="t"/>
              <v:fill type="solid"/>
            </v:shape>
            <w10:wrap type="none"/>
          </v:group>
        </w:pict>
      </w:r>
      <w:r>
        <w:rPr>
          <w:b/>
          <w:sz w:val="21"/>
        </w:rPr>
        <w:t>Distribución del gasto educativo por rubro en países de la OCDE </w:t>
      </w:r>
      <w:r>
        <w:rPr>
          <w:b/>
          <w:spacing w:val="57"/>
          <w:sz w:val="21"/>
        </w:rPr>
        <w:t> </w:t>
      </w:r>
      <w:r>
        <w:rPr>
          <w:b/>
          <w:sz w:val="21"/>
        </w:rPr>
        <w:t>(2009)</w:t>
      </w:r>
    </w:p>
    <w:p>
      <w:pPr>
        <w:pStyle w:val="BodyText"/>
        <w:spacing w:before="1"/>
        <w:rPr>
          <w:b/>
          <w:sz w:val="29"/>
        </w:rPr>
      </w:pPr>
    </w:p>
    <w:tbl>
      <w:tblPr>
        <w:tblW w:w="0" w:type="auto"/>
        <w:jc w:val="left"/>
        <w:tblInd w:w="2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58"/>
        <w:gridCol w:w="1382"/>
        <w:gridCol w:w="1243"/>
        <w:gridCol w:w="1651"/>
        <w:gridCol w:w="1382"/>
        <w:gridCol w:w="1243"/>
      </w:tblGrid>
      <w:tr>
        <w:trPr>
          <w:trHeight w:val="706" w:hRule="exact"/>
        </w:trPr>
        <w:tc>
          <w:tcPr>
            <w:tcW w:w="1358" w:type="dxa"/>
            <w:tcBorders>
              <w:left w:val="nil"/>
            </w:tcBorders>
          </w:tcPr>
          <w:p>
            <w:pPr>
              <w:pStyle w:val="TableParagraph"/>
              <w:spacing w:line="283" w:lineRule="auto" w:before="114"/>
              <w:ind w:left="494" w:hanging="288"/>
              <w:rPr>
                <w:i/>
                <w:sz w:val="17"/>
              </w:rPr>
            </w:pPr>
            <w:r>
              <w:rPr>
                <w:i/>
                <w:w w:val="105"/>
                <w:sz w:val="17"/>
              </w:rPr>
              <w:t>% del Gasto </w:t>
            </w:r>
            <w:r>
              <w:rPr>
                <w:i/>
                <w:w w:val="105"/>
                <w:sz w:val="17"/>
              </w:rPr>
              <w:t>Total</w:t>
            </w:r>
          </w:p>
        </w:tc>
        <w:tc>
          <w:tcPr>
            <w:tcW w:w="1382" w:type="dxa"/>
          </w:tcPr>
          <w:p>
            <w:pPr>
              <w:pStyle w:val="TableParagraph"/>
              <w:spacing w:line="285" w:lineRule="auto"/>
              <w:ind w:left="345" w:right="18" w:hanging="231"/>
              <w:rPr>
                <w:i/>
                <w:sz w:val="17"/>
              </w:rPr>
            </w:pPr>
            <w:r>
              <w:rPr>
                <w:i/>
                <w:w w:val="105"/>
                <w:sz w:val="17"/>
              </w:rPr>
              <w:t>Remuneración </w:t>
            </w:r>
            <w:r>
              <w:rPr>
                <w:i/>
                <w:w w:val="105"/>
                <w:sz w:val="17"/>
              </w:rPr>
              <w:t>a todo el personal</w:t>
            </w:r>
          </w:p>
        </w:tc>
        <w:tc>
          <w:tcPr>
            <w:tcW w:w="1243" w:type="dxa"/>
          </w:tcPr>
          <w:p>
            <w:pPr>
              <w:pStyle w:val="TableParagraph"/>
              <w:spacing w:line="285" w:lineRule="auto"/>
              <w:ind w:left="235" w:right="225" w:hanging="3"/>
              <w:jc w:val="center"/>
              <w:rPr>
                <w:i/>
                <w:sz w:val="17"/>
              </w:rPr>
            </w:pPr>
            <w:r>
              <w:rPr>
                <w:i/>
                <w:w w:val="105"/>
                <w:sz w:val="17"/>
              </w:rPr>
              <w:t>Otros </w:t>
            </w:r>
            <w:r>
              <w:rPr>
                <w:i/>
                <w:spacing w:val="-3"/>
                <w:w w:val="105"/>
                <w:sz w:val="17"/>
              </w:rPr>
              <w:t>gastos </w:t>
            </w:r>
            <w:r>
              <w:rPr>
                <w:i/>
                <w:spacing w:val="-2"/>
                <w:w w:val="105"/>
                <w:sz w:val="17"/>
              </w:rPr>
              <w:t>corrientes</w:t>
            </w:r>
          </w:p>
        </w:tc>
        <w:tc>
          <w:tcPr>
            <w:tcW w:w="1651" w:type="dxa"/>
          </w:tcPr>
          <w:p>
            <w:pPr>
              <w:pStyle w:val="TableParagraph"/>
              <w:spacing w:line="283" w:lineRule="auto" w:before="114"/>
              <w:ind w:left="624" w:right="55" w:hanging="284"/>
              <w:rPr>
                <w:i/>
                <w:sz w:val="17"/>
              </w:rPr>
            </w:pPr>
            <w:r>
              <w:rPr>
                <w:i/>
                <w:w w:val="105"/>
                <w:sz w:val="17"/>
              </w:rPr>
              <w:t>% del Gasto </w:t>
            </w:r>
            <w:r>
              <w:rPr>
                <w:i/>
                <w:w w:val="105"/>
                <w:sz w:val="17"/>
              </w:rPr>
              <w:t>Total</w:t>
            </w:r>
          </w:p>
        </w:tc>
        <w:tc>
          <w:tcPr>
            <w:tcW w:w="1382" w:type="dxa"/>
          </w:tcPr>
          <w:p>
            <w:pPr>
              <w:pStyle w:val="TableParagraph"/>
              <w:spacing w:line="285" w:lineRule="auto"/>
              <w:ind w:left="345" w:right="73" w:hanging="231"/>
              <w:rPr>
                <w:i/>
                <w:sz w:val="17"/>
              </w:rPr>
            </w:pPr>
            <w:r>
              <w:rPr>
                <w:i/>
                <w:sz w:val="17"/>
              </w:rPr>
              <w:t>Remuneración </w:t>
            </w:r>
            <w:r>
              <w:rPr>
                <w:i/>
                <w:w w:val="105"/>
                <w:sz w:val="17"/>
              </w:rPr>
              <w:t>a todo el personal</w:t>
            </w:r>
          </w:p>
        </w:tc>
        <w:tc>
          <w:tcPr>
            <w:tcW w:w="1243" w:type="dxa"/>
            <w:tcBorders>
              <w:right w:val="nil"/>
            </w:tcBorders>
          </w:tcPr>
          <w:p>
            <w:pPr>
              <w:pStyle w:val="TableParagraph"/>
              <w:spacing w:line="285" w:lineRule="auto"/>
              <w:ind w:left="230" w:right="235" w:hanging="11"/>
              <w:jc w:val="center"/>
              <w:rPr>
                <w:i/>
                <w:sz w:val="17"/>
              </w:rPr>
            </w:pPr>
            <w:r>
              <w:rPr>
                <w:i/>
                <w:w w:val="105"/>
                <w:sz w:val="17"/>
              </w:rPr>
              <w:t>Otros </w:t>
            </w:r>
            <w:r>
              <w:rPr>
                <w:i/>
                <w:w w:val="105"/>
                <w:sz w:val="17"/>
              </w:rPr>
              <w:t>gastos </w:t>
            </w:r>
            <w:r>
              <w:rPr>
                <w:i/>
                <w:sz w:val="17"/>
              </w:rPr>
              <w:t>corrientes</w:t>
            </w:r>
          </w:p>
        </w:tc>
      </w:tr>
      <w:tr>
        <w:trPr>
          <w:trHeight w:val="305" w:hRule="exact"/>
        </w:trPr>
        <w:tc>
          <w:tcPr>
            <w:tcW w:w="1358" w:type="dxa"/>
            <w:tcBorders>
              <w:left w:val="nil"/>
              <w:bottom w:val="nil"/>
            </w:tcBorders>
          </w:tcPr>
          <w:p>
            <w:pPr>
              <w:pStyle w:val="TableParagraph"/>
              <w:spacing w:line="194" w:lineRule="exact"/>
              <w:ind w:left="287"/>
              <w:rPr>
                <w:sz w:val="17"/>
              </w:rPr>
            </w:pPr>
            <w:r>
              <w:rPr>
                <w:w w:val="105"/>
                <w:sz w:val="17"/>
              </w:rPr>
              <w:t>Portugal 1</w:t>
            </w:r>
          </w:p>
        </w:tc>
        <w:tc>
          <w:tcPr>
            <w:tcW w:w="1382" w:type="dxa"/>
            <w:tcBorders>
              <w:bottom w:val="nil"/>
            </w:tcBorders>
          </w:tcPr>
          <w:p>
            <w:pPr>
              <w:pStyle w:val="TableParagraph"/>
              <w:spacing w:line="194" w:lineRule="exact"/>
              <w:ind w:left="567" w:right="567"/>
              <w:jc w:val="center"/>
              <w:rPr>
                <w:sz w:val="17"/>
              </w:rPr>
            </w:pPr>
            <w:r>
              <w:rPr>
                <w:w w:val="105"/>
                <w:sz w:val="17"/>
              </w:rPr>
              <w:t>93</w:t>
            </w:r>
          </w:p>
        </w:tc>
        <w:tc>
          <w:tcPr>
            <w:tcW w:w="1243" w:type="dxa"/>
            <w:tcBorders>
              <w:bottom w:val="nil"/>
            </w:tcBorders>
          </w:tcPr>
          <w:p>
            <w:pPr>
              <w:pStyle w:val="TableParagraph"/>
              <w:spacing w:line="194" w:lineRule="exact"/>
              <w:ind w:left="571"/>
              <w:rPr>
                <w:sz w:val="17"/>
              </w:rPr>
            </w:pPr>
            <w:r>
              <w:rPr>
                <w:w w:val="104"/>
                <w:sz w:val="17"/>
              </w:rPr>
              <w:t>7</w:t>
            </w:r>
          </w:p>
        </w:tc>
        <w:tc>
          <w:tcPr>
            <w:tcW w:w="1651" w:type="dxa"/>
            <w:tcBorders>
              <w:bottom w:val="nil"/>
            </w:tcBorders>
          </w:tcPr>
          <w:p>
            <w:pPr>
              <w:pStyle w:val="TableParagraph"/>
              <w:spacing w:line="194" w:lineRule="exact"/>
              <w:ind w:left="168" w:right="173"/>
              <w:jc w:val="center"/>
              <w:rPr>
                <w:sz w:val="17"/>
              </w:rPr>
            </w:pPr>
            <w:r>
              <w:rPr>
                <w:w w:val="105"/>
                <w:sz w:val="17"/>
              </w:rPr>
              <w:t>Italia 1</w:t>
            </w:r>
          </w:p>
        </w:tc>
        <w:tc>
          <w:tcPr>
            <w:tcW w:w="1382" w:type="dxa"/>
            <w:tcBorders>
              <w:bottom w:val="nil"/>
            </w:tcBorders>
          </w:tcPr>
          <w:p>
            <w:pPr>
              <w:pStyle w:val="TableParagraph"/>
              <w:spacing w:line="194" w:lineRule="exact"/>
              <w:ind w:right="578"/>
              <w:jc w:val="right"/>
              <w:rPr>
                <w:sz w:val="17"/>
              </w:rPr>
            </w:pPr>
            <w:r>
              <w:rPr>
                <w:w w:val="105"/>
                <w:sz w:val="17"/>
              </w:rPr>
              <w:t>81</w:t>
            </w:r>
          </w:p>
        </w:tc>
        <w:tc>
          <w:tcPr>
            <w:tcW w:w="1243" w:type="dxa"/>
            <w:tcBorders>
              <w:bottom w:val="nil"/>
              <w:right w:val="nil"/>
            </w:tcBorders>
          </w:tcPr>
          <w:p>
            <w:pPr>
              <w:pStyle w:val="TableParagraph"/>
              <w:spacing w:line="194" w:lineRule="exact"/>
              <w:ind w:left="496" w:right="503"/>
              <w:jc w:val="center"/>
              <w:rPr>
                <w:sz w:val="17"/>
              </w:rPr>
            </w:pPr>
            <w:r>
              <w:rPr>
                <w:w w:val="105"/>
                <w:sz w:val="17"/>
              </w:rPr>
              <w:t>19</w:t>
            </w:r>
          </w:p>
        </w:tc>
      </w:tr>
      <w:tr>
        <w:trPr>
          <w:trHeight w:val="396" w:hRule="exact"/>
        </w:trPr>
        <w:tc>
          <w:tcPr>
            <w:tcW w:w="1358" w:type="dxa"/>
            <w:tcBorders>
              <w:top w:val="nil"/>
              <w:left w:val="nil"/>
              <w:bottom w:val="nil"/>
            </w:tcBorders>
          </w:tcPr>
          <w:p>
            <w:pPr>
              <w:pStyle w:val="TableParagraph"/>
              <w:spacing w:before="92"/>
              <w:ind w:left="336"/>
              <w:rPr>
                <w:sz w:val="17"/>
              </w:rPr>
            </w:pPr>
            <w:r>
              <w:rPr>
                <w:w w:val="105"/>
                <w:sz w:val="17"/>
              </w:rPr>
              <w:t>México 1</w:t>
            </w:r>
          </w:p>
        </w:tc>
        <w:tc>
          <w:tcPr>
            <w:tcW w:w="1382" w:type="dxa"/>
            <w:tcBorders>
              <w:top w:val="nil"/>
              <w:bottom w:val="nil"/>
            </w:tcBorders>
          </w:tcPr>
          <w:p>
            <w:pPr>
              <w:pStyle w:val="TableParagraph"/>
              <w:spacing w:before="92"/>
              <w:ind w:left="567" w:right="567"/>
              <w:jc w:val="center"/>
              <w:rPr>
                <w:sz w:val="17"/>
              </w:rPr>
            </w:pPr>
            <w:r>
              <w:rPr>
                <w:w w:val="105"/>
                <w:sz w:val="17"/>
              </w:rPr>
              <w:t>91</w:t>
            </w:r>
          </w:p>
        </w:tc>
        <w:tc>
          <w:tcPr>
            <w:tcW w:w="1243" w:type="dxa"/>
            <w:tcBorders>
              <w:top w:val="nil"/>
              <w:bottom w:val="nil"/>
            </w:tcBorders>
          </w:tcPr>
          <w:p>
            <w:pPr>
              <w:pStyle w:val="TableParagraph"/>
              <w:spacing w:before="92"/>
              <w:ind w:left="571"/>
              <w:rPr>
                <w:sz w:val="17"/>
              </w:rPr>
            </w:pPr>
            <w:r>
              <w:rPr>
                <w:w w:val="104"/>
                <w:sz w:val="17"/>
              </w:rPr>
              <w:t>9</w:t>
            </w:r>
          </w:p>
        </w:tc>
        <w:tc>
          <w:tcPr>
            <w:tcW w:w="1651" w:type="dxa"/>
            <w:tcBorders>
              <w:top w:val="nil"/>
              <w:bottom w:val="nil"/>
            </w:tcBorders>
          </w:tcPr>
          <w:p>
            <w:pPr>
              <w:pStyle w:val="TableParagraph"/>
              <w:spacing w:before="92"/>
              <w:ind w:left="162" w:right="173"/>
              <w:jc w:val="center"/>
              <w:rPr>
                <w:sz w:val="17"/>
              </w:rPr>
            </w:pPr>
            <w:r>
              <w:rPr>
                <w:w w:val="105"/>
                <w:sz w:val="17"/>
              </w:rPr>
              <w:t>Alemania</w:t>
            </w:r>
          </w:p>
        </w:tc>
        <w:tc>
          <w:tcPr>
            <w:tcW w:w="1382" w:type="dxa"/>
            <w:tcBorders>
              <w:top w:val="nil"/>
              <w:bottom w:val="nil"/>
            </w:tcBorders>
          </w:tcPr>
          <w:p>
            <w:pPr>
              <w:pStyle w:val="TableParagraph"/>
              <w:spacing w:before="92"/>
              <w:ind w:right="578"/>
              <w:jc w:val="right"/>
              <w:rPr>
                <w:sz w:val="17"/>
              </w:rPr>
            </w:pPr>
            <w:r>
              <w:rPr>
                <w:w w:val="105"/>
                <w:sz w:val="17"/>
              </w:rPr>
              <w:t>81</w:t>
            </w:r>
          </w:p>
        </w:tc>
        <w:tc>
          <w:tcPr>
            <w:tcW w:w="1243" w:type="dxa"/>
            <w:tcBorders>
              <w:top w:val="nil"/>
              <w:bottom w:val="nil"/>
              <w:right w:val="nil"/>
            </w:tcBorders>
          </w:tcPr>
          <w:p>
            <w:pPr>
              <w:pStyle w:val="TableParagraph"/>
              <w:spacing w:before="92"/>
              <w:ind w:left="496" w:right="503"/>
              <w:jc w:val="center"/>
              <w:rPr>
                <w:sz w:val="17"/>
              </w:rPr>
            </w:pPr>
            <w:r>
              <w:rPr>
                <w:w w:val="105"/>
                <w:sz w:val="17"/>
              </w:rPr>
              <w:t>19</w:t>
            </w:r>
          </w:p>
        </w:tc>
      </w:tr>
      <w:tr>
        <w:trPr>
          <w:trHeight w:val="396" w:hRule="exact"/>
        </w:trPr>
        <w:tc>
          <w:tcPr>
            <w:tcW w:w="1358" w:type="dxa"/>
            <w:tcBorders>
              <w:top w:val="nil"/>
              <w:left w:val="nil"/>
              <w:bottom w:val="nil"/>
            </w:tcBorders>
          </w:tcPr>
          <w:p>
            <w:pPr>
              <w:pStyle w:val="TableParagraph"/>
              <w:spacing w:before="95"/>
              <w:ind w:left="340"/>
              <w:rPr>
                <w:sz w:val="17"/>
              </w:rPr>
            </w:pPr>
            <w:r>
              <w:rPr>
                <w:w w:val="105"/>
                <w:sz w:val="17"/>
              </w:rPr>
              <w:t>Chile 1,2</w:t>
            </w:r>
          </w:p>
        </w:tc>
        <w:tc>
          <w:tcPr>
            <w:tcW w:w="1382" w:type="dxa"/>
            <w:tcBorders>
              <w:top w:val="nil"/>
              <w:bottom w:val="nil"/>
            </w:tcBorders>
          </w:tcPr>
          <w:p>
            <w:pPr>
              <w:pStyle w:val="TableParagraph"/>
              <w:spacing w:before="95"/>
              <w:ind w:left="567" w:right="567"/>
              <w:jc w:val="center"/>
              <w:rPr>
                <w:sz w:val="17"/>
              </w:rPr>
            </w:pPr>
            <w:r>
              <w:rPr>
                <w:w w:val="105"/>
                <w:sz w:val="17"/>
              </w:rPr>
              <w:t>89</w:t>
            </w:r>
          </w:p>
        </w:tc>
        <w:tc>
          <w:tcPr>
            <w:tcW w:w="1243" w:type="dxa"/>
            <w:tcBorders>
              <w:top w:val="nil"/>
              <w:bottom w:val="nil"/>
            </w:tcBorders>
          </w:tcPr>
          <w:p>
            <w:pPr>
              <w:pStyle w:val="TableParagraph"/>
              <w:spacing w:before="95"/>
              <w:ind w:left="518"/>
              <w:rPr>
                <w:sz w:val="17"/>
              </w:rPr>
            </w:pPr>
            <w:r>
              <w:rPr>
                <w:w w:val="105"/>
                <w:sz w:val="17"/>
              </w:rPr>
              <w:t>11</w:t>
            </w:r>
          </w:p>
        </w:tc>
        <w:tc>
          <w:tcPr>
            <w:tcW w:w="1651" w:type="dxa"/>
            <w:tcBorders>
              <w:top w:val="nil"/>
              <w:bottom w:val="nil"/>
            </w:tcBorders>
          </w:tcPr>
          <w:p>
            <w:pPr>
              <w:pStyle w:val="TableParagraph"/>
              <w:spacing w:before="95"/>
              <w:ind w:left="169" w:right="173"/>
              <w:jc w:val="center"/>
              <w:rPr>
                <w:sz w:val="17"/>
              </w:rPr>
            </w:pPr>
            <w:r>
              <w:rPr>
                <w:w w:val="105"/>
                <w:sz w:val="17"/>
              </w:rPr>
              <w:t>Hungría 1</w:t>
            </w:r>
          </w:p>
        </w:tc>
        <w:tc>
          <w:tcPr>
            <w:tcW w:w="1382" w:type="dxa"/>
            <w:tcBorders>
              <w:top w:val="nil"/>
              <w:bottom w:val="nil"/>
            </w:tcBorders>
          </w:tcPr>
          <w:p>
            <w:pPr>
              <w:pStyle w:val="TableParagraph"/>
              <w:spacing w:before="95"/>
              <w:ind w:right="578"/>
              <w:jc w:val="right"/>
              <w:rPr>
                <w:sz w:val="17"/>
              </w:rPr>
            </w:pPr>
            <w:r>
              <w:rPr>
                <w:w w:val="105"/>
                <w:sz w:val="17"/>
              </w:rPr>
              <w:t>80</w:t>
            </w:r>
          </w:p>
        </w:tc>
        <w:tc>
          <w:tcPr>
            <w:tcW w:w="1243" w:type="dxa"/>
            <w:tcBorders>
              <w:top w:val="nil"/>
              <w:bottom w:val="nil"/>
              <w:right w:val="nil"/>
            </w:tcBorders>
          </w:tcPr>
          <w:p>
            <w:pPr>
              <w:pStyle w:val="TableParagraph"/>
              <w:spacing w:before="95"/>
              <w:ind w:left="496" w:right="503"/>
              <w:jc w:val="center"/>
              <w:rPr>
                <w:sz w:val="17"/>
              </w:rPr>
            </w:pPr>
            <w:r>
              <w:rPr>
                <w:w w:val="105"/>
                <w:sz w:val="17"/>
              </w:rPr>
              <w:t>20</w:t>
            </w:r>
          </w:p>
        </w:tc>
      </w:tr>
      <w:tr>
        <w:trPr>
          <w:trHeight w:val="396" w:hRule="exact"/>
        </w:trPr>
        <w:tc>
          <w:tcPr>
            <w:tcW w:w="1358" w:type="dxa"/>
            <w:tcBorders>
              <w:top w:val="nil"/>
              <w:left w:val="nil"/>
              <w:bottom w:val="nil"/>
            </w:tcBorders>
          </w:tcPr>
          <w:p>
            <w:pPr>
              <w:pStyle w:val="TableParagraph"/>
              <w:spacing w:before="92"/>
              <w:ind w:left="398"/>
              <w:rPr>
                <w:sz w:val="17"/>
              </w:rPr>
            </w:pPr>
            <w:r>
              <w:rPr>
                <w:w w:val="105"/>
                <w:sz w:val="17"/>
              </w:rPr>
              <w:t>Bélgica</w:t>
            </w:r>
          </w:p>
        </w:tc>
        <w:tc>
          <w:tcPr>
            <w:tcW w:w="1382" w:type="dxa"/>
            <w:tcBorders>
              <w:top w:val="nil"/>
              <w:bottom w:val="nil"/>
            </w:tcBorders>
          </w:tcPr>
          <w:p>
            <w:pPr>
              <w:pStyle w:val="TableParagraph"/>
              <w:spacing w:before="92"/>
              <w:ind w:left="567" w:right="567"/>
              <w:jc w:val="center"/>
              <w:rPr>
                <w:sz w:val="17"/>
              </w:rPr>
            </w:pPr>
            <w:r>
              <w:rPr>
                <w:w w:val="105"/>
                <w:sz w:val="17"/>
              </w:rPr>
              <w:t>88</w:t>
            </w:r>
          </w:p>
        </w:tc>
        <w:tc>
          <w:tcPr>
            <w:tcW w:w="1243" w:type="dxa"/>
            <w:tcBorders>
              <w:top w:val="nil"/>
              <w:bottom w:val="nil"/>
            </w:tcBorders>
          </w:tcPr>
          <w:p>
            <w:pPr>
              <w:pStyle w:val="TableParagraph"/>
              <w:spacing w:before="92"/>
              <w:ind w:left="518"/>
              <w:rPr>
                <w:sz w:val="17"/>
              </w:rPr>
            </w:pPr>
            <w:r>
              <w:rPr>
                <w:w w:val="105"/>
                <w:sz w:val="17"/>
              </w:rPr>
              <w:t>12</w:t>
            </w:r>
          </w:p>
        </w:tc>
        <w:tc>
          <w:tcPr>
            <w:tcW w:w="1651" w:type="dxa"/>
            <w:tcBorders>
              <w:top w:val="nil"/>
              <w:bottom w:val="nil"/>
            </w:tcBorders>
          </w:tcPr>
          <w:p>
            <w:pPr>
              <w:pStyle w:val="TableParagraph"/>
              <w:spacing w:before="92"/>
              <w:ind w:left="172" w:right="173"/>
              <w:jc w:val="center"/>
              <w:rPr>
                <w:sz w:val="17"/>
              </w:rPr>
            </w:pPr>
            <w:r>
              <w:rPr>
                <w:w w:val="105"/>
                <w:sz w:val="17"/>
              </w:rPr>
              <w:t>Dinamarca 3</w:t>
            </w:r>
          </w:p>
        </w:tc>
        <w:tc>
          <w:tcPr>
            <w:tcW w:w="1382" w:type="dxa"/>
            <w:tcBorders>
              <w:top w:val="nil"/>
              <w:bottom w:val="nil"/>
            </w:tcBorders>
          </w:tcPr>
          <w:p>
            <w:pPr>
              <w:pStyle w:val="TableParagraph"/>
              <w:spacing w:before="92"/>
              <w:ind w:right="578"/>
              <w:jc w:val="right"/>
              <w:rPr>
                <w:sz w:val="17"/>
              </w:rPr>
            </w:pPr>
            <w:r>
              <w:rPr>
                <w:w w:val="105"/>
                <w:sz w:val="17"/>
              </w:rPr>
              <w:t>80</w:t>
            </w:r>
          </w:p>
        </w:tc>
        <w:tc>
          <w:tcPr>
            <w:tcW w:w="1243" w:type="dxa"/>
            <w:tcBorders>
              <w:top w:val="nil"/>
              <w:bottom w:val="nil"/>
              <w:right w:val="nil"/>
            </w:tcBorders>
          </w:tcPr>
          <w:p>
            <w:pPr>
              <w:pStyle w:val="TableParagraph"/>
              <w:spacing w:before="92"/>
              <w:ind w:left="496" w:right="503"/>
              <w:jc w:val="center"/>
              <w:rPr>
                <w:sz w:val="17"/>
              </w:rPr>
            </w:pPr>
            <w:r>
              <w:rPr>
                <w:w w:val="105"/>
                <w:sz w:val="17"/>
              </w:rPr>
              <w:t>20</w:t>
            </w:r>
          </w:p>
        </w:tc>
      </w:tr>
      <w:tr>
        <w:trPr>
          <w:trHeight w:val="398" w:hRule="exact"/>
        </w:trPr>
        <w:tc>
          <w:tcPr>
            <w:tcW w:w="1358" w:type="dxa"/>
            <w:tcBorders>
              <w:top w:val="nil"/>
              <w:left w:val="nil"/>
              <w:bottom w:val="nil"/>
            </w:tcBorders>
          </w:tcPr>
          <w:p>
            <w:pPr>
              <w:pStyle w:val="TableParagraph"/>
              <w:spacing w:before="95"/>
              <w:ind w:left="374"/>
              <w:rPr>
                <w:sz w:val="17"/>
              </w:rPr>
            </w:pPr>
            <w:r>
              <w:rPr>
                <w:w w:val="105"/>
                <w:sz w:val="17"/>
              </w:rPr>
              <w:t>Japón 3</w:t>
            </w:r>
          </w:p>
        </w:tc>
        <w:tc>
          <w:tcPr>
            <w:tcW w:w="1382" w:type="dxa"/>
            <w:tcBorders>
              <w:top w:val="nil"/>
              <w:bottom w:val="nil"/>
            </w:tcBorders>
          </w:tcPr>
          <w:p>
            <w:pPr>
              <w:pStyle w:val="TableParagraph"/>
              <w:spacing w:before="95"/>
              <w:ind w:left="567" w:right="567"/>
              <w:jc w:val="center"/>
              <w:rPr>
                <w:sz w:val="17"/>
              </w:rPr>
            </w:pPr>
            <w:r>
              <w:rPr>
                <w:w w:val="105"/>
                <w:sz w:val="17"/>
              </w:rPr>
              <w:t>87</w:t>
            </w:r>
          </w:p>
        </w:tc>
        <w:tc>
          <w:tcPr>
            <w:tcW w:w="1243" w:type="dxa"/>
            <w:tcBorders>
              <w:top w:val="nil"/>
              <w:bottom w:val="nil"/>
            </w:tcBorders>
          </w:tcPr>
          <w:p>
            <w:pPr>
              <w:pStyle w:val="TableParagraph"/>
              <w:spacing w:before="95"/>
              <w:ind w:left="518"/>
              <w:rPr>
                <w:sz w:val="17"/>
              </w:rPr>
            </w:pPr>
            <w:r>
              <w:rPr>
                <w:w w:val="105"/>
                <w:sz w:val="17"/>
              </w:rPr>
              <w:t>13</w:t>
            </w:r>
          </w:p>
        </w:tc>
        <w:tc>
          <w:tcPr>
            <w:tcW w:w="1651" w:type="dxa"/>
            <w:tcBorders>
              <w:top w:val="nil"/>
              <w:bottom w:val="nil"/>
            </w:tcBorders>
          </w:tcPr>
          <w:p>
            <w:pPr>
              <w:pStyle w:val="TableParagraph"/>
              <w:spacing w:before="95"/>
              <w:ind w:left="177" w:right="173"/>
              <w:jc w:val="center"/>
              <w:rPr>
                <w:sz w:val="17"/>
              </w:rPr>
            </w:pPr>
            <w:r>
              <w:rPr>
                <w:w w:val="105"/>
                <w:sz w:val="17"/>
              </w:rPr>
              <w:t>Estados Unidos</w:t>
            </w:r>
          </w:p>
        </w:tc>
        <w:tc>
          <w:tcPr>
            <w:tcW w:w="1382" w:type="dxa"/>
            <w:tcBorders>
              <w:top w:val="nil"/>
              <w:bottom w:val="nil"/>
            </w:tcBorders>
          </w:tcPr>
          <w:p>
            <w:pPr>
              <w:pStyle w:val="TableParagraph"/>
              <w:spacing w:before="95"/>
              <w:ind w:right="578"/>
              <w:jc w:val="right"/>
              <w:rPr>
                <w:sz w:val="17"/>
              </w:rPr>
            </w:pPr>
            <w:r>
              <w:rPr>
                <w:w w:val="105"/>
                <w:sz w:val="17"/>
              </w:rPr>
              <w:t>80</w:t>
            </w:r>
          </w:p>
        </w:tc>
        <w:tc>
          <w:tcPr>
            <w:tcW w:w="1243" w:type="dxa"/>
            <w:tcBorders>
              <w:top w:val="nil"/>
              <w:bottom w:val="nil"/>
              <w:right w:val="nil"/>
            </w:tcBorders>
          </w:tcPr>
          <w:p>
            <w:pPr>
              <w:pStyle w:val="TableParagraph"/>
              <w:spacing w:before="95"/>
              <w:ind w:left="496" w:right="503"/>
              <w:jc w:val="center"/>
              <w:rPr>
                <w:sz w:val="17"/>
              </w:rPr>
            </w:pPr>
            <w:r>
              <w:rPr>
                <w:w w:val="105"/>
                <w:sz w:val="17"/>
              </w:rPr>
              <w:t>20</w:t>
            </w:r>
          </w:p>
        </w:tc>
      </w:tr>
      <w:tr>
        <w:trPr>
          <w:trHeight w:val="396" w:hRule="exact"/>
        </w:trPr>
        <w:tc>
          <w:tcPr>
            <w:tcW w:w="1358" w:type="dxa"/>
            <w:tcBorders>
              <w:top w:val="nil"/>
              <w:left w:val="nil"/>
              <w:bottom w:val="nil"/>
            </w:tcBorders>
          </w:tcPr>
          <w:p>
            <w:pPr>
              <w:pStyle w:val="TableParagraph"/>
              <w:spacing w:before="95"/>
              <w:ind w:right="106"/>
              <w:jc w:val="right"/>
              <w:rPr>
                <w:sz w:val="17"/>
              </w:rPr>
            </w:pPr>
            <w:r>
              <w:rPr>
                <w:w w:val="105"/>
                <w:sz w:val="17"/>
              </w:rPr>
              <w:t>Luxemburgo 1</w:t>
            </w:r>
          </w:p>
        </w:tc>
        <w:tc>
          <w:tcPr>
            <w:tcW w:w="1382" w:type="dxa"/>
            <w:tcBorders>
              <w:top w:val="nil"/>
              <w:bottom w:val="nil"/>
            </w:tcBorders>
          </w:tcPr>
          <w:p>
            <w:pPr>
              <w:pStyle w:val="TableParagraph"/>
              <w:spacing w:before="95"/>
              <w:ind w:left="567" w:right="567"/>
              <w:jc w:val="center"/>
              <w:rPr>
                <w:sz w:val="17"/>
              </w:rPr>
            </w:pPr>
            <w:r>
              <w:rPr>
                <w:w w:val="105"/>
                <w:sz w:val="17"/>
              </w:rPr>
              <w:t>85</w:t>
            </w:r>
          </w:p>
        </w:tc>
        <w:tc>
          <w:tcPr>
            <w:tcW w:w="1243" w:type="dxa"/>
            <w:tcBorders>
              <w:top w:val="nil"/>
              <w:bottom w:val="nil"/>
            </w:tcBorders>
          </w:tcPr>
          <w:p>
            <w:pPr>
              <w:pStyle w:val="TableParagraph"/>
              <w:spacing w:before="95"/>
              <w:ind w:left="518"/>
              <w:rPr>
                <w:sz w:val="17"/>
              </w:rPr>
            </w:pPr>
            <w:r>
              <w:rPr>
                <w:w w:val="105"/>
                <w:sz w:val="17"/>
              </w:rPr>
              <w:t>15</w:t>
            </w:r>
          </w:p>
        </w:tc>
        <w:tc>
          <w:tcPr>
            <w:tcW w:w="1651" w:type="dxa"/>
            <w:tcBorders>
              <w:top w:val="nil"/>
              <w:bottom w:val="nil"/>
            </w:tcBorders>
          </w:tcPr>
          <w:p>
            <w:pPr>
              <w:pStyle w:val="TableParagraph"/>
              <w:spacing w:before="95"/>
              <w:ind w:left="162" w:right="173"/>
              <w:jc w:val="center"/>
              <w:rPr>
                <w:sz w:val="17"/>
              </w:rPr>
            </w:pPr>
            <w:r>
              <w:rPr>
                <w:w w:val="105"/>
                <w:sz w:val="17"/>
              </w:rPr>
              <w:t>Eslovenia</w:t>
            </w:r>
          </w:p>
        </w:tc>
        <w:tc>
          <w:tcPr>
            <w:tcW w:w="1382" w:type="dxa"/>
            <w:tcBorders>
              <w:top w:val="nil"/>
              <w:bottom w:val="nil"/>
            </w:tcBorders>
          </w:tcPr>
          <w:p>
            <w:pPr>
              <w:pStyle w:val="TableParagraph"/>
              <w:spacing w:before="95"/>
              <w:ind w:right="578"/>
              <w:jc w:val="right"/>
              <w:rPr>
                <w:sz w:val="17"/>
              </w:rPr>
            </w:pPr>
            <w:r>
              <w:rPr>
                <w:w w:val="105"/>
                <w:sz w:val="17"/>
              </w:rPr>
              <w:t>79</w:t>
            </w:r>
          </w:p>
        </w:tc>
        <w:tc>
          <w:tcPr>
            <w:tcW w:w="1243" w:type="dxa"/>
            <w:tcBorders>
              <w:top w:val="nil"/>
              <w:bottom w:val="nil"/>
              <w:right w:val="nil"/>
            </w:tcBorders>
          </w:tcPr>
          <w:p>
            <w:pPr>
              <w:pStyle w:val="TableParagraph"/>
              <w:spacing w:before="95"/>
              <w:ind w:left="496" w:right="503"/>
              <w:jc w:val="center"/>
              <w:rPr>
                <w:sz w:val="17"/>
              </w:rPr>
            </w:pPr>
            <w:r>
              <w:rPr>
                <w:w w:val="105"/>
                <w:sz w:val="17"/>
              </w:rPr>
              <w:t>21</w:t>
            </w:r>
          </w:p>
        </w:tc>
      </w:tr>
      <w:tr>
        <w:trPr>
          <w:trHeight w:val="394" w:hRule="exact"/>
        </w:trPr>
        <w:tc>
          <w:tcPr>
            <w:tcW w:w="1358" w:type="dxa"/>
            <w:tcBorders>
              <w:top w:val="nil"/>
              <w:left w:val="nil"/>
              <w:bottom w:val="nil"/>
            </w:tcBorders>
          </w:tcPr>
          <w:p>
            <w:pPr>
              <w:pStyle w:val="TableParagraph"/>
              <w:spacing w:before="92"/>
              <w:ind w:left="393"/>
              <w:rPr>
                <w:sz w:val="17"/>
              </w:rPr>
            </w:pPr>
            <w:r>
              <w:rPr>
                <w:w w:val="105"/>
                <w:sz w:val="17"/>
              </w:rPr>
              <w:t>Suiza 1</w:t>
            </w:r>
          </w:p>
        </w:tc>
        <w:tc>
          <w:tcPr>
            <w:tcW w:w="1382" w:type="dxa"/>
            <w:tcBorders>
              <w:top w:val="nil"/>
              <w:bottom w:val="nil"/>
            </w:tcBorders>
          </w:tcPr>
          <w:p>
            <w:pPr>
              <w:pStyle w:val="TableParagraph"/>
              <w:spacing w:before="92"/>
              <w:ind w:left="567" w:right="567"/>
              <w:jc w:val="center"/>
              <w:rPr>
                <w:sz w:val="17"/>
              </w:rPr>
            </w:pPr>
            <w:r>
              <w:rPr>
                <w:w w:val="105"/>
                <w:sz w:val="17"/>
              </w:rPr>
              <w:t>85</w:t>
            </w:r>
          </w:p>
        </w:tc>
        <w:tc>
          <w:tcPr>
            <w:tcW w:w="1243" w:type="dxa"/>
            <w:tcBorders>
              <w:top w:val="nil"/>
              <w:bottom w:val="nil"/>
            </w:tcBorders>
          </w:tcPr>
          <w:p>
            <w:pPr>
              <w:pStyle w:val="TableParagraph"/>
              <w:spacing w:before="92"/>
              <w:ind w:left="518"/>
              <w:rPr>
                <w:sz w:val="17"/>
              </w:rPr>
            </w:pPr>
            <w:r>
              <w:rPr>
                <w:w w:val="105"/>
                <w:sz w:val="17"/>
              </w:rPr>
              <w:t>15</w:t>
            </w:r>
          </w:p>
        </w:tc>
        <w:tc>
          <w:tcPr>
            <w:tcW w:w="1651" w:type="dxa"/>
            <w:tcBorders>
              <w:top w:val="nil"/>
              <w:bottom w:val="nil"/>
            </w:tcBorders>
          </w:tcPr>
          <w:p>
            <w:pPr>
              <w:pStyle w:val="TableParagraph"/>
              <w:spacing w:before="92"/>
              <w:ind w:left="169" w:right="173"/>
              <w:jc w:val="center"/>
              <w:rPr>
                <w:sz w:val="17"/>
              </w:rPr>
            </w:pPr>
            <w:r>
              <w:rPr>
                <w:w w:val="105"/>
                <w:sz w:val="17"/>
              </w:rPr>
              <w:t>Canadá 3,4</w:t>
            </w:r>
          </w:p>
        </w:tc>
        <w:tc>
          <w:tcPr>
            <w:tcW w:w="1382" w:type="dxa"/>
            <w:tcBorders>
              <w:top w:val="nil"/>
              <w:bottom w:val="nil"/>
            </w:tcBorders>
          </w:tcPr>
          <w:p>
            <w:pPr>
              <w:pStyle w:val="TableParagraph"/>
              <w:spacing w:before="92"/>
              <w:ind w:right="578"/>
              <w:jc w:val="right"/>
              <w:rPr>
                <w:sz w:val="17"/>
              </w:rPr>
            </w:pPr>
            <w:r>
              <w:rPr>
                <w:w w:val="105"/>
                <w:sz w:val="17"/>
              </w:rPr>
              <w:t>79</w:t>
            </w:r>
          </w:p>
        </w:tc>
        <w:tc>
          <w:tcPr>
            <w:tcW w:w="1243" w:type="dxa"/>
            <w:tcBorders>
              <w:top w:val="nil"/>
              <w:bottom w:val="nil"/>
              <w:right w:val="nil"/>
            </w:tcBorders>
          </w:tcPr>
          <w:p>
            <w:pPr>
              <w:pStyle w:val="TableParagraph"/>
              <w:spacing w:before="92"/>
              <w:ind w:left="496" w:right="503"/>
              <w:jc w:val="center"/>
              <w:rPr>
                <w:sz w:val="17"/>
              </w:rPr>
            </w:pPr>
            <w:r>
              <w:rPr>
                <w:w w:val="105"/>
                <w:sz w:val="17"/>
              </w:rPr>
              <w:t>21</w:t>
            </w:r>
          </w:p>
        </w:tc>
      </w:tr>
      <w:tr>
        <w:trPr>
          <w:trHeight w:val="396" w:hRule="exact"/>
        </w:trPr>
        <w:tc>
          <w:tcPr>
            <w:tcW w:w="1358" w:type="dxa"/>
            <w:tcBorders>
              <w:top w:val="nil"/>
              <w:left w:val="nil"/>
              <w:bottom w:val="nil"/>
            </w:tcBorders>
          </w:tcPr>
          <w:p>
            <w:pPr>
              <w:pStyle w:val="TableParagraph"/>
              <w:spacing w:before="92"/>
              <w:ind w:left="345"/>
              <w:rPr>
                <w:sz w:val="17"/>
              </w:rPr>
            </w:pPr>
            <w:r>
              <w:rPr>
                <w:w w:val="105"/>
                <w:sz w:val="17"/>
              </w:rPr>
              <w:t>Irlanda 1</w:t>
            </w:r>
          </w:p>
        </w:tc>
        <w:tc>
          <w:tcPr>
            <w:tcW w:w="1382" w:type="dxa"/>
            <w:tcBorders>
              <w:top w:val="nil"/>
              <w:bottom w:val="nil"/>
            </w:tcBorders>
          </w:tcPr>
          <w:p>
            <w:pPr>
              <w:pStyle w:val="TableParagraph"/>
              <w:spacing w:before="92"/>
              <w:ind w:left="567" w:right="567"/>
              <w:jc w:val="center"/>
              <w:rPr>
                <w:sz w:val="17"/>
              </w:rPr>
            </w:pPr>
            <w:r>
              <w:rPr>
                <w:w w:val="105"/>
                <w:sz w:val="17"/>
              </w:rPr>
              <w:t>84</w:t>
            </w:r>
          </w:p>
        </w:tc>
        <w:tc>
          <w:tcPr>
            <w:tcW w:w="1243" w:type="dxa"/>
            <w:tcBorders>
              <w:top w:val="nil"/>
              <w:bottom w:val="nil"/>
            </w:tcBorders>
          </w:tcPr>
          <w:p>
            <w:pPr>
              <w:pStyle w:val="TableParagraph"/>
              <w:spacing w:before="92"/>
              <w:ind w:left="518"/>
              <w:rPr>
                <w:sz w:val="17"/>
              </w:rPr>
            </w:pPr>
            <w:r>
              <w:rPr>
                <w:w w:val="105"/>
                <w:sz w:val="17"/>
              </w:rPr>
              <w:t>16</w:t>
            </w:r>
          </w:p>
        </w:tc>
        <w:tc>
          <w:tcPr>
            <w:tcW w:w="1651" w:type="dxa"/>
            <w:tcBorders>
              <w:top w:val="nil"/>
              <w:bottom w:val="nil"/>
            </w:tcBorders>
          </w:tcPr>
          <w:p>
            <w:pPr>
              <w:pStyle w:val="TableParagraph"/>
              <w:spacing w:before="92"/>
              <w:ind w:left="157" w:right="173"/>
              <w:jc w:val="center"/>
              <w:rPr>
                <w:sz w:val="17"/>
              </w:rPr>
            </w:pPr>
            <w:r>
              <w:rPr>
                <w:w w:val="105"/>
                <w:sz w:val="17"/>
              </w:rPr>
              <w:t>Australia</w:t>
            </w:r>
          </w:p>
        </w:tc>
        <w:tc>
          <w:tcPr>
            <w:tcW w:w="1382" w:type="dxa"/>
            <w:tcBorders>
              <w:top w:val="nil"/>
              <w:bottom w:val="nil"/>
            </w:tcBorders>
          </w:tcPr>
          <w:p>
            <w:pPr>
              <w:pStyle w:val="TableParagraph"/>
              <w:spacing w:before="92"/>
              <w:ind w:right="578"/>
              <w:jc w:val="right"/>
              <w:rPr>
                <w:sz w:val="17"/>
              </w:rPr>
            </w:pPr>
            <w:r>
              <w:rPr>
                <w:w w:val="105"/>
                <w:sz w:val="17"/>
              </w:rPr>
              <w:t>78</w:t>
            </w:r>
          </w:p>
        </w:tc>
        <w:tc>
          <w:tcPr>
            <w:tcW w:w="1243" w:type="dxa"/>
            <w:tcBorders>
              <w:top w:val="nil"/>
              <w:bottom w:val="nil"/>
              <w:right w:val="nil"/>
            </w:tcBorders>
          </w:tcPr>
          <w:p>
            <w:pPr>
              <w:pStyle w:val="TableParagraph"/>
              <w:spacing w:before="92"/>
              <w:ind w:left="496" w:right="503"/>
              <w:jc w:val="center"/>
              <w:rPr>
                <w:sz w:val="17"/>
              </w:rPr>
            </w:pPr>
            <w:r>
              <w:rPr>
                <w:w w:val="105"/>
                <w:sz w:val="17"/>
              </w:rPr>
              <w:t>22</w:t>
            </w:r>
          </w:p>
        </w:tc>
      </w:tr>
      <w:tr>
        <w:trPr>
          <w:trHeight w:val="398" w:hRule="exact"/>
        </w:trPr>
        <w:tc>
          <w:tcPr>
            <w:tcW w:w="1358" w:type="dxa"/>
            <w:tcBorders>
              <w:top w:val="nil"/>
              <w:left w:val="nil"/>
              <w:bottom w:val="nil"/>
            </w:tcBorders>
          </w:tcPr>
          <w:p>
            <w:pPr>
              <w:pStyle w:val="TableParagraph"/>
              <w:spacing w:before="95"/>
              <w:ind w:left="316"/>
              <w:rPr>
                <w:sz w:val="17"/>
              </w:rPr>
            </w:pPr>
            <w:r>
              <w:rPr>
                <w:w w:val="105"/>
                <w:sz w:val="17"/>
              </w:rPr>
              <w:t>España 1</w:t>
            </w:r>
          </w:p>
        </w:tc>
        <w:tc>
          <w:tcPr>
            <w:tcW w:w="1382" w:type="dxa"/>
            <w:tcBorders>
              <w:top w:val="nil"/>
              <w:bottom w:val="nil"/>
            </w:tcBorders>
          </w:tcPr>
          <w:p>
            <w:pPr>
              <w:pStyle w:val="TableParagraph"/>
              <w:spacing w:before="95"/>
              <w:ind w:left="567" w:right="567"/>
              <w:jc w:val="center"/>
              <w:rPr>
                <w:sz w:val="17"/>
              </w:rPr>
            </w:pPr>
            <w:r>
              <w:rPr>
                <w:w w:val="105"/>
                <w:sz w:val="17"/>
              </w:rPr>
              <w:t>83</w:t>
            </w:r>
          </w:p>
        </w:tc>
        <w:tc>
          <w:tcPr>
            <w:tcW w:w="1243" w:type="dxa"/>
            <w:tcBorders>
              <w:top w:val="nil"/>
              <w:bottom w:val="nil"/>
            </w:tcBorders>
          </w:tcPr>
          <w:p>
            <w:pPr>
              <w:pStyle w:val="TableParagraph"/>
              <w:spacing w:before="95"/>
              <w:ind w:left="518"/>
              <w:rPr>
                <w:sz w:val="17"/>
              </w:rPr>
            </w:pPr>
            <w:r>
              <w:rPr>
                <w:w w:val="105"/>
                <w:sz w:val="17"/>
              </w:rPr>
              <w:t>17</w:t>
            </w:r>
          </w:p>
        </w:tc>
        <w:tc>
          <w:tcPr>
            <w:tcW w:w="1651" w:type="dxa"/>
            <w:tcBorders>
              <w:top w:val="nil"/>
              <w:bottom w:val="nil"/>
            </w:tcBorders>
          </w:tcPr>
          <w:p>
            <w:pPr>
              <w:pStyle w:val="TableParagraph"/>
              <w:spacing w:before="95"/>
              <w:ind w:left="167" w:right="173"/>
              <w:jc w:val="center"/>
              <w:rPr>
                <w:sz w:val="17"/>
              </w:rPr>
            </w:pPr>
            <w:r>
              <w:rPr>
                <w:w w:val="105"/>
                <w:sz w:val="17"/>
              </w:rPr>
              <w:t>Islandia 3</w:t>
            </w:r>
          </w:p>
        </w:tc>
        <w:tc>
          <w:tcPr>
            <w:tcW w:w="1382" w:type="dxa"/>
            <w:tcBorders>
              <w:top w:val="nil"/>
              <w:bottom w:val="nil"/>
            </w:tcBorders>
          </w:tcPr>
          <w:p>
            <w:pPr>
              <w:pStyle w:val="TableParagraph"/>
              <w:spacing w:before="95"/>
              <w:ind w:right="578"/>
              <w:jc w:val="right"/>
              <w:rPr>
                <w:sz w:val="17"/>
              </w:rPr>
            </w:pPr>
            <w:r>
              <w:rPr>
                <w:w w:val="105"/>
                <w:sz w:val="17"/>
              </w:rPr>
              <w:t>78</w:t>
            </w:r>
          </w:p>
        </w:tc>
        <w:tc>
          <w:tcPr>
            <w:tcW w:w="1243" w:type="dxa"/>
            <w:tcBorders>
              <w:top w:val="nil"/>
              <w:bottom w:val="nil"/>
              <w:right w:val="nil"/>
            </w:tcBorders>
          </w:tcPr>
          <w:p>
            <w:pPr>
              <w:pStyle w:val="TableParagraph"/>
              <w:spacing w:before="95"/>
              <w:ind w:left="496" w:right="503"/>
              <w:jc w:val="center"/>
              <w:rPr>
                <w:sz w:val="17"/>
              </w:rPr>
            </w:pPr>
            <w:r>
              <w:rPr>
                <w:w w:val="105"/>
                <w:sz w:val="17"/>
              </w:rPr>
              <w:t>22</w:t>
            </w:r>
          </w:p>
        </w:tc>
      </w:tr>
      <w:tr>
        <w:trPr>
          <w:trHeight w:val="396" w:hRule="exact"/>
        </w:trPr>
        <w:tc>
          <w:tcPr>
            <w:tcW w:w="1358" w:type="dxa"/>
            <w:tcBorders>
              <w:top w:val="nil"/>
              <w:left w:val="nil"/>
              <w:bottom w:val="nil"/>
            </w:tcBorders>
          </w:tcPr>
          <w:p>
            <w:pPr>
              <w:pStyle w:val="TableParagraph"/>
              <w:spacing w:before="95"/>
              <w:ind w:right="147"/>
              <w:jc w:val="right"/>
              <w:rPr>
                <w:sz w:val="17"/>
              </w:rPr>
            </w:pPr>
            <w:r>
              <w:rPr>
                <w:w w:val="105"/>
                <w:sz w:val="17"/>
              </w:rPr>
              <w:t>Países Bajos</w:t>
            </w:r>
          </w:p>
        </w:tc>
        <w:tc>
          <w:tcPr>
            <w:tcW w:w="1382" w:type="dxa"/>
            <w:tcBorders>
              <w:top w:val="nil"/>
              <w:bottom w:val="nil"/>
            </w:tcBorders>
          </w:tcPr>
          <w:p>
            <w:pPr>
              <w:pStyle w:val="TableParagraph"/>
              <w:spacing w:before="95"/>
              <w:ind w:left="567" w:right="567"/>
              <w:jc w:val="center"/>
              <w:rPr>
                <w:sz w:val="17"/>
              </w:rPr>
            </w:pPr>
            <w:r>
              <w:rPr>
                <w:w w:val="105"/>
                <w:sz w:val="17"/>
              </w:rPr>
              <w:t>82</w:t>
            </w:r>
          </w:p>
        </w:tc>
        <w:tc>
          <w:tcPr>
            <w:tcW w:w="1243" w:type="dxa"/>
            <w:tcBorders>
              <w:top w:val="nil"/>
              <w:bottom w:val="nil"/>
            </w:tcBorders>
          </w:tcPr>
          <w:p>
            <w:pPr>
              <w:pStyle w:val="TableParagraph"/>
              <w:spacing w:before="95"/>
              <w:ind w:left="518"/>
              <w:rPr>
                <w:sz w:val="17"/>
              </w:rPr>
            </w:pPr>
            <w:r>
              <w:rPr>
                <w:w w:val="105"/>
                <w:sz w:val="17"/>
              </w:rPr>
              <w:t>18</w:t>
            </w:r>
          </w:p>
        </w:tc>
        <w:tc>
          <w:tcPr>
            <w:tcW w:w="1651" w:type="dxa"/>
            <w:tcBorders>
              <w:top w:val="nil"/>
              <w:bottom w:val="nil"/>
            </w:tcBorders>
          </w:tcPr>
          <w:p>
            <w:pPr>
              <w:pStyle w:val="TableParagraph"/>
              <w:spacing w:before="95"/>
              <w:ind w:left="162" w:right="173"/>
              <w:jc w:val="center"/>
              <w:rPr>
                <w:sz w:val="17"/>
              </w:rPr>
            </w:pPr>
            <w:r>
              <w:rPr>
                <w:w w:val="105"/>
                <w:sz w:val="17"/>
              </w:rPr>
              <w:t>Austria</w:t>
            </w:r>
          </w:p>
        </w:tc>
        <w:tc>
          <w:tcPr>
            <w:tcW w:w="1382" w:type="dxa"/>
            <w:tcBorders>
              <w:top w:val="nil"/>
              <w:bottom w:val="nil"/>
            </w:tcBorders>
          </w:tcPr>
          <w:p>
            <w:pPr>
              <w:pStyle w:val="TableParagraph"/>
              <w:spacing w:before="95"/>
              <w:ind w:right="578"/>
              <w:jc w:val="right"/>
              <w:rPr>
                <w:sz w:val="17"/>
              </w:rPr>
            </w:pPr>
            <w:r>
              <w:rPr>
                <w:w w:val="105"/>
                <w:sz w:val="17"/>
              </w:rPr>
              <w:t>77</w:t>
            </w:r>
          </w:p>
        </w:tc>
        <w:tc>
          <w:tcPr>
            <w:tcW w:w="1243" w:type="dxa"/>
            <w:tcBorders>
              <w:top w:val="nil"/>
              <w:bottom w:val="nil"/>
              <w:right w:val="nil"/>
            </w:tcBorders>
          </w:tcPr>
          <w:p>
            <w:pPr>
              <w:pStyle w:val="TableParagraph"/>
              <w:spacing w:before="95"/>
              <w:ind w:left="496" w:right="503"/>
              <w:jc w:val="center"/>
              <w:rPr>
                <w:sz w:val="17"/>
              </w:rPr>
            </w:pPr>
            <w:r>
              <w:rPr>
                <w:w w:val="105"/>
                <w:sz w:val="17"/>
              </w:rPr>
              <w:t>23</w:t>
            </w:r>
          </w:p>
        </w:tc>
      </w:tr>
      <w:tr>
        <w:trPr>
          <w:trHeight w:val="396" w:hRule="exact"/>
        </w:trPr>
        <w:tc>
          <w:tcPr>
            <w:tcW w:w="1358" w:type="dxa"/>
            <w:tcBorders>
              <w:top w:val="nil"/>
              <w:left w:val="nil"/>
              <w:bottom w:val="nil"/>
            </w:tcBorders>
          </w:tcPr>
          <w:p>
            <w:pPr>
              <w:pStyle w:val="TableParagraph"/>
              <w:spacing w:before="92"/>
              <w:ind w:left="350"/>
              <w:rPr>
                <w:sz w:val="17"/>
              </w:rPr>
            </w:pPr>
            <w:r>
              <w:rPr>
                <w:w w:val="105"/>
                <w:sz w:val="17"/>
              </w:rPr>
              <w:t>Noruega</w:t>
            </w:r>
          </w:p>
        </w:tc>
        <w:tc>
          <w:tcPr>
            <w:tcW w:w="1382" w:type="dxa"/>
            <w:tcBorders>
              <w:top w:val="nil"/>
              <w:bottom w:val="nil"/>
            </w:tcBorders>
          </w:tcPr>
          <w:p>
            <w:pPr>
              <w:pStyle w:val="TableParagraph"/>
              <w:spacing w:before="92"/>
              <w:ind w:left="567" w:right="567"/>
              <w:jc w:val="center"/>
              <w:rPr>
                <w:sz w:val="17"/>
              </w:rPr>
            </w:pPr>
            <w:r>
              <w:rPr>
                <w:w w:val="105"/>
                <w:sz w:val="17"/>
              </w:rPr>
              <w:t>75</w:t>
            </w:r>
          </w:p>
        </w:tc>
        <w:tc>
          <w:tcPr>
            <w:tcW w:w="1243" w:type="dxa"/>
            <w:tcBorders>
              <w:top w:val="nil"/>
              <w:bottom w:val="nil"/>
            </w:tcBorders>
          </w:tcPr>
          <w:p>
            <w:pPr>
              <w:pStyle w:val="TableParagraph"/>
              <w:spacing w:before="92"/>
              <w:ind w:left="518"/>
              <w:rPr>
                <w:sz w:val="17"/>
              </w:rPr>
            </w:pPr>
            <w:r>
              <w:rPr>
                <w:w w:val="105"/>
                <w:sz w:val="17"/>
              </w:rPr>
              <w:t>25</w:t>
            </w:r>
          </w:p>
        </w:tc>
        <w:tc>
          <w:tcPr>
            <w:tcW w:w="1651" w:type="dxa"/>
            <w:tcBorders>
              <w:top w:val="nil"/>
              <w:bottom w:val="nil"/>
            </w:tcBorders>
          </w:tcPr>
          <w:p>
            <w:pPr>
              <w:pStyle w:val="TableParagraph"/>
              <w:spacing w:before="92"/>
              <w:ind w:left="169" w:right="173"/>
              <w:jc w:val="center"/>
              <w:rPr>
                <w:sz w:val="17"/>
              </w:rPr>
            </w:pPr>
            <w:r>
              <w:rPr>
                <w:w w:val="105"/>
                <w:sz w:val="17"/>
              </w:rPr>
              <w:t>Corea</w:t>
            </w:r>
          </w:p>
        </w:tc>
        <w:tc>
          <w:tcPr>
            <w:tcW w:w="1382" w:type="dxa"/>
            <w:tcBorders>
              <w:top w:val="nil"/>
              <w:bottom w:val="nil"/>
            </w:tcBorders>
          </w:tcPr>
          <w:p>
            <w:pPr>
              <w:pStyle w:val="TableParagraph"/>
              <w:spacing w:before="92"/>
              <w:ind w:right="578"/>
              <w:jc w:val="right"/>
              <w:rPr>
                <w:sz w:val="17"/>
              </w:rPr>
            </w:pPr>
            <w:r>
              <w:rPr>
                <w:w w:val="105"/>
                <w:sz w:val="17"/>
              </w:rPr>
              <w:t>69</w:t>
            </w:r>
          </w:p>
        </w:tc>
        <w:tc>
          <w:tcPr>
            <w:tcW w:w="1243" w:type="dxa"/>
            <w:tcBorders>
              <w:top w:val="nil"/>
              <w:bottom w:val="nil"/>
              <w:right w:val="nil"/>
            </w:tcBorders>
          </w:tcPr>
          <w:p>
            <w:pPr>
              <w:pStyle w:val="TableParagraph"/>
              <w:spacing w:before="92"/>
              <w:ind w:left="496" w:right="503"/>
              <w:jc w:val="center"/>
              <w:rPr>
                <w:sz w:val="17"/>
              </w:rPr>
            </w:pPr>
            <w:r>
              <w:rPr>
                <w:w w:val="105"/>
                <w:sz w:val="17"/>
              </w:rPr>
              <w:t>31</w:t>
            </w:r>
          </w:p>
        </w:tc>
      </w:tr>
      <w:tr>
        <w:trPr>
          <w:trHeight w:val="595" w:hRule="exact"/>
        </w:trPr>
        <w:tc>
          <w:tcPr>
            <w:tcW w:w="1358" w:type="dxa"/>
            <w:tcBorders>
              <w:top w:val="nil"/>
              <w:left w:val="nil"/>
              <w:bottom w:val="nil"/>
            </w:tcBorders>
          </w:tcPr>
          <w:p>
            <w:pPr>
              <w:pStyle w:val="TableParagraph"/>
              <w:rPr>
                <w:b/>
                <w:sz w:val="17"/>
              </w:rPr>
            </w:pPr>
          </w:p>
          <w:p>
            <w:pPr>
              <w:pStyle w:val="TableParagraph"/>
              <w:ind w:left="201"/>
              <w:rPr>
                <w:sz w:val="17"/>
              </w:rPr>
            </w:pPr>
            <w:r>
              <w:rPr>
                <w:w w:val="105"/>
                <w:sz w:val="17"/>
              </w:rPr>
              <w:t>Reino Unido</w:t>
            </w:r>
          </w:p>
        </w:tc>
        <w:tc>
          <w:tcPr>
            <w:tcW w:w="1382" w:type="dxa"/>
            <w:tcBorders>
              <w:top w:val="nil"/>
              <w:bottom w:val="nil"/>
            </w:tcBorders>
          </w:tcPr>
          <w:p>
            <w:pPr>
              <w:pStyle w:val="TableParagraph"/>
              <w:rPr>
                <w:b/>
                <w:sz w:val="17"/>
              </w:rPr>
            </w:pPr>
          </w:p>
          <w:p>
            <w:pPr>
              <w:pStyle w:val="TableParagraph"/>
              <w:ind w:left="567" w:right="567"/>
              <w:jc w:val="center"/>
              <w:rPr>
                <w:sz w:val="17"/>
              </w:rPr>
            </w:pPr>
            <w:r>
              <w:rPr>
                <w:w w:val="105"/>
                <w:sz w:val="17"/>
              </w:rPr>
              <w:t>75</w:t>
            </w:r>
          </w:p>
        </w:tc>
        <w:tc>
          <w:tcPr>
            <w:tcW w:w="1243" w:type="dxa"/>
            <w:tcBorders>
              <w:top w:val="nil"/>
              <w:bottom w:val="nil"/>
            </w:tcBorders>
          </w:tcPr>
          <w:p>
            <w:pPr>
              <w:pStyle w:val="TableParagraph"/>
              <w:rPr>
                <w:b/>
                <w:sz w:val="17"/>
              </w:rPr>
            </w:pPr>
          </w:p>
          <w:p>
            <w:pPr>
              <w:pStyle w:val="TableParagraph"/>
              <w:ind w:left="518"/>
              <w:rPr>
                <w:sz w:val="17"/>
              </w:rPr>
            </w:pPr>
            <w:r>
              <w:rPr>
                <w:w w:val="105"/>
                <w:sz w:val="17"/>
              </w:rPr>
              <w:t>25</w:t>
            </w:r>
          </w:p>
        </w:tc>
        <w:tc>
          <w:tcPr>
            <w:tcW w:w="1651" w:type="dxa"/>
            <w:tcBorders>
              <w:top w:val="nil"/>
              <w:bottom w:val="nil"/>
            </w:tcBorders>
          </w:tcPr>
          <w:p>
            <w:pPr>
              <w:pStyle w:val="TableParagraph"/>
              <w:spacing w:before="95"/>
              <w:ind w:left="460" w:right="55" w:hanging="34"/>
              <w:rPr>
                <w:sz w:val="17"/>
              </w:rPr>
            </w:pPr>
            <w:r>
              <w:rPr>
                <w:w w:val="105"/>
                <w:sz w:val="17"/>
              </w:rPr>
              <w:t>República Eslovaca</w:t>
            </w:r>
          </w:p>
        </w:tc>
        <w:tc>
          <w:tcPr>
            <w:tcW w:w="1382" w:type="dxa"/>
            <w:tcBorders>
              <w:top w:val="nil"/>
              <w:bottom w:val="nil"/>
            </w:tcBorders>
          </w:tcPr>
          <w:p>
            <w:pPr>
              <w:pStyle w:val="TableParagraph"/>
              <w:rPr>
                <w:b/>
                <w:sz w:val="17"/>
              </w:rPr>
            </w:pPr>
          </w:p>
          <w:p>
            <w:pPr>
              <w:pStyle w:val="TableParagraph"/>
              <w:ind w:right="578"/>
              <w:jc w:val="right"/>
              <w:rPr>
                <w:sz w:val="17"/>
              </w:rPr>
            </w:pPr>
            <w:r>
              <w:rPr>
                <w:w w:val="105"/>
                <w:sz w:val="17"/>
              </w:rPr>
              <w:t>68</w:t>
            </w:r>
          </w:p>
        </w:tc>
        <w:tc>
          <w:tcPr>
            <w:tcW w:w="1243" w:type="dxa"/>
            <w:tcBorders>
              <w:top w:val="nil"/>
              <w:bottom w:val="nil"/>
              <w:right w:val="nil"/>
            </w:tcBorders>
          </w:tcPr>
          <w:p>
            <w:pPr>
              <w:pStyle w:val="TableParagraph"/>
              <w:rPr>
                <w:b/>
                <w:sz w:val="17"/>
              </w:rPr>
            </w:pPr>
          </w:p>
          <w:p>
            <w:pPr>
              <w:pStyle w:val="TableParagraph"/>
              <w:ind w:left="496" w:right="503"/>
              <w:jc w:val="center"/>
              <w:rPr>
                <w:sz w:val="17"/>
              </w:rPr>
            </w:pPr>
            <w:r>
              <w:rPr>
                <w:w w:val="105"/>
                <w:sz w:val="17"/>
              </w:rPr>
              <w:t>32</w:t>
            </w:r>
          </w:p>
        </w:tc>
      </w:tr>
      <w:tr>
        <w:trPr>
          <w:trHeight w:val="401" w:hRule="exact"/>
        </w:trPr>
        <w:tc>
          <w:tcPr>
            <w:tcW w:w="1358" w:type="dxa"/>
            <w:tcBorders>
              <w:top w:val="nil"/>
              <w:left w:val="nil"/>
              <w:bottom w:val="nil"/>
            </w:tcBorders>
          </w:tcPr>
          <w:p>
            <w:pPr>
              <w:pStyle w:val="TableParagraph"/>
              <w:spacing w:before="95"/>
              <w:ind w:left="393"/>
              <w:rPr>
                <w:sz w:val="17"/>
              </w:rPr>
            </w:pPr>
            <w:r>
              <w:rPr>
                <w:w w:val="105"/>
                <w:sz w:val="17"/>
              </w:rPr>
              <w:t>Brasil 1</w:t>
            </w:r>
          </w:p>
        </w:tc>
        <w:tc>
          <w:tcPr>
            <w:tcW w:w="1382" w:type="dxa"/>
            <w:tcBorders>
              <w:top w:val="nil"/>
              <w:bottom w:val="nil"/>
            </w:tcBorders>
          </w:tcPr>
          <w:p>
            <w:pPr>
              <w:pStyle w:val="TableParagraph"/>
              <w:spacing w:before="95"/>
              <w:ind w:left="567" w:right="567"/>
              <w:jc w:val="center"/>
              <w:rPr>
                <w:sz w:val="17"/>
              </w:rPr>
            </w:pPr>
            <w:r>
              <w:rPr>
                <w:w w:val="105"/>
                <w:sz w:val="17"/>
              </w:rPr>
              <w:t>73</w:t>
            </w:r>
          </w:p>
        </w:tc>
        <w:tc>
          <w:tcPr>
            <w:tcW w:w="1243" w:type="dxa"/>
            <w:tcBorders>
              <w:top w:val="nil"/>
              <w:bottom w:val="nil"/>
            </w:tcBorders>
          </w:tcPr>
          <w:p>
            <w:pPr>
              <w:pStyle w:val="TableParagraph"/>
              <w:spacing w:before="95"/>
              <w:ind w:left="518"/>
              <w:rPr>
                <w:sz w:val="17"/>
              </w:rPr>
            </w:pPr>
            <w:r>
              <w:rPr>
                <w:w w:val="105"/>
                <w:sz w:val="17"/>
              </w:rPr>
              <w:t>27</w:t>
            </w:r>
          </w:p>
        </w:tc>
        <w:tc>
          <w:tcPr>
            <w:tcW w:w="1651" w:type="dxa"/>
            <w:tcBorders>
              <w:top w:val="nil"/>
              <w:bottom w:val="nil"/>
            </w:tcBorders>
          </w:tcPr>
          <w:p>
            <w:pPr>
              <w:pStyle w:val="TableParagraph"/>
              <w:spacing w:before="95"/>
              <w:ind w:left="162" w:right="173"/>
              <w:jc w:val="center"/>
              <w:rPr>
                <w:sz w:val="17"/>
              </w:rPr>
            </w:pPr>
            <w:r>
              <w:rPr>
                <w:w w:val="105"/>
                <w:sz w:val="17"/>
              </w:rPr>
              <w:t>Finlandia</w:t>
            </w:r>
          </w:p>
        </w:tc>
        <w:tc>
          <w:tcPr>
            <w:tcW w:w="1382" w:type="dxa"/>
            <w:tcBorders>
              <w:top w:val="nil"/>
              <w:bottom w:val="nil"/>
            </w:tcBorders>
          </w:tcPr>
          <w:p>
            <w:pPr>
              <w:pStyle w:val="TableParagraph"/>
              <w:spacing w:before="95"/>
              <w:ind w:right="578"/>
              <w:jc w:val="right"/>
              <w:rPr>
                <w:sz w:val="17"/>
              </w:rPr>
            </w:pPr>
            <w:r>
              <w:rPr>
                <w:w w:val="105"/>
                <w:sz w:val="17"/>
              </w:rPr>
              <w:t>67</w:t>
            </w:r>
          </w:p>
        </w:tc>
        <w:tc>
          <w:tcPr>
            <w:tcW w:w="1243" w:type="dxa"/>
            <w:tcBorders>
              <w:top w:val="nil"/>
              <w:bottom w:val="nil"/>
              <w:right w:val="nil"/>
            </w:tcBorders>
          </w:tcPr>
          <w:p>
            <w:pPr>
              <w:pStyle w:val="TableParagraph"/>
              <w:spacing w:before="95"/>
              <w:ind w:left="496" w:right="503"/>
              <w:jc w:val="center"/>
              <w:rPr>
                <w:sz w:val="17"/>
              </w:rPr>
            </w:pPr>
            <w:r>
              <w:rPr>
                <w:w w:val="105"/>
                <w:sz w:val="17"/>
              </w:rPr>
              <w:t>33</w:t>
            </w:r>
          </w:p>
        </w:tc>
      </w:tr>
      <w:tr>
        <w:trPr>
          <w:trHeight w:val="595" w:hRule="exact"/>
        </w:trPr>
        <w:tc>
          <w:tcPr>
            <w:tcW w:w="1358" w:type="dxa"/>
            <w:tcBorders>
              <w:top w:val="nil"/>
              <w:left w:val="nil"/>
              <w:bottom w:val="nil"/>
            </w:tcBorders>
          </w:tcPr>
          <w:p>
            <w:pPr>
              <w:pStyle w:val="TableParagraph"/>
              <w:spacing w:before="9"/>
              <w:rPr>
                <w:b/>
                <w:sz w:val="16"/>
              </w:rPr>
            </w:pPr>
          </w:p>
          <w:p>
            <w:pPr>
              <w:pStyle w:val="TableParagraph"/>
              <w:ind w:left="321"/>
              <w:rPr>
                <w:sz w:val="17"/>
              </w:rPr>
            </w:pPr>
            <w:r>
              <w:rPr>
                <w:w w:val="105"/>
                <w:sz w:val="17"/>
              </w:rPr>
              <w:t>Polonia 1</w:t>
            </w:r>
          </w:p>
        </w:tc>
        <w:tc>
          <w:tcPr>
            <w:tcW w:w="1382" w:type="dxa"/>
            <w:tcBorders>
              <w:top w:val="nil"/>
              <w:bottom w:val="nil"/>
            </w:tcBorders>
          </w:tcPr>
          <w:p>
            <w:pPr>
              <w:pStyle w:val="TableParagraph"/>
              <w:spacing w:before="9"/>
              <w:rPr>
                <w:b/>
                <w:sz w:val="16"/>
              </w:rPr>
            </w:pPr>
          </w:p>
          <w:p>
            <w:pPr>
              <w:pStyle w:val="TableParagraph"/>
              <w:ind w:left="567" w:right="567"/>
              <w:jc w:val="center"/>
              <w:rPr>
                <w:sz w:val="17"/>
              </w:rPr>
            </w:pPr>
            <w:r>
              <w:rPr>
                <w:w w:val="105"/>
                <w:sz w:val="17"/>
              </w:rPr>
              <w:t>71</w:t>
            </w:r>
          </w:p>
        </w:tc>
        <w:tc>
          <w:tcPr>
            <w:tcW w:w="1243" w:type="dxa"/>
            <w:tcBorders>
              <w:top w:val="nil"/>
              <w:bottom w:val="nil"/>
            </w:tcBorders>
          </w:tcPr>
          <w:p>
            <w:pPr>
              <w:pStyle w:val="TableParagraph"/>
              <w:spacing w:before="9"/>
              <w:rPr>
                <w:b/>
                <w:sz w:val="16"/>
              </w:rPr>
            </w:pPr>
          </w:p>
          <w:p>
            <w:pPr>
              <w:pStyle w:val="TableParagraph"/>
              <w:ind w:left="518"/>
              <w:rPr>
                <w:sz w:val="17"/>
              </w:rPr>
            </w:pPr>
            <w:r>
              <w:rPr>
                <w:w w:val="105"/>
                <w:sz w:val="17"/>
              </w:rPr>
              <w:t>29</w:t>
            </w:r>
          </w:p>
        </w:tc>
        <w:tc>
          <w:tcPr>
            <w:tcW w:w="1651" w:type="dxa"/>
            <w:tcBorders>
              <w:top w:val="nil"/>
              <w:bottom w:val="nil"/>
            </w:tcBorders>
          </w:tcPr>
          <w:p>
            <w:pPr>
              <w:pStyle w:val="TableParagraph"/>
              <w:spacing w:line="192" w:lineRule="exact" w:before="103"/>
              <w:ind w:left="767" w:right="55" w:hanging="620"/>
              <w:rPr>
                <w:sz w:val="17"/>
              </w:rPr>
            </w:pPr>
            <w:r>
              <w:rPr>
                <w:w w:val="105"/>
                <w:sz w:val="17"/>
              </w:rPr>
              <w:t>República Checa 3</w:t>
            </w:r>
          </w:p>
        </w:tc>
        <w:tc>
          <w:tcPr>
            <w:tcW w:w="1382" w:type="dxa"/>
            <w:tcBorders>
              <w:top w:val="nil"/>
              <w:bottom w:val="nil"/>
            </w:tcBorders>
          </w:tcPr>
          <w:p>
            <w:pPr>
              <w:pStyle w:val="TableParagraph"/>
              <w:spacing w:before="9"/>
              <w:rPr>
                <w:b/>
                <w:sz w:val="16"/>
              </w:rPr>
            </w:pPr>
          </w:p>
          <w:p>
            <w:pPr>
              <w:pStyle w:val="TableParagraph"/>
              <w:ind w:right="578"/>
              <w:jc w:val="right"/>
              <w:rPr>
                <w:sz w:val="17"/>
              </w:rPr>
            </w:pPr>
            <w:r>
              <w:rPr>
                <w:w w:val="105"/>
                <w:sz w:val="17"/>
              </w:rPr>
              <w:t>61</w:t>
            </w:r>
          </w:p>
        </w:tc>
        <w:tc>
          <w:tcPr>
            <w:tcW w:w="1243" w:type="dxa"/>
            <w:tcBorders>
              <w:top w:val="nil"/>
              <w:bottom w:val="nil"/>
              <w:right w:val="nil"/>
            </w:tcBorders>
          </w:tcPr>
          <w:p>
            <w:pPr>
              <w:pStyle w:val="TableParagraph"/>
              <w:spacing w:before="9"/>
              <w:rPr>
                <w:b/>
                <w:sz w:val="16"/>
              </w:rPr>
            </w:pPr>
          </w:p>
          <w:p>
            <w:pPr>
              <w:pStyle w:val="TableParagraph"/>
              <w:ind w:left="496" w:right="503"/>
              <w:jc w:val="center"/>
              <w:rPr>
                <w:sz w:val="17"/>
              </w:rPr>
            </w:pPr>
            <w:r>
              <w:rPr>
                <w:w w:val="105"/>
                <w:sz w:val="17"/>
              </w:rPr>
              <w:t>39</w:t>
            </w:r>
          </w:p>
        </w:tc>
      </w:tr>
      <w:tr>
        <w:trPr>
          <w:trHeight w:val="525" w:hRule="exact"/>
        </w:trPr>
        <w:tc>
          <w:tcPr>
            <w:tcW w:w="1358" w:type="dxa"/>
            <w:tcBorders>
              <w:top w:val="nil"/>
              <w:left w:val="nil"/>
            </w:tcBorders>
          </w:tcPr>
          <w:p>
            <w:pPr>
              <w:pStyle w:val="TableParagraph"/>
              <w:spacing w:before="97"/>
              <w:ind w:left="417"/>
              <w:rPr>
                <w:sz w:val="17"/>
              </w:rPr>
            </w:pPr>
            <w:r>
              <w:rPr>
                <w:w w:val="105"/>
                <w:sz w:val="17"/>
              </w:rPr>
              <w:t>Suecia</w:t>
            </w:r>
          </w:p>
        </w:tc>
        <w:tc>
          <w:tcPr>
            <w:tcW w:w="1382" w:type="dxa"/>
            <w:tcBorders>
              <w:top w:val="nil"/>
            </w:tcBorders>
          </w:tcPr>
          <w:p>
            <w:pPr>
              <w:pStyle w:val="TableParagraph"/>
              <w:spacing w:before="97"/>
              <w:ind w:left="567" w:right="567"/>
              <w:jc w:val="center"/>
              <w:rPr>
                <w:sz w:val="17"/>
              </w:rPr>
            </w:pPr>
            <w:r>
              <w:rPr>
                <w:w w:val="105"/>
                <w:sz w:val="17"/>
              </w:rPr>
              <w:t>70</w:t>
            </w:r>
          </w:p>
        </w:tc>
        <w:tc>
          <w:tcPr>
            <w:tcW w:w="1243" w:type="dxa"/>
            <w:tcBorders>
              <w:top w:val="nil"/>
            </w:tcBorders>
          </w:tcPr>
          <w:p>
            <w:pPr>
              <w:pStyle w:val="TableParagraph"/>
              <w:spacing w:before="97"/>
              <w:ind w:left="518"/>
              <w:rPr>
                <w:sz w:val="17"/>
              </w:rPr>
            </w:pPr>
            <w:r>
              <w:rPr>
                <w:w w:val="105"/>
                <w:sz w:val="17"/>
              </w:rPr>
              <w:t>30</w:t>
            </w:r>
          </w:p>
        </w:tc>
        <w:tc>
          <w:tcPr>
            <w:tcW w:w="1651" w:type="dxa"/>
            <w:tcBorders>
              <w:top w:val="nil"/>
            </w:tcBorders>
          </w:tcPr>
          <w:p>
            <w:pPr/>
          </w:p>
        </w:tc>
        <w:tc>
          <w:tcPr>
            <w:tcW w:w="1382" w:type="dxa"/>
            <w:tcBorders>
              <w:top w:val="nil"/>
            </w:tcBorders>
          </w:tcPr>
          <w:p>
            <w:pPr/>
          </w:p>
        </w:tc>
        <w:tc>
          <w:tcPr>
            <w:tcW w:w="1243" w:type="dxa"/>
            <w:tcBorders>
              <w:top w:val="nil"/>
              <w:right w:val="nil"/>
            </w:tcBorders>
          </w:tcPr>
          <w:p>
            <w:pPr/>
          </w:p>
        </w:tc>
      </w:tr>
    </w:tbl>
    <w:p>
      <w:pPr>
        <w:pStyle w:val="BodyText"/>
        <w:rPr>
          <w:b/>
          <w:sz w:val="25"/>
        </w:rPr>
      </w:pPr>
    </w:p>
    <w:p>
      <w:pPr>
        <w:spacing w:before="81"/>
        <w:ind w:left="115" w:right="191" w:firstLine="0"/>
        <w:jc w:val="left"/>
        <w:rPr>
          <w:sz w:val="19"/>
        </w:rPr>
      </w:pPr>
      <w:r>
        <w:rPr>
          <w:b/>
          <w:w w:val="105"/>
          <w:sz w:val="19"/>
        </w:rPr>
        <w:t>FUENTE: </w:t>
      </w:r>
      <w:r>
        <w:rPr>
          <w:w w:val="105"/>
          <w:sz w:val="19"/>
        </w:rPr>
        <w:t>OCDE, 2010: 53.</w:t>
      </w:r>
    </w:p>
    <w:p>
      <w:pPr>
        <w:pStyle w:val="BodyText"/>
        <w:spacing w:before="7"/>
      </w:pPr>
    </w:p>
    <w:p>
      <w:pPr>
        <w:pStyle w:val="BodyText"/>
        <w:spacing w:line="364" w:lineRule="auto"/>
        <w:ind w:left="115" w:right="107" w:firstLine="686"/>
        <w:jc w:val="both"/>
      </w:pPr>
      <w:r>
        <w:rPr/>
        <w:t>De </w:t>
      </w:r>
      <w:r>
        <w:rPr>
          <w:spacing w:val="-3"/>
        </w:rPr>
        <w:t>los </w:t>
      </w:r>
      <w:r>
        <w:rPr/>
        <w:t>problemas más frecuentes reportados por los directivos de </w:t>
      </w:r>
      <w:r>
        <w:rPr>
          <w:spacing w:val="-2"/>
        </w:rPr>
        <w:t>las </w:t>
      </w:r>
      <w:r>
        <w:rPr/>
        <w:t>escuelas a nivel internacional, se encontraron </w:t>
      </w:r>
      <w:r>
        <w:rPr>
          <w:spacing w:val="-4"/>
        </w:rPr>
        <w:t>la </w:t>
      </w:r>
      <w:r>
        <w:rPr/>
        <w:t>falta de preparación pedagógica (FPP), la impuntualidad o retraso en la llegada a </w:t>
      </w:r>
      <w:r>
        <w:rPr>
          <w:spacing w:val="-3"/>
        </w:rPr>
        <w:t>la </w:t>
      </w:r>
      <w:r>
        <w:rPr/>
        <w:t>jornada laboral (TE) y el ausentismo (A), vicios en los que nuestro país obtiene el primer lugar con poco  más de </w:t>
      </w:r>
      <w:r>
        <w:rPr>
          <w:spacing w:val="-3"/>
        </w:rPr>
        <w:t>15 </w:t>
      </w:r>
      <w:r>
        <w:rPr/>
        <w:t>puntos porcentuales de su </w:t>
      </w:r>
      <w:r>
        <w:rPr>
          <w:spacing w:val="-3"/>
        </w:rPr>
        <w:t>más </w:t>
      </w:r>
      <w:r>
        <w:rPr/>
        <w:t>cercano competidor, </w:t>
      </w:r>
      <w:r>
        <w:rPr>
          <w:spacing w:val="27"/>
        </w:rPr>
        <w:t> </w:t>
      </w:r>
      <w:r>
        <w:rPr/>
        <w:t>Italia.</w:t>
      </w:r>
    </w:p>
    <w:p>
      <w:pPr>
        <w:spacing w:after="0" w:line="364" w:lineRule="auto"/>
        <w:jc w:val="both"/>
        <w:sectPr>
          <w:footerReference w:type="default" r:id="rId62"/>
          <w:pgSz w:w="11910" w:h="16840"/>
          <w:pgMar w:footer="1457" w:header="0" w:top="1580" w:bottom="1640" w:left="1540" w:right="15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9"/>
        </w:rPr>
      </w:pPr>
    </w:p>
    <w:p>
      <w:pPr>
        <w:spacing w:before="77"/>
        <w:ind w:left="3808" w:right="4426" w:firstLine="0"/>
        <w:jc w:val="center"/>
        <w:rPr>
          <w:b/>
          <w:sz w:val="21"/>
        </w:rPr>
      </w:pPr>
      <w:r>
        <w:rPr>
          <w:b/>
          <w:sz w:val="21"/>
        </w:rPr>
        <w:t>Gráfica N°5</w:t>
      </w:r>
    </w:p>
    <w:p>
      <w:pPr>
        <w:spacing w:line="242" w:lineRule="auto" w:before="8"/>
        <w:ind w:left="1334" w:right="1949" w:hanging="10"/>
        <w:jc w:val="center"/>
        <w:rPr>
          <w:b/>
          <w:sz w:val="21"/>
        </w:rPr>
      </w:pPr>
      <w:r>
        <w:rPr>
          <w:b/>
          <w:sz w:val="21"/>
        </w:rPr>
        <w:t>Directores reportaron comportamientos que impiden la enseñanza en la escuela en los diferentes países,  2007-2008</w:t>
      </w:r>
    </w:p>
    <w:p>
      <w:pPr>
        <w:pStyle w:val="BodyText"/>
        <w:rPr>
          <w:b/>
          <w:sz w:val="20"/>
        </w:rPr>
      </w:pPr>
    </w:p>
    <w:p>
      <w:pPr>
        <w:pStyle w:val="BodyText"/>
        <w:spacing w:before="10"/>
        <w:rPr>
          <w:b/>
        </w:rPr>
      </w:pPr>
      <w:r>
        <w:rPr/>
        <w:drawing>
          <wp:anchor distT="0" distB="0" distL="0" distR="0" allowOverlap="1" layoutInCell="1" locked="0" behindDoc="0" simplePos="0" relativeHeight="2968">
            <wp:simplePos x="0" y="0"/>
            <wp:positionH relativeFrom="page">
              <wp:posOffset>1054595</wp:posOffset>
            </wp:positionH>
            <wp:positionV relativeFrom="paragraph">
              <wp:posOffset>199143</wp:posOffset>
            </wp:positionV>
            <wp:extent cx="5657508" cy="3543300"/>
            <wp:effectExtent l="0" t="0" r="0" b="0"/>
            <wp:wrapTopAndBottom/>
            <wp:docPr id="11" name="image21.png" descr=""/>
            <wp:cNvGraphicFramePr>
              <a:graphicFrameLocks noChangeAspect="1"/>
            </wp:cNvGraphicFramePr>
            <a:graphic>
              <a:graphicData uri="http://schemas.openxmlformats.org/drawingml/2006/picture">
                <pic:pic>
                  <pic:nvPicPr>
                    <pic:cNvPr id="12" name="image21.png"/>
                    <pic:cNvPicPr/>
                  </pic:nvPicPr>
                  <pic:blipFill>
                    <a:blip r:embed="rId64" cstate="print"/>
                    <a:stretch>
                      <a:fillRect/>
                    </a:stretch>
                  </pic:blipFill>
                  <pic:spPr>
                    <a:xfrm>
                      <a:off x="0" y="0"/>
                      <a:ext cx="5657508" cy="3543300"/>
                    </a:xfrm>
                    <a:prstGeom prst="rect">
                      <a:avLst/>
                    </a:prstGeom>
                  </pic:spPr>
                </pic:pic>
              </a:graphicData>
            </a:graphic>
          </wp:anchor>
        </w:drawing>
      </w:r>
    </w:p>
    <w:p>
      <w:pPr>
        <w:spacing w:after="0"/>
        <w:sectPr>
          <w:footerReference w:type="default" r:id="rId63"/>
          <w:pgSz w:w="11910" w:h="16840"/>
          <w:pgMar w:footer="1457" w:header="0" w:top="1580" w:bottom="1640" w:left="1560" w:right="940"/>
          <w:pgNumType w:start="171"/>
        </w:sectPr>
      </w:pPr>
    </w:p>
    <w:p>
      <w:pPr>
        <w:pStyle w:val="BodyText"/>
        <w:rPr>
          <w:b/>
          <w:sz w:val="20"/>
        </w:rPr>
      </w:pPr>
    </w:p>
    <w:p>
      <w:pPr>
        <w:pStyle w:val="BodyText"/>
        <w:rPr>
          <w:b/>
          <w:sz w:val="20"/>
        </w:rPr>
      </w:pPr>
    </w:p>
    <w:p>
      <w:pPr>
        <w:pStyle w:val="BodyText"/>
        <w:rPr>
          <w:b/>
          <w:sz w:val="20"/>
        </w:rPr>
      </w:pPr>
    </w:p>
    <w:p>
      <w:pPr>
        <w:pStyle w:val="BodyText"/>
        <w:spacing w:before="8"/>
        <w:rPr>
          <w:b/>
          <w:sz w:val="19"/>
        </w:rPr>
      </w:pPr>
    </w:p>
    <w:p>
      <w:pPr>
        <w:spacing w:before="0"/>
        <w:ind w:left="1776" w:right="1794" w:firstLine="0"/>
        <w:jc w:val="center"/>
        <w:rPr>
          <w:b/>
          <w:sz w:val="21"/>
        </w:rPr>
      </w:pPr>
      <w:r>
        <w:rPr>
          <w:b/>
          <w:sz w:val="21"/>
        </w:rPr>
        <w:t>Tabla N° 13</w:t>
      </w:r>
    </w:p>
    <w:p>
      <w:pPr>
        <w:spacing w:before="3"/>
        <w:ind w:left="962" w:right="977" w:firstLine="0"/>
        <w:jc w:val="center"/>
        <w:rPr>
          <w:b/>
          <w:sz w:val="21"/>
        </w:rPr>
      </w:pPr>
      <w:r>
        <w:rPr>
          <w:b/>
          <w:sz w:val="21"/>
        </w:rPr>
        <w:t>Comportamientos que impiden la enseñanza en diferentes   países</w:t>
      </w:r>
    </w:p>
    <w:p>
      <w:pPr>
        <w:pStyle w:val="BodyText"/>
        <w:rPr>
          <w:b/>
          <w:sz w:val="20"/>
        </w:rPr>
      </w:pPr>
    </w:p>
    <w:p>
      <w:pPr>
        <w:pStyle w:val="BodyText"/>
        <w:spacing w:before="7"/>
        <w:rPr>
          <w:b/>
          <w:sz w:val="26"/>
        </w:r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96"/>
        <w:gridCol w:w="553"/>
        <w:gridCol w:w="464"/>
        <w:gridCol w:w="422"/>
        <w:gridCol w:w="1370"/>
        <w:gridCol w:w="649"/>
        <w:gridCol w:w="458"/>
        <w:gridCol w:w="422"/>
        <w:gridCol w:w="1563"/>
        <w:gridCol w:w="679"/>
        <w:gridCol w:w="523"/>
        <w:gridCol w:w="619"/>
      </w:tblGrid>
      <w:tr>
        <w:trPr>
          <w:trHeight w:val="461" w:hRule="exact"/>
        </w:trPr>
        <w:tc>
          <w:tcPr>
            <w:tcW w:w="1649" w:type="dxa"/>
            <w:gridSpan w:val="2"/>
            <w:tcBorders>
              <w:right w:val="nil"/>
            </w:tcBorders>
          </w:tcPr>
          <w:p>
            <w:pPr>
              <w:pStyle w:val="TableParagraph"/>
              <w:spacing w:line="218" w:lineRule="exact"/>
              <w:ind w:right="102"/>
              <w:jc w:val="right"/>
              <w:rPr>
                <w:b/>
                <w:sz w:val="19"/>
              </w:rPr>
            </w:pPr>
            <w:r>
              <w:rPr>
                <w:b/>
                <w:sz w:val="19"/>
              </w:rPr>
              <w:t>FPP</w:t>
            </w:r>
          </w:p>
        </w:tc>
        <w:tc>
          <w:tcPr>
            <w:tcW w:w="464" w:type="dxa"/>
            <w:tcBorders>
              <w:left w:val="nil"/>
              <w:right w:val="nil"/>
            </w:tcBorders>
          </w:tcPr>
          <w:p>
            <w:pPr>
              <w:pStyle w:val="TableParagraph"/>
              <w:spacing w:line="218" w:lineRule="exact"/>
              <w:ind w:left="103"/>
              <w:rPr>
                <w:b/>
                <w:sz w:val="19"/>
              </w:rPr>
            </w:pPr>
            <w:r>
              <w:rPr>
                <w:b/>
                <w:w w:val="105"/>
                <w:sz w:val="19"/>
              </w:rPr>
              <w:t>TE</w:t>
            </w:r>
          </w:p>
        </w:tc>
        <w:tc>
          <w:tcPr>
            <w:tcW w:w="422" w:type="dxa"/>
            <w:tcBorders>
              <w:left w:val="nil"/>
            </w:tcBorders>
          </w:tcPr>
          <w:p>
            <w:pPr>
              <w:pStyle w:val="TableParagraph"/>
              <w:spacing w:line="218" w:lineRule="exact"/>
              <w:ind w:left="138"/>
              <w:rPr>
                <w:b/>
                <w:sz w:val="19"/>
              </w:rPr>
            </w:pPr>
            <w:r>
              <w:rPr>
                <w:b/>
                <w:w w:val="103"/>
                <w:sz w:val="19"/>
              </w:rPr>
              <w:t>A</w:t>
            </w:r>
          </w:p>
        </w:tc>
        <w:tc>
          <w:tcPr>
            <w:tcW w:w="2019" w:type="dxa"/>
            <w:gridSpan w:val="2"/>
            <w:tcBorders>
              <w:right w:val="nil"/>
            </w:tcBorders>
          </w:tcPr>
          <w:p>
            <w:pPr>
              <w:pStyle w:val="TableParagraph"/>
              <w:spacing w:line="218" w:lineRule="exact"/>
              <w:ind w:right="98"/>
              <w:jc w:val="right"/>
              <w:rPr>
                <w:b/>
                <w:sz w:val="19"/>
              </w:rPr>
            </w:pPr>
            <w:r>
              <w:rPr>
                <w:b/>
                <w:sz w:val="19"/>
              </w:rPr>
              <w:t>FPP</w:t>
            </w:r>
          </w:p>
        </w:tc>
        <w:tc>
          <w:tcPr>
            <w:tcW w:w="458" w:type="dxa"/>
            <w:tcBorders>
              <w:left w:val="nil"/>
              <w:right w:val="nil"/>
            </w:tcBorders>
          </w:tcPr>
          <w:p>
            <w:pPr>
              <w:pStyle w:val="TableParagraph"/>
              <w:spacing w:line="218" w:lineRule="exact"/>
              <w:ind w:left="81" w:right="81"/>
              <w:jc w:val="center"/>
              <w:rPr>
                <w:b/>
                <w:sz w:val="19"/>
              </w:rPr>
            </w:pPr>
            <w:r>
              <w:rPr>
                <w:b/>
                <w:w w:val="105"/>
                <w:sz w:val="19"/>
              </w:rPr>
              <w:t>TE</w:t>
            </w:r>
          </w:p>
        </w:tc>
        <w:tc>
          <w:tcPr>
            <w:tcW w:w="422" w:type="dxa"/>
            <w:tcBorders>
              <w:left w:val="nil"/>
            </w:tcBorders>
          </w:tcPr>
          <w:p>
            <w:pPr>
              <w:pStyle w:val="TableParagraph"/>
              <w:spacing w:line="218" w:lineRule="exact"/>
              <w:ind w:left="143"/>
              <w:rPr>
                <w:b/>
                <w:sz w:val="19"/>
              </w:rPr>
            </w:pPr>
            <w:r>
              <w:rPr>
                <w:b/>
                <w:w w:val="103"/>
                <w:sz w:val="19"/>
              </w:rPr>
              <w:t>A</w:t>
            </w:r>
          </w:p>
        </w:tc>
        <w:tc>
          <w:tcPr>
            <w:tcW w:w="2242" w:type="dxa"/>
            <w:gridSpan w:val="2"/>
            <w:tcBorders>
              <w:right w:val="nil"/>
            </w:tcBorders>
          </w:tcPr>
          <w:p>
            <w:pPr>
              <w:pStyle w:val="TableParagraph"/>
              <w:spacing w:line="218" w:lineRule="exact"/>
              <w:ind w:right="104"/>
              <w:jc w:val="right"/>
              <w:rPr>
                <w:b/>
                <w:sz w:val="19"/>
              </w:rPr>
            </w:pPr>
            <w:r>
              <w:rPr>
                <w:b/>
                <w:sz w:val="19"/>
              </w:rPr>
              <w:t>FPP</w:t>
            </w:r>
          </w:p>
        </w:tc>
        <w:tc>
          <w:tcPr>
            <w:tcW w:w="523" w:type="dxa"/>
            <w:tcBorders>
              <w:left w:val="nil"/>
              <w:right w:val="nil"/>
            </w:tcBorders>
          </w:tcPr>
          <w:p>
            <w:pPr>
              <w:pStyle w:val="TableParagraph"/>
              <w:spacing w:line="218" w:lineRule="exact"/>
              <w:ind w:left="105"/>
              <w:rPr>
                <w:b/>
                <w:sz w:val="19"/>
              </w:rPr>
            </w:pPr>
            <w:r>
              <w:rPr>
                <w:b/>
                <w:w w:val="105"/>
                <w:sz w:val="19"/>
              </w:rPr>
              <w:t>TE</w:t>
            </w:r>
          </w:p>
        </w:tc>
        <w:tc>
          <w:tcPr>
            <w:tcW w:w="619" w:type="dxa"/>
            <w:tcBorders>
              <w:left w:val="nil"/>
            </w:tcBorders>
          </w:tcPr>
          <w:p>
            <w:pPr>
              <w:pStyle w:val="TableParagraph"/>
              <w:spacing w:line="218" w:lineRule="exact"/>
              <w:ind w:left="205"/>
              <w:rPr>
                <w:b/>
                <w:sz w:val="19"/>
              </w:rPr>
            </w:pPr>
            <w:r>
              <w:rPr>
                <w:b/>
                <w:w w:val="103"/>
                <w:sz w:val="19"/>
              </w:rPr>
              <w:t>A</w:t>
            </w:r>
          </w:p>
        </w:tc>
      </w:tr>
      <w:tr>
        <w:trPr>
          <w:trHeight w:val="466" w:hRule="exact"/>
        </w:trPr>
        <w:tc>
          <w:tcPr>
            <w:tcW w:w="1096" w:type="dxa"/>
            <w:tcBorders>
              <w:right w:val="nil"/>
            </w:tcBorders>
            <w:shd w:val="clear" w:color="auto" w:fill="8CB2E1"/>
          </w:tcPr>
          <w:p>
            <w:pPr>
              <w:pStyle w:val="TableParagraph"/>
              <w:spacing w:line="218" w:lineRule="exact"/>
              <w:ind w:left="71" w:right="112"/>
              <w:jc w:val="center"/>
              <w:rPr>
                <w:sz w:val="19"/>
              </w:rPr>
            </w:pPr>
            <w:r>
              <w:rPr>
                <w:w w:val="105"/>
                <w:sz w:val="19"/>
              </w:rPr>
              <w:t>México</w:t>
            </w:r>
          </w:p>
        </w:tc>
        <w:tc>
          <w:tcPr>
            <w:tcW w:w="553" w:type="dxa"/>
            <w:tcBorders>
              <w:left w:val="nil"/>
              <w:right w:val="nil"/>
            </w:tcBorders>
            <w:shd w:val="clear" w:color="auto" w:fill="8CB2E1"/>
          </w:tcPr>
          <w:p>
            <w:pPr>
              <w:pStyle w:val="TableParagraph"/>
              <w:spacing w:line="218" w:lineRule="exact"/>
              <w:ind w:left="147"/>
              <w:rPr>
                <w:sz w:val="19"/>
              </w:rPr>
            </w:pPr>
            <w:r>
              <w:rPr>
                <w:w w:val="105"/>
                <w:sz w:val="19"/>
              </w:rPr>
              <w:t>70</w:t>
            </w:r>
          </w:p>
        </w:tc>
        <w:tc>
          <w:tcPr>
            <w:tcW w:w="464" w:type="dxa"/>
            <w:tcBorders>
              <w:left w:val="nil"/>
              <w:right w:val="nil"/>
            </w:tcBorders>
            <w:shd w:val="clear" w:color="auto" w:fill="8CB2E1"/>
          </w:tcPr>
          <w:p>
            <w:pPr>
              <w:pStyle w:val="TableParagraph"/>
              <w:spacing w:line="218" w:lineRule="exact"/>
              <w:ind w:left="117"/>
              <w:rPr>
                <w:sz w:val="19"/>
              </w:rPr>
            </w:pPr>
            <w:r>
              <w:rPr>
                <w:w w:val="105"/>
                <w:sz w:val="19"/>
              </w:rPr>
              <w:t>69</w:t>
            </w:r>
          </w:p>
        </w:tc>
        <w:tc>
          <w:tcPr>
            <w:tcW w:w="422" w:type="dxa"/>
            <w:tcBorders>
              <w:left w:val="nil"/>
            </w:tcBorders>
            <w:shd w:val="clear" w:color="auto" w:fill="8CB2E1"/>
          </w:tcPr>
          <w:p>
            <w:pPr>
              <w:pStyle w:val="TableParagraph"/>
              <w:spacing w:line="218" w:lineRule="exact"/>
              <w:ind w:left="104"/>
              <w:rPr>
                <w:sz w:val="19"/>
              </w:rPr>
            </w:pPr>
            <w:r>
              <w:rPr>
                <w:w w:val="105"/>
                <w:sz w:val="19"/>
              </w:rPr>
              <w:t>69</w:t>
            </w:r>
          </w:p>
        </w:tc>
        <w:tc>
          <w:tcPr>
            <w:tcW w:w="1370" w:type="dxa"/>
            <w:tcBorders>
              <w:left w:val="single" w:sz="40" w:space="0" w:color="8CB2E1"/>
              <w:right w:val="nil"/>
            </w:tcBorders>
          </w:tcPr>
          <w:p>
            <w:pPr>
              <w:pStyle w:val="TableParagraph"/>
              <w:spacing w:line="218" w:lineRule="exact"/>
              <w:ind w:left="337" w:right="332"/>
              <w:jc w:val="center"/>
              <w:rPr>
                <w:sz w:val="19"/>
              </w:rPr>
            </w:pPr>
            <w:r>
              <w:rPr>
                <w:w w:val="105"/>
                <w:sz w:val="19"/>
              </w:rPr>
              <w:t>Irlanda</w:t>
            </w:r>
          </w:p>
        </w:tc>
        <w:tc>
          <w:tcPr>
            <w:tcW w:w="649" w:type="dxa"/>
            <w:tcBorders>
              <w:left w:val="nil"/>
              <w:right w:val="nil"/>
            </w:tcBorders>
          </w:tcPr>
          <w:p>
            <w:pPr>
              <w:pStyle w:val="TableParagraph"/>
              <w:spacing w:line="218" w:lineRule="exact"/>
              <w:ind w:right="193"/>
              <w:jc w:val="right"/>
              <w:rPr>
                <w:sz w:val="19"/>
              </w:rPr>
            </w:pPr>
            <w:r>
              <w:rPr>
                <w:sz w:val="19"/>
              </w:rPr>
              <w:t>31</w:t>
            </w:r>
          </w:p>
        </w:tc>
        <w:tc>
          <w:tcPr>
            <w:tcW w:w="458" w:type="dxa"/>
            <w:tcBorders>
              <w:left w:val="nil"/>
              <w:right w:val="nil"/>
            </w:tcBorders>
          </w:tcPr>
          <w:p>
            <w:pPr>
              <w:pStyle w:val="TableParagraph"/>
              <w:spacing w:line="218" w:lineRule="exact"/>
              <w:ind w:left="70" w:right="81"/>
              <w:jc w:val="center"/>
              <w:rPr>
                <w:sz w:val="19"/>
              </w:rPr>
            </w:pPr>
            <w:r>
              <w:rPr>
                <w:w w:val="105"/>
                <w:sz w:val="19"/>
              </w:rPr>
              <w:t>42</w:t>
            </w:r>
          </w:p>
        </w:tc>
        <w:tc>
          <w:tcPr>
            <w:tcW w:w="422" w:type="dxa"/>
            <w:tcBorders>
              <w:left w:val="nil"/>
            </w:tcBorders>
          </w:tcPr>
          <w:p>
            <w:pPr>
              <w:pStyle w:val="TableParagraph"/>
              <w:spacing w:line="218" w:lineRule="exact"/>
              <w:ind w:left="104"/>
              <w:rPr>
                <w:sz w:val="19"/>
              </w:rPr>
            </w:pPr>
            <w:r>
              <w:rPr>
                <w:w w:val="105"/>
                <w:sz w:val="19"/>
              </w:rPr>
              <w:t>12</w:t>
            </w:r>
          </w:p>
        </w:tc>
        <w:tc>
          <w:tcPr>
            <w:tcW w:w="1563" w:type="dxa"/>
            <w:tcBorders>
              <w:right w:val="nil"/>
            </w:tcBorders>
          </w:tcPr>
          <w:p>
            <w:pPr>
              <w:pStyle w:val="TableParagraph"/>
              <w:spacing w:line="218" w:lineRule="exact"/>
              <w:ind w:left="304" w:right="238"/>
              <w:jc w:val="center"/>
              <w:rPr>
                <w:sz w:val="19"/>
              </w:rPr>
            </w:pPr>
            <w:r>
              <w:rPr>
                <w:w w:val="105"/>
                <w:sz w:val="19"/>
              </w:rPr>
              <w:t>Islandia</w:t>
            </w:r>
          </w:p>
        </w:tc>
        <w:tc>
          <w:tcPr>
            <w:tcW w:w="679" w:type="dxa"/>
            <w:tcBorders>
              <w:left w:val="nil"/>
              <w:right w:val="nil"/>
            </w:tcBorders>
          </w:tcPr>
          <w:p>
            <w:pPr>
              <w:pStyle w:val="TableParagraph"/>
              <w:spacing w:line="218" w:lineRule="exact"/>
              <w:ind w:left="245" w:right="172"/>
              <w:jc w:val="center"/>
              <w:rPr>
                <w:sz w:val="19"/>
              </w:rPr>
            </w:pPr>
            <w:r>
              <w:rPr>
                <w:w w:val="105"/>
                <w:sz w:val="19"/>
              </w:rPr>
              <w:t>12</w:t>
            </w:r>
          </w:p>
        </w:tc>
        <w:tc>
          <w:tcPr>
            <w:tcW w:w="523" w:type="dxa"/>
            <w:tcBorders>
              <w:left w:val="nil"/>
              <w:right w:val="nil"/>
            </w:tcBorders>
          </w:tcPr>
          <w:p>
            <w:pPr>
              <w:pStyle w:val="TableParagraph"/>
              <w:spacing w:line="218" w:lineRule="exact"/>
              <w:ind w:left="119"/>
              <w:rPr>
                <w:sz w:val="19"/>
              </w:rPr>
            </w:pPr>
            <w:r>
              <w:rPr>
                <w:w w:val="105"/>
                <w:sz w:val="19"/>
              </w:rPr>
              <w:t>24</w:t>
            </w:r>
          </w:p>
        </w:tc>
        <w:tc>
          <w:tcPr>
            <w:tcW w:w="619" w:type="dxa"/>
            <w:tcBorders>
              <w:left w:val="nil"/>
            </w:tcBorders>
          </w:tcPr>
          <w:p>
            <w:pPr>
              <w:pStyle w:val="TableParagraph"/>
              <w:spacing w:line="218" w:lineRule="exact"/>
              <w:ind w:left="224"/>
              <w:rPr>
                <w:sz w:val="19"/>
              </w:rPr>
            </w:pPr>
            <w:r>
              <w:rPr>
                <w:w w:val="103"/>
                <w:sz w:val="19"/>
              </w:rPr>
              <w:t>4</w:t>
            </w:r>
          </w:p>
        </w:tc>
      </w:tr>
      <w:tr>
        <w:trPr>
          <w:trHeight w:val="456" w:hRule="exact"/>
        </w:trPr>
        <w:tc>
          <w:tcPr>
            <w:tcW w:w="1096" w:type="dxa"/>
            <w:tcBorders>
              <w:right w:val="nil"/>
            </w:tcBorders>
          </w:tcPr>
          <w:p>
            <w:pPr>
              <w:pStyle w:val="TableParagraph"/>
              <w:spacing w:line="218" w:lineRule="exact"/>
              <w:ind w:left="68" w:right="112"/>
              <w:jc w:val="center"/>
              <w:rPr>
                <w:sz w:val="19"/>
              </w:rPr>
            </w:pPr>
            <w:r>
              <w:rPr>
                <w:w w:val="105"/>
                <w:sz w:val="19"/>
              </w:rPr>
              <w:t>Italia</w:t>
            </w:r>
          </w:p>
        </w:tc>
        <w:tc>
          <w:tcPr>
            <w:tcW w:w="553" w:type="dxa"/>
            <w:tcBorders>
              <w:left w:val="nil"/>
              <w:right w:val="nil"/>
            </w:tcBorders>
          </w:tcPr>
          <w:p>
            <w:pPr>
              <w:pStyle w:val="TableParagraph"/>
              <w:spacing w:line="218" w:lineRule="exact"/>
              <w:ind w:left="147"/>
              <w:rPr>
                <w:sz w:val="19"/>
              </w:rPr>
            </w:pPr>
            <w:r>
              <w:rPr>
                <w:w w:val="105"/>
                <w:sz w:val="19"/>
              </w:rPr>
              <w:t>53</w:t>
            </w:r>
          </w:p>
        </w:tc>
        <w:tc>
          <w:tcPr>
            <w:tcW w:w="464" w:type="dxa"/>
            <w:tcBorders>
              <w:left w:val="nil"/>
              <w:right w:val="nil"/>
            </w:tcBorders>
          </w:tcPr>
          <w:p>
            <w:pPr>
              <w:pStyle w:val="TableParagraph"/>
              <w:spacing w:line="218" w:lineRule="exact"/>
              <w:ind w:left="117"/>
              <w:rPr>
                <w:sz w:val="19"/>
              </w:rPr>
            </w:pPr>
            <w:r>
              <w:rPr>
                <w:w w:val="105"/>
                <w:sz w:val="19"/>
              </w:rPr>
              <w:t>30</w:t>
            </w:r>
          </w:p>
        </w:tc>
        <w:tc>
          <w:tcPr>
            <w:tcW w:w="422" w:type="dxa"/>
            <w:tcBorders>
              <w:left w:val="nil"/>
            </w:tcBorders>
          </w:tcPr>
          <w:p>
            <w:pPr>
              <w:pStyle w:val="TableParagraph"/>
              <w:spacing w:line="218" w:lineRule="exact"/>
              <w:ind w:left="104"/>
              <w:rPr>
                <w:sz w:val="19"/>
              </w:rPr>
            </w:pPr>
            <w:r>
              <w:rPr>
                <w:w w:val="105"/>
                <w:sz w:val="19"/>
              </w:rPr>
              <w:t>19</w:t>
            </w:r>
          </w:p>
        </w:tc>
        <w:tc>
          <w:tcPr>
            <w:tcW w:w="1370" w:type="dxa"/>
            <w:tcBorders>
              <w:right w:val="nil"/>
            </w:tcBorders>
          </w:tcPr>
          <w:p>
            <w:pPr>
              <w:pStyle w:val="TableParagraph"/>
              <w:spacing w:line="218" w:lineRule="exact"/>
              <w:ind w:left="314" w:right="265"/>
              <w:jc w:val="center"/>
              <w:rPr>
                <w:sz w:val="19"/>
              </w:rPr>
            </w:pPr>
            <w:r>
              <w:rPr>
                <w:w w:val="105"/>
                <w:sz w:val="19"/>
              </w:rPr>
              <w:t>Malasia</w:t>
            </w:r>
          </w:p>
        </w:tc>
        <w:tc>
          <w:tcPr>
            <w:tcW w:w="649" w:type="dxa"/>
            <w:tcBorders>
              <w:left w:val="nil"/>
              <w:right w:val="nil"/>
            </w:tcBorders>
          </w:tcPr>
          <w:p>
            <w:pPr>
              <w:pStyle w:val="TableParagraph"/>
              <w:spacing w:line="218" w:lineRule="exact"/>
              <w:ind w:right="193"/>
              <w:jc w:val="right"/>
              <w:rPr>
                <w:sz w:val="19"/>
              </w:rPr>
            </w:pPr>
            <w:r>
              <w:rPr>
                <w:sz w:val="19"/>
              </w:rPr>
              <w:t>30</w:t>
            </w:r>
          </w:p>
        </w:tc>
        <w:tc>
          <w:tcPr>
            <w:tcW w:w="458" w:type="dxa"/>
            <w:tcBorders>
              <w:left w:val="nil"/>
              <w:right w:val="nil"/>
            </w:tcBorders>
          </w:tcPr>
          <w:p>
            <w:pPr>
              <w:pStyle w:val="TableParagraph"/>
              <w:spacing w:line="218" w:lineRule="exact"/>
              <w:ind w:left="70" w:right="81"/>
              <w:jc w:val="center"/>
              <w:rPr>
                <w:sz w:val="19"/>
              </w:rPr>
            </w:pPr>
            <w:r>
              <w:rPr>
                <w:w w:val="105"/>
                <w:sz w:val="19"/>
              </w:rPr>
              <w:t>20</w:t>
            </w:r>
          </w:p>
        </w:tc>
        <w:tc>
          <w:tcPr>
            <w:tcW w:w="422" w:type="dxa"/>
            <w:tcBorders>
              <w:left w:val="nil"/>
            </w:tcBorders>
          </w:tcPr>
          <w:p>
            <w:pPr>
              <w:pStyle w:val="TableParagraph"/>
              <w:spacing w:line="218" w:lineRule="exact"/>
              <w:ind w:left="104"/>
              <w:rPr>
                <w:sz w:val="19"/>
              </w:rPr>
            </w:pPr>
            <w:r>
              <w:rPr>
                <w:w w:val="105"/>
                <w:sz w:val="19"/>
              </w:rPr>
              <w:t>16</w:t>
            </w:r>
          </w:p>
        </w:tc>
        <w:tc>
          <w:tcPr>
            <w:tcW w:w="1563" w:type="dxa"/>
            <w:tcBorders>
              <w:right w:val="nil"/>
            </w:tcBorders>
          </w:tcPr>
          <w:p>
            <w:pPr>
              <w:pStyle w:val="TableParagraph"/>
              <w:spacing w:line="218" w:lineRule="exact"/>
              <w:ind w:left="314" w:right="238"/>
              <w:jc w:val="center"/>
              <w:rPr>
                <w:sz w:val="19"/>
              </w:rPr>
            </w:pPr>
            <w:r>
              <w:rPr>
                <w:w w:val="105"/>
                <w:sz w:val="19"/>
              </w:rPr>
              <w:t>Dinamarca</w:t>
            </w:r>
          </w:p>
        </w:tc>
        <w:tc>
          <w:tcPr>
            <w:tcW w:w="679" w:type="dxa"/>
            <w:tcBorders>
              <w:left w:val="nil"/>
              <w:right w:val="nil"/>
            </w:tcBorders>
          </w:tcPr>
          <w:p>
            <w:pPr>
              <w:pStyle w:val="TableParagraph"/>
              <w:spacing w:line="218" w:lineRule="exact"/>
              <w:ind w:left="245" w:right="172"/>
              <w:jc w:val="center"/>
              <w:rPr>
                <w:sz w:val="19"/>
              </w:rPr>
            </w:pPr>
            <w:r>
              <w:rPr>
                <w:w w:val="105"/>
                <w:sz w:val="19"/>
              </w:rPr>
              <w:t>11</w:t>
            </w:r>
          </w:p>
        </w:tc>
        <w:tc>
          <w:tcPr>
            <w:tcW w:w="523" w:type="dxa"/>
            <w:tcBorders>
              <w:left w:val="nil"/>
              <w:right w:val="nil"/>
            </w:tcBorders>
          </w:tcPr>
          <w:p>
            <w:pPr>
              <w:pStyle w:val="TableParagraph"/>
              <w:spacing w:line="218" w:lineRule="exact"/>
              <w:ind w:left="119"/>
              <w:rPr>
                <w:sz w:val="19"/>
              </w:rPr>
            </w:pPr>
            <w:r>
              <w:rPr>
                <w:w w:val="105"/>
                <w:sz w:val="19"/>
              </w:rPr>
              <w:t>12</w:t>
            </w:r>
          </w:p>
        </w:tc>
        <w:tc>
          <w:tcPr>
            <w:tcW w:w="619" w:type="dxa"/>
            <w:tcBorders>
              <w:left w:val="nil"/>
            </w:tcBorders>
          </w:tcPr>
          <w:p>
            <w:pPr>
              <w:pStyle w:val="TableParagraph"/>
              <w:spacing w:line="218" w:lineRule="exact"/>
              <w:ind w:left="167"/>
              <w:rPr>
                <w:sz w:val="19"/>
              </w:rPr>
            </w:pPr>
            <w:r>
              <w:rPr>
                <w:w w:val="105"/>
                <w:sz w:val="19"/>
              </w:rPr>
              <w:t>13</w:t>
            </w:r>
          </w:p>
        </w:tc>
      </w:tr>
      <w:tr>
        <w:trPr>
          <w:trHeight w:val="720" w:hRule="exact"/>
        </w:trPr>
        <w:tc>
          <w:tcPr>
            <w:tcW w:w="1096" w:type="dxa"/>
            <w:tcBorders>
              <w:right w:val="nil"/>
            </w:tcBorders>
          </w:tcPr>
          <w:p>
            <w:pPr>
              <w:pStyle w:val="TableParagraph"/>
              <w:spacing w:line="218" w:lineRule="exact"/>
              <w:ind w:left="73" w:right="112"/>
              <w:jc w:val="center"/>
              <w:rPr>
                <w:sz w:val="19"/>
              </w:rPr>
            </w:pPr>
            <w:r>
              <w:rPr>
                <w:w w:val="105"/>
                <w:sz w:val="19"/>
              </w:rPr>
              <w:t>Turquía</w:t>
            </w:r>
          </w:p>
        </w:tc>
        <w:tc>
          <w:tcPr>
            <w:tcW w:w="553" w:type="dxa"/>
            <w:tcBorders>
              <w:left w:val="nil"/>
              <w:right w:val="nil"/>
            </w:tcBorders>
          </w:tcPr>
          <w:p>
            <w:pPr>
              <w:pStyle w:val="TableParagraph"/>
              <w:spacing w:line="218" w:lineRule="exact"/>
              <w:ind w:left="147"/>
              <w:rPr>
                <w:sz w:val="19"/>
              </w:rPr>
            </w:pPr>
            <w:r>
              <w:rPr>
                <w:w w:val="105"/>
                <w:sz w:val="19"/>
              </w:rPr>
              <w:t>41</w:t>
            </w:r>
          </w:p>
        </w:tc>
        <w:tc>
          <w:tcPr>
            <w:tcW w:w="464" w:type="dxa"/>
            <w:tcBorders>
              <w:left w:val="nil"/>
              <w:right w:val="nil"/>
            </w:tcBorders>
          </w:tcPr>
          <w:p>
            <w:pPr>
              <w:pStyle w:val="TableParagraph"/>
              <w:spacing w:line="218" w:lineRule="exact"/>
              <w:ind w:left="117"/>
              <w:rPr>
                <w:sz w:val="19"/>
              </w:rPr>
            </w:pPr>
            <w:r>
              <w:rPr>
                <w:w w:val="105"/>
                <w:sz w:val="19"/>
              </w:rPr>
              <w:t>38</w:t>
            </w:r>
          </w:p>
        </w:tc>
        <w:tc>
          <w:tcPr>
            <w:tcW w:w="422" w:type="dxa"/>
            <w:tcBorders>
              <w:left w:val="nil"/>
            </w:tcBorders>
          </w:tcPr>
          <w:p>
            <w:pPr>
              <w:pStyle w:val="TableParagraph"/>
              <w:spacing w:line="218" w:lineRule="exact"/>
              <w:ind w:left="104"/>
              <w:rPr>
                <w:sz w:val="19"/>
              </w:rPr>
            </w:pPr>
            <w:r>
              <w:rPr>
                <w:w w:val="105"/>
                <w:sz w:val="19"/>
              </w:rPr>
              <w:t>31</w:t>
            </w:r>
          </w:p>
        </w:tc>
        <w:tc>
          <w:tcPr>
            <w:tcW w:w="1370" w:type="dxa"/>
            <w:tcBorders>
              <w:right w:val="nil"/>
            </w:tcBorders>
          </w:tcPr>
          <w:p>
            <w:pPr>
              <w:pStyle w:val="TableParagraph"/>
              <w:spacing w:line="278" w:lineRule="auto" w:before="4"/>
              <w:ind w:left="436" w:hanging="149"/>
              <w:rPr>
                <w:sz w:val="19"/>
              </w:rPr>
            </w:pPr>
            <w:r>
              <w:rPr>
                <w:sz w:val="19"/>
              </w:rPr>
              <w:t>Promedio </w:t>
            </w:r>
            <w:r>
              <w:rPr>
                <w:w w:val="105"/>
                <w:sz w:val="19"/>
              </w:rPr>
              <w:t>TALIS</w:t>
            </w:r>
          </w:p>
        </w:tc>
        <w:tc>
          <w:tcPr>
            <w:tcW w:w="649" w:type="dxa"/>
            <w:tcBorders>
              <w:left w:val="nil"/>
              <w:right w:val="nil"/>
            </w:tcBorders>
          </w:tcPr>
          <w:p>
            <w:pPr>
              <w:pStyle w:val="TableParagraph"/>
              <w:spacing w:line="218" w:lineRule="exact"/>
              <w:ind w:right="193"/>
              <w:jc w:val="right"/>
              <w:rPr>
                <w:sz w:val="19"/>
              </w:rPr>
            </w:pPr>
            <w:r>
              <w:rPr>
                <w:sz w:val="19"/>
              </w:rPr>
              <w:t>25</w:t>
            </w:r>
          </w:p>
        </w:tc>
        <w:tc>
          <w:tcPr>
            <w:tcW w:w="458" w:type="dxa"/>
            <w:tcBorders>
              <w:left w:val="nil"/>
              <w:right w:val="nil"/>
            </w:tcBorders>
          </w:tcPr>
          <w:p>
            <w:pPr>
              <w:pStyle w:val="TableParagraph"/>
              <w:spacing w:line="218" w:lineRule="exact"/>
              <w:ind w:left="70" w:right="81"/>
              <w:jc w:val="center"/>
              <w:rPr>
                <w:sz w:val="19"/>
              </w:rPr>
            </w:pPr>
            <w:r>
              <w:rPr>
                <w:w w:val="105"/>
                <w:sz w:val="19"/>
              </w:rPr>
              <w:t>27</w:t>
            </w:r>
          </w:p>
        </w:tc>
        <w:tc>
          <w:tcPr>
            <w:tcW w:w="422" w:type="dxa"/>
            <w:tcBorders>
              <w:left w:val="nil"/>
            </w:tcBorders>
          </w:tcPr>
          <w:p>
            <w:pPr>
              <w:pStyle w:val="TableParagraph"/>
              <w:spacing w:line="218" w:lineRule="exact"/>
              <w:ind w:left="104"/>
              <w:rPr>
                <w:sz w:val="19"/>
              </w:rPr>
            </w:pPr>
            <w:r>
              <w:rPr>
                <w:w w:val="105"/>
                <w:sz w:val="19"/>
              </w:rPr>
              <w:t>17</w:t>
            </w:r>
          </w:p>
        </w:tc>
        <w:tc>
          <w:tcPr>
            <w:tcW w:w="1563" w:type="dxa"/>
            <w:tcBorders>
              <w:right w:val="nil"/>
            </w:tcBorders>
          </w:tcPr>
          <w:p>
            <w:pPr>
              <w:pStyle w:val="TableParagraph"/>
              <w:spacing w:line="218" w:lineRule="exact"/>
              <w:ind w:left="314" w:right="236"/>
              <w:jc w:val="center"/>
              <w:rPr>
                <w:sz w:val="19"/>
              </w:rPr>
            </w:pPr>
            <w:r>
              <w:rPr>
                <w:w w:val="105"/>
                <w:sz w:val="19"/>
              </w:rPr>
              <w:t>Noruega</w:t>
            </w:r>
          </w:p>
        </w:tc>
        <w:tc>
          <w:tcPr>
            <w:tcW w:w="679" w:type="dxa"/>
            <w:tcBorders>
              <w:left w:val="nil"/>
              <w:right w:val="nil"/>
            </w:tcBorders>
          </w:tcPr>
          <w:p>
            <w:pPr>
              <w:pStyle w:val="TableParagraph"/>
              <w:spacing w:line="218" w:lineRule="exact"/>
              <w:ind w:left="245" w:right="172"/>
              <w:jc w:val="center"/>
              <w:rPr>
                <w:sz w:val="19"/>
              </w:rPr>
            </w:pPr>
            <w:r>
              <w:rPr>
                <w:w w:val="105"/>
                <w:sz w:val="19"/>
              </w:rPr>
              <w:t>11</w:t>
            </w:r>
          </w:p>
        </w:tc>
        <w:tc>
          <w:tcPr>
            <w:tcW w:w="523" w:type="dxa"/>
            <w:tcBorders>
              <w:left w:val="nil"/>
              <w:right w:val="nil"/>
            </w:tcBorders>
          </w:tcPr>
          <w:p>
            <w:pPr>
              <w:pStyle w:val="TableParagraph"/>
              <w:spacing w:line="218" w:lineRule="exact"/>
              <w:ind w:left="119"/>
              <w:rPr>
                <w:sz w:val="19"/>
              </w:rPr>
            </w:pPr>
            <w:r>
              <w:rPr>
                <w:w w:val="105"/>
                <w:sz w:val="19"/>
              </w:rPr>
              <w:t>40</w:t>
            </w:r>
          </w:p>
        </w:tc>
        <w:tc>
          <w:tcPr>
            <w:tcW w:w="619" w:type="dxa"/>
            <w:tcBorders>
              <w:left w:val="nil"/>
            </w:tcBorders>
          </w:tcPr>
          <w:p>
            <w:pPr>
              <w:pStyle w:val="TableParagraph"/>
              <w:spacing w:before="129"/>
              <w:ind w:left="224"/>
              <w:rPr>
                <w:sz w:val="19"/>
              </w:rPr>
            </w:pPr>
            <w:r>
              <w:rPr>
                <w:w w:val="103"/>
                <w:sz w:val="19"/>
              </w:rPr>
              <w:t>9</w:t>
            </w:r>
          </w:p>
        </w:tc>
      </w:tr>
      <w:tr>
        <w:trPr>
          <w:trHeight w:val="461" w:hRule="exact"/>
        </w:trPr>
        <w:tc>
          <w:tcPr>
            <w:tcW w:w="1096" w:type="dxa"/>
            <w:tcBorders>
              <w:right w:val="nil"/>
            </w:tcBorders>
          </w:tcPr>
          <w:p>
            <w:pPr>
              <w:pStyle w:val="TableParagraph"/>
              <w:spacing w:line="218" w:lineRule="exact"/>
              <w:ind w:left="73" w:right="107"/>
              <w:jc w:val="center"/>
              <w:rPr>
                <w:sz w:val="19"/>
              </w:rPr>
            </w:pPr>
            <w:r>
              <w:rPr>
                <w:w w:val="105"/>
                <w:sz w:val="19"/>
              </w:rPr>
              <w:t>España</w:t>
            </w:r>
          </w:p>
        </w:tc>
        <w:tc>
          <w:tcPr>
            <w:tcW w:w="553" w:type="dxa"/>
            <w:tcBorders>
              <w:left w:val="nil"/>
              <w:right w:val="nil"/>
            </w:tcBorders>
          </w:tcPr>
          <w:p>
            <w:pPr>
              <w:pStyle w:val="TableParagraph"/>
              <w:spacing w:line="218" w:lineRule="exact"/>
              <w:ind w:left="147"/>
              <w:rPr>
                <w:sz w:val="19"/>
              </w:rPr>
            </w:pPr>
            <w:r>
              <w:rPr>
                <w:w w:val="105"/>
                <w:sz w:val="19"/>
              </w:rPr>
              <w:t>39</w:t>
            </w:r>
          </w:p>
        </w:tc>
        <w:tc>
          <w:tcPr>
            <w:tcW w:w="464" w:type="dxa"/>
            <w:tcBorders>
              <w:left w:val="nil"/>
              <w:right w:val="nil"/>
            </w:tcBorders>
          </w:tcPr>
          <w:p>
            <w:pPr>
              <w:pStyle w:val="TableParagraph"/>
              <w:spacing w:line="218" w:lineRule="exact"/>
              <w:ind w:left="117"/>
              <w:rPr>
                <w:sz w:val="19"/>
              </w:rPr>
            </w:pPr>
            <w:r>
              <w:rPr>
                <w:w w:val="105"/>
                <w:sz w:val="19"/>
              </w:rPr>
              <w:t>40</w:t>
            </w:r>
          </w:p>
        </w:tc>
        <w:tc>
          <w:tcPr>
            <w:tcW w:w="422" w:type="dxa"/>
            <w:tcBorders>
              <w:left w:val="nil"/>
            </w:tcBorders>
          </w:tcPr>
          <w:p>
            <w:pPr>
              <w:pStyle w:val="TableParagraph"/>
              <w:spacing w:line="218" w:lineRule="exact"/>
              <w:ind w:left="104"/>
              <w:rPr>
                <w:sz w:val="19"/>
              </w:rPr>
            </w:pPr>
            <w:r>
              <w:rPr>
                <w:w w:val="105"/>
                <w:sz w:val="19"/>
              </w:rPr>
              <w:t>35</w:t>
            </w:r>
          </w:p>
        </w:tc>
        <w:tc>
          <w:tcPr>
            <w:tcW w:w="1370" w:type="dxa"/>
            <w:tcBorders>
              <w:right w:val="nil"/>
            </w:tcBorders>
          </w:tcPr>
          <w:p>
            <w:pPr>
              <w:pStyle w:val="TableParagraph"/>
              <w:spacing w:line="218" w:lineRule="exact"/>
              <w:ind w:left="314" w:right="260"/>
              <w:jc w:val="center"/>
              <w:rPr>
                <w:sz w:val="19"/>
              </w:rPr>
            </w:pPr>
            <w:r>
              <w:rPr>
                <w:w w:val="105"/>
                <w:sz w:val="19"/>
              </w:rPr>
              <w:t>Hungría</w:t>
            </w:r>
          </w:p>
        </w:tc>
        <w:tc>
          <w:tcPr>
            <w:tcW w:w="649" w:type="dxa"/>
            <w:tcBorders>
              <w:left w:val="nil"/>
              <w:right w:val="nil"/>
            </w:tcBorders>
          </w:tcPr>
          <w:p>
            <w:pPr>
              <w:pStyle w:val="TableParagraph"/>
              <w:spacing w:line="218" w:lineRule="exact"/>
              <w:ind w:right="193"/>
              <w:jc w:val="right"/>
              <w:rPr>
                <w:sz w:val="19"/>
              </w:rPr>
            </w:pPr>
            <w:r>
              <w:rPr>
                <w:sz w:val="19"/>
              </w:rPr>
              <w:t>21</w:t>
            </w:r>
          </w:p>
        </w:tc>
        <w:tc>
          <w:tcPr>
            <w:tcW w:w="458" w:type="dxa"/>
            <w:tcBorders>
              <w:left w:val="nil"/>
              <w:right w:val="nil"/>
            </w:tcBorders>
          </w:tcPr>
          <w:p>
            <w:pPr>
              <w:pStyle w:val="TableParagraph"/>
              <w:spacing w:line="218" w:lineRule="exact"/>
              <w:ind w:left="70" w:right="81"/>
              <w:jc w:val="center"/>
              <w:rPr>
                <w:sz w:val="19"/>
              </w:rPr>
            </w:pPr>
            <w:r>
              <w:rPr>
                <w:w w:val="105"/>
                <w:sz w:val="19"/>
              </w:rPr>
              <w:t>28</w:t>
            </w:r>
          </w:p>
        </w:tc>
        <w:tc>
          <w:tcPr>
            <w:tcW w:w="422" w:type="dxa"/>
            <w:tcBorders>
              <w:left w:val="nil"/>
            </w:tcBorders>
          </w:tcPr>
          <w:p>
            <w:pPr>
              <w:pStyle w:val="TableParagraph"/>
              <w:spacing w:line="218" w:lineRule="exact"/>
              <w:ind w:left="157"/>
              <w:rPr>
                <w:sz w:val="19"/>
              </w:rPr>
            </w:pPr>
            <w:r>
              <w:rPr>
                <w:w w:val="103"/>
                <w:sz w:val="19"/>
              </w:rPr>
              <w:t>9</w:t>
            </w:r>
          </w:p>
        </w:tc>
        <w:tc>
          <w:tcPr>
            <w:tcW w:w="1563" w:type="dxa"/>
            <w:tcBorders>
              <w:right w:val="nil"/>
            </w:tcBorders>
          </w:tcPr>
          <w:p>
            <w:pPr>
              <w:pStyle w:val="TableParagraph"/>
              <w:spacing w:line="218" w:lineRule="exact"/>
              <w:ind w:left="314" w:right="230"/>
              <w:jc w:val="center"/>
              <w:rPr>
                <w:sz w:val="19"/>
              </w:rPr>
            </w:pPr>
            <w:r>
              <w:rPr>
                <w:w w:val="105"/>
                <w:sz w:val="19"/>
              </w:rPr>
              <w:t>Bélgica</w:t>
            </w:r>
          </w:p>
        </w:tc>
        <w:tc>
          <w:tcPr>
            <w:tcW w:w="679" w:type="dxa"/>
            <w:tcBorders>
              <w:left w:val="nil"/>
              <w:right w:val="nil"/>
            </w:tcBorders>
          </w:tcPr>
          <w:p>
            <w:pPr>
              <w:pStyle w:val="TableParagraph"/>
              <w:spacing w:line="218" w:lineRule="exact"/>
              <w:ind w:left="76"/>
              <w:jc w:val="center"/>
              <w:rPr>
                <w:sz w:val="19"/>
              </w:rPr>
            </w:pPr>
            <w:r>
              <w:rPr>
                <w:w w:val="103"/>
                <w:sz w:val="19"/>
              </w:rPr>
              <w:t>9</w:t>
            </w:r>
          </w:p>
        </w:tc>
        <w:tc>
          <w:tcPr>
            <w:tcW w:w="523" w:type="dxa"/>
            <w:tcBorders>
              <w:left w:val="nil"/>
              <w:right w:val="nil"/>
            </w:tcBorders>
          </w:tcPr>
          <w:p>
            <w:pPr>
              <w:pStyle w:val="TableParagraph"/>
              <w:spacing w:line="218" w:lineRule="exact"/>
              <w:ind w:left="172"/>
              <w:rPr>
                <w:sz w:val="19"/>
              </w:rPr>
            </w:pPr>
            <w:r>
              <w:rPr>
                <w:w w:val="103"/>
                <w:sz w:val="19"/>
              </w:rPr>
              <w:t>5</w:t>
            </w:r>
          </w:p>
        </w:tc>
        <w:tc>
          <w:tcPr>
            <w:tcW w:w="619" w:type="dxa"/>
            <w:tcBorders>
              <w:left w:val="nil"/>
            </w:tcBorders>
          </w:tcPr>
          <w:p>
            <w:pPr>
              <w:pStyle w:val="TableParagraph"/>
              <w:spacing w:line="218" w:lineRule="exact"/>
              <w:ind w:left="224"/>
              <w:rPr>
                <w:sz w:val="19"/>
              </w:rPr>
            </w:pPr>
            <w:r>
              <w:rPr>
                <w:w w:val="103"/>
                <w:sz w:val="19"/>
              </w:rPr>
              <w:t>5</w:t>
            </w:r>
          </w:p>
        </w:tc>
      </w:tr>
      <w:tr>
        <w:trPr>
          <w:trHeight w:val="466" w:hRule="exact"/>
        </w:trPr>
        <w:tc>
          <w:tcPr>
            <w:tcW w:w="1096" w:type="dxa"/>
            <w:tcBorders>
              <w:right w:val="nil"/>
            </w:tcBorders>
          </w:tcPr>
          <w:p>
            <w:pPr>
              <w:pStyle w:val="TableParagraph"/>
              <w:spacing w:line="218" w:lineRule="exact"/>
              <w:ind w:left="73" w:right="112"/>
              <w:jc w:val="center"/>
              <w:rPr>
                <w:sz w:val="19"/>
              </w:rPr>
            </w:pPr>
            <w:r>
              <w:rPr>
                <w:w w:val="105"/>
                <w:sz w:val="19"/>
              </w:rPr>
              <w:t>Lituania</w:t>
            </w:r>
          </w:p>
        </w:tc>
        <w:tc>
          <w:tcPr>
            <w:tcW w:w="553" w:type="dxa"/>
            <w:tcBorders>
              <w:left w:val="nil"/>
              <w:right w:val="nil"/>
            </w:tcBorders>
          </w:tcPr>
          <w:p>
            <w:pPr>
              <w:pStyle w:val="TableParagraph"/>
              <w:spacing w:line="218" w:lineRule="exact"/>
              <w:ind w:left="147"/>
              <w:rPr>
                <w:sz w:val="19"/>
              </w:rPr>
            </w:pPr>
            <w:r>
              <w:rPr>
                <w:w w:val="105"/>
                <w:sz w:val="19"/>
              </w:rPr>
              <w:t>39</w:t>
            </w:r>
          </w:p>
        </w:tc>
        <w:tc>
          <w:tcPr>
            <w:tcW w:w="464" w:type="dxa"/>
            <w:tcBorders>
              <w:left w:val="nil"/>
              <w:right w:val="nil"/>
            </w:tcBorders>
          </w:tcPr>
          <w:p>
            <w:pPr>
              <w:pStyle w:val="TableParagraph"/>
              <w:spacing w:line="218" w:lineRule="exact"/>
              <w:ind w:left="117"/>
              <w:rPr>
                <w:sz w:val="19"/>
              </w:rPr>
            </w:pPr>
            <w:r>
              <w:rPr>
                <w:w w:val="105"/>
                <w:sz w:val="19"/>
              </w:rPr>
              <w:t>15</w:t>
            </w:r>
          </w:p>
        </w:tc>
        <w:tc>
          <w:tcPr>
            <w:tcW w:w="422" w:type="dxa"/>
            <w:tcBorders>
              <w:left w:val="nil"/>
            </w:tcBorders>
          </w:tcPr>
          <w:p>
            <w:pPr>
              <w:pStyle w:val="TableParagraph"/>
              <w:spacing w:line="218" w:lineRule="exact"/>
              <w:ind w:left="104"/>
              <w:rPr>
                <w:sz w:val="19"/>
              </w:rPr>
            </w:pPr>
            <w:r>
              <w:rPr>
                <w:w w:val="105"/>
                <w:sz w:val="19"/>
              </w:rPr>
              <w:t>20</w:t>
            </w:r>
          </w:p>
        </w:tc>
        <w:tc>
          <w:tcPr>
            <w:tcW w:w="1370" w:type="dxa"/>
            <w:tcBorders>
              <w:right w:val="nil"/>
            </w:tcBorders>
          </w:tcPr>
          <w:p>
            <w:pPr>
              <w:pStyle w:val="TableParagraph"/>
              <w:spacing w:line="218" w:lineRule="exact"/>
              <w:ind w:left="314" w:right="267"/>
              <w:jc w:val="center"/>
              <w:rPr>
                <w:sz w:val="19"/>
              </w:rPr>
            </w:pPr>
            <w:r>
              <w:rPr>
                <w:w w:val="105"/>
                <w:sz w:val="19"/>
              </w:rPr>
              <w:t>Portugal</w:t>
            </w:r>
          </w:p>
        </w:tc>
        <w:tc>
          <w:tcPr>
            <w:tcW w:w="649" w:type="dxa"/>
            <w:tcBorders>
              <w:left w:val="nil"/>
              <w:right w:val="nil"/>
            </w:tcBorders>
          </w:tcPr>
          <w:p>
            <w:pPr>
              <w:pStyle w:val="TableParagraph"/>
              <w:spacing w:line="218" w:lineRule="exact"/>
              <w:ind w:right="193"/>
              <w:jc w:val="right"/>
              <w:rPr>
                <w:sz w:val="19"/>
              </w:rPr>
            </w:pPr>
            <w:r>
              <w:rPr>
                <w:sz w:val="19"/>
              </w:rPr>
              <w:t>19</w:t>
            </w:r>
          </w:p>
        </w:tc>
        <w:tc>
          <w:tcPr>
            <w:tcW w:w="458" w:type="dxa"/>
            <w:tcBorders>
              <w:left w:val="nil"/>
              <w:right w:val="nil"/>
            </w:tcBorders>
          </w:tcPr>
          <w:p>
            <w:pPr>
              <w:pStyle w:val="TableParagraph"/>
              <w:spacing w:line="218" w:lineRule="exact"/>
              <w:ind w:left="70" w:right="81"/>
              <w:jc w:val="center"/>
              <w:rPr>
                <w:sz w:val="19"/>
              </w:rPr>
            </w:pPr>
            <w:r>
              <w:rPr>
                <w:w w:val="105"/>
                <w:sz w:val="19"/>
              </w:rPr>
              <w:t>18</w:t>
            </w:r>
          </w:p>
        </w:tc>
        <w:tc>
          <w:tcPr>
            <w:tcW w:w="422" w:type="dxa"/>
            <w:tcBorders>
              <w:left w:val="nil"/>
            </w:tcBorders>
          </w:tcPr>
          <w:p>
            <w:pPr>
              <w:pStyle w:val="TableParagraph"/>
              <w:spacing w:line="218" w:lineRule="exact"/>
              <w:ind w:left="157"/>
              <w:rPr>
                <w:sz w:val="19"/>
              </w:rPr>
            </w:pPr>
            <w:r>
              <w:rPr>
                <w:w w:val="103"/>
                <w:sz w:val="19"/>
              </w:rPr>
              <w:t>9</w:t>
            </w:r>
          </w:p>
        </w:tc>
        <w:tc>
          <w:tcPr>
            <w:tcW w:w="1563" w:type="dxa"/>
            <w:tcBorders>
              <w:right w:val="nil"/>
            </w:tcBorders>
          </w:tcPr>
          <w:p>
            <w:pPr>
              <w:pStyle w:val="TableParagraph"/>
              <w:spacing w:line="218" w:lineRule="exact"/>
              <w:ind w:left="314" w:right="232"/>
              <w:jc w:val="center"/>
              <w:rPr>
                <w:sz w:val="19"/>
              </w:rPr>
            </w:pPr>
            <w:r>
              <w:rPr>
                <w:w w:val="105"/>
                <w:sz w:val="19"/>
              </w:rPr>
              <w:t>Estonia</w:t>
            </w:r>
          </w:p>
        </w:tc>
        <w:tc>
          <w:tcPr>
            <w:tcW w:w="679" w:type="dxa"/>
            <w:tcBorders>
              <w:left w:val="nil"/>
              <w:right w:val="nil"/>
            </w:tcBorders>
          </w:tcPr>
          <w:p>
            <w:pPr>
              <w:pStyle w:val="TableParagraph"/>
              <w:spacing w:line="218" w:lineRule="exact"/>
              <w:ind w:left="76"/>
              <w:jc w:val="center"/>
              <w:rPr>
                <w:sz w:val="19"/>
              </w:rPr>
            </w:pPr>
            <w:r>
              <w:rPr>
                <w:w w:val="103"/>
                <w:sz w:val="19"/>
              </w:rPr>
              <w:t>5</w:t>
            </w:r>
          </w:p>
        </w:tc>
        <w:tc>
          <w:tcPr>
            <w:tcW w:w="523" w:type="dxa"/>
            <w:tcBorders>
              <w:left w:val="nil"/>
              <w:right w:val="nil"/>
            </w:tcBorders>
          </w:tcPr>
          <w:p>
            <w:pPr>
              <w:pStyle w:val="TableParagraph"/>
              <w:spacing w:line="218" w:lineRule="exact"/>
              <w:ind w:left="172"/>
              <w:rPr>
                <w:sz w:val="19"/>
              </w:rPr>
            </w:pPr>
            <w:r>
              <w:rPr>
                <w:w w:val="103"/>
                <w:sz w:val="19"/>
              </w:rPr>
              <w:t>4</w:t>
            </w:r>
          </w:p>
        </w:tc>
        <w:tc>
          <w:tcPr>
            <w:tcW w:w="619" w:type="dxa"/>
            <w:tcBorders>
              <w:left w:val="nil"/>
            </w:tcBorders>
          </w:tcPr>
          <w:p>
            <w:pPr>
              <w:pStyle w:val="TableParagraph"/>
              <w:spacing w:line="218" w:lineRule="exact"/>
              <w:ind w:left="224"/>
              <w:rPr>
                <w:sz w:val="19"/>
              </w:rPr>
            </w:pPr>
            <w:r>
              <w:rPr>
                <w:w w:val="103"/>
                <w:sz w:val="19"/>
              </w:rPr>
              <w:t>4</w:t>
            </w:r>
          </w:p>
        </w:tc>
      </w:tr>
      <w:tr>
        <w:trPr>
          <w:trHeight w:val="718" w:hRule="exact"/>
        </w:trPr>
        <w:tc>
          <w:tcPr>
            <w:tcW w:w="1096" w:type="dxa"/>
            <w:tcBorders>
              <w:bottom w:val="single" w:sz="2" w:space="0" w:color="000000"/>
              <w:right w:val="nil"/>
            </w:tcBorders>
          </w:tcPr>
          <w:p>
            <w:pPr>
              <w:pStyle w:val="TableParagraph"/>
              <w:spacing w:line="218" w:lineRule="exact"/>
              <w:ind w:left="73" w:right="112"/>
              <w:jc w:val="center"/>
              <w:rPr>
                <w:sz w:val="19"/>
              </w:rPr>
            </w:pPr>
            <w:r>
              <w:rPr>
                <w:w w:val="105"/>
                <w:sz w:val="19"/>
              </w:rPr>
              <w:t>Australia</w:t>
            </w:r>
          </w:p>
        </w:tc>
        <w:tc>
          <w:tcPr>
            <w:tcW w:w="553" w:type="dxa"/>
            <w:tcBorders>
              <w:left w:val="nil"/>
              <w:bottom w:val="single" w:sz="2" w:space="0" w:color="000000"/>
              <w:right w:val="nil"/>
            </w:tcBorders>
          </w:tcPr>
          <w:p>
            <w:pPr>
              <w:pStyle w:val="TableParagraph"/>
              <w:spacing w:line="218" w:lineRule="exact"/>
              <w:ind w:left="147"/>
              <w:rPr>
                <w:sz w:val="19"/>
              </w:rPr>
            </w:pPr>
            <w:r>
              <w:rPr>
                <w:w w:val="105"/>
                <w:sz w:val="19"/>
              </w:rPr>
              <w:t>37</w:t>
            </w:r>
          </w:p>
        </w:tc>
        <w:tc>
          <w:tcPr>
            <w:tcW w:w="464" w:type="dxa"/>
            <w:tcBorders>
              <w:left w:val="nil"/>
              <w:bottom w:val="single" w:sz="2" w:space="0" w:color="000000"/>
              <w:right w:val="nil"/>
            </w:tcBorders>
          </w:tcPr>
          <w:p>
            <w:pPr>
              <w:pStyle w:val="TableParagraph"/>
              <w:spacing w:line="218" w:lineRule="exact"/>
              <w:ind w:left="117"/>
              <w:rPr>
                <w:sz w:val="19"/>
              </w:rPr>
            </w:pPr>
            <w:r>
              <w:rPr>
                <w:w w:val="105"/>
                <w:sz w:val="19"/>
              </w:rPr>
              <w:t>22</w:t>
            </w:r>
          </w:p>
        </w:tc>
        <w:tc>
          <w:tcPr>
            <w:tcW w:w="422" w:type="dxa"/>
            <w:tcBorders>
              <w:left w:val="nil"/>
              <w:bottom w:val="single" w:sz="2" w:space="0" w:color="000000"/>
            </w:tcBorders>
          </w:tcPr>
          <w:p>
            <w:pPr>
              <w:pStyle w:val="TableParagraph"/>
              <w:spacing w:line="218" w:lineRule="exact"/>
              <w:ind w:left="152"/>
              <w:rPr>
                <w:sz w:val="19"/>
              </w:rPr>
            </w:pPr>
            <w:r>
              <w:rPr>
                <w:w w:val="103"/>
                <w:sz w:val="19"/>
              </w:rPr>
              <w:t>9</w:t>
            </w:r>
          </w:p>
        </w:tc>
        <w:tc>
          <w:tcPr>
            <w:tcW w:w="1370" w:type="dxa"/>
            <w:tcBorders>
              <w:bottom w:val="single" w:sz="2" w:space="0" w:color="000000"/>
              <w:right w:val="nil"/>
            </w:tcBorders>
          </w:tcPr>
          <w:p>
            <w:pPr>
              <w:pStyle w:val="TableParagraph"/>
              <w:spacing w:line="218" w:lineRule="exact"/>
              <w:ind w:left="314" w:right="262"/>
              <w:jc w:val="center"/>
              <w:rPr>
                <w:sz w:val="19"/>
              </w:rPr>
            </w:pPr>
            <w:r>
              <w:rPr>
                <w:w w:val="105"/>
                <w:sz w:val="19"/>
              </w:rPr>
              <w:t>Malta</w:t>
            </w:r>
          </w:p>
        </w:tc>
        <w:tc>
          <w:tcPr>
            <w:tcW w:w="649" w:type="dxa"/>
            <w:tcBorders>
              <w:left w:val="nil"/>
              <w:bottom w:val="single" w:sz="2" w:space="0" w:color="000000"/>
              <w:right w:val="nil"/>
            </w:tcBorders>
          </w:tcPr>
          <w:p>
            <w:pPr>
              <w:pStyle w:val="TableParagraph"/>
              <w:spacing w:line="218" w:lineRule="exact"/>
              <w:ind w:right="193"/>
              <w:jc w:val="right"/>
              <w:rPr>
                <w:sz w:val="19"/>
              </w:rPr>
            </w:pPr>
            <w:r>
              <w:rPr>
                <w:sz w:val="19"/>
              </w:rPr>
              <w:t>18</w:t>
            </w:r>
          </w:p>
        </w:tc>
        <w:tc>
          <w:tcPr>
            <w:tcW w:w="458" w:type="dxa"/>
            <w:tcBorders>
              <w:left w:val="nil"/>
              <w:bottom w:val="single" w:sz="2" w:space="0" w:color="000000"/>
              <w:right w:val="nil"/>
            </w:tcBorders>
          </w:tcPr>
          <w:p>
            <w:pPr>
              <w:pStyle w:val="TableParagraph"/>
              <w:spacing w:line="218" w:lineRule="exact"/>
              <w:ind w:left="70" w:right="81"/>
              <w:jc w:val="center"/>
              <w:rPr>
                <w:sz w:val="19"/>
              </w:rPr>
            </w:pPr>
            <w:r>
              <w:rPr>
                <w:w w:val="105"/>
                <w:sz w:val="19"/>
              </w:rPr>
              <w:t>31</w:t>
            </w:r>
          </w:p>
        </w:tc>
        <w:tc>
          <w:tcPr>
            <w:tcW w:w="422" w:type="dxa"/>
            <w:tcBorders>
              <w:left w:val="nil"/>
              <w:bottom w:val="single" w:sz="2" w:space="0" w:color="000000"/>
            </w:tcBorders>
          </w:tcPr>
          <w:p>
            <w:pPr>
              <w:pStyle w:val="TableParagraph"/>
              <w:spacing w:line="218" w:lineRule="exact"/>
              <w:ind w:left="104"/>
              <w:rPr>
                <w:sz w:val="19"/>
              </w:rPr>
            </w:pPr>
            <w:r>
              <w:rPr>
                <w:w w:val="105"/>
                <w:sz w:val="19"/>
              </w:rPr>
              <w:t>14</w:t>
            </w:r>
          </w:p>
        </w:tc>
        <w:tc>
          <w:tcPr>
            <w:tcW w:w="1563" w:type="dxa"/>
            <w:tcBorders>
              <w:bottom w:val="single" w:sz="2" w:space="0" w:color="000000"/>
              <w:right w:val="nil"/>
            </w:tcBorders>
          </w:tcPr>
          <w:p>
            <w:pPr>
              <w:pStyle w:val="TableParagraph"/>
              <w:spacing w:line="273" w:lineRule="auto" w:before="4"/>
              <w:ind w:left="427" w:right="301" w:hanging="44"/>
              <w:rPr>
                <w:sz w:val="19"/>
              </w:rPr>
            </w:pPr>
            <w:r>
              <w:rPr>
                <w:sz w:val="19"/>
              </w:rPr>
              <w:t>República </w:t>
            </w:r>
            <w:r>
              <w:rPr>
                <w:w w:val="105"/>
                <w:sz w:val="19"/>
              </w:rPr>
              <w:t>Eslovaca</w:t>
            </w:r>
          </w:p>
        </w:tc>
        <w:tc>
          <w:tcPr>
            <w:tcW w:w="679" w:type="dxa"/>
            <w:tcBorders>
              <w:left w:val="nil"/>
              <w:bottom w:val="single" w:sz="2" w:space="0" w:color="000000"/>
              <w:right w:val="nil"/>
            </w:tcBorders>
          </w:tcPr>
          <w:p>
            <w:pPr>
              <w:pStyle w:val="TableParagraph"/>
              <w:spacing w:line="218" w:lineRule="exact"/>
              <w:ind w:left="76"/>
              <w:jc w:val="center"/>
              <w:rPr>
                <w:sz w:val="19"/>
              </w:rPr>
            </w:pPr>
            <w:r>
              <w:rPr>
                <w:w w:val="103"/>
                <w:sz w:val="19"/>
              </w:rPr>
              <w:t>3</w:t>
            </w:r>
          </w:p>
        </w:tc>
        <w:tc>
          <w:tcPr>
            <w:tcW w:w="523" w:type="dxa"/>
            <w:tcBorders>
              <w:left w:val="nil"/>
              <w:bottom w:val="single" w:sz="2" w:space="0" w:color="000000"/>
              <w:right w:val="nil"/>
            </w:tcBorders>
          </w:tcPr>
          <w:p>
            <w:pPr>
              <w:pStyle w:val="TableParagraph"/>
              <w:spacing w:line="218" w:lineRule="exact"/>
              <w:ind w:left="172"/>
              <w:rPr>
                <w:sz w:val="19"/>
              </w:rPr>
            </w:pPr>
            <w:r>
              <w:rPr>
                <w:w w:val="103"/>
                <w:sz w:val="19"/>
              </w:rPr>
              <w:t>6</w:t>
            </w:r>
          </w:p>
        </w:tc>
        <w:tc>
          <w:tcPr>
            <w:tcW w:w="619" w:type="dxa"/>
            <w:tcBorders>
              <w:left w:val="nil"/>
              <w:bottom w:val="single" w:sz="2" w:space="0" w:color="000000"/>
            </w:tcBorders>
          </w:tcPr>
          <w:p>
            <w:pPr>
              <w:pStyle w:val="TableParagraph"/>
              <w:spacing w:before="129"/>
              <w:ind w:left="224"/>
              <w:rPr>
                <w:sz w:val="19"/>
              </w:rPr>
            </w:pPr>
            <w:r>
              <w:rPr>
                <w:w w:val="103"/>
                <w:sz w:val="19"/>
              </w:rPr>
              <w:t>2</w:t>
            </w:r>
          </w:p>
        </w:tc>
      </w:tr>
      <w:tr>
        <w:trPr>
          <w:trHeight w:val="463" w:hRule="exact"/>
        </w:trPr>
        <w:tc>
          <w:tcPr>
            <w:tcW w:w="1096" w:type="dxa"/>
            <w:tcBorders>
              <w:top w:val="single" w:sz="2" w:space="0" w:color="000000"/>
              <w:right w:val="nil"/>
            </w:tcBorders>
          </w:tcPr>
          <w:p>
            <w:pPr>
              <w:pStyle w:val="TableParagraph"/>
              <w:spacing w:line="218" w:lineRule="exact"/>
              <w:ind w:left="69" w:right="112"/>
              <w:jc w:val="center"/>
              <w:rPr>
                <w:sz w:val="19"/>
              </w:rPr>
            </w:pPr>
            <w:r>
              <w:rPr>
                <w:w w:val="105"/>
                <w:sz w:val="19"/>
              </w:rPr>
              <w:t>Brasil</w:t>
            </w:r>
          </w:p>
        </w:tc>
        <w:tc>
          <w:tcPr>
            <w:tcW w:w="553" w:type="dxa"/>
            <w:tcBorders>
              <w:top w:val="single" w:sz="2" w:space="0" w:color="000000"/>
              <w:left w:val="nil"/>
              <w:right w:val="nil"/>
            </w:tcBorders>
          </w:tcPr>
          <w:p>
            <w:pPr>
              <w:pStyle w:val="TableParagraph"/>
              <w:spacing w:line="218" w:lineRule="exact"/>
              <w:ind w:left="147"/>
              <w:rPr>
                <w:sz w:val="19"/>
              </w:rPr>
            </w:pPr>
            <w:r>
              <w:rPr>
                <w:w w:val="105"/>
                <w:sz w:val="19"/>
              </w:rPr>
              <w:t>37</w:t>
            </w:r>
          </w:p>
        </w:tc>
        <w:tc>
          <w:tcPr>
            <w:tcW w:w="464" w:type="dxa"/>
            <w:tcBorders>
              <w:top w:val="single" w:sz="2" w:space="0" w:color="000000"/>
              <w:left w:val="nil"/>
              <w:right w:val="nil"/>
            </w:tcBorders>
          </w:tcPr>
          <w:p>
            <w:pPr>
              <w:pStyle w:val="TableParagraph"/>
              <w:spacing w:line="218" w:lineRule="exact"/>
              <w:ind w:left="117"/>
              <w:rPr>
                <w:sz w:val="19"/>
              </w:rPr>
            </w:pPr>
            <w:r>
              <w:rPr>
                <w:w w:val="105"/>
                <w:sz w:val="19"/>
              </w:rPr>
              <w:t>32</w:t>
            </w:r>
          </w:p>
        </w:tc>
        <w:tc>
          <w:tcPr>
            <w:tcW w:w="422" w:type="dxa"/>
            <w:tcBorders>
              <w:top w:val="single" w:sz="2" w:space="0" w:color="000000"/>
              <w:left w:val="nil"/>
            </w:tcBorders>
          </w:tcPr>
          <w:p>
            <w:pPr>
              <w:pStyle w:val="TableParagraph"/>
              <w:spacing w:line="218" w:lineRule="exact"/>
              <w:ind w:left="104"/>
              <w:rPr>
                <w:sz w:val="19"/>
              </w:rPr>
            </w:pPr>
            <w:r>
              <w:rPr>
                <w:w w:val="105"/>
                <w:sz w:val="19"/>
              </w:rPr>
              <w:t>26</w:t>
            </w:r>
          </w:p>
        </w:tc>
        <w:tc>
          <w:tcPr>
            <w:tcW w:w="1370" w:type="dxa"/>
            <w:tcBorders>
              <w:top w:val="single" w:sz="2" w:space="0" w:color="000000"/>
              <w:right w:val="nil"/>
            </w:tcBorders>
          </w:tcPr>
          <w:p>
            <w:pPr>
              <w:pStyle w:val="TableParagraph"/>
              <w:spacing w:line="218" w:lineRule="exact"/>
              <w:ind w:left="310" w:right="267"/>
              <w:jc w:val="center"/>
              <w:rPr>
                <w:sz w:val="19"/>
              </w:rPr>
            </w:pPr>
            <w:r>
              <w:rPr>
                <w:w w:val="105"/>
                <w:sz w:val="19"/>
              </w:rPr>
              <w:t>Austria</w:t>
            </w:r>
          </w:p>
        </w:tc>
        <w:tc>
          <w:tcPr>
            <w:tcW w:w="649" w:type="dxa"/>
            <w:tcBorders>
              <w:top w:val="single" w:sz="2" w:space="0" w:color="000000"/>
              <w:left w:val="nil"/>
              <w:right w:val="nil"/>
            </w:tcBorders>
          </w:tcPr>
          <w:p>
            <w:pPr>
              <w:pStyle w:val="TableParagraph"/>
              <w:spacing w:line="218" w:lineRule="exact"/>
              <w:ind w:right="193"/>
              <w:jc w:val="right"/>
              <w:rPr>
                <w:sz w:val="19"/>
              </w:rPr>
            </w:pPr>
            <w:r>
              <w:rPr>
                <w:sz w:val="19"/>
              </w:rPr>
              <w:t>15</w:t>
            </w:r>
          </w:p>
        </w:tc>
        <w:tc>
          <w:tcPr>
            <w:tcW w:w="458" w:type="dxa"/>
            <w:tcBorders>
              <w:top w:val="single" w:sz="2" w:space="0" w:color="000000"/>
              <w:left w:val="nil"/>
              <w:right w:val="nil"/>
            </w:tcBorders>
          </w:tcPr>
          <w:p>
            <w:pPr>
              <w:pStyle w:val="TableParagraph"/>
              <w:spacing w:line="218" w:lineRule="exact"/>
              <w:ind w:left="70" w:right="81"/>
              <w:jc w:val="center"/>
              <w:rPr>
                <w:sz w:val="19"/>
              </w:rPr>
            </w:pPr>
            <w:r>
              <w:rPr>
                <w:w w:val="105"/>
                <w:sz w:val="19"/>
              </w:rPr>
              <w:t>22</w:t>
            </w:r>
          </w:p>
        </w:tc>
        <w:tc>
          <w:tcPr>
            <w:tcW w:w="422" w:type="dxa"/>
            <w:tcBorders>
              <w:top w:val="single" w:sz="2" w:space="0" w:color="000000"/>
              <w:left w:val="nil"/>
            </w:tcBorders>
          </w:tcPr>
          <w:p>
            <w:pPr>
              <w:pStyle w:val="TableParagraph"/>
              <w:spacing w:line="218" w:lineRule="exact"/>
              <w:ind w:left="157"/>
              <w:rPr>
                <w:sz w:val="19"/>
              </w:rPr>
            </w:pPr>
            <w:r>
              <w:rPr>
                <w:w w:val="103"/>
                <w:sz w:val="19"/>
              </w:rPr>
              <w:t>9</w:t>
            </w:r>
          </w:p>
        </w:tc>
        <w:tc>
          <w:tcPr>
            <w:tcW w:w="1563" w:type="dxa"/>
            <w:tcBorders>
              <w:top w:val="single" w:sz="2" w:space="0" w:color="000000"/>
              <w:right w:val="nil"/>
            </w:tcBorders>
          </w:tcPr>
          <w:p>
            <w:pPr>
              <w:pStyle w:val="TableParagraph"/>
              <w:spacing w:line="218" w:lineRule="exact"/>
              <w:ind w:left="314" w:right="232"/>
              <w:jc w:val="center"/>
              <w:rPr>
                <w:sz w:val="19"/>
              </w:rPr>
            </w:pPr>
            <w:r>
              <w:rPr>
                <w:w w:val="105"/>
                <w:sz w:val="19"/>
              </w:rPr>
              <w:t>Bulgaria</w:t>
            </w:r>
          </w:p>
        </w:tc>
        <w:tc>
          <w:tcPr>
            <w:tcW w:w="679" w:type="dxa"/>
            <w:tcBorders>
              <w:top w:val="single" w:sz="2" w:space="0" w:color="000000"/>
              <w:left w:val="nil"/>
              <w:right w:val="nil"/>
            </w:tcBorders>
          </w:tcPr>
          <w:p>
            <w:pPr>
              <w:pStyle w:val="TableParagraph"/>
              <w:spacing w:line="218" w:lineRule="exact"/>
              <w:ind w:left="76"/>
              <w:jc w:val="center"/>
              <w:rPr>
                <w:sz w:val="19"/>
              </w:rPr>
            </w:pPr>
            <w:r>
              <w:rPr>
                <w:w w:val="103"/>
                <w:sz w:val="19"/>
              </w:rPr>
              <w:t>2</w:t>
            </w:r>
          </w:p>
        </w:tc>
        <w:tc>
          <w:tcPr>
            <w:tcW w:w="523" w:type="dxa"/>
            <w:tcBorders>
              <w:top w:val="single" w:sz="2" w:space="0" w:color="000000"/>
              <w:left w:val="nil"/>
              <w:right w:val="nil"/>
            </w:tcBorders>
          </w:tcPr>
          <w:p>
            <w:pPr>
              <w:pStyle w:val="TableParagraph"/>
              <w:spacing w:line="218" w:lineRule="exact"/>
              <w:ind w:left="172"/>
              <w:rPr>
                <w:sz w:val="19"/>
              </w:rPr>
            </w:pPr>
            <w:r>
              <w:rPr>
                <w:w w:val="103"/>
                <w:sz w:val="19"/>
              </w:rPr>
              <w:t>1</w:t>
            </w:r>
          </w:p>
        </w:tc>
        <w:tc>
          <w:tcPr>
            <w:tcW w:w="619" w:type="dxa"/>
            <w:tcBorders>
              <w:top w:val="single" w:sz="2" w:space="0" w:color="000000"/>
              <w:left w:val="nil"/>
            </w:tcBorders>
          </w:tcPr>
          <w:p>
            <w:pPr>
              <w:pStyle w:val="TableParagraph"/>
              <w:spacing w:line="218" w:lineRule="exact"/>
              <w:ind w:left="224"/>
              <w:rPr>
                <w:sz w:val="19"/>
              </w:rPr>
            </w:pPr>
            <w:r>
              <w:rPr>
                <w:w w:val="103"/>
                <w:sz w:val="19"/>
              </w:rPr>
              <w:t>2</w:t>
            </w:r>
          </w:p>
        </w:tc>
      </w:tr>
      <w:tr>
        <w:trPr>
          <w:trHeight w:val="461" w:hRule="exact"/>
        </w:trPr>
        <w:tc>
          <w:tcPr>
            <w:tcW w:w="1096" w:type="dxa"/>
            <w:tcBorders>
              <w:right w:val="nil"/>
            </w:tcBorders>
          </w:tcPr>
          <w:p>
            <w:pPr>
              <w:pStyle w:val="TableParagraph"/>
              <w:spacing w:line="218" w:lineRule="exact"/>
              <w:ind w:left="73" w:right="110"/>
              <w:jc w:val="center"/>
              <w:rPr>
                <w:sz w:val="19"/>
              </w:rPr>
            </w:pPr>
            <w:r>
              <w:rPr>
                <w:w w:val="105"/>
                <w:sz w:val="19"/>
              </w:rPr>
              <w:t>Corea</w:t>
            </w:r>
          </w:p>
        </w:tc>
        <w:tc>
          <w:tcPr>
            <w:tcW w:w="553" w:type="dxa"/>
            <w:tcBorders>
              <w:left w:val="nil"/>
              <w:right w:val="nil"/>
            </w:tcBorders>
          </w:tcPr>
          <w:p>
            <w:pPr>
              <w:pStyle w:val="TableParagraph"/>
              <w:spacing w:line="218" w:lineRule="exact"/>
              <w:ind w:left="147"/>
              <w:rPr>
                <w:sz w:val="19"/>
              </w:rPr>
            </w:pPr>
            <w:r>
              <w:rPr>
                <w:w w:val="105"/>
                <w:sz w:val="19"/>
              </w:rPr>
              <w:t>33</w:t>
            </w:r>
          </w:p>
        </w:tc>
        <w:tc>
          <w:tcPr>
            <w:tcW w:w="464" w:type="dxa"/>
            <w:tcBorders>
              <w:left w:val="nil"/>
              <w:right w:val="nil"/>
            </w:tcBorders>
          </w:tcPr>
          <w:p>
            <w:pPr>
              <w:pStyle w:val="TableParagraph"/>
              <w:spacing w:line="218" w:lineRule="exact"/>
              <w:ind w:left="117"/>
              <w:rPr>
                <w:sz w:val="19"/>
              </w:rPr>
            </w:pPr>
            <w:r>
              <w:rPr>
                <w:w w:val="105"/>
                <w:sz w:val="19"/>
              </w:rPr>
              <w:t>22</w:t>
            </w:r>
          </w:p>
        </w:tc>
        <w:tc>
          <w:tcPr>
            <w:tcW w:w="422" w:type="dxa"/>
            <w:tcBorders>
              <w:left w:val="nil"/>
            </w:tcBorders>
          </w:tcPr>
          <w:p>
            <w:pPr>
              <w:pStyle w:val="TableParagraph"/>
              <w:spacing w:line="218" w:lineRule="exact"/>
              <w:ind w:left="104"/>
              <w:rPr>
                <w:sz w:val="19"/>
              </w:rPr>
            </w:pPr>
            <w:r>
              <w:rPr>
                <w:w w:val="105"/>
                <w:sz w:val="19"/>
              </w:rPr>
              <w:t>19</w:t>
            </w:r>
          </w:p>
        </w:tc>
        <w:tc>
          <w:tcPr>
            <w:tcW w:w="1370" w:type="dxa"/>
            <w:tcBorders>
              <w:right w:val="nil"/>
            </w:tcBorders>
          </w:tcPr>
          <w:p>
            <w:pPr>
              <w:pStyle w:val="TableParagraph"/>
              <w:spacing w:line="218" w:lineRule="exact"/>
              <w:ind w:left="314" w:right="263"/>
              <w:jc w:val="center"/>
              <w:rPr>
                <w:sz w:val="19"/>
              </w:rPr>
            </w:pPr>
            <w:r>
              <w:rPr>
                <w:w w:val="105"/>
                <w:sz w:val="19"/>
              </w:rPr>
              <w:t>Irlanda</w:t>
            </w:r>
          </w:p>
        </w:tc>
        <w:tc>
          <w:tcPr>
            <w:tcW w:w="649" w:type="dxa"/>
            <w:tcBorders>
              <w:left w:val="nil"/>
              <w:right w:val="nil"/>
            </w:tcBorders>
          </w:tcPr>
          <w:p>
            <w:pPr>
              <w:pStyle w:val="TableParagraph"/>
              <w:spacing w:line="218" w:lineRule="exact"/>
              <w:ind w:right="193"/>
              <w:jc w:val="right"/>
              <w:rPr>
                <w:sz w:val="19"/>
              </w:rPr>
            </w:pPr>
            <w:r>
              <w:rPr>
                <w:sz w:val="19"/>
              </w:rPr>
              <w:t>31</w:t>
            </w:r>
          </w:p>
        </w:tc>
        <w:tc>
          <w:tcPr>
            <w:tcW w:w="458" w:type="dxa"/>
            <w:tcBorders>
              <w:left w:val="nil"/>
              <w:right w:val="nil"/>
            </w:tcBorders>
          </w:tcPr>
          <w:p>
            <w:pPr>
              <w:pStyle w:val="TableParagraph"/>
              <w:spacing w:line="218" w:lineRule="exact"/>
              <w:ind w:left="70" w:right="81"/>
              <w:jc w:val="center"/>
              <w:rPr>
                <w:sz w:val="19"/>
              </w:rPr>
            </w:pPr>
            <w:r>
              <w:rPr>
                <w:w w:val="105"/>
                <w:sz w:val="19"/>
              </w:rPr>
              <w:t>42</w:t>
            </w:r>
          </w:p>
        </w:tc>
        <w:tc>
          <w:tcPr>
            <w:tcW w:w="422" w:type="dxa"/>
            <w:tcBorders>
              <w:left w:val="nil"/>
            </w:tcBorders>
          </w:tcPr>
          <w:p>
            <w:pPr>
              <w:pStyle w:val="TableParagraph"/>
              <w:spacing w:line="218" w:lineRule="exact"/>
              <w:ind w:left="104"/>
              <w:rPr>
                <w:sz w:val="19"/>
              </w:rPr>
            </w:pPr>
            <w:r>
              <w:rPr>
                <w:w w:val="105"/>
                <w:sz w:val="19"/>
              </w:rPr>
              <w:t>12</w:t>
            </w:r>
          </w:p>
        </w:tc>
        <w:tc>
          <w:tcPr>
            <w:tcW w:w="1563" w:type="dxa"/>
            <w:tcBorders>
              <w:right w:val="nil"/>
            </w:tcBorders>
          </w:tcPr>
          <w:p>
            <w:pPr>
              <w:pStyle w:val="TableParagraph"/>
              <w:spacing w:line="218" w:lineRule="exact"/>
              <w:ind w:left="314" w:right="232"/>
              <w:jc w:val="center"/>
              <w:rPr>
                <w:sz w:val="19"/>
              </w:rPr>
            </w:pPr>
            <w:r>
              <w:rPr>
                <w:w w:val="105"/>
                <w:sz w:val="19"/>
              </w:rPr>
              <w:t>Polonia</w:t>
            </w:r>
          </w:p>
        </w:tc>
        <w:tc>
          <w:tcPr>
            <w:tcW w:w="679" w:type="dxa"/>
            <w:tcBorders>
              <w:left w:val="nil"/>
              <w:right w:val="nil"/>
            </w:tcBorders>
          </w:tcPr>
          <w:p>
            <w:pPr>
              <w:pStyle w:val="TableParagraph"/>
              <w:spacing w:line="218" w:lineRule="exact"/>
              <w:ind w:left="76"/>
              <w:jc w:val="center"/>
              <w:rPr>
                <w:sz w:val="19"/>
              </w:rPr>
            </w:pPr>
            <w:r>
              <w:rPr>
                <w:w w:val="103"/>
                <w:sz w:val="19"/>
              </w:rPr>
              <w:t>1</w:t>
            </w:r>
          </w:p>
        </w:tc>
        <w:tc>
          <w:tcPr>
            <w:tcW w:w="523" w:type="dxa"/>
            <w:tcBorders>
              <w:left w:val="nil"/>
              <w:right w:val="nil"/>
            </w:tcBorders>
          </w:tcPr>
          <w:p>
            <w:pPr>
              <w:pStyle w:val="TableParagraph"/>
              <w:spacing w:line="218" w:lineRule="exact"/>
              <w:ind w:left="119"/>
              <w:rPr>
                <w:sz w:val="19"/>
              </w:rPr>
            </w:pPr>
            <w:r>
              <w:rPr>
                <w:w w:val="105"/>
                <w:sz w:val="19"/>
              </w:rPr>
              <w:t>44</w:t>
            </w:r>
          </w:p>
        </w:tc>
        <w:tc>
          <w:tcPr>
            <w:tcW w:w="619" w:type="dxa"/>
            <w:tcBorders>
              <w:left w:val="nil"/>
            </w:tcBorders>
          </w:tcPr>
          <w:p>
            <w:pPr>
              <w:pStyle w:val="TableParagraph"/>
              <w:spacing w:line="218" w:lineRule="exact"/>
              <w:ind w:left="224"/>
              <w:rPr>
                <w:sz w:val="19"/>
              </w:rPr>
            </w:pPr>
            <w:r>
              <w:rPr>
                <w:w w:val="103"/>
                <w:sz w:val="19"/>
              </w:rPr>
              <w:t>9</w:t>
            </w:r>
          </w:p>
        </w:tc>
      </w:tr>
      <w:tr>
        <w:trPr>
          <w:trHeight w:val="466" w:hRule="exact"/>
        </w:trPr>
        <w:tc>
          <w:tcPr>
            <w:tcW w:w="1096" w:type="dxa"/>
            <w:tcBorders>
              <w:right w:val="nil"/>
            </w:tcBorders>
          </w:tcPr>
          <w:p>
            <w:pPr>
              <w:pStyle w:val="TableParagraph"/>
              <w:spacing w:line="218" w:lineRule="exact"/>
              <w:ind w:left="73" w:right="112"/>
              <w:jc w:val="center"/>
              <w:rPr>
                <w:sz w:val="19"/>
              </w:rPr>
            </w:pPr>
            <w:r>
              <w:rPr>
                <w:w w:val="105"/>
                <w:sz w:val="19"/>
              </w:rPr>
              <w:t>Eslovenia</w:t>
            </w:r>
          </w:p>
        </w:tc>
        <w:tc>
          <w:tcPr>
            <w:tcW w:w="553" w:type="dxa"/>
            <w:tcBorders>
              <w:left w:val="nil"/>
              <w:right w:val="nil"/>
            </w:tcBorders>
          </w:tcPr>
          <w:p>
            <w:pPr>
              <w:pStyle w:val="TableParagraph"/>
              <w:spacing w:line="218" w:lineRule="exact"/>
              <w:ind w:left="147"/>
              <w:rPr>
                <w:sz w:val="19"/>
              </w:rPr>
            </w:pPr>
            <w:r>
              <w:rPr>
                <w:w w:val="105"/>
                <w:sz w:val="19"/>
              </w:rPr>
              <w:t>13</w:t>
            </w:r>
          </w:p>
        </w:tc>
        <w:tc>
          <w:tcPr>
            <w:tcW w:w="464" w:type="dxa"/>
            <w:tcBorders>
              <w:left w:val="nil"/>
              <w:right w:val="nil"/>
            </w:tcBorders>
          </w:tcPr>
          <w:p>
            <w:pPr>
              <w:pStyle w:val="TableParagraph"/>
              <w:spacing w:line="218" w:lineRule="exact"/>
              <w:ind w:left="117"/>
              <w:rPr>
                <w:sz w:val="19"/>
              </w:rPr>
            </w:pPr>
            <w:r>
              <w:rPr>
                <w:w w:val="105"/>
                <w:sz w:val="19"/>
              </w:rPr>
              <w:t>39</w:t>
            </w:r>
          </w:p>
        </w:tc>
        <w:tc>
          <w:tcPr>
            <w:tcW w:w="422" w:type="dxa"/>
            <w:tcBorders>
              <w:left w:val="nil"/>
            </w:tcBorders>
          </w:tcPr>
          <w:p>
            <w:pPr>
              <w:pStyle w:val="TableParagraph"/>
              <w:spacing w:line="218" w:lineRule="exact"/>
              <w:ind w:left="104"/>
              <w:rPr>
                <w:sz w:val="19"/>
              </w:rPr>
            </w:pPr>
            <w:r>
              <w:rPr>
                <w:w w:val="105"/>
                <w:sz w:val="19"/>
              </w:rPr>
              <w:t>10</w:t>
            </w:r>
          </w:p>
        </w:tc>
        <w:tc>
          <w:tcPr>
            <w:tcW w:w="6283" w:type="dxa"/>
            <w:gridSpan w:val="8"/>
            <w:tcBorders>
              <w:bottom w:val="nil"/>
              <w:right w:val="nil"/>
            </w:tcBorders>
          </w:tcPr>
          <w:p>
            <w:pPr/>
          </w:p>
        </w:tc>
      </w:tr>
    </w:tbl>
    <w:p>
      <w:pPr>
        <w:spacing w:before="100"/>
        <w:ind w:left="1783" w:right="1788" w:firstLine="0"/>
        <w:jc w:val="center"/>
        <w:rPr>
          <w:sz w:val="19"/>
        </w:rPr>
      </w:pPr>
      <w:r>
        <w:rPr>
          <w:b/>
          <w:w w:val="105"/>
          <w:sz w:val="19"/>
        </w:rPr>
        <w:t>FUENTE: </w:t>
      </w:r>
      <w:r>
        <w:rPr>
          <w:w w:val="105"/>
          <w:sz w:val="19"/>
        </w:rPr>
        <w:t>OCDE 2010: 50.</w:t>
      </w:r>
    </w:p>
    <w:p>
      <w:pPr>
        <w:pStyle w:val="BodyText"/>
        <w:rPr>
          <w:sz w:val="20"/>
        </w:rPr>
      </w:pPr>
    </w:p>
    <w:p>
      <w:pPr>
        <w:pStyle w:val="BodyText"/>
        <w:rPr>
          <w:sz w:val="20"/>
        </w:rPr>
      </w:pPr>
    </w:p>
    <w:p>
      <w:pPr>
        <w:pStyle w:val="BodyText"/>
        <w:rPr>
          <w:sz w:val="20"/>
        </w:rPr>
      </w:pPr>
    </w:p>
    <w:p>
      <w:pPr>
        <w:pStyle w:val="BodyText"/>
        <w:spacing w:line="364" w:lineRule="auto" w:before="119"/>
        <w:ind w:left="216" w:right="225" w:firstLine="686"/>
        <w:jc w:val="both"/>
      </w:pPr>
      <w:r>
        <w:rPr/>
        <w:t>Para el 2010 el gobierno federal autorizó el pago de 921,375 plazas; sin embargo los gobiernos estatales pagaron, en promedio, más de 1´978,514 plazas durante el primer trimestre del año; es decir, más del doble de las autorizadas. De las cuales el 75.9% de los trabajadores con plaza de jornada completa ocupa una sola plaza, mientras que el 17.8% detenta dos plazas y el 6.3% tiene tres o más plazas. Ver gráfica 6.</w:t>
      </w:r>
    </w:p>
    <w:p>
      <w:pPr>
        <w:spacing w:after="0" w:line="364" w:lineRule="auto"/>
        <w:jc w:val="both"/>
        <w:sectPr>
          <w:pgSz w:w="11910" w:h="16840"/>
          <w:pgMar w:header="0" w:footer="1457" w:top="1580" w:bottom="1640" w:left="1440" w:right="1420"/>
        </w:sectPr>
      </w:pPr>
    </w:p>
    <w:p>
      <w:pPr>
        <w:pStyle w:val="BodyText"/>
        <w:rPr>
          <w:sz w:val="20"/>
        </w:rPr>
      </w:pPr>
    </w:p>
    <w:p>
      <w:pPr>
        <w:pStyle w:val="BodyText"/>
        <w:spacing w:before="9"/>
        <w:rPr>
          <w:sz w:val="15"/>
        </w:rPr>
      </w:pPr>
    </w:p>
    <w:p>
      <w:pPr>
        <w:spacing w:before="78"/>
        <w:ind w:left="2052" w:right="2052" w:firstLine="0"/>
        <w:jc w:val="center"/>
        <w:rPr>
          <w:b/>
          <w:sz w:val="21"/>
        </w:rPr>
      </w:pPr>
      <w:r>
        <w:rPr>
          <w:b/>
          <w:sz w:val="21"/>
        </w:rPr>
        <w:t>Gráfica N°6</w:t>
      </w:r>
    </w:p>
    <w:p>
      <w:pPr>
        <w:spacing w:before="8"/>
        <w:ind w:left="2056" w:right="2046" w:firstLine="0"/>
        <w:jc w:val="center"/>
        <w:rPr>
          <w:b/>
          <w:sz w:val="21"/>
        </w:rPr>
      </w:pPr>
      <w:r>
        <w:rPr>
          <w:b/>
          <w:sz w:val="21"/>
        </w:rPr>
        <w:t>Número de plazas por docente en  México</w:t>
      </w:r>
    </w:p>
    <w:p>
      <w:pPr>
        <w:pStyle w:val="BodyText"/>
        <w:rPr>
          <w:b/>
          <w:sz w:val="20"/>
        </w:rPr>
      </w:pPr>
    </w:p>
    <w:p>
      <w:pPr>
        <w:pStyle w:val="BodyText"/>
        <w:spacing w:before="7"/>
        <w:rPr>
          <w:b/>
        </w:rPr>
      </w:pPr>
      <w:r>
        <w:rPr/>
        <w:drawing>
          <wp:anchor distT="0" distB="0" distL="0" distR="0" allowOverlap="1" layoutInCell="1" locked="0" behindDoc="0" simplePos="0" relativeHeight="2992">
            <wp:simplePos x="0" y="0"/>
            <wp:positionH relativeFrom="page">
              <wp:posOffset>1591055</wp:posOffset>
            </wp:positionH>
            <wp:positionV relativeFrom="paragraph">
              <wp:posOffset>197559</wp:posOffset>
            </wp:positionV>
            <wp:extent cx="4376915" cy="2371344"/>
            <wp:effectExtent l="0" t="0" r="0" b="0"/>
            <wp:wrapTopAndBottom/>
            <wp:docPr id="13" name="image22.png" descr=""/>
            <wp:cNvGraphicFramePr>
              <a:graphicFrameLocks noChangeAspect="1"/>
            </wp:cNvGraphicFramePr>
            <a:graphic>
              <a:graphicData uri="http://schemas.openxmlformats.org/drawingml/2006/picture">
                <pic:pic>
                  <pic:nvPicPr>
                    <pic:cNvPr id="14" name="image22.png"/>
                    <pic:cNvPicPr/>
                  </pic:nvPicPr>
                  <pic:blipFill>
                    <a:blip r:embed="rId65" cstate="print"/>
                    <a:stretch>
                      <a:fillRect/>
                    </a:stretch>
                  </pic:blipFill>
                  <pic:spPr>
                    <a:xfrm>
                      <a:off x="0" y="0"/>
                      <a:ext cx="4376915" cy="2371344"/>
                    </a:xfrm>
                    <a:prstGeom prst="rect">
                      <a:avLst/>
                    </a:prstGeom>
                  </pic:spPr>
                </pic:pic>
              </a:graphicData>
            </a:graphic>
          </wp:anchor>
        </w:drawing>
      </w:r>
    </w:p>
    <w:p>
      <w:pPr>
        <w:spacing w:before="109"/>
        <w:ind w:left="1028" w:right="191" w:firstLine="0"/>
        <w:jc w:val="left"/>
        <w:rPr>
          <w:sz w:val="19"/>
        </w:rPr>
      </w:pPr>
      <w:r>
        <w:rPr>
          <w:w w:val="105"/>
          <w:sz w:val="19"/>
        </w:rPr>
        <w:t>Fuente: Elaboración propia con base en los datos obtenidos de Brechas 2010.</w:t>
      </w:r>
    </w:p>
    <w:p>
      <w:pPr>
        <w:pStyle w:val="BodyText"/>
        <w:rPr>
          <w:sz w:val="20"/>
        </w:rPr>
      </w:pPr>
    </w:p>
    <w:p>
      <w:pPr>
        <w:pStyle w:val="BodyText"/>
        <w:spacing w:line="364" w:lineRule="auto" w:before="152"/>
        <w:ind w:left="116" w:right="106" w:firstLine="686"/>
        <w:jc w:val="both"/>
      </w:pPr>
      <w:r>
        <w:rPr/>
        <w:t>Teniendo </w:t>
      </w:r>
      <w:r>
        <w:rPr>
          <w:spacing w:val="2"/>
        </w:rPr>
        <w:t>como </w:t>
      </w:r>
      <w:r>
        <w:rPr/>
        <w:t>consecuencias abuso en la obtención y ejercicio </w:t>
      </w:r>
      <w:r>
        <w:rPr>
          <w:spacing w:val="2"/>
        </w:rPr>
        <w:t>del </w:t>
      </w:r>
      <w:r>
        <w:rPr/>
        <w:t>presupuesto educativo; imposibilidad para formular políticas educativas  basadas  en información; barreras al ejercicio de los derechos laborales  de los maestros,  que al final desembocan en una problemática aún más compleja como venta de plazas, acoso laboral, docentes sin perfil profesional, corrupción, manejo discrecional y político de las plazas,</w:t>
      </w:r>
      <w:r>
        <w:rPr>
          <w:spacing w:val="43"/>
        </w:rPr>
        <w:t> </w:t>
      </w:r>
      <w:r>
        <w:rPr/>
        <w:t>..</w:t>
      </w:r>
    </w:p>
    <w:p>
      <w:pPr>
        <w:pStyle w:val="BodyText"/>
        <w:spacing w:line="364" w:lineRule="auto" w:before="5"/>
        <w:ind w:left="116" w:right="107" w:firstLine="686"/>
        <w:jc w:val="both"/>
      </w:pPr>
      <w:r>
        <w:rPr/>
        <w:t>Reconocer el papel de la escuela no es buscar culpables sino empoderar agentes: a los maestros como a los profesores dignos y no  como  peones  de apoyos políticos ni como operarios de programas centralistas y a las familias en su adecuada corresponsabilidad.</w:t>
      </w:r>
    </w:p>
    <w:p>
      <w:pPr>
        <w:pStyle w:val="BodyText"/>
        <w:spacing w:line="364" w:lineRule="auto" w:before="5"/>
        <w:ind w:left="116" w:right="112" w:firstLine="686"/>
        <w:jc w:val="both"/>
      </w:pPr>
      <w:r>
        <w:rPr/>
        <w:t>Los actores tradicionales –políticos, funcionarios y líderes gremiales- no bastan para la transformación educativa; es necesaria la activación de los actores emergentes: padres. Maestros, organizaciones ciudadanas y los propios alumnos.(Mexicanos Primero, 2010: 2)</w:t>
      </w:r>
    </w:p>
    <w:p>
      <w:pPr>
        <w:pStyle w:val="BodyText"/>
        <w:spacing w:line="364" w:lineRule="auto"/>
        <w:ind w:left="116" w:right="107" w:firstLine="686"/>
        <w:jc w:val="both"/>
      </w:pPr>
      <w:r>
        <w:rPr/>
        <w:t>Otra situación considerada ha sido la edad y género de los docentes. En nuestro país, la mayoría de los docentes son mujeres, con un porcentaje superior   al 50%, </w:t>
      </w:r>
      <w:r>
        <w:rPr>
          <w:spacing w:val="2"/>
        </w:rPr>
        <w:t>con </w:t>
      </w:r>
      <w:r>
        <w:rPr/>
        <w:t>una edad promedio entre </w:t>
      </w:r>
      <w:r>
        <w:rPr>
          <w:spacing w:val="2"/>
        </w:rPr>
        <w:t>30 </w:t>
      </w:r>
      <w:r>
        <w:rPr/>
        <w:t>y 40 años. Al contario de los niveles directivos,  </w:t>
      </w:r>
      <w:r>
        <w:rPr>
          <w:spacing w:val="-3"/>
        </w:rPr>
        <w:t>que   </w:t>
      </w:r>
      <w:r>
        <w:rPr/>
        <w:t>son  cubiertos   en  su   mayoría  por  varones,  según  el  </w:t>
      </w:r>
      <w:r>
        <w:rPr>
          <w:spacing w:val="55"/>
        </w:rPr>
        <w:t> </w:t>
      </w:r>
      <w:r>
        <w:rPr/>
        <w:t>Informe</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6"/>
        <w:rPr>
          <w:sz w:val="19"/>
        </w:rPr>
      </w:pPr>
    </w:p>
    <w:p>
      <w:pPr>
        <w:pStyle w:val="BodyText"/>
        <w:spacing w:line="364" w:lineRule="auto"/>
        <w:ind w:left="115" w:right="101"/>
        <w:jc w:val="both"/>
      </w:pPr>
      <w:r>
        <w:rPr/>
        <w:t>TALIS</w:t>
      </w:r>
      <w:r>
        <w:rPr>
          <w:position w:val="11"/>
          <w:sz w:val="15"/>
        </w:rPr>
        <w:t>(3)</w:t>
      </w:r>
      <w:r>
        <w:rPr/>
        <w:t>, que es la primera y única evaluación de las condiciones de enseñanza- aprendizaje de los docentes, ofrecida también por la OCDE y que muestra que, efectivamente, las mujeres son quienes se encargan de la enseñanza en el aula, siendo las poblaciones entre los treinta y los cuarenta años las más dedicadas a este ámbito.</w:t>
      </w:r>
    </w:p>
    <w:p>
      <w:pPr>
        <w:pStyle w:val="BodyText"/>
        <w:rPr>
          <w:sz w:val="22"/>
        </w:rPr>
      </w:pPr>
    </w:p>
    <w:p>
      <w:pPr>
        <w:spacing w:before="155"/>
        <w:ind w:left="2052" w:right="2052" w:firstLine="0"/>
        <w:jc w:val="center"/>
        <w:rPr>
          <w:b/>
          <w:sz w:val="21"/>
        </w:rPr>
      </w:pPr>
      <w:r>
        <w:rPr>
          <w:b/>
          <w:sz w:val="21"/>
        </w:rPr>
        <w:t>Gráfica N°7</w:t>
      </w:r>
    </w:p>
    <w:p>
      <w:pPr>
        <w:spacing w:before="8"/>
        <w:ind w:left="6" w:right="0" w:firstLine="0"/>
        <w:jc w:val="center"/>
        <w:rPr>
          <w:b/>
          <w:sz w:val="21"/>
        </w:rPr>
      </w:pPr>
      <w:r>
        <w:rPr>
          <w:b/>
          <w:sz w:val="21"/>
        </w:rPr>
        <w:t>Edad y género de los docentes y directores de escuela de educación media   básica</w:t>
      </w:r>
    </w:p>
    <w:p>
      <w:pPr>
        <w:pStyle w:val="BodyText"/>
        <w:spacing w:before="1"/>
        <w:rPr>
          <w:b/>
          <w:sz w:val="21"/>
        </w:rPr>
      </w:pPr>
      <w:r>
        <w:rPr/>
        <w:drawing>
          <wp:anchor distT="0" distB="0" distL="0" distR="0" allowOverlap="1" layoutInCell="1" locked="0" behindDoc="0" simplePos="0" relativeHeight="3016">
            <wp:simplePos x="0" y="0"/>
            <wp:positionH relativeFrom="page">
              <wp:posOffset>1060691</wp:posOffset>
            </wp:positionH>
            <wp:positionV relativeFrom="paragraph">
              <wp:posOffset>179056</wp:posOffset>
            </wp:positionV>
            <wp:extent cx="5437654" cy="3017520"/>
            <wp:effectExtent l="0" t="0" r="0" b="0"/>
            <wp:wrapTopAndBottom/>
            <wp:docPr id="15" name="image23.png" descr=""/>
            <wp:cNvGraphicFramePr>
              <a:graphicFrameLocks noChangeAspect="1"/>
            </wp:cNvGraphicFramePr>
            <a:graphic>
              <a:graphicData uri="http://schemas.openxmlformats.org/drawingml/2006/picture">
                <pic:pic>
                  <pic:nvPicPr>
                    <pic:cNvPr id="16" name="image23.png"/>
                    <pic:cNvPicPr/>
                  </pic:nvPicPr>
                  <pic:blipFill>
                    <a:blip r:embed="rId66" cstate="print"/>
                    <a:stretch>
                      <a:fillRect/>
                    </a:stretch>
                  </pic:blipFill>
                  <pic:spPr>
                    <a:xfrm>
                      <a:off x="0" y="0"/>
                      <a:ext cx="5437654" cy="3017520"/>
                    </a:xfrm>
                    <a:prstGeom prst="rect">
                      <a:avLst/>
                    </a:prstGeom>
                  </pic:spPr>
                </pic:pic>
              </a:graphicData>
            </a:graphic>
          </wp:anchor>
        </w:drawing>
      </w:r>
    </w:p>
    <w:p>
      <w:pPr>
        <w:pStyle w:val="BodyText"/>
        <w:rPr>
          <w:b/>
          <w:sz w:val="20"/>
        </w:rPr>
      </w:pPr>
    </w:p>
    <w:p>
      <w:pPr>
        <w:spacing w:before="119"/>
        <w:ind w:left="2049" w:right="2052" w:firstLine="0"/>
        <w:jc w:val="center"/>
        <w:rPr>
          <w:sz w:val="19"/>
        </w:rPr>
      </w:pPr>
      <w:r>
        <w:rPr>
          <w:b/>
          <w:w w:val="105"/>
          <w:sz w:val="19"/>
        </w:rPr>
        <w:t>Fuente: </w:t>
      </w:r>
      <w:r>
        <w:rPr>
          <w:w w:val="105"/>
          <w:sz w:val="19"/>
        </w:rPr>
        <w:t>OCDE, 2010</w:t>
      </w:r>
    </w:p>
    <w:p>
      <w:pPr>
        <w:pStyle w:val="BodyText"/>
        <w:spacing w:before="2"/>
      </w:pPr>
    </w:p>
    <w:p>
      <w:pPr>
        <w:pStyle w:val="BodyText"/>
        <w:spacing w:line="364" w:lineRule="auto"/>
        <w:ind w:left="115" w:right="105" w:firstLine="686"/>
        <w:jc w:val="both"/>
      </w:pPr>
      <w:r>
        <w:rPr/>
        <w:t>Al seguir puntualmente a cada generación en edad  escolar encontramos  una historia </w:t>
      </w:r>
      <w:r>
        <w:rPr>
          <w:spacing w:val="2"/>
        </w:rPr>
        <w:t>de </w:t>
      </w:r>
      <w:r>
        <w:rPr/>
        <w:t>progresivo deterioro, por el efecto combinado de la inclusión tardía, </w:t>
      </w:r>
      <w:r>
        <w:rPr>
          <w:spacing w:val="-5"/>
        </w:rPr>
        <w:t>la </w:t>
      </w:r>
      <w:r>
        <w:rPr/>
        <w:t>reprobación y </w:t>
      </w:r>
      <w:r>
        <w:rPr>
          <w:spacing w:val="-5"/>
        </w:rPr>
        <w:t>la </w:t>
      </w:r>
      <w:r>
        <w:rPr/>
        <w:t>deserción. Si cada generación en nuestro país </w:t>
      </w:r>
      <w:r>
        <w:rPr>
          <w:spacing w:val="-5"/>
        </w:rPr>
        <w:t>la </w:t>
      </w:r>
      <w:r>
        <w:rPr/>
        <w:t>visualizamos como un salón de clase con cien lugares, para el primer día de primaria estarán presentes </w:t>
      </w:r>
      <w:r>
        <w:rPr>
          <w:spacing w:val="3"/>
        </w:rPr>
        <w:t>98 </w:t>
      </w:r>
      <w:r>
        <w:rPr/>
        <w:t>de cada 100 niños. Hacia el último día de la escolaridad obligatoria,  en tercero de secundaria, de esa misma generación, quedarán 62 adolescentes. Apenas cruzando </w:t>
      </w:r>
      <w:r>
        <w:rPr>
          <w:spacing w:val="3"/>
        </w:rPr>
        <w:t>el </w:t>
      </w:r>
      <w:r>
        <w:rPr/>
        <w:t>verano, sólo 46 estarán efectivamente  cursando  el  bachillerato</w:t>
      </w:r>
      <w:r>
        <w:rPr>
          <w:spacing w:val="19"/>
        </w:rPr>
        <w:t> </w:t>
      </w:r>
      <w:r>
        <w:rPr/>
        <w:t>o</w:t>
      </w:r>
      <w:r>
        <w:rPr>
          <w:spacing w:val="24"/>
        </w:rPr>
        <w:t> </w:t>
      </w:r>
      <w:r>
        <w:rPr/>
        <w:t>la</w:t>
      </w:r>
      <w:r>
        <w:rPr>
          <w:spacing w:val="19"/>
        </w:rPr>
        <w:t> </w:t>
      </w:r>
      <w:r>
        <w:rPr/>
        <w:t>educación</w:t>
      </w:r>
      <w:r>
        <w:rPr>
          <w:spacing w:val="19"/>
        </w:rPr>
        <w:t> </w:t>
      </w:r>
      <w:r>
        <w:rPr/>
        <w:t>profesional</w:t>
      </w:r>
      <w:r>
        <w:rPr>
          <w:spacing w:val="14"/>
        </w:rPr>
        <w:t> </w:t>
      </w:r>
      <w:r>
        <w:rPr/>
        <w:t>técnica,</w:t>
      </w:r>
      <w:r>
        <w:rPr>
          <w:spacing w:val="23"/>
        </w:rPr>
        <w:t> </w:t>
      </w:r>
      <w:r>
        <w:rPr/>
        <w:t>y</w:t>
      </w:r>
      <w:r>
        <w:rPr>
          <w:spacing w:val="19"/>
        </w:rPr>
        <w:t> </w:t>
      </w:r>
      <w:r>
        <w:rPr/>
        <w:t>apenas</w:t>
      </w:r>
      <w:r>
        <w:rPr>
          <w:spacing w:val="27"/>
        </w:rPr>
        <w:t> </w:t>
      </w:r>
      <w:r>
        <w:rPr>
          <w:spacing w:val="-3"/>
        </w:rPr>
        <w:t>25</w:t>
      </w:r>
      <w:r>
        <w:rPr>
          <w:spacing w:val="19"/>
        </w:rPr>
        <w:t> </w:t>
      </w:r>
      <w:r>
        <w:rPr/>
        <w:t>de</w:t>
      </w:r>
      <w:r>
        <w:rPr>
          <w:spacing w:val="25"/>
        </w:rPr>
        <w:t> </w:t>
      </w:r>
      <w:r>
        <w:rPr/>
        <w:t>ellos</w:t>
      </w:r>
      <w:r>
        <w:rPr>
          <w:spacing w:val="25"/>
        </w:rPr>
        <w:t> </w:t>
      </w:r>
      <w:r>
        <w:rPr/>
        <w:t>cerrarán</w:t>
      </w:r>
      <w:r>
        <w:rPr>
          <w:spacing w:val="19"/>
        </w:rPr>
        <w:t> </w:t>
      </w:r>
      <w:r>
        <w:rPr/>
        <w:t>ese</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9" w:lineRule="auto" w:before="74"/>
        <w:ind w:left="115" w:right="191"/>
      </w:pPr>
      <w:r>
        <w:rPr/>
        <w:t>ciclo; 13 concluirán una licenciatura en tiempo y forma, y solo dos o  tres  continuarán hacia un posgrado”.(Contra </w:t>
      </w:r>
      <w:r>
        <w:rPr>
          <w:spacing w:val="-4"/>
        </w:rPr>
        <w:t>la </w:t>
      </w:r>
      <w:r>
        <w:rPr/>
        <w:t>pared: </w:t>
      </w:r>
      <w:r>
        <w:rPr>
          <w:spacing w:val="6"/>
        </w:rPr>
        <w:t> </w:t>
      </w:r>
      <w:r>
        <w:rPr/>
        <w:t>2009).</w:t>
      </w:r>
    </w:p>
    <w:p>
      <w:pPr>
        <w:pStyle w:val="BodyText"/>
        <w:spacing w:before="3"/>
      </w:pPr>
    </w:p>
    <w:p>
      <w:pPr>
        <w:spacing w:before="1"/>
        <w:ind w:left="2056" w:right="2052" w:firstLine="0"/>
        <w:jc w:val="center"/>
        <w:rPr>
          <w:b/>
          <w:sz w:val="21"/>
        </w:rPr>
      </w:pPr>
      <w:r>
        <w:rPr>
          <w:b/>
          <w:sz w:val="21"/>
        </w:rPr>
        <w:t>Gráfica N° 8</w:t>
      </w:r>
    </w:p>
    <w:p>
      <w:pPr>
        <w:spacing w:before="3"/>
        <w:ind w:left="5" w:right="0" w:firstLine="0"/>
        <w:jc w:val="center"/>
        <w:rPr>
          <w:b/>
          <w:sz w:val="21"/>
        </w:rPr>
      </w:pPr>
      <w:r>
        <w:rPr>
          <w:b/>
          <w:sz w:val="21"/>
        </w:rPr>
        <w:t>Permanencia en el sistema educativo en  México</w:t>
      </w:r>
    </w:p>
    <w:p>
      <w:pPr>
        <w:pStyle w:val="BodyText"/>
        <w:rPr>
          <w:b/>
          <w:sz w:val="20"/>
        </w:rPr>
      </w:pPr>
    </w:p>
    <w:p>
      <w:pPr>
        <w:pStyle w:val="BodyText"/>
        <w:spacing w:before="5"/>
        <w:rPr>
          <w:b/>
          <w:sz w:val="24"/>
        </w:rPr>
      </w:pPr>
      <w:r>
        <w:rPr/>
        <w:drawing>
          <wp:anchor distT="0" distB="0" distL="0" distR="0" allowOverlap="1" layoutInCell="1" locked="0" behindDoc="0" simplePos="0" relativeHeight="3040">
            <wp:simplePos x="0" y="0"/>
            <wp:positionH relativeFrom="page">
              <wp:posOffset>1054595</wp:posOffset>
            </wp:positionH>
            <wp:positionV relativeFrom="paragraph">
              <wp:posOffset>203693</wp:posOffset>
            </wp:positionV>
            <wp:extent cx="5358392" cy="3139440"/>
            <wp:effectExtent l="0" t="0" r="0" b="0"/>
            <wp:wrapTopAndBottom/>
            <wp:docPr id="17" name="image24.png" descr=""/>
            <wp:cNvGraphicFramePr>
              <a:graphicFrameLocks noChangeAspect="1"/>
            </wp:cNvGraphicFramePr>
            <a:graphic>
              <a:graphicData uri="http://schemas.openxmlformats.org/drawingml/2006/picture">
                <pic:pic>
                  <pic:nvPicPr>
                    <pic:cNvPr id="18" name="image24.png"/>
                    <pic:cNvPicPr/>
                  </pic:nvPicPr>
                  <pic:blipFill>
                    <a:blip r:embed="rId67" cstate="print"/>
                    <a:stretch>
                      <a:fillRect/>
                    </a:stretch>
                  </pic:blipFill>
                  <pic:spPr>
                    <a:xfrm>
                      <a:off x="0" y="0"/>
                      <a:ext cx="5358392" cy="3139440"/>
                    </a:xfrm>
                    <a:prstGeom prst="rect">
                      <a:avLst/>
                    </a:prstGeom>
                  </pic:spPr>
                </pic:pic>
              </a:graphicData>
            </a:graphic>
          </wp:anchor>
        </w:drawing>
      </w:r>
    </w:p>
    <w:p>
      <w:pPr>
        <w:pStyle w:val="BodyText"/>
        <w:spacing w:before="3"/>
        <w:rPr>
          <w:b/>
          <w:sz w:val="26"/>
        </w:rPr>
      </w:pPr>
    </w:p>
    <w:p>
      <w:pPr>
        <w:spacing w:line="374" w:lineRule="auto" w:before="81"/>
        <w:ind w:left="4051" w:right="191" w:hanging="3615"/>
        <w:jc w:val="left"/>
        <w:rPr>
          <w:sz w:val="19"/>
        </w:rPr>
      </w:pPr>
      <w:r>
        <w:rPr>
          <w:w w:val="105"/>
          <w:sz w:val="19"/>
        </w:rPr>
        <w:t>Fuente:</w:t>
      </w:r>
      <w:r>
        <w:rPr>
          <w:spacing w:val="-16"/>
          <w:w w:val="105"/>
          <w:sz w:val="19"/>
        </w:rPr>
        <w:t> </w:t>
      </w:r>
      <w:r>
        <w:rPr>
          <w:w w:val="105"/>
          <w:sz w:val="19"/>
        </w:rPr>
        <w:t>Elaboración</w:t>
      </w:r>
      <w:r>
        <w:rPr>
          <w:spacing w:val="-12"/>
          <w:w w:val="105"/>
          <w:sz w:val="19"/>
        </w:rPr>
        <w:t> </w:t>
      </w:r>
      <w:r>
        <w:rPr>
          <w:w w:val="105"/>
          <w:sz w:val="19"/>
        </w:rPr>
        <w:t>propia,</w:t>
      </w:r>
      <w:r>
        <w:rPr>
          <w:spacing w:val="-16"/>
          <w:w w:val="105"/>
          <w:sz w:val="19"/>
        </w:rPr>
        <w:t> </w:t>
      </w:r>
      <w:r>
        <w:rPr>
          <w:w w:val="105"/>
          <w:sz w:val="19"/>
        </w:rPr>
        <w:t>con</w:t>
      </w:r>
      <w:r>
        <w:rPr>
          <w:spacing w:val="-18"/>
          <w:w w:val="105"/>
          <w:sz w:val="19"/>
        </w:rPr>
        <w:t> </w:t>
      </w:r>
      <w:r>
        <w:rPr>
          <w:w w:val="105"/>
          <w:sz w:val="19"/>
        </w:rPr>
        <w:t>base</w:t>
      </w:r>
      <w:r>
        <w:rPr>
          <w:spacing w:val="-16"/>
          <w:w w:val="105"/>
          <w:sz w:val="19"/>
        </w:rPr>
        <w:t> </w:t>
      </w:r>
      <w:r>
        <w:rPr>
          <w:w w:val="105"/>
          <w:sz w:val="19"/>
        </w:rPr>
        <w:t>en</w:t>
      </w:r>
      <w:r>
        <w:rPr>
          <w:spacing w:val="-16"/>
          <w:w w:val="105"/>
          <w:sz w:val="19"/>
        </w:rPr>
        <w:t> </w:t>
      </w:r>
      <w:r>
        <w:rPr>
          <w:spacing w:val="2"/>
          <w:w w:val="105"/>
          <w:sz w:val="19"/>
        </w:rPr>
        <w:t>los</w:t>
      </w:r>
      <w:r>
        <w:rPr>
          <w:spacing w:val="-16"/>
          <w:w w:val="105"/>
          <w:sz w:val="19"/>
        </w:rPr>
        <w:t> </w:t>
      </w:r>
      <w:r>
        <w:rPr>
          <w:w w:val="105"/>
          <w:sz w:val="19"/>
        </w:rPr>
        <w:t>datos</w:t>
      </w:r>
      <w:r>
        <w:rPr>
          <w:spacing w:val="-21"/>
          <w:w w:val="105"/>
          <w:sz w:val="19"/>
        </w:rPr>
        <w:t> </w:t>
      </w:r>
      <w:r>
        <w:rPr>
          <w:w w:val="105"/>
          <w:sz w:val="19"/>
        </w:rPr>
        <w:t>emitidos</w:t>
      </w:r>
      <w:r>
        <w:rPr>
          <w:spacing w:val="-16"/>
          <w:w w:val="105"/>
          <w:sz w:val="19"/>
        </w:rPr>
        <w:t> </w:t>
      </w:r>
      <w:r>
        <w:rPr>
          <w:w w:val="105"/>
          <w:sz w:val="19"/>
        </w:rPr>
        <w:t>por</w:t>
      </w:r>
      <w:r>
        <w:rPr>
          <w:spacing w:val="-19"/>
          <w:w w:val="105"/>
          <w:sz w:val="19"/>
        </w:rPr>
        <w:t> </w:t>
      </w:r>
      <w:r>
        <w:rPr>
          <w:w w:val="105"/>
          <w:sz w:val="19"/>
        </w:rPr>
        <w:t>el</w:t>
      </w:r>
      <w:r>
        <w:rPr>
          <w:spacing w:val="-16"/>
          <w:w w:val="105"/>
          <w:sz w:val="19"/>
        </w:rPr>
        <w:t> </w:t>
      </w:r>
      <w:r>
        <w:rPr>
          <w:w w:val="105"/>
          <w:sz w:val="19"/>
        </w:rPr>
        <w:t>Reporte</w:t>
      </w:r>
      <w:r>
        <w:rPr>
          <w:spacing w:val="-16"/>
          <w:w w:val="105"/>
          <w:sz w:val="19"/>
        </w:rPr>
        <w:t> </w:t>
      </w:r>
      <w:r>
        <w:rPr>
          <w:w w:val="105"/>
          <w:sz w:val="19"/>
        </w:rPr>
        <w:t>“Contra</w:t>
      </w:r>
      <w:r>
        <w:rPr>
          <w:spacing w:val="-16"/>
          <w:w w:val="105"/>
          <w:sz w:val="19"/>
        </w:rPr>
        <w:t> </w:t>
      </w:r>
      <w:r>
        <w:rPr>
          <w:w w:val="105"/>
          <w:sz w:val="19"/>
        </w:rPr>
        <w:t>la</w:t>
      </w:r>
      <w:r>
        <w:rPr>
          <w:spacing w:val="-16"/>
          <w:w w:val="105"/>
          <w:sz w:val="19"/>
        </w:rPr>
        <w:t> </w:t>
      </w:r>
      <w:r>
        <w:rPr>
          <w:w w:val="105"/>
          <w:sz w:val="19"/>
        </w:rPr>
        <w:t>Pared” (2009:5)</w:t>
      </w:r>
    </w:p>
    <w:p>
      <w:pPr>
        <w:pStyle w:val="BodyText"/>
        <w:spacing w:before="5"/>
        <w:rPr>
          <w:sz w:val="22"/>
        </w:rPr>
      </w:pPr>
    </w:p>
    <w:p>
      <w:pPr>
        <w:pStyle w:val="BodyText"/>
        <w:spacing w:line="364" w:lineRule="auto"/>
        <w:ind w:left="115" w:right="103" w:firstLine="686"/>
        <w:jc w:val="both"/>
      </w:pPr>
      <w:r>
        <w:rPr/>
        <w:t>Más de la </w:t>
      </w:r>
      <w:r>
        <w:rPr>
          <w:spacing w:val="-3"/>
        </w:rPr>
        <w:t>mitad </w:t>
      </w:r>
      <w:r>
        <w:rPr/>
        <w:t>de </w:t>
      </w:r>
      <w:r>
        <w:rPr>
          <w:spacing w:val="-4"/>
        </w:rPr>
        <w:t>los </w:t>
      </w:r>
      <w:r>
        <w:rPr/>
        <w:t>jóvenes mexicanos de 15 a 18 años están  por completo fuera de </w:t>
      </w:r>
      <w:r>
        <w:rPr>
          <w:spacing w:val="-5"/>
        </w:rPr>
        <w:t>la </w:t>
      </w:r>
      <w:r>
        <w:rPr/>
        <w:t>escuela; en términos absolutos estamos hablando de  al menos 4´405,231 personas. Cada generación de mexicanos está llegando con un déficit del 75%, solo </w:t>
      </w:r>
      <w:r>
        <w:rPr>
          <w:spacing w:val="-3"/>
        </w:rPr>
        <w:t>la </w:t>
      </w:r>
      <w:r>
        <w:rPr/>
        <w:t>mitad alcanzan a llegar al </w:t>
      </w:r>
      <w:r>
        <w:rPr>
          <w:spacing w:val="-3"/>
        </w:rPr>
        <w:t>inicio </w:t>
      </w:r>
      <w:r>
        <w:rPr/>
        <w:t>del bachillerato y esa generación diezmada, a  su vez, sólo cuenta con </w:t>
      </w:r>
      <w:r>
        <w:rPr>
          <w:spacing w:val="-6"/>
        </w:rPr>
        <w:t>la  </w:t>
      </w:r>
      <w:r>
        <w:rPr/>
        <w:t>mitad </w:t>
      </w:r>
      <w:r>
        <w:rPr>
          <w:spacing w:val="2"/>
        </w:rPr>
        <w:t>de </w:t>
      </w:r>
      <w:r>
        <w:rPr/>
        <w:t>sus  integrantes con   </w:t>
      </w:r>
      <w:r>
        <w:rPr>
          <w:spacing w:val="-5"/>
        </w:rPr>
        <w:t>la </w:t>
      </w:r>
      <w:r>
        <w:rPr/>
        <w:t>preparación suficiente para aspirar a seguir una trayectoria regular. Por cada mexicano mayor de 15 años </w:t>
      </w:r>
      <w:r>
        <w:rPr>
          <w:spacing w:val="3"/>
        </w:rPr>
        <w:t>en </w:t>
      </w:r>
      <w:r>
        <w:rPr/>
        <w:t>condiciones de avanzar en el aprendizaje, hay  otros tres que van acumulando factores de vulnerabilidad para su futuro a corto y mediano</w:t>
      </w:r>
      <w:r>
        <w:rPr>
          <w:spacing w:val="9"/>
        </w:rPr>
        <w:t> </w:t>
      </w:r>
      <w:r>
        <w:rPr/>
        <w:t>plazo.</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6" w:right="110" w:firstLine="686"/>
        <w:jc w:val="both"/>
      </w:pPr>
      <w:r>
        <w:rPr/>
        <w:t>Nuestro sistema educativo, lamentablemente no  </w:t>
      </w:r>
      <w:r>
        <w:rPr>
          <w:spacing w:val="-3"/>
        </w:rPr>
        <w:t>es  </w:t>
      </w:r>
      <w:r>
        <w:rPr/>
        <w:t>preventivo, el tropiezo,  </w:t>
      </w:r>
      <w:r>
        <w:rPr>
          <w:spacing w:val="-5"/>
        </w:rPr>
        <w:t>la </w:t>
      </w:r>
      <w:r>
        <w:rPr/>
        <w:t>insuficiencia, la deserción de cada ciclo y la no retención estudiantil, </w:t>
      </w:r>
      <w:r>
        <w:rPr>
          <w:spacing w:val="2"/>
        </w:rPr>
        <w:t>son </w:t>
      </w:r>
      <w:r>
        <w:rPr/>
        <w:t>sus características. La supervivencia escolar, en la situación actual, se deja al azar, las posibilidades para cada alumno son de 50/50 de alcanzar un trayecto escolar completo, paradójicamente, </w:t>
      </w:r>
      <w:r>
        <w:rPr>
          <w:spacing w:val="-4"/>
        </w:rPr>
        <w:t>la</w:t>
      </w:r>
      <w:r>
        <w:rPr>
          <w:spacing w:val="55"/>
        </w:rPr>
        <w:t> </w:t>
      </w:r>
      <w:r>
        <w:rPr/>
        <w:t>Constitución Política de los Estados Unidos Mexicanos establece en </w:t>
      </w:r>
      <w:r>
        <w:rPr>
          <w:spacing w:val="3"/>
        </w:rPr>
        <w:t>su </w:t>
      </w:r>
      <w:r>
        <w:rPr/>
        <w:t>Artículo 3° el DERECHO de todos los mexicanos a recibir una educación básica (preescolar, primaria y secundaria)  y  que  </w:t>
      </w:r>
      <w:r>
        <w:rPr>
          <w:spacing w:val="-5"/>
        </w:rPr>
        <w:t>la </w:t>
      </w:r>
      <w:r>
        <w:rPr/>
        <w:t>asistencia a esta educación básica es obligatoria para toda </w:t>
      </w:r>
      <w:r>
        <w:rPr>
          <w:spacing w:val="-5"/>
        </w:rPr>
        <w:t>la </w:t>
      </w:r>
      <w:r>
        <w:rPr/>
        <w:t>población. Incuestionablemente la educación es un</w:t>
      </w:r>
      <w:r>
        <w:rPr>
          <w:spacing w:val="52"/>
        </w:rPr>
        <w:t> </w:t>
      </w:r>
      <w:r>
        <w:rPr/>
        <w:t>derecho.</w:t>
      </w:r>
    </w:p>
    <w:p>
      <w:pPr>
        <w:pStyle w:val="BodyText"/>
        <w:spacing w:line="364" w:lineRule="auto" w:before="5"/>
        <w:ind w:left="116" w:right="106" w:firstLine="686"/>
        <w:jc w:val="both"/>
      </w:pPr>
      <w:r>
        <w:rPr/>
        <w:t>Otra vertiente de la evaluación, fue el llamado PRIMER CONCURSO DE PLAZAS DOCENTES. “El gobierno mexicano, desde el esquema corporativo, reconoció la representación de los maestros en un gremio único. Este arreglo conformó un entramado institucional que otorgaba importantes concesiones tanto legales como extra-legales al Sindicato Nacional de Trabajadores de la Educación (SNTE), lo que terminó por crear un sistema de ingreso al servicio docente sustentado en la afiliación político-sindical, el tráfico de influencias y la comercialización de plazas, consolidando incluso el derecho de los jubilados a heredar sus plazas.</w:t>
      </w:r>
    </w:p>
    <w:p>
      <w:pPr>
        <w:pStyle w:val="BodyText"/>
        <w:spacing w:line="364" w:lineRule="auto" w:before="5"/>
        <w:ind w:left="116" w:right="106" w:firstLine="686"/>
        <w:jc w:val="both"/>
      </w:pPr>
      <w:r>
        <w:rPr/>
        <w:t>Este sistema eliminó los incentivos para que las normales y otras instituciones formadoras  de maestros mantuvieran la suficiente calidad educativa,  </w:t>
      </w:r>
      <w:r>
        <w:rPr>
          <w:spacing w:val="-5"/>
        </w:rPr>
        <w:t>lo </w:t>
      </w:r>
      <w:r>
        <w:rPr/>
        <w:t>que a su vez produjo que las </w:t>
      </w:r>
      <w:r>
        <w:rPr>
          <w:spacing w:val="-2"/>
        </w:rPr>
        <w:t>nuevas </w:t>
      </w:r>
      <w:r>
        <w:rPr/>
        <w:t>generaciones de egresados no contaran  con </w:t>
      </w:r>
      <w:r>
        <w:rPr>
          <w:spacing w:val="-4"/>
        </w:rPr>
        <w:t>los</w:t>
      </w:r>
      <w:r>
        <w:rPr>
          <w:spacing w:val="55"/>
        </w:rPr>
        <w:t> </w:t>
      </w:r>
      <w:r>
        <w:rPr/>
        <w:t>conocimientos y habilidades pedagógicas necesarias para su buen desempeño docente, y </w:t>
      </w:r>
      <w:r>
        <w:rPr>
          <w:spacing w:val="4"/>
        </w:rPr>
        <w:t>se </w:t>
      </w:r>
      <w:r>
        <w:rPr/>
        <w:t>afectara severamente la calidad  educativa del sistema de educación básica, dejando a millones de niños y jóvenes sin desarrollar las competencias suficientes para la</w:t>
      </w:r>
      <w:r>
        <w:rPr>
          <w:spacing w:val="32"/>
        </w:rPr>
        <w:t> </w:t>
      </w:r>
      <w:r>
        <w:rPr/>
        <w:t>vida.</w:t>
      </w:r>
    </w:p>
    <w:p>
      <w:pPr>
        <w:pStyle w:val="BodyText"/>
        <w:spacing w:line="367" w:lineRule="auto"/>
        <w:ind w:left="116" w:right="107" w:firstLine="686"/>
        <w:jc w:val="both"/>
      </w:pPr>
      <w:r>
        <w:rPr/>
        <w:t>Se hizo evidente que el sistema educativo mexicano necesitaba establecer un proceso de selección e ingreso docente que asegurara el acceso de  </w:t>
      </w:r>
      <w:r>
        <w:rPr>
          <w:spacing w:val="-3"/>
        </w:rPr>
        <w:t>los  </w:t>
      </w:r>
      <w:r>
        <w:rPr/>
        <w:t>mejores candidatos. (Mexicanos Primero, 2009:</w:t>
      </w:r>
      <w:r>
        <w:rPr>
          <w:spacing w:val="52"/>
        </w:rPr>
        <w:t> </w:t>
      </w:r>
      <w:r>
        <w:rPr/>
        <w:t>11).</w:t>
      </w:r>
    </w:p>
    <w:p>
      <w:pPr>
        <w:pStyle w:val="BodyText"/>
        <w:spacing w:line="364" w:lineRule="auto" w:before="2"/>
        <w:ind w:left="116" w:right="109" w:firstLine="686"/>
        <w:jc w:val="both"/>
      </w:pPr>
      <w:r>
        <w:rPr/>
        <w:t>“La administración federal de Felipe Calderón incorporó en el Programa Sectorial de Educación 2007-2012 como una de sus líneas de acción más importante, “definir un perfil de competencias para el desempeño profesional de</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7"/>
        <w:jc w:val="both"/>
      </w:pPr>
      <w:r>
        <w:rPr/>
        <w:t>los docentes e implantar concursos de oposición para el ingreso a todas las posiciones docentes y directivas”. La realización de esta acción se  concretó  a través </w:t>
      </w:r>
      <w:r>
        <w:rPr>
          <w:spacing w:val="2"/>
        </w:rPr>
        <w:t>de </w:t>
      </w:r>
      <w:r>
        <w:rPr/>
        <w:t>un acuerdo político entre el gobierno federal y el SNTE, el 15 de </w:t>
      </w:r>
      <w:r>
        <w:rPr>
          <w:spacing w:val="-3"/>
        </w:rPr>
        <w:t>mayo  </w:t>
      </w:r>
      <w:r>
        <w:rPr>
          <w:spacing w:val="57"/>
        </w:rPr>
        <w:t> </w:t>
      </w:r>
      <w:r>
        <w:rPr/>
        <w:t>de 2008, cuando se formalizó </w:t>
      </w:r>
      <w:r>
        <w:rPr>
          <w:spacing w:val="-5"/>
        </w:rPr>
        <w:t>la </w:t>
      </w:r>
      <w:r>
        <w:rPr/>
        <w:t>Alianza por </w:t>
      </w:r>
      <w:r>
        <w:rPr>
          <w:spacing w:val="-3"/>
        </w:rPr>
        <w:t>la </w:t>
      </w:r>
      <w:r>
        <w:rPr/>
        <w:t>Calidad de </w:t>
      </w:r>
      <w:r>
        <w:rPr>
          <w:spacing w:val="-3"/>
        </w:rPr>
        <w:t>la </w:t>
      </w:r>
      <w:r>
        <w:rPr/>
        <w:t>Educación, </w:t>
      </w:r>
      <w:r>
        <w:rPr>
          <w:spacing w:val="-5"/>
        </w:rPr>
        <w:t>la </w:t>
      </w:r>
      <w:r>
        <w:rPr/>
        <w:t>denominada</w:t>
      </w:r>
      <w:r>
        <w:rPr>
          <w:spacing w:val="22"/>
        </w:rPr>
        <w:t> </w:t>
      </w:r>
      <w:r>
        <w:rPr/>
        <w:t>ACE.</w:t>
      </w:r>
    </w:p>
    <w:p>
      <w:pPr>
        <w:pStyle w:val="BodyText"/>
        <w:spacing w:line="364" w:lineRule="auto" w:before="5"/>
        <w:ind w:left="115" w:right="101" w:firstLine="686"/>
        <w:jc w:val="both"/>
      </w:pPr>
      <w:r>
        <w:rPr/>
        <w:t>Si bien </w:t>
      </w:r>
      <w:r>
        <w:rPr>
          <w:spacing w:val="3"/>
        </w:rPr>
        <w:t>el </w:t>
      </w:r>
      <w:r>
        <w:rPr/>
        <w:t>proceso de negociación para definir las bases de la convocatorias nacionales para el ingreso al servicio docente se mostró </w:t>
      </w:r>
      <w:r>
        <w:rPr>
          <w:spacing w:val="-3"/>
        </w:rPr>
        <w:t>más </w:t>
      </w:r>
      <w:r>
        <w:rPr/>
        <w:t>complejo de </w:t>
      </w:r>
      <w:r>
        <w:rPr>
          <w:spacing w:val="-5"/>
        </w:rPr>
        <w:t>lo </w:t>
      </w:r>
      <w:r>
        <w:rPr/>
        <w:t>esperado, finalmente </w:t>
      </w:r>
      <w:r>
        <w:rPr>
          <w:spacing w:val="3"/>
        </w:rPr>
        <w:t>se </w:t>
      </w:r>
      <w:r>
        <w:rPr/>
        <w:t>emitieron las convocatorias que  establecían  </w:t>
      </w:r>
      <w:r>
        <w:rPr>
          <w:spacing w:val="-4"/>
        </w:rPr>
        <w:t>las  </w:t>
      </w:r>
      <w:r>
        <w:rPr/>
        <w:t>bases para </w:t>
      </w:r>
      <w:r>
        <w:rPr>
          <w:spacing w:val="-4"/>
        </w:rPr>
        <w:t>la </w:t>
      </w:r>
      <w:r>
        <w:rPr/>
        <w:t>realización de los concursos, en las </w:t>
      </w:r>
      <w:r>
        <w:rPr>
          <w:spacing w:val="-3"/>
        </w:rPr>
        <w:t>que </w:t>
      </w:r>
      <w:r>
        <w:rPr/>
        <w:t>destacaron tres elementos: el reducido número de plazas federalizadas y estatales sometidas a concurso; el establecimiento de los anexos técnicos estatales, que ofrecían a las secciones sindicales la oportunidad de negociar con los gobiernos estatales  las  características del concurso; y la posibilidad de que participaran observadores independientes en la aplicación del examen”.(Mexicanos Primero, 2009: </w:t>
      </w:r>
      <w:r>
        <w:rPr>
          <w:spacing w:val="16"/>
        </w:rPr>
        <w:t> </w:t>
      </w:r>
      <w:r>
        <w:rPr/>
        <w:t>11).</w:t>
      </w:r>
    </w:p>
    <w:p>
      <w:pPr>
        <w:spacing w:line="364" w:lineRule="auto" w:before="5"/>
        <w:ind w:left="115" w:right="105" w:firstLine="686"/>
        <w:jc w:val="both"/>
        <w:rPr>
          <w:i/>
          <w:sz w:val="23"/>
        </w:rPr>
      </w:pPr>
      <w:r>
        <w:rPr>
          <w:sz w:val="23"/>
        </w:rPr>
        <w:t>Los resultados del concurso evidenciaron que de </w:t>
      </w:r>
      <w:r>
        <w:rPr>
          <w:spacing w:val="-4"/>
          <w:sz w:val="23"/>
        </w:rPr>
        <w:t>los </w:t>
      </w:r>
      <w:r>
        <w:rPr>
          <w:sz w:val="23"/>
        </w:rPr>
        <w:t>73,992 sustentantes, sólo el 33%, es decir, 24,408 concursantes acreditaron oficialmente el examen. Gracias a la estandarización en la calificación del examen</w:t>
      </w:r>
      <w:r>
        <w:rPr>
          <w:b/>
          <w:sz w:val="23"/>
        </w:rPr>
        <w:t>, </w:t>
      </w:r>
      <w:r>
        <w:rPr>
          <w:i/>
          <w:sz w:val="23"/>
        </w:rPr>
        <w:t>significa </w:t>
      </w:r>
      <w:r>
        <w:rPr>
          <w:i/>
          <w:spacing w:val="-3"/>
          <w:sz w:val="23"/>
        </w:rPr>
        <w:t>que </w:t>
      </w:r>
      <w:r>
        <w:rPr>
          <w:i/>
          <w:sz w:val="23"/>
        </w:rPr>
        <w:t>concursantes (tanto recién egresados como maestros en servicio) sin las competencias mínimas tuvieron la posibilidad de ingresar o alcanzar  su  definitividad en el servicio</w:t>
      </w:r>
      <w:r>
        <w:rPr>
          <w:i/>
          <w:spacing w:val="34"/>
          <w:sz w:val="23"/>
        </w:rPr>
        <w:t> </w:t>
      </w:r>
      <w:r>
        <w:rPr>
          <w:i/>
          <w:sz w:val="23"/>
        </w:rPr>
        <w:t>docente.</w:t>
      </w:r>
    </w:p>
    <w:p>
      <w:pPr>
        <w:pStyle w:val="BodyText"/>
        <w:spacing w:line="364" w:lineRule="auto" w:before="5"/>
        <w:ind w:left="116" w:right="109" w:firstLine="686"/>
        <w:jc w:val="both"/>
      </w:pPr>
      <w:r>
        <w:rPr/>
        <w:t>Si </w:t>
      </w:r>
      <w:r>
        <w:rPr>
          <w:spacing w:val="3"/>
        </w:rPr>
        <w:t>se </w:t>
      </w:r>
      <w:r>
        <w:rPr/>
        <w:t>hubieran contabilizado únicamente aquellos acreditados que contestaron correctamente por </w:t>
      </w:r>
      <w:r>
        <w:rPr>
          <w:spacing w:val="-4"/>
        </w:rPr>
        <w:t>lo </w:t>
      </w:r>
      <w:r>
        <w:rPr/>
        <w:t>menos </w:t>
      </w:r>
      <w:r>
        <w:rPr>
          <w:spacing w:val="3"/>
        </w:rPr>
        <w:t>el </w:t>
      </w:r>
      <w:r>
        <w:rPr/>
        <w:t>70% del examen (porcentaje que podemos asumir como el mínimo requerido para un maestro) </w:t>
      </w:r>
      <w:r>
        <w:rPr>
          <w:spacing w:val="-6"/>
        </w:rPr>
        <w:t>la  </w:t>
      </w:r>
      <w:r>
        <w:rPr/>
        <w:t>cantidad  se  reduce a 7,421, o sea, sólo el 10% de los concursantes tiene realmente </w:t>
      </w:r>
      <w:r>
        <w:rPr>
          <w:spacing w:val="-2"/>
        </w:rPr>
        <w:t>los </w:t>
      </w:r>
      <w:r>
        <w:rPr/>
        <w:t>conocimientos y habilidades necesarias para ingresar al servicio docente. De no haberse aplicado </w:t>
      </w:r>
      <w:r>
        <w:rPr>
          <w:spacing w:val="-3"/>
        </w:rPr>
        <w:t>la </w:t>
      </w:r>
      <w:r>
        <w:rPr/>
        <w:t>estandarización en </w:t>
      </w:r>
      <w:r>
        <w:rPr>
          <w:spacing w:val="-5"/>
        </w:rPr>
        <w:t>la </w:t>
      </w:r>
      <w:r>
        <w:rPr/>
        <w:t>calificación de </w:t>
      </w:r>
      <w:r>
        <w:rPr>
          <w:spacing w:val="-4"/>
        </w:rPr>
        <w:t>los</w:t>
      </w:r>
      <w:r>
        <w:rPr>
          <w:spacing w:val="55"/>
        </w:rPr>
        <w:t> </w:t>
      </w:r>
      <w:r>
        <w:rPr/>
        <w:t>exámenes, </w:t>
      </w:r>
      <w:r>
        <w:rPr>
          <w:spacing w:val="-4"/>
        </w:rPr>
        <w:t>los </w:t>
      </w:r>
      <w:r>
        <w:rPr/>
        <w:t>docentes acreditados con </w:t>
      </w:r>
      <w:r>
        <w:rPr>
          <w:spacing w:val="-3"/>
        </w:rPr>
        <w:t>dominio </w:t>
      </w:r>
      <w:r>
        <w:rPr/>
        <w:t>adecuado hubieran sido  insuficientes  para  cubrir las vacantes en concurso”. (Mexicanos Primero, 2009: </w:t>
      </w:r>
      <w:r>
        <w:rPr>
          <w:spacing w:val="1"/>
        </w:rPr>
        <w:t> </w:t>
      </w:r>
      <w:r>
        <w:rPr/>
        <w:t>11).</w:t>
      </w:r>
    </w:p>
    <w:p>
      <w:pPr>
        <w:pStyle w:val="BodyText"/>
        <w:spacing w:line="362" w:lineRule="auto" w:before="5"/>
        <w:ind w:left="116" w:right="111" w:firstLine="686"/>
        <w:jc w:val="both"/>
      </w:pPr>
      <w:r>
        <w:rPr/>
        <w:t>“El primer concurso de oposición tuvo impactos positivos a tal grado que permitió que se realizara el segundo concurso a pesar de la fuerte resistencia de</w:t>
      </w:r>
    </w:p>
    <w:p>
      <w:pPr>
        <w:spacing w:after="0" w:line="362"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9" w:lineRule="auto" w:before="74"/>
        <w:ind w:left="115"/>
      </w:pPr>
      <w:r>
        <w:rPr/>
        <w:t>algunos sectores del SNTE, además de dar paso al incremento sustantivo en la cantidad de plazas federalizadas de jornada completa sujetas a  concurso.</w:t>
      </w:r>
    </w:p>
    <w:p>
      <w:pPr>
        <w:pStyle w:val="BodyText"/>
        <w:spacing w:line="364" w:lineRule="auto"/>
        <w:ind w:left="115" w:right="284" w:firstLine="686"/>
        <w:jc w:val="both"/>
      </w:pPr>
      <w:r>
        <w:rPr>
          <w:spacing w:val="-3"/>
        </w:rPr>
        <w:t>Sin </w:t>
      </w:r>
      <w:r>
        <w:rPr/>
        <w:t>embargo, el sistema de calificación por estandarización produjo dos efectos perversos: </w:t>
      </w:r>
      <w:r>
        <w:rPr>
          <w:spacing w:val="-3"/>
        </w:rPr>
        <w:t>la </w:t>
      </w:r>
      <w:r>
        <w:rPr/>
        <w:t>perpetuación de las deficiencias de los sistemas educativos estatales y la ampliación de brechas entre las entidades en cuanto a </w:t>
      </w:r>
      <w:r>
        <w:rPr>
          <w:spacing w:val="-4"/>
        </w:rPr>
        <w:t>la </w:t>
      </w:r>
      <w:r>
        <w:rPr/>
        <w:t>calidad educativa. Por el lado de las deficiencias de los sistemas educativos estatales, </w:t>
      </w:r>
      <w:r>
        <w:rPr>
          <w:spacing w:val="-5"/>
        </w:rPr>
        <w:t>la </w:t>
      </w:r>
      <w:r>
        <w:rPr/>
        <w:t>estandarización permitió el ingreso y permanencia de docentes que carecían de    los conocimientos y habilidades necesarias para enseñar, </w:t>
      </w:r>
      <w:r>
        <w:rPr>
          <w:spacing w:val="-5"/>
        </w:rPr>
        <w:t>lo </w:t>
      </w:r>
      <w:r>
        <w:rPr/>
        <w:t>que reduciría </w:t>
      </w:r>
      <w:r>
        <w:rPr>
          <w:spacing w:val="-2"/>
        </w:rPr>
        <w:t>las </w:t>
      </w:r>
      <w:r>
        <w:rPr/>
        <w:t>oportunidades educativas de </w:t>
      </w:r>
      <w:r>
        <w:rPr>
          <w:spacing w:val="-3"/>
        </w:rPr>
        <w:t>millones </w:t>
      </w:r>
      <w:r>
        <w:rPr/>
        <w:t>de niños mexicanos. </w:t>
      </w:r>
      <w:r>
        <w:rPr>
          <w:spacing w:val="2"/>
        </w:rPr>
        <w:t>Por </w:t>
      </w:r>
      <w:r>
        <w:rPr/>
        <w:t>otro lado, </w:t>
      </w:r>
      <w:r>
        <w:rPr>
          <w:spacing w:val="-3"/>
        </w:rPr>
        <w:t>la </w:t>
      </w:r>
      <w:r>
        <w:rPr/>
        <w:t>estandarización también contribuyó a acentuar las desigualdades educativas entre los estados, </w:t>
      </w:r>
      <w:r>
        <w:rPr>
          <w:spacing w:val="-4"/>
        </w:rPr>
        <w:t>ya </w:t>
      </w:r>
      <w:r>
        <w:rPr/>
        <w:t>que aquellos con mejores escuelas normales y con mayor número de egresados tuvieron una mayor cantidad de docentes que ingresaron a sus sistemas</w:t>
      </w:r>
      <w:r>
        <w:rPr>
          <w:spacing w:val="26"/>
        </w:rPr>
        <w:t> </w:t>
      </w:r>
      <w:r>
        <w:rPr/>
        <w:t>educativos.</w:t>
      </w:r>
    </w:p>
    <w:p>
      <w:pPr>
        <w:pStyle w:val="BodyText"/>
        <w:rPr>
          <w:sz w:val="25"/>
        </w:rPr>
      </w:pPr>
    </w:p>
    <w:p>
      <w:pPr>
        <w:spacing w:before="0"/>
        <w:ind w:left="3802" w:right="3975" w:firstLine="0"/>
        <w:jc w:val="center"/>
        <w:rPr>
          <w:b/>
          <w:sz w:val="21"/>
        </w:rPr>
      </w:pPr>
      <w:r>
        <w:rPr>
          <w:b/>
          <w:sz w:val="21"/>
        </w:rPr>
        <w:t>Gráfica N° 9</w:t>
      </w:r>
    </w:p>
    <w:p>
      <w:pPr>
        <w:pStyle w:val="BodyText"/>
        <w:rPr>
          <w:b/>
          <w:sz w:val="20"/>
        </w:rPr>
      </w:pPr>
    </w:p>
    <w:p>
      <w:pPr>
        <w:pStyle w:val="BodyText"/>
        <w:spacing w:before="1"/>
        <w:rPr>
          <w:b/>
          <w:sz w:val="11"/>
        </w:rPr>
      </w:pPr>
      <w:r>
        <w:rPr/>
        <w:drawing>
          <wp:anchor distT="0" distB="0" distL="0" distR="0" allowOverlap="1" layoutInCell="1" locked="0" behindDoc="0" simplePos="0" relativeHeight="3064">
            <wp:simplePos x="0" y="0"/>
            <wp:positionH relativeFrom="page">
              <wp:posOffset>1054595</wp:posOffset>
            </wp:positionH>
            <wp:positionV relativeFrom="paragraph">
              <wp:posOffset>106170</wp:posOffset>
            </wp:positionV>
            <wp:extent cx="5565678" cy="2353056"/>
            <wp:effectExtent l="0" t="0" r="0" b="0"/>
            <wp:wrapTopAndBottom/>
            <wp:docPr id="19" name="image25.png" descr=""/>
            <wp:cNvGraphicFramePr>
              <a:graphicFrameLocks noChangeAspect="1"/>
            </wp:cNvGraphicFramePr>
            <a:graphic>
              <a:graphicData uri="http://schemas.openxmlformats.org/drawingml/2006/picture">
                <pic:pic>
                  <pic:nvPicPr>
                    <pic:cNvPr id="20" name="image25.png"/>
                    <pic:cNvPicPr/>
                  </pic:nvPicPr>
                  <pic:blipFill>
                    <a:blip r:embed="rId68" cstate="print"/>
                    <a:stretch>
                      <a:fillRect/>
                    </a:stretch>
                  </pic:blipFill>
                  <pic:spPr>
                    <a:xfrm>
                      <a:off x="0" y="0"/>
                      <a:ext cx="5565678" cy="2353056"/>
                    </a:xfrm>
                    <a:prstGeom prst="rect">
                      <a:avLst/>
                    </a:prstGeom>
                  </pic:spPr>
                </pic:pic>
              </a:graphicData>
            </a:graphic>
          </wp:anchor>
        </w:drawing>
      </w:r>
    </w:p>
    <w:p>
      <w:pPr>
        <w:spacing w:line="189" w:lineRule="exact" w:before="0"/>
        <w:ind w:left="115" w:right="0" w:firstLine="0"/>
        <w:jc w:val="left"/>
        <w:rPr>
          <w:sz w:val="19"/>
        </w:rPr>
      </w:pPr>
      <w:r>
        <w:rPr>
          <w:b/>
          <w:w w:val="105"/>
          <w:sz w:val="19"/>
        </w:rPr>
        <w:t>FUENTE: </w:t>
      </w:r>
      <w:r>
        <w:rPr>
          <w:w w:val="105"/>
          <w:sz w:val="19"/>
        </w:rPr>
        <w:t>Elaboración propia con base en el estudio de Mexicanos Primero, 2009</w:t>
      </w:r>
    </w:p>
    <w:p>
      <w:pPr>
        <w:pStyle w:val="BodyText"/>
        <w:rPr>
          <w:sz w:val="20"/>
        </w:rPr>
      </w:pPr>
    </w:p>
    <w:p>
      <w:pPr>
        <w:pStyle w:val="BodyText"/>
        <w:spacing w:line="364" w:lineRule="auto" w:before="152"/>
        <w:ind w:left="115" w:right="286" w:firstLine="686"/>
        <w:jc w:val="both"/>
      </w:pPr>
      <w:r>
        <w:rPr/>
        <w:t>No basta permanecer en el sistema, sino de obtener los frutos de esa inversión temporal, de esfuerzo, de recursos, de empeño colectivo, de desembolso familiar y social, de una inversión en calidad educativa que sea significativa para el nivel de ingreso posterior. Y ello no sólo tiene reflejo económico, sino propiamente cultural:  una  escolarización   de  años  que  desencadene  procesos  sólidos      de</w:t>
      </w:r>
    </w:p>
    <w:p>
      <w:pPr>
        <w:spacing w:after="0" w:line="364" w:lineRule="auto"/>
        <w:jc w:val="both"/>
        <w:sectPr>
          <w:pgSz w:w="11910" w:h="16840"/>
          <w:pgMar w:header="0" w:footer="1457" w:top="1580" w:bottom="1640" w:left="1540" w:right="1360"/>
        </w:sectPr>
      </w:pPr>
    </w:p>
    <w:p>
      <w:pPr>
        <w:pStyle w:val="BodyText"/>
        <w:rPr>
          <w:sz w:val="20"/>
        </w:rPr>
      </w:pPr>
    </w:p>
    <w:p>
      <w:pPr>
        <w:pStyle w:val="BodyText"/>
        <w:spacing w:before="2"/>
        <w:rPr>
          <w:sz w:val="16"/>
        </w:rPr>
      </w:pPr>
    </w:p>
    <w:p>
      <w:pPr>
        <w:pStyle w:val="BodyText"/>
        <w:spacing w:line="364" w:lineRule="auto" w:before="74"/>
        <w:ind w:left="115" w:right="105"/>
        <w:jc w:val="both"/>
      </w:pPr>
      <w:r>
        <w:rPr/>
        <w:t>autoestima o sentido crítico, de despliegue de autonomía ética o empeño por el cambio social; y que evite  contrariamente,  actitudes  de  dependencia, conformismo, repetición sin innovación, de masificación y gratificación miserable inmediata y coercitiva.</w:t>
      </w:r>
    </w:p>
    <w:p>
      <w:pPr>
        <w:pStyle w:val="BodyText"/>
        <w:spacing w:line="364" w:lineRule="auto" w:before="5"/>
        <w:ind w:left="115" w:right="107" w:firstLine="686"/>
        <w:jc w:val="both"/>
      </w:pPr>
      <w:r>
        <w:rPr/>
        <w:t>Y no sólo como un asunto de cobertura, de cantidad, sino como parte de un sistema incluyente y equitativo en el que todos aprendan, aprendan lo suficiente, aprendan lo que se necesita para la vida social del presente y puedan seguir aprendiendo toda la vida.</w:t>
      </w:r>
    </w:p>
    <w:p>
      <w:pPr>
        <w:pStyle w:val="BodyText"/>
        <w:spacing w:line="364" w:lineRule="auto" w:before="5"/>
        <w:ind w:left="115" w:right="102" w:firstLine="686"/>
        <w:jc w:val="both"/>
      </w:pPr>
      <w:r>
        <w:rPr/>
        <w:t>“Entender la educación de calidad como derecho brinda un punto de referencia válido para todos los grupos sociales, para las diversas corrientes ideológicas y antecedentes formativos. Al conocer su vínculo indivisible con el desarrollo humano y la inclusión, la calidad de la educación se revela como deber ético y eventualmente jurídico: como un derecho humano con características justiciables”.(Mexicanos Primero, 2009: 8).</w:t>
      </w:r>
    </w:p>
    <w:p>
      <w:pPr>
        <w:pStyle w:val="BodyText"/>
        <w:spacing w:line="364" w:lineRule="auto" w:before="5"/>
        <w:ind w:left="115" w:right="106" w:firstLine="686"/>
        <w:jc w:val="both"/>
      </w:pPr>
      <w:r>
        <w:rPr/>
        <w:t>La colocación del talento y las oportunidades no debe darse sólo por su poder de compra; habrá personas </w:t>
      </w:r>
      <w:r>
        <w:rPr>
          <w:spacing w:val="2"/>
        </w:rPr>
        <w:t>con </w:t>
      </w:r>
      <w:r>
        <w:rPr/>
        <w:t>talento que no van a </w:t>
      </w:r>
      <w:r>
        <w:rPr>
          <w:spacing w:val="2"/>
        </w:rPr>
        <w:t>ser </w:t>
      </w:r>
      <w:r>
        <w:rPr/>
        <w:t>recibidas por el sistema educativo superior o van a encontrar barreras culturales y educativas que les alejen de trabajos con alta rentabilidad </w:t>
      </w:r>
      <w:r>
        <w:rPr>
          <w:spacing w:val="-3"/>
        </w:rPr>
        <w:t>social. </w:t>
      </w:r>
      <w:r>
        <w:rPr/>
        <w:t>Extender  los  años  de  escolaridad promedio de los mexicanos, sin que a la par se presente un aumento  en </w:t>
      </w:r>
      <w:r>
        <w:rPr>
          <w:spacing w:val="-4"/>
        </w:rPr>
        <w:t>la </w:t>
      </w:r>
      <w:r>
        <w:rPr/>
        <w:t>proporción de alumnos de alto desempeño, no será suficiente para activar el desarrollo que tanto necesita nuestro</w:t>
      </w:r>
      <w:r>
        <w:rPr>
          <w:spacing w:val="47"/>
        </w:rPr>
        <w:t> </w:t>
      </w:r>
      <w:r>
        <w:rPr/>
        <w:t>país.</w:t>
      </w:r>
    </w:p>
    <w:p>
      <w:pPr>
        <w:pStyle w:val="BodyText"/>
        <w:spacing w:line="364" w:lineRule="auto" w:before="10"/>
        <w:ind w:left="115" w:right="109" w:firstLine="686"/>
        <w:jc w:val="both"/>
      </w:pPr>
      <w:r>
        <w:rPr/>
        <w:t>Sólo cuando el paso </w:t>
      </w:r>
      <w:r>
        <w:rPr>
          <w:spacing w:val="-3"/>
        </w:rPr>
        <w:t>por </w:t>
      </w:r>
      <w:r>
        <w:rPr/>
        <w:t>el sistema educativo </w:t>
      </w:r>
      <w:r>
        <w:rPr>
          <w:spacing w:val="-3"/>
        </w:rPr>
        <w:t>permita </w:t>
      </w:r>
      <w:r>
        <w:rPr/>
        <w:t>desarrollar altas capacidades cognitivas y dichas capacidades </w:t>
      </w:r>
      <w:r>
        <w:rPr>
          <w:spacing w:val="3"/>
        </w:rPr>
        <w:t>se </w:t>
      </w:r>
      <w:r>
        <w:rPr/>
        <w:t>apliquen a trabajos  sustantivos  de innovación (que requieren competencias técnicas) y  redistribución  (que requieren de competencias cívicas y éticas), entonces el crecimiento económico y  </w:t>
      </w:r>
      <w:r>
        <w:rPr>
          <w:spacing w:val="-5"/>
        </w:rPr>
        <w:t>la </w:t>
      </w:r>
      <w:r>
        <w:rPr/>
        <w:t>ampliación de nuevas posibilidades podrá ser referido y </w:t>
      </w:r>
      <w:r>
        <w:rPr>
          <w:spacing w:val="20"/>
        </w:rPr>
        <w:t> </w:t>
      </w:r>
      <w:r>
        <w:rPr/>
        <w:t>constatado.</w:t>
      </w:r>
    </w:p>
    <w:p>
      <w:pPr>
        <w:pStyle w:val="BodyText"/>
        <w:spacing w:line="364" w:lineRule="auto" w:before="10"/>
        <w:ind w:left="115" w:right="106" w:firstLine="686"/>
        <w:jc w:val="both"/>
      </w:pPr>
      <w:r>
        <w:rPr/>
        <w:t>La calidad no es simplemente un atributo deseable de la educación, sino un rasgo imprescindible, indivisible –consustancial- a </w:t>
      </w:r>
      <w:r>
        <w:rPr>
          <w:spacing w:val="-3"/>
        </w:rPr>
        <w:t>la  </w:t>
      </w:r>
      <w:r>
        <w:rPr/>
        <w:t>consideración  de  </w:t>
      </w:r>
      <w:r>
        <w:rPr>
          <w:spacing w:val="-3"/>
        </w:rPr>
        <w:t>la  </w:t>
      </w:r>
      <w:r>
        <w:rPr/>
        <w:t>educación como un derecho. El derecho a la educación </w:t>
      </w:r>
      <w:r>
        <w:rPr>
          <w:spacing w:val="2"/>
        </w:rPr>
        <w:t>no se </w:t>
      </w:r>
      <w:r>
        <w:rPr/>
        <w:t>reduce al derecho al acceso, incluyendo el derecho a la permanencia, al tránsito </w:t>
      </w:r>
      <w:r>
        <w:rPr>
          <w:spacing w:val="2"/>
        </w:rPr>
        <w:t>no </w:t>
      </w:r>
      <w:r>
        <w:rPr/>
        <w:t>interrumpido y a obtener resultados equivalentes entre aquellos alumnos que vienen </w:t>
      </w:r>
      <w:r>
        <w:rPr>
          <w:spacing w:val="3"/>
        </w:rPr>
        <w:t>de </w:t>
      </w:r>
      <w:r>
        <w:rPr/>
        <w:t>un </w:t>
      </w:r>
      <w:r>
        <w:rPr>
          <w:spacing w:val="17"/>
        </w:rPr>
        <w:t> </w:t>
      </w:r>
      <w:r>
        <w:rPr/>
        <w:t>contexto</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9" w:lineRule="auto" w:before="74"/>
        <w:ind w:left="115" w:right="191"/>
      </w:pPr>
      <w:r>
        <w:rPr/>
        <w:t>de buen ingreso y suficiente capital cultural en sus familias y aquellos alumnos que no cuentan con esos elementos de arranque”.(Contra la pared, 2009:  6).</w:t>
      </w:r>
    </w:p>
    <w:p>
      <w:pPr>
        <w:spacing w:after="0" w:line="369" w:lineRule="auto"/>
        <w:sectPr>
          <w:footerReference w:type="default" r:id="rId69"/>
          <w:pgSz w:w="11910" w:h="16840"/>
          <w:pgMar w:footer="1457" w:header="0" w:top="1580" w:bottom="1640" w:left="1540" w:right="15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6"/>
        </w:rPr>
      </w:pPr>
    </w:p>
    <w:p>
      <w:pPr>
        <w:pStyle w:val="Heading1"/>
        <w:spacing w:line="240" w:lineRule="auto" w:before="36"/>
      </w:pPr>
      <w:r>
        <w:rPr/>
        <w:t>Capítulo 4</w:t>
      </w:r>
    </w:p>
    <w:p>
      <w:pPr>
        <w:pStyle w:val="Heading2"/>
        <w:tabs>
          <w:tab w:pos="5974" w:val="left" w:leader="none"/>
        </w:tabs>
        <w:spacing w:line="352" w:lineRule="auto" w:before="201"/>
        <w:ind w:left="950" w:right="1094" w:firstLine="20"/>
      </w:pPr>
      <w:r>
        <w:rPr/>
        <w:t>Las políticas </w:t>
      </w:r>
      <w:r>
        <w:rPr>
          <w:spacing w:val="-3"/>
        </w:rPr>
        <w:t>de </w:t>
      </w:r>
      <w:r>
        <w:rPr/>
        <w:t>la calidad   educativa en</w:t>
      </w:r>
      <w:r>
        <w:rPr>
          <w:spacing w:val="45"/>
        </w:rPr>
        <w:t> </w:t>
      </w:r>
      <w:r>
        <w:rPr/>
        <w:t>los</w:t>
      </w:r>
      <w:r>
        <w:rPr>
          <w:spacing w:val="22"/>
        </w:rPr>
        <w:t> </w:t>
      </w:r>
      <w:r>
        <w:rPr/>
        <w:t>sexenios</w:t>
        <w:tab/>
        <w:t>del</w:t>
      </w:r>
      <w:r>
        <w:rPr>
          <w:spacing w:val="38"/>
        </w:rPr>
        <w:t> </w:t>
      </w:r>
      <w:r>
        <w:rPr>
          <w:spacing w:val="-3"/>
        </w:rPr>
        <w:t>PAN:</w:t>
      </w:r>
    </w:p>
    <w:p>
      <w:pPr>
        <w:spacing w:line="247" w:lineRule="auto" w:before="2"/>
        <w:ind w:left="636" w:right="770" w:firstLine="0"/>
        <w:jc w:val="center"/>
        <w:rPr>
          <w:b/>
          <w:sz w:val="38"/>
        </w:rPr>
      </w:pPr>
      <w:r>
        <w:rPr>
          <w:b/>
          <w:sz w:val="38"/>
        </w:rPr>
        <w:t>El límite del Presidente en los juegos de poder</w:t>
      </w:r>
    </w:p>
    <w:p>
      <w:pPr>
        <w:spacing w:after="0" w:line="247" w:lineRule="auto"/>
        <w:jc w:val="center"/>
        <w:rPr>
          <w:sz w:val="38"/>
        </w:rPr>
        <w:sectPr>
          <w:footerReference w:type="default" r:id="rId70"/>
          <w:pgSz w:w="11910" w:h="16840"/>
          <w:pgMar w:footer="1457" w:header="0" w:top="1580" w:bottom="1640" w:left="1680" w:right="1540"/>
          <w:pgNumType w:start="181"/>
        </w:sectPr>
      </w:pPr>
    </w:p>
    <w:p>
      <w:pPr>
        <w:pStyle w:val="BodyText"/>
        <w:rPr>
          <w:b/>
          <w:sz w:val="20"/>
        </w:rPr>
      </w:pPr>
    </w:p>
    <w:p>
      <w:pPr>
        <w:pStyle w:val="BodyText"/>
        <w:spacing w:before="2"/>
        <w:rPr>
          <w:b/>
          <w:sz w:val="16"/>
        </w:rPr>
      </w:pPr>
    </w:p>
    <w:p>
      <w:pPr>
        <w:pStyle w:val="Heading3"/>
        <w:numPr>
          <w:ilvl w:val="1"/>
          <w:numId w:val="14"/>
        </w:numPr>
        <w:tabs>
          <w:tab w:pos="502" w:val="left" w:leader="none"/>
        </w:tabs>
        <w:spacing w:line="240" w:lineRule="auto" w:before="74" w:after="0"/>
        <w:ind w:left="501" w:right="0" w:hanging="385"/>
        <w:jc w:val="both"/>
      </w:pPr>
      <w:r>
        <w:rPr/>
        <w:t>Compromiso Social por </w:t>
      </w:r>
      <w:r>
        <w:rPr>
          <w:spacing w:val="2"/>
        </w:rPr>
        <w:t>la</w:t>
      </w:r>
      <w:r>
        <w:rPr>
          <w:spacing w:val="49"/>
        </w:rPr>
        <w:t> </w:t>
      </w:r>
      <w:r>
        <w:rPr/>
        <w:t>Educación</w:t>
      </w:r>
    </w:p>
    <w:p>
      <w:pPr>
        <w:pStyle w:val="BodyText"/>
        <w:spacing w:line="364" w:lineRule="auto" w:before="143"/>
        <w:ind w:left="115" w:right="112"/>
        <w:jc w:val="both"/>
      </w:pPr>
      <w:r>
        <w:rPr/>
        <w:t>El gobierno de Vicente Fox no hizo propuestas distintas en materia educativa a las que se habían esbozado en el periodo de transición: evaluación y educación en valores. Ni siquiera el secretario de Educación, Reyes Tamez Guerra,  planteó alguna propuesta específica.</w:t>
      </w:r>
    </w:p>
    <w:p>
      <w:pPr>
        <w:pStyle w:val="BodyText"/>
        <w:spacing w:line="364" w:lineRule="auto" w:before="5"/>
        <w:ind w:left="115" w:right="106" w:firstLine="686"/>
        <w:jc w:val="both"/>
      </w:pPr>
      <w:r>
        <w:rPr/>
        <w:t>Fue hasta agosto de 2002, cuando se plantearon las primeras y únicas propuestas relacionadas con el proyecto </w:t>
      </w:r>
      <w:r>
        <w:rPr>
          <w:i/>
        </w:rPr>
        <w:t>evaluativo </w:t>
      </w:r>
      <w:r>
        <w:rPr/>
        <w:t>del panismo: el </w:t>
      </w:r>
      <w:r>
        <w:rPr>
          <w:i/>
        </w:rPr>
        <w:t>Compromiso </w:t>
      </w:r>
      <w:r>
        <w:rPr>
          <w:i/>
        </w:rPr>
        <w:t>Social por la Calidad de la Educación</w:t>
      </w:r>
      <w:r>
        <w:rPr/>
        <w:t>, </w:t>
      </w:r>
      <w:r>
        <w:rPr>
          <w:spacing w:val="-3"/>
        </w:rPr>
        <w:t>la </w:t>
      </w:r>
      <w:r>
        <w:rPr/>
        <w:t>creación del Instituto Nacional para </w:t>
      </w:r>
      <w:r>
        <w:rPr>
          <w:spacing w:val="-5"/>
        </w:rPr>
        <w:t>la </w:t>
      </w:r>
      <w:r>
        <w:rPr/>
        <w:t>Evaluación de la Educación (INEE) En el primero,  la cúpula del SNTE se hizo  cargo </w:t>
      </w:r>
      <w:r>
        <w:rPr>
          <w:spacing w:val="-3"/>
        </w:rPr>
        <w:t>de </w:t>
      </w:r>
      <w:r>
        <w:rPr/>
        <w:t>legitimarlo en </w:t>
      </w:r>
      <w:r>
        <w:rPr>
          <w:spacing w:val="-2"/>
        </w:rPr>
        <w:t>ámbito </w:t>
      </w:r>
      <w:r>
        <w:rPr/>
        <w:t>del magisterio; en el segundo, a </w:t>
      </w:r>
      <w:r>
        <w:rPr>
          <w:spacing w:val="-3"/>
        </w:rPr>
        <w:t>cambio </w:t>
      </w:r>
      <w:r>
        <w:rPr/>
        <w:t>de que el nuevo instituto tuviera dependencia directa </w:t>
      </w:r>
      <w:r>
        <w:rPr>
          <w:spacing w:val="-3"/>
        </w:rPr>
        <w:t>de </w:t>
      </w:r>
      <w:r>
        <w:rPr>
          <w:spacing w:val="-4"/>
        </w:rPr>
        <w:t>la </w:t>
      </w:r>
      <w:r>
        <w:rPr/>
        <w:t>presidencia y de que </w:t>
      </w:r>
      <w:r>
        <w:rPr>
          <w:spacing w:val="3"/>
        </w:rPr>
        <w:t>su </w:t>
      </w:r>
      <w:r>
        <w:rPr/>
        <w:t>labor no tuviera propósitos punitivos para los maestros, los líderes sindicales no recurrieron al</w:t>
      </w:r>
      <w:r>
        <w:rPr>
          <w:spacing w:val="10"/>
        </w:rPr>
        <w:t> </w:t>
      </w:r>
      <w:r>
        <w:rPr/>
        <w:t>veto.</w:t>
      </w:r>
    </w:p>
    <w:p>
      <w:pPr>
        <w:pStyle w:val="BodyText"/>
        <w:spacing w:line="364" w:lineRule="auto" w:before="10"/>
        <w:ind w:left="116" w:right="109" w:firstLine="686"/>
        <w:jc w:val="both"/>
      </w:pPr>
      <w:r>
        <w:rPr/>
        <w:t>El </w:t>
      </w:r>
      <w:r>
        <w:rPr>
          <w:i/>
        </w:rPr>
        <w:t>Compromiso Social por la Calidad de la Educación</w:t>
      </w:r>
      <w:r>
        <w:rPr/>
        <w:t>, fue firmado el 8 de agosto de 2002 por Secretaría de Educación Pública (SEP), los gobiernos y autoridades estatales, legisladores federales, el SNTE, universidades e institutos tecnológicos, asociaciones de padres de familia, intelectuales  y  creadores artísticos,   agrupaciones   empresariales,   diversas   “organizaciones   sociales”   y</w:t>
      </w:r>
    </w:p>
    <w:p>
      <w:pPr>
        <w:pStyle w:val="BodyText"/>
        <w:spacing w:line="270" w:lineRule="exact"/>
        <w:ind w:left="116"/>
        <w:jc w:val="both"/>
      </w:pPr>
      <w:r>
        <w:rPr/>
        <w:t>medios  de  comunicación</w:t>
      </w:r>
      <w:r>
        <w:rPr>
          <w:position w:val="11"/>
          <w:sz w:val="15"/>
        </w:rPr>
        <w:t>45</w:t>
      </w:r>
      <w:r>
        <w:rPr/>
        <w:t>.  Pero  fue  un  compromiso  sin  amarres,  pues  no</w:t>
      </w:r>
      <w:r>
        <w:rPr>
          <w:spacing w:val="61"/>
        </w:rPr>
        <w:t> </w:t>
      </w:r>
      <w:r>
        <w:rPr/>
        <w:t>se</w:t>
      </w:r>
    </w:p>
    <w:p>
      <w:pPr>
        <w:pStyle w:val="BodyText"/>
        <w:spacing w:before="134"/>
        <w:ind w:left="115"/>
        <w:jc w:val="both"/>
      </w:pPr>
      <w:r>
        <w:rPr/>
        <w:t>sustentó en leyes o decretos, sino en la voluntad de los  firmantes.</w:t>
      </w:r>
    </w:p>
    <w:p>
      <w:pPr>
        <w:pStyle w:val="BodyText"/>
        <w:spacing w:line="364" w:lineRule="auto" w:before="138"/>
        <w:ind w:left="115" w:right="109" w:firstLine="686"/>
        <w:jc w:val="both"/>
      </w:pPr>
      <w:r>
        <w:rPr/>
        <w:t>Ahora bien, el compromiso central y fundamental de este acuerdo, fue el del SNTE, que señaló que desarrollaría una nueva cultura laboral orientada hacia “la mejora de la calidad” de las formas de organización y gestión escolar; asimismo a incidir en el fortalecimiento de los perfiles pedagógicos de los responsables de la</w:t>
      </w:r>
    </w:p>
    <w:p>
      <w:pPr>
        <w:pStyle w:val="BodyText"/>
        <w:spacing w:before="10"/>
        <w:rPr>
          <w:sz w:val="12"/>
        </w:rPr>
      </w:pPr>
      <w:r>
        <w:rPr/>
        <w:pict>
          <v:line style="position:absolute;mso-position-horizontal-relative:page;mso-position-vertical-relative:paragraph;z-index:3088;mso-wrap-distance-left:0;mso-wrap-distance-right:0" from="82.799004pt,9.727203pt" to="222.958004pt,9.727203pt" stroked="true" strokeweight=".72pt" strokecolor="#000000">
            <w10:wrap type="topAndBottom"/>
          </v:line>
        </w:pict>
      </w:r>
    </w:p>
    <w:p>
      <w:pPr>
        <w:spacing w:line="247" w:lineRule="auto" w:before="52"/>
        <w:ind w:left="115" w:right="101" w:firstLine="0"/>
        <w:jc w:val="both"/>
        <w:rPr>
          <w:sz w:val="19"/>
        </w:rPr>
      </w:pPr>
      <w:r>
        <w:rPr>
          <w:rFonts w:ascii="Times New Roman" w:hAnsi="Times New Roman"/>
          <w:spacing w:val="-3"/>
          <w:w w:val="105"/>
          <w:position w:val="9"/>
          <w:sz w:val="12"/>
        </w:rPr>
        <w:t>45 </w:t>
      </w:r>
      <w:r>
        <w:rPr>
          <w:w w:val="105"/>
          <w:sz w:val="19"/>
        </w:rPr>
        <w:t>Los principales firmantes fueron los siguientes: por la SEP, </w:t>
      </w:r>
      <w:r>
        <w:rPr>
          <w:spacing w:val="-3"/>
          <w:w w:val="105"/>
          <w:sz w:val="19"/>
        </w:rPr>
        <w:t>el </w:t>
      </w:r>
      <w:r>
        <w:rPr>
          <w:w w:val="105"/>
          <w:sz w:val="19"/>
        </w:rPr>
        <w:t>recetario Reyes Tamez; por las autoridades</w:t>
      </w:r>
      <w:r>
        <w:rPr>
          <w:spacing w:val="-12"/>
          <w:w w:val="105"/>
          <w:sz w:val="19"/>
        </w:rPr>
        <w:t> </w:t>
      </w:r>
      <w:r>
        <w:rPr>
          <w:w w:val="105"/>
          <w:sz w:val="19"/>
        </w:rPr>
        <w:t>estatales,</w:t>
      </w:r>
      <w:r>
        <w:rPr>
          <w:spacing w:val="-11"/>
          <w:w w:val="105"/>
          <w:sz w:val="19"/>
        </w:rPr>
        <w:t> </w:t>
      </w:r>
      <w:r>
        <w:rPr>
          <w:w w:val="105"/>
          <w:sz w:val="19"/>
        </w:rPr>
        <w:t>los</w:t>
      </w:r>
      <w:r>
        <w:rPr>
          <w:spacing w:val="-8"/>
          <w:w w:val="105"/>
          <w:sz w:val="19"/>
        </w:rPr>
        <w:t> </w:t>
      </w:r>
      <w:r>
        <w:rPr>
          <w:spacing w:val="-3"/>
          <w:w w:val="105"/>
          <w:sz w:val="19"/>
        </w:rPr>
        <w:t>31</w:t>
      </w:r>
      <w:r>
        <w:rPr>
          <w:spacing w:val="-8"/>
          <w:w w:val="105"/>
          <w:sz w:val="19"/>
        </w:rPr>
        <w:t> </w:t>
      </w:r>
      <w:r>
        <w:rPr>
          <w:w w:val="105"/>
          <w:sz w:val="19"/>
        </w:rPr>
        <w:t>gobernadores</w:t>
      </w:r>
      <w:r>
        <w:rPr>
          <w:spacing w:val="-8"/>
          <w:w w:val="105"/>
          <w:sz w:val="19"/>
        </w:rPr>
        <w:t> </w:t>
      </w:r>
      <w:r>
        <w:rPr>
          <w:w w:val="105"/>
          <w:sz w:val="19"/>
        </w:rPr>
        <w:t>y</w:t>
      </w:r>
      <w:r>
        <w:rPr>
          <w:spacing w:val="-12"/>
          <w:w w:val="105"/>
          <w:sz w:val="19"/>
        </w:rPr>
        <w:t> </w:t>
      </w:r>
      <w:r>
        <w:rPr>
          <w:w w:val="105"/>
          <w:sz w:val="19"/>
        </w:rPr>
        <w:t>el</w:t>
      </w:r>
      <w:r>
        <w:rPr>
          <w:spacing w:val="-8"/>
          <w:w w:val="105"/>
          <w:sz w:val="19"/>
        </w:rPr>
        <w:t> </w:t>
      </w:r>
      <w:r>
        <w:rPr>
          <w:w w:val="105"/>
          <w:sz w:val="19"/>
        </w:rPr>
        <w:t>Jefe</w:t>
      </w:r>
      <w:r>
        <w:rPr>
          <w:spacing w:val="-8"/>
          <w:w w:val="105"/>
          <w:sz w:val="19"/>
        </w:rPr>
        <w:t> </w:t>
      </w:r>
      <w:r>
        <w:rPr>
          <w:w w:val="105"/>
          <w:sz w:val="19"/>
        </w:rPr>
        <w:t>de</w:t>
      </w:r>
      <w:r>
        <w:rPr>
          <w:spacing w:val="-6"/>
          <w:w w:val="105"/>
          <w:sz w:val="19"/>
        </w:rPr>
        <w:t> </w:t>
      </w:r>
      <w:r>
        <w:rPr>
          <w:w w:val="105"/>
          <w:sz w:val="19"/>
        </w:rPr>
        <w:t>Gobierno</w:t>
      </w:r>
      <w:r>
        <w:rPr>
          <w:spacing w:val="-8"/>
          <w:w w:val="105"/>
          <w:sz w:val="19"/>
        </w:rPr>
        <w:t> </w:t>
      </w:r>
      <w:r>
        <w:rPr>
          <w:spacing w:val="-4"/>
          <w:w w:val="105"/>
          <w:sz w:val="19"/>
        </w:rPr>
        <w:t>del </w:t>
      </w:r>
      <w:r>
        <w:rPr>
          <w:w w:val="105"/>
          <w:sz w:val="19"/>
        </w:rPr>
        <w:t>Distrito</w:t>
      </w:r>
      <w:r>
        <w:rPr>
          <w:spacing w:val="-6"/>
          <w:w w:val="105"/>
          <w:sz w:val="19"/>
        </w:rPr>
        <w:t> </w:t>
      </w:r>
      <w:r>
        <w:rPr>
          <w:w w:val="105"/>
          <w:sz w:val="19"/>
        </w:rPr>
        <w:t>Federal;</w:t>
      </w:r>
      <w:r>
        <w:rPr>
          <w:spacing w:val="-8"/>
          <w:w w:val="105"/>
          <w:sz w:val="19"/>
        </w:rPr>
        <w:t> </w:t>
      </w:r>
      <w:r>
        <w:rPr>
          <w:w w:val="105"/>
          <w:sz w:val="19"/>
        </w:rPr>
        <w:t>por</w:t>
      </w:r>
      <w:r>
        <w:rPr>
          <w:spacing w:val="-5"/>
          <w:w w:val="105"/>
          <w:sz w:val="19"/>
        </w:rPr>
        <w:t> </w:t>
      </w:r>
      <w:r>
        <w:rPr>
          <w:w w:val="105"/>
          <w:sz w:val="19"/>
        </w:rPr>
        <w:t>el</w:t>
      </w:r>
      <w:r>
        <w:rPr>
          <w:spacing w:val="-8"/>
          <w:w w:val="105"/>
          <w:sz w:val="19"/>
        </w:rPr>
        <w:t> </w:t>
      </w:r>
      <w:r>
        <w:rPr>
          <w:w w:val="105"/>
          <w:sz w:val="19"/>
        </w:rPr>
        <w:t>Poder Judicial, el presidente de </w:t>
      </w:r>
      <w:r>
        <w:rPr>
          <w:spacing w:val="-3"/>
          <w:w w:val="105"/>
          <w:sz w:val="19"/>
        </w:rPr>
        <w:t>la </w:t>
      </w:r>
      <w:r>
        <w:rPr>
          <w:w w:val="105"/>
          <w:sz w:val="19"/>
        </w:rPr>
        <w:t>Suprema Corte de Justicia, Genaro Góngora; por los legisladores, el senador</w:t>
      </w:r>
      <w:r>
        <w:rPr>
          <w:spacing w:val="-20"/>
          <w:w w:val="105"/>
          <w:sz w:val="19"/>
        </w:rPr>
        <w:t> </w:t>
      </w:r>
      <w:r>
        <w:rPr>
          <w:w w:val="105"/>
          <w:sz w:val="19"/>
        </w:rPr>
        <w:t>José</w:t>
      </w:r>
      <w:r>
        <w:rPr>
          <w:spacing w:val="-17"/>
          <w:w w:val="105"/>
          <w:sz w:val="19"/>
        </w:rPr>
        <w:t> </w:t>
      </w:r>
      <w:r>
        <w:rPr>
          <w:w w:val="105"/>
          <w:sz w:val="19"/>
        </w:rPr>
        <w:t>Natividad</w:t>
      </w:r>
      <w:r>
        <w:rPr>
          <w:spacing w:val="-17"/>
          <w:w w:val="105"/>
          <w:sz w:val="19"/>
        </w:rPr>
        <w:t> </w:t>
      </w:r>
      <w:r>
        <w:rPr>
          <w:w w:val="105"/>
          <w:sz w:val="19"/>
        </w:rPr>
        <w:t>González</w:t>
      </w:r>
      <w:r>
        <w:rPr>
          <w:spacing w:val="-9"/>
          <w:w w:val="105"/>
          <w:sz w:val="19"/>
        </w:rPr>
        <w:t> </w:t>
      </w:r>
      <w:r>
        <w:rPr>
          <w:w w:val="105"/>
          <w:sz w:val="19"/>
        </w:rPr>
        <w:t>Parás</w:t>
      </w:r>
      <w:r>
        <w:rPr>
          <w:spacing w:val="-17"/>
          <w:w w:val="105"/>
          <w:sz w:val="19"/>
        </w:rPr>
        <w:t> </w:t>
      </w:r>
      <w:r>
        <w:rPr>
          <w:w w:val="105"/>
          <w:sz w:val="19"/>
        </w:rPr>
        <w:t>y</w:t>
      </w:r>
      <w:r>
        <w:rPr>
          <w:spacing w:val="-17"/>
          <w:w w:val="105"/>
          <w:sz w:val="19"/>
        </w:rPr>
        <w:t> </w:t>
      </w:r>
      <w:r>
        <w:rPr>
          <w:w w:val="105"/>
          <w:sz w:val="19"/>
        </w:rPr>
        <w:t>el</w:t>
      </w:r>
      <w:r>
        <w:rPr>
          <w:spacing w:val="-17"/>
          <w:w w:val="105"/>
          <w:sz w:val="19"/>
        </w:rPr>
        <w:t> </w:t>
      </w:r>
      <w:r>
        <w:rPr>
          <w:w w:val="105"/>
          <w:sz w:val="19"/>
        </w:rPr>
        <w:t>diputado</w:t>
      </w:r>
      <w:r>
        <w:rPr>
          <w:spacing w:val="-17"/>
          <w:w w:val="105"/>
          <w:sz w:val="19"/>
        </w:rPr>
        <w:t> </w:t>
      </w:r>
      <w:r>
        <w:rPr>
          <w:w w:val="105"/>
          <w:sz w:val="19"/>
        </w:rPr>
        <w:t>Enrique</w:t>
      </w:r>
      <w:r>
        <w:rPr>
          <w:spacing w:val="-14"/>
          <w:w w:val="105"/>
          <w:sz w:val="19"/>
        </w:rPr>
        <w:t> </w:t>
      </w:r>
      <w:r>
        <w:rPr>
          <w:w w:val="105"/>
          <w:sz w:val="19"/>
        </w:rPr>
        <w:t>Meléndez</w:t>
      </w:r>
      <w:r>
        <w:rPr>
          <w:spacing w:val="-17"/>
          <w:w w:val="105"/>
          <w:sz w:val="19"/>
        </w:rPr>
        <w:t> </w:t>
      </w:r>
      <w:r>
        <w:rPr>
          <w:w w:val="105"/>
          <w:sz w:val="19"/>
        </w:rPr>
        <w:t>Pérez,</w:t>
      </w:r>
      <w:r>
        <w:rPr>
          <w:spacing w:val="-23"/>
          <w:w w:val="105"/>
          <w:sz w:val="19"/>
        </w:rPr>
        <w:t> </w:t>
      </w:r>
      <w:r>
        <w:rPr>
          <w:w w:val="105"/>
          <w:sz w:val="19"/>
        </w:rPr>
        <w:t>ambos</w:t>
      </w:r>
      <w:r>
        <w:rPr>
          <w:spacing w:val="-20"/>
          <w:w w:val="105"/>
          <w:sz w:val="19"/>
        </w:rPr>
        <w:t> </w:t>
      </w:r>
      <w:r>
        <w:rPr>
          <w:w w:val="105"/>
          <w:sz w:val="19"/>
        </w:rPr>
        <w:t>presidentes de la Comisión de Educación </w:t>
      </w:r>
      <w:r>
        <w:rPr>
          <w:spacing w:val="-3"/>
          <w:w w:val="105"/>
          <w:sz w:val="19"/>
        </w:rPr>
        <w:t>en </w:t>
      </w:r>
      <w:r>
        <w:rPr>
          <w:w w:val="105"/>
          <w:sz w:val="19"/>
        </w:rPr>
        <w:t>las respectivas cámaras; por el SNTE, el secretario general, Rafael Ochoa; por los padres de familia, los dirigentes </w:t>
      </w:r>
      <w:r>
        <w:rPr>
          <w:spacing w:val="-3"/>
          <w:w w:val="105"/>
          <w:sz w:val="19"/>
        </w:rPr>
        <w:t>de </w:t>
      </w:r>
      <w:r>
        <w:rPr>
          <w:w w:val="105"/>
          <w:sz w:val="19"/>
        </w:rPr>
        <w:t>la Asociación Nacional de Padres </w:t>
      </w:r>
      <w:r>
        <w:rPr>
          <w:spacing w:val="-3"/>
          <w:w w:val="105"/>
          <w:sz w:val="19"/>
        </w:rPr>
        <w:t>de </w:t>
      </w:r>
      <w:r>
        <w:rPr>
          <w:w w:val="105"/>
          <w:sz w:val="19"/>
        </w:rPr>
        <w:t>Familia y de la Unión de Padres </w:t>
      </w:r>
      <w:r>
        <w:rPr>
          <w:spacing w:val="-3"/>
          <w:w w:val="105"/>
          <w:sz w:val="19"/>
        </w:rPr>
        <w:t>de </w:t>
      </w:r>
      <w:r>
        <w:rPr>
          <w:w w:val="105"/>
          <w:sz w:val="19"/>
        </w:rPr>
        <w:t>Familia; por las universidades, el secretario general de la ANUIES; por los empresarios los líderes de la Concanaco y Concamin; por las asociaciones científicas,</w:t>
      </w:r>
      <w:r>
        <w:rPr>
          <w:spacing w:val="-8"/>
          <w:w w:val="105"/>
          <w:sz w:val="19"/>
        </w:rPr>
        <w:t> </w:t>
      </w:r>
      <w:r>
        <w:rPr>
          <w:spacing w:val="-4"/>
          <w:w w:val="105"/>
          <w:sz w:val="19"/>
        </w:rPr>
        <w:t>el </w:t>
      </w:r>
      <w:r>
        <w:rPr>
          <w:w w:val="105"/>
          <w:sz w:val="19"/>
        </w:rPr>
        <w:t>presidente</w:t>
      </w:r>
      <w:r>
        <w:rPr>
          <w:spacing w:val="-6"/>
          <w:w w:val="105"/>
          <w:sz w:val="19"/>
        </w:rPr>
        <w:t> </w:t>
      </w:r>
      <w:r>
        <w:rPr>
          <w:w w:val="105"/>
          <w:sz w:val="19"/>
        </w:rPr>
        <w:t>de</w:t>
      </w:r>
      <w:r>
        <w:rPr>
          <w:spacing w:val="-8"/>
          <w:w w:val="105"/>
          <w:sz w:val="19"/>
        </w:rPr>
        <w:t> </w:t>
      </w:r>
      <w:r>
        <w:rPr>
          <w:spacing w:val="-4"/>
          <w:w w:val="105"/>
          <w:sz w:val="19"/>
        </w:rPr>
        <w:t>la</w:t>
      </w:r>
      <w:r>
        <w:rPr>
          <w:spacing w:val="-6"/>
          <w:w w:val="105"/>
          <w:sz w:val="19"/>
        </w:rPr>
        <w:t> </w:t>
      </w:r>
      <w:r>
        <w:rPr>
          <w:w w:val="105"/>
          <w:sz w:val="19"/>
        </w:rPr>
        <w:t>Academia</w:t>
      </w:r>
      <w:r>
        <w:rPr>
          <w:spacing w:val="-6"/>
          <w:w w:val="105"/>
          <w:sz w:val="19"/>
        </w:rPr>
        <w:t> </w:t>
      </w:r>
      <w:r>
        <w:rPr>
          <w:w w:val="105"/>
          <w:sz w:val="19"/>
        </w:rPr>
        <w:t>Mexicana</w:t>
      </w:r>
      <w:r>
        <w:rPr>
          <w:spacing w:val="-6"/>
          <w:w w:val="105"/>
          <w:sz w:val="19"/>
        </w:rPr>
        <w:t> </w:t>
      </w:r>
      <w:r>
        <w:rPr>
          <w:w w:val="105"/>
          <w:sz w:val="19"/>
        </w:rPr>
        <w:t>de</w:t>
      </w:r>
      <w:r>
        <w:rPr>
          <w:spacing w:val="-8"/>
          <w:w w:val="105"/>
          <w:sz w:val="19"/>
        </w:rPr>
        <w:t> </w:t>
      </w:r>
      <w:r>
        <w:rPr>
          <w:w w:val="105"/>
          <w:sz w:val="19"/>
        </w:rPr>
        <w:t>la</w:t>
      </w:r>
      <w:r>
        <w:rPr>
          <w:spacing w:val="-8"/>
          <w:w w:val="105"/>
          <w:sz w:val="19"/>
        </w:rPr>
        <w:t> </w:t>
      </w:r>
      <w:r>
        <w:rPr>
          <w:w w:val="105"/>
          <w:sz w:val="19"/>
        </w:rPr>
        <w:t>Ciencia;</w:t>
      </w:r>
      <w:r>
        <w:rPr>
          <w:spacing w:val="-12"/>
          <w:w w:val="105"/>
          <w:sz w:val="19"/>
        </w:rPr>
        <w:t> </w:t>
      </w:r>
      <w:r>
        <w:rPr>
          <w:w w:val="105"/>
          <w:sz w:val="19"/>
        </w:rPr>
        <w:t>por</w:t>
      </w:r>
      <w:r>
        <w:rPr>
          <w:spacing w:val="-13"/>
          <w:w w:val="105"/>
          <w:sz w:val="19"/>
        </w:rPr>
        <w:t> </w:t>
      </w:r>
      <w:r>
        <w:rPr>
          <w:w w:val="105"/>
          <w:sz w:val="19"/>
        </w:rPr>
        <w:t>los</w:t>
      </w:r>
      <w:r>
        <w:rPr>
          <w:spacing w:val="-13"/>
          <w:w w:val="105"/>
          <w:sz w:val="19"/>
        </w:rPr>
        <w:t> </w:t>
      </w:r>
      <w:r>
        <w:rPr>
          <w:w w:val="105"/>
          <w:sz w:val="19"/>
        </w:rPr>
        <w:t>medios</w:t>
      </w:r>
      <w:r>
        <w:rPr>
          <w:spacing w:val="-12"/>
          <w:w w:val="105"/>
          <w:sz w:val="19"/>
        </w:rPr>
        <w:t> </w:t>
      </w:r>
      <w:r>
        <w:rPr>
          <w:w w:val="105"/>
          <w:sz w:val="19"/>
        </w:rPr>
        <w:t>de</w:t>
      </w:r>
      <w:r>
        <w:rPr>
          <w:spacing w:val="-8"/>
          <w:w w:val="105"/>
          <w:sz w:val="19"/>
        </w:rPr>
        <w:t> </w:t>
      </w:r>
      <w:r>
        <w:rPr>
          <w:w w:val="105"/>
          <w:sz w:val="19"/>
        </w:rPr>
        <w:t>comunicación, el</w:t>
      </w:r>
      <w:r>
        <w:rPr>
          <w:spacing w:val="-12"/>
          <w:w w:val="105"/>
          <w:sz w:val="19"/>
        </w:rPr>
        <w:t> </w:t>
      </w:r>
      <w:r>
        <w:rPr>
          <w:w w:val="105"/>
          <w:sz w:val="19"/>
        </w:rPr>
        <w:t>presidente</w:t>
      </w:r>
      <w:r>
        <w:rPr>
          <w:spacing w:val="-12"/>
          <w:w w:val="105"/>
          <w:sz w:val="19"/>
        </w:rPr>
        <w:t> </w:t>
      </w:r>
      <w:r>
        <w:rPr>
          <w:w w:val="105"/>
          <w:sz w:val="19"/>
        </w:rPr>
        <w:t>de</w:t>
      </w:r>
      <w:r>
        <w:rPr>
          <w:spacing w:val="-12"/>
          <w:w w:val="105"/>
          <w:sz w:val="19"/>
        </w:rPr>
        <w:t> </w:t>
      </w:r>
      <w:r>
        <w:rPr>
          <w:w w:val="105"/>
          <w:sz w:val="19"/>
        </w:rPr>
        <w:t>la</w:t>
      </w:r>
      <w:r>
        <w:rPr>
          <w:spacing w:val="-12"/>
          <w:w w:val="105"/>
          <w:sz w:val="19"/>
        </w:rPr>
        <w:t> </w:t>
      </w:r>
      <w:r>
        <w:rPr>
          <w:w w:val="105"/>
          <w:sz w:val="19"/>
        </w:rPr>
        <w:t>Cámara</w:t>
      </w:r>
      <w:r>
        <w:rPr>
          <w:spacing w:val="-12"/>
          <w:w w:val="105"/>
          <w:sz w:val="19"/>
        </w:rPr>
        <w:t> </w:t>
      </w:r>
      <w:r>
        <w:rPr>
          <w:w w:val="105"/>
          <w:sz w:val="19"/>
        </w:rPr>
        <w:t>Nacional</w:t>
      </w:r>
      <w:r>
        <w:rPr>
          <w:spacing w:val="-12"/>
          <w:w w:val="105"/>
          <w:sz w:val="19"/>
        </w:rPr>
        <w:t> </w:t>
      </w:r>
      <w:r>
        <w:rPr>
          <w:w w:val="105"/>
          <w:sz w:val="19"/>
        </w:rPr>
        <w:t>de</w:t>
      </w:r>
      <w:r>
        <w:rPr>
          <w:spacing w:val="-12"/>
          <w:w w:val="105"/>
          <w:sz w:val="19"/>
        </w:rPr>
        <w:t> </w:t>
      </w:r>
      <w:r>
        <w:rPr>
          <w:spacing w:val="-3"/>
          <w:w w:val="105"/>
          <w:sz w:val="19"/>
        </w:rPr>
        <w:t>la</w:t>
      </w:r>
      <w:r>
        <w:rPr>
          <w:spacing w:val="-10"/>
          <w:w w:val="105"/>
          <w:sz w:val="19"/>
        </w:rPr>
        <w:t> </w:t>
      </w:r>
      <w:r>
        <w:rPr>
          <w:w w:val="105"/>
          <w:sz w:val="19"/>
        </w:rPr>
        <w:t>Industria</w:t>
      </w:r>
      <w:r>
        <w:rPr>
          <w:spacing w:val="-10"/>
          <w:w w:val="105"/>
          <w:sz w:val="19"/>
        </w:rPr>
        <w:t> </w:t>
      </w:r>
      <w:r>
        <w:rPr>
          <w:w w:val="105"/>
          <w:sz w:val="19"/>
        </w:rPr>
        <w:t>de</w:t>
      </w:r>
      <w:r>
        <w:rPr>
          <w:spacing w:val="-12"/>
          <w:w w:val="105"/>
          <w:sz w:val="19"/>
        </w:rPr>
        <w:t> </w:t>
      </w:r>
      <w:r>
        <w:rPr>
          <w:w w:val="105"/>
          <w:sz w:val="19"/>
        </w:rPr>
        <w:t>la</w:t>
      </w:r>
      <w:r>
        <w:rPr>
          <w:spacing w:val="-12"/>
          <w:w w:val="105"/>
          <w:sz w:val="19"/>
        </w:rPr>
        <w:t> </w:t>
      </w:r>
      <w:r>
        <w:rPr>
          <w:w w:val="105"/>
          <w:sz w:val="19"/>
        </w:rPr>
        <w:t>Radio</w:t>
      </w:r>
      <w:r>
        <w:rPr>
          <w:spacing w:val="-10"/>
          <w:w w:val="105"/>
          <w:sz w:val="19"/>
        </w:rPr>
        <w:t> </w:t>
      </w:r>
      <w:r>
        <w:rPr>
          <w:w w:val="105"/>
          <w:sz w:val="19"/>
        </w:rPr>
        <w:t>y</w:t>
      </w:r>
      <w:r>
        <w:rPr>
          <w:spacing w:val="-16"/>
          <w:w w:val="105"/>
          <w:sz w:val="19"/>
        </w:rPr>
        <w:t> </w:t>
      </w:r>
      <w:r>
        <w:rPr>
          <w:w w:val="105"/>
          <w:sz w:val="19"/>
        </w:rPr>
        <w:t>Televisón;</w:t>
      </w:r>
      <w:r>
        <w:rPr>
          <w:spacing w:val="-12"/>
          <w:w w:val="105"/>
          <w:sz w:val="19"/>
        </w:rPr>
        <w:t> </w:t>
      </w:r>
      <w:r>
        <w:rPr>
          <w:w w:val="105"/>
          <w:sz w:val="19"/>
        </w:rPr>
        <w:t>por</w:t>
      </w:r>
      <w:r>
        <w:rPr>
          <w:spacing w:val="-16"/>
          <w:w w:val="105"/>
          <w:sz w:val="19"/>
        </w:rPr>
        <w:t> </w:t>
      </w:r>
      <w:r>
        <w:rPr>
          <w:w w:val="105"/>
          <w:sz w:val="19"/>
        </w:rPr>
        <w:t>las</w:t>
      </w:r>
      <w:r>
        <w:rPr>
          <w:spacing w:val="-12"/>
          <w:w w:val="105"/>
          <w:sz w:val="19"/>
        </w:rPr>
        <w:t> </w:t>
      </w:r>
      <w:r>
        <w:rPr>
          <w:w w:val="105"/>
          <w:sz w:val="19"/>
        </w:rPr>
        <w:t>organizaciones sociales,</w:t>
      </w:r>
      <w:r>
        <w:rPr>
          <w:spacing w:val="-21"/>
          <w:w w:val="105"/>
          <w:sz w:val="19"/>
        </w:rPr>
        <w:t> </w:t>
      </w:r>
      <w:r>
        <w:rPr>
          <w:w w:val="105"/>
          <w:sz w:val="19"/>
        </w:rPr>
        <w:t>Carlos</w:t>
      </w:r>
      <w:r>
        <w:rPr>
          <w:spacing w:val="-14"/>
          <w:w w:val="105"/>
          <w:sz w:val="19"/>
        </w:rPr>
        <w:t> </w:t>
      </w:r>
      <w:r>
        <w:rPr>
          <w:w w:val="105"/>
          <w:sz w:val="19"/>
        </w:rPr>
        <w:t>Slim,</w:t>
      </w:r>
      <w:r>
        <w:rPr>
          <w:spacing w:val="-17"/>
          <w:w w:val="105"/>
          <w:sz w:val="19"/>
        </w:rPr>
        <w:t> </w:t>
      </w:r>
      <w:r>
        <w:rPr>
          <w:w w:val="105"/>
          <w:sz w:val="19"/>
        </w:rPr>
        <w:t>como</w:t>
      </w:r>
      <w:r>
        <w:rPr>
          <w:spacing w:val="-19"/>
          <w:w w:val="105"/>
          <w:sz w:val="19"/>
        </w:rPr>
        <w:t> </w:t>
      </w:r>
      <w:r>
        <w:rPr>
          <w:w w:val="105"/>
          <w:sz w:val="19"/>
        </w:rPr>
        <w:t>presidente</w:t>
      </w:r>
      <w:r>
        <w:rPr>
          <w:spacing w:val="-14"/>
          <w:w w:val="105"/>
          <w:sz w:val="19"/>
        </w:rPr>
        <w:t> </w:t>
      </w:r>
      <w:r>
        <w:rPr>
          <w:w w:val="105"/>
          <w:sz w:val="19"/>
        </w:rPr>
        <w:t>de</w:t>
      </w:r>
      <w:r>
        <w:rPr>
          <w:spacing w:val="-14"/>
          <w:w w:val="105"/>
          <w:sz w:val="19"/>
        </w:rPr>
        <w:t> </w:t>
      </w:r>
      <w:r>
        <w:rPr>
          <w:w w:val="105"/>
          <w:sz w:val="19"/>
        </w:rPr>
        <w:t>la</w:t>
      </w:r>
      <w:r>
        <w:rPr>
          <w:spacing w:val="-14"/>
          <w:w w:val="105"/>
          <w:sz w:val="19"/>
        </w:rPr>
        <w:t> </w:t>
      </w:r>
      <w:r>
        <w:rPr>
          <w:w w:val="105"/>
          <w:sz w:val="19"/>
        </w:rPr>
        <w:t>Fundación</w:t>
      </w:r>
      <w:r>
        <w:rPr>
          <w:spacing w:val="-14"/>
          <w:w w:val="105"/>
          <w:sz w:val="19"/>
        </w:rPr>
        <w:t> </w:t>
      </w:r>
      <w:r>
        <w:rPr>
          <w:w w:val="105"/>
          <w:sz w:val="19"/>
        </w:rPr>
        <w:t>Telmex</w:t>
      </w:r>
      <w:r>
        <w:rPr>
          <w:spacing w:val="-21"/>
          <w:w w:val="105"/>
          <w:sz w:val="19"/>
        </w:rPr>
        <w:t> </w:t>
      </w:r>
      <w:r>
        <w:rPr>
          <w:w w:val="105"/>
          <w:sz w:val="19"/>
        </w:rPr>
        <w:t>y</w:t>
      </w:r>
      <w:r>
        <w:rPr>
          <w:spacing w:val="-18"/>
          <w:w w:val="105"/>
          <w:sz w:val="19"/>
        </w:rPr>
        <w:t> </w:t>
      </w:r>
      <w:r>
        <w:rPr>
          <w:w w:val="105"/>
          <w:sz w:val="19"/>
        </w:rPr>
        <w:t>por</w:t>
      </w:r>
      <w:r>
        <w:rPr>
          <w:spacing w:val="-18"/>
          <w:w w:val="105"/>
          <w:sz w:val="19"/>
        </w:rPr>
        <w:t> </w:t>
      </w:r>
      <w:r>
        <w:rPr>
          <w:w w:val="105"/>
          <w:sz w:val="19"/>
        </w:rPr>
        <w:t>las</w:t>
      </w:r>
      <w:r>
        <w:rPr>
          <w:spacing w:val="-19"/>
          <w:w w:val="105"/>
          <w:sz w:val="19"/>
        </w:rPr>
        <w:t> </w:t>
      </w:r>
      <w:r>
        <w:rPr>
          <w:w w:val="105"/>
          <w:sz w:val="19"/>
        </w:rPr>
        <w:t>asociaciones</w:t>
      </w:r>
      <w:r>
        <w:rPr>
          <w:spacing w:val="-18"/>
          <w:w w:val="105"/>
          <w:sz w:val="19"/>
        </w:rPr>
        <w:t> </w:t>
      </w:r>
      <w:r>
        <w:rPr>
          <w:w w:val="105"/>
          <w:sz w:val="19"/>
        </w:rPr>
        <w:t>religiosas,</w:t>
      </w:r>
      <w:r>
        <w:rPr>
          <w:spacing w:val="-17"/>
          <w:w w:val="105"/>
          <w:sz w:val="19"/>
        </w:rPr>
        <w:t> </w:t>
      </w:r>
      <w:r>
        <w:rPr>
          <w:w w:val="105"/>
          <w:sz w:val="19"/>
        </w:rPr>
        <w:t>el arzobispo</w:t>
      </w:r>
      <w:r>
        <w:rPr>
          <w:spacing w:val="-23"/>
          <w:w w:val="105"/>
          <w:sz w:val="19"/>
        </w:rPr>
        <w:t> </w:t>
      </w:r>
      <w:r>
        <w:rPr>
          <w:w w:val="105"/>
          <w:sz w:val="19"/>
        </w:rPr>
        <w:t>primado</w:t>
      </w:r>
      <w:r>
        <w:rPr>
          <w:spacing w:val="-23"/>
          <w:w w:val="105"/>
          <w:sz w:val="19"/>
        </w:rPr>
        <w:t> </w:t>
      </w:r>
      <w:r>
        <w:rPr>
          <w:w w:val="105"/>
          <w:sz w:val="19"/>
        </w:rPr>
        <w:t>de</w:t>
      </w:r>
      <w:r>
        <w:rPr>
          <w:spacing w:val="-20"/>
          <w:w w:val="105"/>
          <w:sz w:val="19"/>
        </w:rPr>
        <w:t> </w:t>
      </w:r>
      <w:r>
        <w:rPr>
          <w:w w:val="105"/>
          <w:sz w:val="19"/>
        </w:rPr>
        <w:t>México</w:t>
      </w:r>
      <w:r>
        <w:rPr>
          <w:spacing w:val="-23"/>
          <w:w w:val="105"/>
          <w:sz w:val="19"/>
        </w:rPr>
        <w:t> </w:t>
      </w:r>
      <w:r>
        <w:rPr>
          <w:w w:val="105"/>
          <w:sz w:val="19"/>
        </w:rPr>
        <w:t>(SNTE,</w:t>
      </w:r>
      <w:r>
        <w:rPr>
          <w:spacing w:val="-23"/>
          <w:w w:val="105"/>
          <w:sz w:val="19"/>
        </w:rPr>
        <w:t> </w:t>
      </w:r>
      <w:r>
        <w:rPr>
          <w:w w:val="105"/>
          <w:sz w:val="19"/>
        </w:rPr>
        <w:t>2002).</w:t>
      </w:r>
    </w:p>
    <w:p>
      <w:pPr>
        <w:spacing w:after="0" w:line="247" w:lineRule="auto"/>
        <w:jc w:val="both"/>
        <w:rPr>
          <w:sz w:val="19"/>
        </w:rPr>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8"/>
        <w:jc w:val="both"/>
      </w:pPr>
      <w:r>
        <w:rPr/>
        <w:t>docencia, </w:t>
      </w:r>
      <w:r>
        <w:rPr>
          <w:spacing w:val="-4"/>
        </w:rPr>
        <w:t>la </w:t>
      </w:r>
      <w:r>
        <w:rPr/>
        <w:t>dirección, </w:t>
      </w:r>
      <w:r>
        <w:rPr>
          <w:spacing w:val="-5"/>
        </w:rPr>
        <w:t>la </w:t>
      </w:r>
      <w:r>
        <w:rPr/>
        <w:t>supervisión y la jefatura de sector, impulsando medidas para que “el acceso a estos cargos sea mediante exámenes de ingreso al servicio;  y </w:t>
      </w:r>
      <w:r>
        <w:rPr>
          <w:spacing w:val="-3"/>
        </w:rPr>
        <w:t>las </w:t>
      </w:r>
      <w:r>
        <w:rPr/>
        <w:t>promociones de los docentes y los directivos se lleven a cabo a través de concursos de oposición”. Estos acuerdos nunca se cumplieron en doce años de gobiernos panistas, pero fueron </w:t>
      </w:r>
      <w:r>
        <w:rPr>
          <w:spacing w:val="-3"/>
        </w:rPr>
        <w:t>la </w:t>
      </w:r>
      <w:r>
        <w:rPr/>
        <w:t>base </w:t>
      </w:r>
      <w:r>
        <w:rPr>
          <w:spacing w:val="-3"/>
        </w:rPr>
        <w:t>del </w:t>
      </w:r>
      <w:r>
        <w:rPr/>
        <w:t>discurso inicial para legitimar </w:t>
      </w:r>
      <w:r>
        <w:rPr>
          <w:spacing w:val="-3"/>
        </w:rPr>
        <w:t>la </w:t>
      </w:r>
      <w:r>
        <w:rPr/>
        <w:t>política evaluativa en el ámbito del</w:t>
      </w:r>
      <w:r>
        <w:rPr>
          <w:spacing w:val="33"/>
        </w:rPr>
        <w:t> </w:t>
      </w:r>
      <w:r>
        <w:rPr/>
        <w:t>magisterio.</w:t>
      </w:r>
    </w:p>
    <w:p>
      <w:pPr>
        <w:pStyle w:val="BodyText"/>
        <w:spacing w:line="364" w:lineRule="auto" w:before="5"/>
        <w:ind w:left="115" w:right="105" w:firstLine="686"/>
        <w:jc w:val="both"/>
      </w:pPr>
      <w:r>
        <w:rPr/>
        <w:t>El documento se enmarcó en el Programa Nacional de Educación 2001– 2006 y pretendía establecer consensos para sumar esfuerzos de todos los grupos sociales y lograr así una educación de mejor calidad, tanto la que imparte el sector público como la que está a cargo del privado. El documento se compuso de siete partes: 1.¿Por qué y para qué este compromiso? 2. La educación que tenemos. 3. Los retos que enfrentamos. 4. Nuestra visión común. 5. Tareas en la educación. 6. Nuestros compromisos. 7. Naturaleza y sentido del presente compromiso (SNTE, 2002).</w:t>
      </w:r>
    </w:p>
    <w:p>
      <w:pPr>
        <w:pStyle w:val="BodyText"/>
        <w:spacing w:line="364" w:lineRule="auto" w:before="5"/>
        <w:ind w:left="116" w:right="105" w:firstLine="686"/>
        <w:jc w:val="both"/>
      </w:pPr>
      <w:r>
        <w:rPr/>
        <w:t>Es de resaltar </w:t>
      </w:r>
      <w:r>
        <w:rPr>
          <w:spacing w:val="-5"/>
        </w:rPr>
        <w:t>la </w:t>
      </w:r>
      <w:r>
        <w:rPr/>
        <w:t>segunda parte del </w:t>
      </w:r>
      <w:r>
        <w:rPr>
          <w:i/>
        </w:rPr>
        <w:t>Compromiso</w:t>
      </w:r>
      <w:r>
        <w:rPr/>
        <w:t>, “La educación que tenemos”, </w:t>
      </w:r>
      <w:r>
        <w:rPr>
          <w:spacing w:val="-3"/>
        </w:rPr>
        <w:t>ya </w:t>
      </w:r>
      <w:r>
        <w:rPr/>
        <w:t>que hace una síntesis del diagnóstico educativo que presenta con amplitud el Programa Nacional de Educación 2001–2006. Diagnosticando que “nuestro sistema educativo presenta, en diferentes medidas, fallas de articulación; rigidez en los programas </w:t>
      </w:r>
      <w:r>
        <w:rPr>
          <w:spacing w:val="-3"/>
        </w:rPr>
        <w:t>de </w:t>
      </w:r>
      <w:r>
        <w:rPr/>
        <w:t>estudio; insuficiente diversificación de  las  instituciones; repetición y deserción; falta de aprovechamiento; problemas de cobertura; </w:t>
      </w:r>
      <w:r>
        <w:rPr>
          <w:spacing w:val="2"/>
        </w:rPr>
        <w:t>así </w:t>
      </w:r>
      <w:r>
        <w:rPr/>
        <w:t>como desigualdades entre los estados, las regiones y </w:t>
      </w:r>
      <w:r>
        <w:rPr>
          <w:spacing w:val="-3"/>
        </w:rPr>
        <w:t>los </w:t>
      </w:r>
      <w:r>
        <w:rPr/>
        <w:t>diversos sectores sociales…la educación que tenemos no </w:t>
      </w:r>
      <w:r>
        <w:rPr>
          <w:spacing w:val="-3"/>
        </w:rPr>
        <w:t>es </w:t>
      </w:r>
      <w:r>
        <w:rPr/>
        <w:t>la que necesitamos para construir un México democrático, que responda a </w:t>
      </w:r>
      <w:r>
        <w:rPr>
          <w:spacing w:val="-3"/>
        </w:rPr>
        <w:t>las </w:t>
      </w:r>
      <w:r>
        <w:rPr/>
        <w:t>necesidades de </w:t>
      </w:r>
      <w:r>
        <w:rPr>
          <w:spacing w:val="-3"/>
        </w:rPr>
        <w:t>las </w:t>
      </w:r>
      <w:r>
        <w:rPr/>
        <w:t>nuevas generaciones y de la base productiva </w:t>
      </w:r>
      <w:r>
        <w:rPr>
          <w:spacing w:val="-3"/>
        </w:rPr>
        <w:t>en </w:t>
      </w:r>
      <w:r>
        <w:rPr/>
        <w:t>un entorno internacional globalizado. Así, además de señalar un conjunto de fallas ante las cuales se establece que el </w:t>
      </w:r>
      <w:r>
        <w:rPr>
          <w:spacing w:val="-3"/>
        </w:rPr>
        <w:t>eje </w:t>
      </w:r>
      <w:r>
        <w:rPr/>
        <w:t>de </w:t>
      </w:r>
      <w:r>
        <w:rPr>
          <w:spacing w:val="-5"/>
        </w:rPr>
        <w:t>la </w:t>
      </w:r>
      <w:r>
        <w:rPr/>
        <w:t>transformación educativa en México es mejorar la calidad y atender prioritariamente los problemas </w:t>
      </w:r>
      <w:r>
        <w:rPr>
          <w:spacing w:val="3"/>
        </w:rPr>
        <w:t>de </w:t>
      </w:r>
      <w:r>
        <w:rPr/>
        <w:t>falta de equidad (SNTE,</w:t>
      </w:r>
      <w:r>
        <w:rPr>
          <w:spacing w:val="54"/>
        </w:rPr>
        <w:t> </w:t>
      </w:r>
      <w:r>
        <w:rPr/>
        <w:t>2002).</w:t>
      </w:r>
    </w:p>
    <w:p>
      <w:pPr>
        <w:pStyle w:val="BodyText"/>
        <w:spacing w:line="364" w:lineRule="auto" w:before="5"/>
        <w:ind w:left="116" w:right="107" w:firstLine="686"/>
        <w:jc w:val="both"/>
      </w:pPr>
      <w:r>
        <w:rPr/>
        <w:t>Esta transformación supone, en la tercera parte, enfrentar cinco retos: 1) Transición demográfica (TD), que implica un crecimiento mayor de la población en edad laboral frente a la población dependiente; 2) Transición política (TP), que demanda la afirmación de  una  identidad  nacional cada vez más     incluyente,  así</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8"/>
        <w:jc w:val="both"/>
      </w:pPr>
      <w:r>
        <w:rPr/>
        <w:t>como el fortalecimiento de los valores democráticos; 3) Transición social (TS), que nos exige resolver </w:t>
      </w:r>
      <w:r>
        <w:rPr>
          <w:spacing w:val="-3"/>
        </w:rPr>
        <w:t>las </w:t>
      </w:r>
      <w:r>
        <w:rPr/>
        <w:t>desigualdades entre </w:t>
      </w:r>
      <w:r>
        <w:rPr>
          <w:spacing w:val="-3"/>
        </w:rPr>
        <w:t>los </w:t>
      </w:r>
      <w:r>
        <w:rPr/>
        <w:t>grupos sociales, las regiones geográficas y </w:t>
      </w:r>
      <w:r>
        <w:rPr>
          <w:spacing w:val="-3"/>
        </w:rPr>
        <w:t>los </w:t>
      </w:r>
      <w:r>
        <w:rPr/>
        <w:t>géneros que caracterizan a </w:t>
      </w:r>
      <w:r>
        <w:rPr>
          <w:spacing w:val="-3"/>
        </w:rPr>
        <w:t>la </w:t>
      </w:r>
      <w:r>
        <w:rPr/>
        <w:t>realidad nacional; </w:t>
      </w:r>
      <w:r>
        <w:rPr>
          <w:spacing w:val="2"/>
        </w:rPr>
        <w:t>4) </w:t>
      </w:r>
      <w:r>
        <w:rPr/>
        <w:t>Transición económica (TE), que trae consigo </w:t>
      </w:r>
      <w:r>
        <w:rPr>
          <w:spacing w:val="-4"/>
        </w:rPr>
        <w:t>la </w:t>
      </w:r>
      <w:r>
        <w:rPr/>
        <w:t>intensificación creciente de </w:t>
      </w:r>
      <w:r>
        <w:rPr>
          <w:spacing w:val="-3"/>
        </w:rPr>
        <w:t>los flujos </w:t>
      </w:r>
      <w:r>
        <w:rPr/>
        <w:t>de intercambio económico, financiero y de conocimiento; y 5) Transición cultural (TC), que reclama ciudadanos con </w:t>
      </w:r>
      <w:r>
        <w:rPr>
          <w:spacing w:val="-4"/>
        </w:rPr>
        <w:t>las </w:t>
      </w:r>
      <w:r>
        <w:rPr/>
        <w:t>actitudes y aptitudes necesarias para adaptarse a un contexto de cambio acelerado en todos </w:t>
      </w:r>
      <w:r>
        <w:rPr>
          <w:spacing w:val="-4"/>
        </w:rPr>
        <w:t>los</w:t>
      </w:r>
      <w:r>
        <w:rPr>
          <w:spacing w:val="55"/>
        </w:rPr>
        <w:t> </w:t>
      </w:r>
      <w:r>
        <w:rPr/>
        <w:t>órdenes y conscientes de </w:t>
      </w:r>
      <w:r>
        <w:rPr>
          <w:spacing w:val="-5"/>
        </w:rPr>
        <w:t>la </w:t>
      </w:r>
      <w:r>
        <w:rPr/>
        <w:t>necesidad de fortalecer la identidad nacional.</w:t>
      </w:r>
    </w:p>
    <w:p>
      <w:pPr>
        <w:pStyle w:val="BodyText"/>
        <w:spacing w:line="364" w:lineRule="auto" w:before="5"/>
        <w:ind w:left="115" w:right="109" w:firstLine="686"/>
        <w:jc w:val="both"/>
      </w:pPr>
      <w:r>
        <w:rPr/>
        <w:t>Para enfrentar esos retos, el documento dejó establecidos, en  la  cuarta parte, 12 “propósitos y principios que habrán de guiar esta suma de voluntades en apoyo a la gestión del sistema educativo”. Entre ellos los más importantes, a juicio de Arias y Bazdresch (2003), son:</w:t>
      </w:r>
    </w:p>
    <w:p>
      <w:pPr>
        <w:pStyle w:val="BodyText"/>
        <w:spacing w:line="364" w:lineRule="auto"/>
        <w:ind w:left="115" w:right="103" w:firstLine="686"/>
        <w:jc w:val="both"/>
      </w:pPr>
      <w:r>
        <w:rPr/>
        <w:t>Acuerdo con el carácter público, obligatorio, laico y gratuito de la educación que imparte </w:t>
      </w:r>
      <w:r>
        <w:rPr>
          <w:spacing w:val="3"/>
        </w:rPr>
        <w:t>el </w:t>
      </w:r>
      <w:r>
        <w:rPr/>
        <w:t>Estado; Alcanzar los más altos estándares </w:t>
      </w:r>
      <w:r>
        <w:rPr>
          <w:spacing w:val="3"/>
        </w:rPr>
        <w:t>de </w:t>
      </w:r>
      <w:r>
        <w:rPr/>
        <w:t>aprendizaje, sin distinción de género, etnia o condición social; Formar ciudadanos que aprecien y practiquen los derechos humanos; Formar docentes que propicien la capacidad de aprendizaje independiente de los educandos; Garantizar mecanismos de participación social para mejorar la calidad educativa; Evaluar participativa e integralmente el proceso educativo; Propiciar el incremento de los recursos económicos destinados al sistema educativo</w:t>
      </w:r>
      <w:r>
        <w:rPr>
          <w:spacing w:val="52"/>
        </w:rPr>
        <w:t> </w:t>
      </w:r>
      <w:r>
        <w:rPr/>
        <w:t>nacional.</w:t>
      </w:r>
    </w:p>
    <w:p>
      <w:pPr>
        <w:pStyle w:val="BodyText"/>
        <w:spacing w:line="364" w:lineRule="auto" w:before="5"/>
        <w:ind w:left="115" w:right="105" w:firstLine="686"/>
        <w:jc w:val="both"/>
      </w:pPr>
      <w:r>
        <w:rPr/>
        <w:t>A partir de estos propósitos comunes, los firmantes establecieron,  en  </w:t>
      </w:r>
      <w:r>
        <w:rPr>
          <w:spacing w:val="-5"/>
        </w:rPr>
        <w:t>la </w:t>
      </w:r>
      <w:r>
        <w:rPr/>
        <w:t>quinta parte, las tareas comunes que, en conjunto, formaron todo </w:t>
      </w:r>
      <w:r>
        <w:rPr>
          <w:spacing w:val="3"/>
        </w:rPr>
        <w:t>un </w:t>
      </w:r>
      <w:r>
        <w:rPr/>
        <w:t>programa nacional que complementaría de algún modo al Programa Nacional de Educación 2001–2006. Se tocaron los diferentes niveles educativos y para cada uno  se  planteó una visión definida y las tareas que según su parecer habrían sido necesarias para transitar desde el hoy (momento de firma del documento) hasta llegar a esta</w:t>
      </w:r>
      <w:r>
        <w:rPr>
          <w:spacing w:val="20"/>
        </w:rPr>
        <w:t> </w:t>
      </w:r>
      <w:r>
        <w:rPr/>
        <w:t>visión.</w:t>
      </w:r>
    </w:p>
    <w:p>
      <w:pPr>
        <w:pStyle w:val="BodyText"/>
        <w:spacing w:line="364" w:lineRule="auto" w:before="5"/>
        <w:ind w:left="115" w:right="104" w:firstLine="686"/>
        <w:jc w:val="both"/>
      </w:pPr>
      <w:r>
        <w:rPr/>
        <w:t>“Compromiso con una educación de calidad y equitativa implica,  para  el nivel básico, abocarnos al desarrollo de comunidades comprometidas con el aprendizaje, mismas comunidades que tienen, entre otras, las siguientes características:   una   visión   clara   y   compartida   de   los   objetivos  educativos;</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215" w:right="142"/>
        <w:jc w:val="both"/>
      </w:pPr>
      <w:r>
        <w:rPr/>
        <w:t>organización colegiada del trabajo; concentración del esfuerzo en </w:t>
      </w:r>
      <w:r>
        <w:rPr>
          <w:spacing w:val="-4"/>
        </w:rPr>
        <w:t>la</w:t>
      </w:r>
      <w:r>
        <w:rPr>
          <w:spacing w:val="55"/>
        </w:rPr>
        <w:t> </w:t>
      </w:r>
      <w:r>
        <w:rPr/>
        <w:t>mejora continua de la calidad; mayores márgenes de autonomía para la organización y administración de recursos; profesores empeñados en servir de ejemplo de disciplina, respeto y creatividad; participación de los padres </w:t>
      </w:r>
      <w:r>
        <w:rPr>
          <w:spacing w:val="2"/>
        </w:rPr>
        <w:t>de </w:t>
      </w:r>
      <w:r>
        <w:rPr/>
        <w:t>familia para hacer  de cada hogar un centro de aprendizaje e involucrar a las familias en las  actividades de la escuela; supervisores que facilitan la mejora de la práctica docente, mediante la formación de grupos de aprendizaje y procesos de autoevaluación” (SNTE,</w:t>
      </w:r>
      <w:r>
        <w:rPr>
          <w:spacing w:val="32"/>
        </w:rPr>
        <w:t> </w:t>
      </w:r>
      <w:r>
        <w:rPr/>
        <w:t>2002).</w:t>
      </w:r>
    </w:p>
    <w:p>
      <w:pPr>
        <w:pStyle w:val="BodyText"/>
        <w:rPr>
          <w:sz w:val="22"/>
        </w:rPr>
      </w:pPr>
    </w:p>
    <w:p>
      <w:pPr>
        <w:spacing w:before="155"/>
        <w:ind w:left="1486" w:right="1427" w:firstLine="0"/>
        <w:jc w:val="center"/>
        <w:rPr>
          <w:b/>
          <w:sz w:val="21"/>
        </w:rPr>
      </w:pPr>
      <w:r>
        <w:rPr>
          <w:b/>
          <w:sz w:val="21"/>
        </w:rPr>
        <w:t>Tabla N° 14</w:t>
      </w:r>
    </w:p>
    <w:p>
      <w:pPr>
        <w:pStyle w:val="BodyText"/>
        <w:spacing w:before="11"/>
        <w:rPr>
          <w:b/>
          <w:sz w:val="21"/>
        </w:rPr>
      </w:pPr>
    </w:p>
    <w:p>
      <w:pPr>
        <w:spacing w:line="242" w:lineRule="auto" w:before="0"/>
        <w:ind w:left="849" w:right="737" w:firstLine="681"/>
        <w:jc w:val="left"/>
        <w:rPr>
          <w:b/>
          <w:sz w:val="21"/>
        </w:rPr>
      </w:pPr>
      <w:r>
        <w:rPr>
          <w:b/>
          <w:sz w:val="21"/>
        </w:rPr>
        <w:t>Compromiso Social para la Calidad de la Educación (2002) Relación entre retos, compromisos y actores sociales que los   enfrentan</w:t>
      </w:r>
    </w:p>
    <w:p>
      <w:pPr>
        <w:pStyle w:val="BodyText"/>
        <w:rPr>
          <w:b/>
          <w:sz w:val="20"/>
        </w:rPr>
      </w:pPr>
    </w:p>
    <w:p>
      <w:pPr>
        <w:pStyle w:val="BodyText"/>
        <w:spacing w:before="7"/>
        <w:rPr>
          <w:b/>
          <w:sz w:val="16"/>
        </w:rPr>
      </w:pPr>
    </w:p>
    <w:tbl>
      <w:tblPr>
        <w:tblW w:w="0" w:type="auto"/>
        <w:jc w:val="left"/>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850"/>
        <w:gridCol w:w="2911"/>
        <w:gridCol w:w="2974"/>
      </w:tblGrid>
      <w:tr>
        <w:trPr>
          <w:trHeight w:val="691" w:hRule="exact"/>
        </w:trPr>
        <w:tc>
          <w:tcPr>
            <w:tcW w:w="2850" w:type="dxa"/>
            <w:tcBorders>
              <w:left w:val="nil"/>
              <w:right w:val="nil"/>
            </w:tcBorders>
          </w:tcPr>
          <w:p>
            <w:pPr>
              <w:pStyle w:val="TableParagraph"/>
              <w:spacing w:line="218" w:lineRule="exact"/>
              <w:ind w:left="356" w:right="305"/>
              <w:jc w:val="center"/>
              <w:rPr>
                <w:b/>
                <w:sz w:val="19"/>
              </w:rPr>
            </w:pPr>
            <w:r>
              <w:rPr>
                <w:b/>
                <w:w w:val="105"/>
                <w:sz w:val="19"/>
              </w:rPr>
              <w:t>Retos</w:t>
            </w:r>
          </w:p>
        </w:tc>
        <w:tc>
          <w:tcPr>
            <w:tcW w:w="2911" w:type="dxa"/>
            <w:tcBorders>
              <w:left w:val="nil"/>
              <w:right w:val="nil"/>
            </w:tcBorders>
          </w:tcPr>
          <w:p>
            <w:pPr>
              <w:pStyle w:val="TableParagraph"/>
              <w:spacing w:line="247" w:lineRule="auto"/>
              <w:ind w:left="932" w:right="88" w:hanging="634"/>
              <w:rPr>
                <w:b/>
                <w:sz w:val="19"/>
              </w:rPr>
            </w:pPr>
            <w:r>
              <w:rPr>
                <w:b/>
                <w:w w:val="105"/>
                <w:sz w:val="19"/>
              </w:rPr>
              <w:t>Cantidad de compromisos establecidos</w:t>
            </w:r>
          </w:p>
        </w:tc>
        <w:tc>
          <w:tcPr>
            <w:tcW w:w="2974" w:type="dxa"/>
            <w:tcBorders>
              <w:left w:val="nil"/>
              <w:right w:val="nil"/>
            </w:tcBorders>
          </w:tcPr>
          <w:p>
            <w:pPr>
              <w:pStyle w:val="TableParagraph"/>
              <w:spacing w:line="218" w:lineRule="exact"/>
              <w:ind w:left="747" w:right="93"/>
              <w:rPr>
                <w:b/>
                <w:sz w:val="19"/>
              </w:rPr>
            </w:pPr>
            <w:r>
              <w:rPr>
                <w:b/>
                <w:sz w:val="19"/>
              </w:rPr>
              <w:t>Actores sociales</w:t>
            </w:r>
          </w:p>
        </w:tc>
      </w:tr>
      <w:tr>
        <w:trPr>
          <w:trHeight w:val="458" w:hRule="exact"/>
        </w:trPr>
        <w:tc>
          <w:tcPr>
            <w:tcW w:w="2850" w:type="dxa"/>
            <w:tcBorders>
              <w:left w:val="nil"/>
              <w:bottom w:val="nil"/>
              <w:right w:val="nil"/>
            </w:tcBorders>
            <w:shd w:val="clear" w:color="auto" w:fill="BFBFBF"/>
          </w:tcPr>
          <w:p>
            <w:pPr>
              <w:pStyle w:val="TableParagraph"/>
              <w:spacing w:line="218" w:lineRule="exact"/>
              <w:ind w:left="361" w:right="305"/>
              <w:jc w:val="center"/>
              <w:rPr>
                <w:b/>
                <w:sz w:val="19"/>
              </w:rPr>
            </w:pPr>
            <w:r>
              <w:rPr>
                <w:b/>
                <w:sz w:val="19"/>
              </w:rPr>
              <w:t>Transición demográfica</w:t>
            </w:r>
          </w:p>
        </w:tc>
        <w:tc>
          <w:tcPr>
            <w:tcW w:w="2911" w:type="dxa"/>
            <w:tcBorders>
              <w:left w:val="nil"/>
              <w:bottom w:val="nil"/>
              <w:right w:val="nil"/>
            </w:tcBorders>
            <w:shd w:val="clear" w:color="auto" w:fill="BFBFBF"/>
          </w:tcPr>
          <w:p>
            <w:pPr>
              <w:pStyle w:val="TableParagraph"/>
              <w:spacing w:line="218" w:lineRule="exact"/>
              <w:ind w:right="1330"/>
              <w:jc w:val="right"/>
              <w:rPr>
                <w:sz w:val="19"/>
              </w:rPr>
            </w:pPr>
            <w:r>
              <w:rPr>
                <w:w w:val="103"/>
                <w:sz w:val="19"/>
              </w:rPr>
              <w:t>4</w:t>
            </w:r>
          </w:p>
        </w:tc>
        <w:tc>
          <w:tcPr>
            <w:tcW w:w="2974" w:type="dxa"/>
            <w:tcBorders>
              <w:left w:val="nil"/>
              <w:bottom w:val="nil"/>
              <w:right w:val="nil"/>
            </w:tcBorders>
            <w:shd w:val="clear" w:color="auto" w:fill="BFBFBF"/>
          </w:tcPr>
          <w:p>
            <w:pPr>
              <w:pStyle w:val="TableParagraph"/>
              <w:spacing w:line="218" w:lineRule="exact"/>
              <w:ind w:left="488" w:right="93"/>
              <w:rPr>
                <w:sz w:val="19"/>
              </w:rPr>
            </w:pPr>
            <w:r>
              <w:rPr>
                <w:w w:val="105"/>
                <w:sz w:val="19"/>
              </w:rPr>
              <w:t>SEP, 3; empresarios, 1.</w:t>
            </w:r>
          </w:p>
        </w:tc>
      </w:tr>
      <w:tr>
        <w:trPr>
          <w:trHeight w:val="671" w:hRule="exact"/>
        </w:trPr>
        <w:tc>
          <w:tcPr>
            <w:tcW w:w="2850" w:type="dxa"/>
            <w:tcBorders>
              <w:top w:val="nil"/>
              <w:left w:val="nil"/>
              <w:bottom w:val="nil"/>
              <w:right w:val="nil"/>
            </w:tcBorders>
          </w:tcPr>
          <w:p>
            <w:pPr>
              <w:pStyle w:val="TableParagraph"/>
              <w:spacing w:line="218" w:lineRule="exact"/>
              <w:ind w:left="361" w:right="301"/>
              <w:jc w:val="center"/>
              <w:rPr>
                <w:b/>
                <w:sz w:val="19"/>
              </w:rPr>
            </w:pPr>
            <w:r>
              <w:rPr>
                <w:b/>
                <w:sz w:val="19"/>
              </w:rPr>
              <w:t>Transición política</w:t>
            </w:r>
          </w:p>
        </w:tc>
        <w:tc>
          <w:tcPr>
            <w:tcW w:w="2911" w:type="dxa"/>
            <w:tcBorders>
              <w:top w:val="nil"/>
              <w:left w:val="nil"/>
              <w:bottom w:val="nil"/>
              <w:right w:val="nil"/>
            </w:tcBorders>
          </w:tcPr>
          <w:p>
            <w:pPr>
              <w:pStyle w:val="TableParagraph"/>
              <w:spacing w:line="218" w:lineRule="exact"/>
              <w:ind w:right="1330"/>
              <w:jc w:val="right"/>
              <w:rPr>
                <w:sz w:val="19"/>
              </w:rPr>
            </w:pPr>
            <w:r>
              <w:rPr>
                <w:w w:val="103"/>
                <w:sz w:val="19"/>
              </w:rPr>
              <w:t>9</w:t>
            </w:r>
          </w:p>
        </w:tc>
        <w:tc>
          <w:tcPr>
            <w:tcW w:w="2974" w:type="dxa"/>
            <w:tcBorders>
              <w:top w:val="nil"/>
              <w:left w:val="nil"/>
              <w:bottom w:val="nil"/>
              <w:right w:val="nil"/>
            </w:tcBorders>
          </w:tcPr>
          <w:p>
            <w:pPr>
              <w:pStyle w:val="TableParagraph"/>
              <w:spacing w:line="242" w:lineRule="auto"/>
              <w:ind w:left="166" w:right="93"/>
              <w:rPr>
                <w:sz w:val="19"/>
              </w:rPr>
            </w:pPr>
            <w:r>
              <w:rPr>
                <w:w w:val="105"/>
                <w:sz w:val="19"/>
              </w:rPr>
              <w:t>Autoridades educativas de los gobiernos federal y estatales, 3; legisladores, 2; magisterio y</w:t>
            </w:r>
          </w:p>
        </w:tc>
      </w:tr>
      <w:tr>
        <w:trPr>
          <w:trHeight w:val="226" w:hRule="exact"/>
        </w:trPr>
        <w:tc>
          <w:tcPr>
            <w:tcW w:w="2850" w:type="dxa"/>
            <w:tcBorders>
              <w:top w:val="nil"/>
              <w:left w:val="nil"/>
              <w:bottom w:val="nil"/>
              <w:right w:val="nil"/>
            </w:tcBorders>
          </w:tcPr>
          <w:p>
            <w:pPr/>
          </w:p>
        </w:tc>
        <w:tc>
          <w:tcPr>
            <w:tcW w:w="2911" w:type="dxa"/>
            <w:tcBorders>
              <w:top w:val="nil"/>
              <w:left w:val="nil"/>
              <w:bottom w:val="nil"/>
              <w:right w:val="nil"/>
            </w:tcBorders>
          </w:tcPr>
          <w:p>
            <w:pPr/>
          </w:p>
        </w:tc>
        <w:tc>
          <w:tcPr>
            <w:tcW w:w="2974" w:type="dxa"/>
            <w:tcBorders>
              <w:top w:val="nil"/>
              <w:left w:val="nil"/>
              <w:bottom w:val="nil"/>
              <w:right w:val="nil"/>
            </w:tcBorders>
          </w:tcPr>
          <w:p>
            <w:pPr>
              <w:pStyle w:val="TableParagraph"/>
              <w:spacing w:line="214" w:lineRule="exact"/>
              <w:ind w:left="166" w:right="93"/>
              <w:rPr>
                <w:sz w:val="19"/>
              </w:rPr>
            </w:pPr>
            <w:r>
              <w:rPr>
                <w:w w:val="105"/>
                <w:sz w:val="19"/>
              </w:rPr>
              <w:t>trabajadores de la educación,</w:t>
            </w:r>
          </w:p>
        </w:tc>
      </w:tr>
      <w:tr>
        <w:trPr>
          <w:trHeight w:val="226" w:hRule="exact"/>
        </w:trPr>
        <w:tc>
          <w:tcPr>
            <w:tcW w:w="2850" w:type="dxa"/>
            <w:tcBorders>
              <w:top w:val="nil"/>
              <w:left w:val="nil"/>
              <w:bottom w:val="nil"/>
              <w:right w:val="nil"/>
            </w:tcBorders>
          </w:tcPr>
          <w:p>
            <w:pPr/>
          </w:p>
        </w:tc>
        <w:tc>
          <w:tcPr>
            <w:tcW w:w="2911" w:type="dxa"/>
            <w:tcBorders>
              <w:top w:val="nil"/>
              <w:left w:val="nil"/>
              <w:bottom w:val="nil"/>
              <w:right w:val="nil"/>
            </w:tcBorders>
          </w:tcPr>
          <w:p>
            <w:pPr/>
          </w:p>
        </w:tc>
        <w:tc>
          <w:tcPr>
            <w:tcW w:w="2974" w:type="dxa"/>
            <w:tcBorders>
              <w:top w:val="nil"/>
              <w:left w:val="nil"/>
              <w:bottom w:val="nil"/>
              <w:right w:val="nil"/>
            </w:tcBorders>
          </w:tcPr>
          <w:p>
            <w:pPr>
              <w:pStyle w:val="TableParagraph"/>
              <w:spacing w:line="214" w:lineRule="exact"/>
              <w:ind w:left="166" w:right="93"/>
              <w:rPr>
                <w:sz w:val="19"/>
              </w:rPr>
            </w:pPr>
            <w:r>
              <w:rPr>
                <w:w w:val="105"/>
                <w:sz w:val="19"/>
              </w:rPr>
              <w:t>1; instituciones de educación</w:t>
            </w:r>
          </w:p>
        </w:tc>
      </w:tr>
      <w:tr>
        <w:trPr>
          <w:trHeight w:val="668" w:hRule="exact"/>
        </w:trPr>
        <w:tc>
          <w:tcPr>
            <w:tcW w:w="2850" w:type="dxa"/>
            <w:tcBorders>
              <w:top w:val="nil"/>
              <w:left w:val="nil"/>
              <w:bottom w:val="nil"/>
              <w:right w:val="nil"/>
            </w:tcBorders>
          </w:tcPr>
          <w:p>
            <w:pPr/>
          </w:p>
        </w:tc>
        <w:tc>
          <w:tcPr>
            <w:tcW w:w="2911" w:type="dxa"/>
            <w:tcBorders>
              <w:top w:val="nil"/>
              <w:left w:val="nil"/>
              <w:bottom w:val="nil"/>
              <w:right w:val="nil"/>
            </w:tcBorders>
          </w:tcPr>
          <w:p>
            <w:pPr/>
          </w:p>
        </w:tc>
        <w:tc>
          <w:tcPr>
            <w:tcW w:w="2974" w:type="dxa"/>
            <w:tcBorders>
              <w:top w:val="nil"/>
              <w:left w:val="nil"/>
              <w:bottom w:val="nil"/>
              <w:right w:val="nil"/>
            </w:tcBorders>
          </w:tcPr>
          <w:p>
            <w:pPr>
              <w:pStyle w:val="TableParagraph"/>
              <w:spacing w:line="242" w:lineRule="auto"/>
              <w:ind w:left="166" w:right="215"/>
              <w:rPr>
                <w:sz w:val="19"/>
              </w:rPr>
            </w:pPr>
            <w:r>
              <w:rPr>
                <w:w w:val="105"/>
                <w:sz w:val="19"/>
              </w:rPr>
              <w:t>media superior, 1; medios de comunicación, 2.</w:t>
            </w:r>
          </w:p>
        </w:tc>
      </w:tr>
      <w:tr>
        <w:trPr>
          <w:trHeight w:val="450" w:hRule="exact"/>
        </w:trPr>
        <w:tc>
          <w:tcPr>
            <w:tcW w:w="2850" w:type="dxa"/>
            <w:tcBorders>
              <w:top w:val="nil"/>
              <w:left w:val="nil"/>
              <w:bottom w:val="nil"/>
              <w:right w:val="nil"/>
            </w:tcBorders>
            <w:shd w:val="clear" w:color="auto" w:fill="BFBFBF"/>
          </w:tcPr>
          <w:p>
            <w:pPr>
              <w:pStyle w:val="TableParagraph"/>
              <w:spacing w:line="218" w:lineRule="exact"/>
              <w:ind w:left="361" w:right="297"/>
              <w:jc w:val="center"/>
              <w:rPr>
                <w:b/>
                <w:sz w:val="19"/>
              </w:rPr>
            </w:pPr>
            <w:r>
              <w:rPr>
                <w:b/>
                <w:w w:val="105"/>
                <w:sz w:val="19"/>
              </w:rPr>
              <w:t>Transición social</w:t>
            </w:r>
          </w:p>
        </w:tc>
        <w:tc>
          <w:tcPr>
            <w:tcW w:w="2911" w:type="dxa"/>
            <w:tcBorders>
              <w:top w:val="nil"/>
              <w:left w:val="nil"/>
              <w:bottom w:val="nil"/>
              <w:right w:val="nil"/>
            </w:tcBorders>
            <w:shd w:val="clear" w:color="auto" w:fill="BFBFBF"/>
          </w:tcPr>
          <w:p>
            <w:pPr>
              <w:pStyle w:val="TableParagraph"/>
              <w:spacing w:line="218" w:lineRule="exact"/>
              <w:ind w:right="1330"/>
              <w:jc w:val="right"/>
              <w:rPr>
                <w:sz w:val="19"/>
              </w:rPr>
            </w:pPr>
            <w:r>
              <w:rPr>
                <w:w w:val="103"/>
                <w:sz w:val="19"/>
              </w:rPr>
              <w:t>6</w:t>
            </w:r>
          </w:p>
        </w:tc>
        <w:tc>
          <w:tcPr>
            <w:tcW w:w="2974" w:type="dxa"/>
            <w:tcBorders>
              <w:top w:val="nil"/>
              <w:left w:val="nil"/>
              <w:bottom w:val="nil"/>
              <w:right w:val="nil"/>
            </w:tcBorders>
            <w:shd w:val="clear" w:color="auto" w:fill="BFBFBF"/>
          </w:tcPr>
          <w:p>
            <w:pPr>
              <w:pStyle w:val="TableParagraph"/>
              <w:spacing w:line="242" w:lineRule="auto"/>
              <w:ind w:left="166" w:right="93"/>
              <w:rPr>
                <w:sz w:val="19"/>
              </w:rPr>
            </w:pPr>
            <w:r>
              <w:rPr>
                <w:w w:val="105"/>
                <w:sz w:val="19"/>
              </w:rPr>
              <w:t>SEP, 3; empresarios, 1; </w:t>
            </w:r>
            <w:r>
              <w:rPr>
                <w:sz w:val="19"/>
              </w:rPr>
              <w:t>organizaciones sociales,</w:t>
            </w:r>
          </w:p>
        </w:tc>
      </w:tr>
      <w:tr>
        <w:trPr>
          <w:trHeight w:val="221" w:hRule="exact"/>
        </w:trPr>
        <w:tc>
          <w:tcPr>
            <w:tcW w:w="2850" w:type="dxa"/>
            <w:tcBorders>
              <w:top w:val="nil"/>
              <w:left w:val="nil"/>
              <w:bottom w:val="nil"/>
              <w:right w:val="nil"/>
            </w:tcBorders>
            <w:shd w:val="clear" w:color="auto" w:fill="BFBFBF"/>
          </w:tcPr>
          <w:p>
            <w:pPr/>
          </w:p>
        </w:tc>
        <w:tc>
          <w:tcPr>
            <w:tcW w:w="2911" w:type="dxa"/>
            <w:tcBorders>
              <w:top w:val="nil"/>
              <w:left w:val="nil"/>
              <w:bottom w:val="nil"/>
              <w:right w:val="nil"/>
            </w:tcBorders>
            <w:shd w:val="clear" w:color="auto" w:fill="BFBFBF"/>
          </w:tcPr>
          <w:p>
            <w:pPr/>
          </w:p>
        </w:tc>
        <w:tc>
          <w:tcPr>
            <w:tcW w:w="2974" w:type="dxa"/>
            <w:tcBorders>
              <w:top w:val="nil"/>
              <w:left w:val="nil"/>
              <w:bottom w:val="nil"/>
              <w:right w:val="nil"/>
            </w:tcBorders>
            <w:shd w:val="clear" w:color="auto" w:fill="BFBFBF"/>
          </w:tcPr>
          <w:p>
            <w:pPr>
              <w:pStyle w:val="TableParagraph"/>
              <w:spacing w:line="214" w:lineRule="exact"/>
              <w:ind w:left="166" w:right="93"/>
              <w:rPr>
                <w:sz w:val="19"/>
              </w:rPr>
            </w:pPr>
            <w:r>
              <w:rPr>
                <w:w w:val="105"/>
                <w:sz w:val="19"/>
              </w:rPr>
              <w:t>1;medios de comunicación, 1.</w:t>
            </w:r>
          </w:p>
        </w:tc>
      </w:tr>
      <w:tr>
        <w:trPr>
          <w:trHeight w:val="230" w:hRule="exact"/>
        </w:trPr>
        <w:tc>
          <w:tcPr>
            <w:tcW w:w="2850" w:type="dxa"/>
            <w:tcBorders>
              <w:top w:val="nil"/>
              <w:left w:val="nil"/>
              <w:bottom w:val="nil"/>
              <w:right w:val="nil"/>
            </w:tcBorders>
          </w:tcPr>
          <w:p>
            <w:pPr>
              <w:pStyle w:val="TableParagraph"/>
              <w:ind w:left="361" w:right="299"/>
              <w:jc w:val="center"/>
              <w:rPr>
                <w:b/>
                <w:sz w:val="19"/>
              </w:rPr>
            </w:pPr>
            <w:r>
              <w:rPr>
                <w:b/>
                <w:sz w:val="19"/>
              </w:rPr>
              <w:t>Transición económica</w:t>
            </w:r>
          </w:p>
        </w:tc>
        <w:tc>
          <w:tcPr>
            <w:tcW w:w="2911" w:type="dxa"/>
            <w:tcBorders>
              <w:top w:val="nil"/>
              <w:left w:val="nil"/>
              <w:bottom w:val="nil"/>
              <w:right w:val="nil"/>
            </w:tcBorders>
          </w:tcPr>
          <w:p>
            <w:pPr>
              <w:pStyle w:val="TableParagraph"/>
              <w:ind w:right="1330"/>
              <w:jc w:val="right"/>
              <w:rPr>
                <w:sz w:val="19"/>
              </w:rPr>
            </w:pPr>
            <w:r>
              <w:rPr>
                <w:w w:val="103"/>
                <w:sz w:val="19"/>
              </w:rPr>
              <w:t>5</w:t>
            </w:r>
          </w:p>
        </w:tc>
        <w:tc>
          <w:tcPr>
            <w:tcW w:w="2974" w:type="dxa"/>
            <w:tcBorders>
              <w:top w:val="nil"/>
              <w:left w:val="nil"/>
              <w:bottom w:val="nil"/>
              <w:right w:val="nil"/>
            </w:tcBorders>
          </w:tcPr>
          <w:p>
            <w:pPr>
              <w:pStyle w:val="TableParagraph"/>
              <w:ind w:left="166" w:right="93"/>
              <w:rPr>
                <w:sz w:val="19"/>
              </w:rPr>
            </w:pPr>
            <w:r>
              <w:rPr>
                <w:w w:val="105"/>
                <w:sz w:val="19"/>
              </w:rPr>
              <w:t>SEP, 2; autoridades del</w:t>
            </w:r>
          </w:p>
        </w:tc>
      </w:tr>
      <w:tr>
        <w:trPr>
          <w:trHeight w:val="442" w:hRule="exact"/>
        </w:trPr>
        <w:tc>
          <w:tcPr>
            <w:tcW w:w="2850" w:type="dxa"/>
            <w:tcBorders>
              <w:top w:val="nil"/>
              <w:left w:val="nil"/>
              <w:bottom w:val="nil"/>
              <w:right w:val="nil"/>
            </w:tcBorders>
          </w:tcPr>
          <w:p>
            <w:pPr/>
          </w:p>
        </w:tc>
        <w:tc>
          <w:tcPr>
            <w:tcW w:w="2911" w:type="dxa"/>
            <w:tcBorders>
              <w:top w:val="nil"/>
              <w:left w:val="nil"/>
              <w:bottom w:val="nil"/>
              <w:right w:val="nil"/>
            </w:tcBorders>
          </w:tcPr>
          <w:p>
            <w:pPr/>
          </w:p>
        </w:tc>
        <w:tc>
          <w:tcPr>
            <w:tcW w:w="2974" w:type="dxa"/>
            <w:tcBorders>
              <w:top w:val="nil"/>
              <w:left w:val="nil"/>
              <w:bottom w:val="nil"/>
              <w:right w:val="nil"/>
            </w:tcBorders>
          </w:tcPr>
          <w:p>
            <w:pPr>
              <w:pStyle w:val="TableParagraph"/>
              <w:spacing w:line="216" w:lineRule="exact" w:before="1"/>
              <w:ind w:left="166" w:right="603"/>
              <w:rPr>
                <w:sz w:val="19"/>
              </w:rPr>
            </w:pPr>
            <w:r>
              <w:rPr>
                <w:w w:val="105"/>
                <w:sz w:val="19"/>
              </w:rPr>
              <w:t>gobierno federal y de las entidades federativas, 1;</w:t>
            </w:r>
          </w:p>
        </w:tc>
      </w:tr>
      <w:tr>
        <w:trPr>
          <w:trHeight w:val="222" w:hRule="exact"/>
        </w:trPr>
        <w:tc>
          <w:tcPr>
            <w:tcW w:w="2850" w:type="dxa"/>
            <w:tcBorders>
              <w:top w:val="nil"/>
              <w:left w:val="nil"/>
              <w:bottom w:val="nil"/>
              <w:right w:val="nil"/>
            </w:tcBorders>
          </w:tcPr>
          <w:p>
            <w:pPr/>
          </w:p>
        </w:tc>
        <w:tc>
          <w:tcPr>
            <w:tcW w:w="2911" w:type="dxa"/>
            <w:tcBorders>
              <w:top w:val="nil"/>
              <w:left w:val="nil"/>
              <w:bottom w:val="nil"/>
              <w:right w:val="nil"/>
            </w:tcBorders>
          </w:tcPr>
          <w:p>
            <w:pPr/>
          </w:p>
        </w:tc>
        <w:tc>
          <w:tcPr>
            <w:tcW w:w="2974" w:type="dxa"/>
            <w:tcBorders>
              <w:top w:val="nil"/>
              <w:left w:val="nil"/>
              <w:bottom w:val="nil"/>
              <w:right w:val="nil"/>
            </w:tcBorders>
          </w:tcPr>
          <w:p>
            <w:pPr>
              <w:pStyle w:val="TableParagraph"/>
              <w:spacing w:line="214" w:lineRule="exact"/>
              <w:ind w:left="166" w:right="93"/>
              <w:rPr>
                <w:sz w:val="19"/>
              </w:rPr>
            </w:pPr>
            <w:r>
              <w:rPr>
                <w:w w:val="105"/>
                <w:sz w:val="19"/>
              </w:rPr>
              <w:t>legisladores, 2.</w:t>
            </w:r>
          </w:p>
        </w:tc>
      </w:tr>
      <w:tr>
        <w:trPr>
          <w:trHeight w:val="450" w:hRule="exact"/>
        </w:trPr>
        <w:tc>
          <w:tcPr>
            <w:tcW w:w="2850" w:type="dxa"/>
            <w:tcBorders>
              <w:top w:val="nil"/>
              <w:left w:val="nil"/>
              <w:bottom w:val="nil"/>
              <w:right w:val="nil"/>
            </w:tcBorders>
            <w:shd w:val="clear" w:color="auto" w:fill="BFBFBF"/>
          </w:tcPr>
          <w:p>
            <w:pPr>
              <w:pStyle w:val="TableParagraph"/>
              <w:spacing w:line="218" w:lineRule="exact"/>
              <w:ind w:left="360" w:right="305"/>
              <w:jc w:val="center"/>
              <w:rPr>
                <w:b/>
                <w:sz w:val="19"/>
              </w:rPr>
            </w:pPr>
            <w:r>
              <w:rPr>
                <w:b/>
                <w:sz w:val="19"/>
              </w:rPr>
              <w:t>Transición cultural</w:t>
            </w:r>
          </w:p>
        </w:tc>
        <w:tc>
          <w:tcPr>
            <w:tcW w:w="2911" w:type="dxa"/>
            <w:tcBorders>
              <w:top w:val="nil"/>
              <w:left w:val="nil"/>
              <w:bottom w:val="nil"/>
              <w:right w:val="nil"/>
            </w:tcBorders>
            <w:shd w:val="clear" w:color="auto" w:fill="BFBFBF"/>
          </w:tcPr>
          <w:p>
            <w:pPr>
              <w:pStyle w:val="TableParagraph"/>
              <w:spacing w:line="218" w:lineRule="exact"/>
              <w:ind w:right="1287"/>
              <w:jc w:val="right"/>
              <w:rPr>
                <w:sz w:val="19"/>
              </w:rPr>
            </w:pPr>
            <w:r>
              <w:rPr>
                <w:sz w:val="19"/>
              </w:rPr>
              <w:t>29</w:t>
            </w:r>
          </w:p>
        </w:tc>
        <w:tc>
          <w:tcPr>
            <w:tcW w:w="2974" w:type="dxa"/>
            <w:tcBorders>
              <w:top w:val="nil"/>
              <w:left w:val="nil"/>
              <w:bottom w:val="nil"/>
              <w:right w:val="nil"/>
            </w:tcBorders>
            <w:shd w:val="clear" w:color="auto" w:fill="BFBFBF"/>
          </w:tcPr>
          <w:p>
            <w:pPr>
              <w:pStyle w:val="TableParagraph"/>
              <w:spacing w:line="242" w:lineRule="auto"/>
              <w:ind w:left="166" w:right="315"/>
              <w:rPr>
                <w:sz w:val="19"/>
              </w:rPr>
            </w:pPr>
            <w:r>
              <w:rPr>
                <w:w w:val="105"/>
                <w:sz w:val="19"/>
              </w:rPr>
              <w:t>SEP, 1; autoridades educativas de los gobiernos</w:t>
            </w:r>
          </w:p>
        </w:tc>
      </w:tr>
      <w:tr>
        <w:trPr>
          <w:trHeight w:val="226" w:hRule="exact"/>
        </w:trPr>
        <w:tc>
          <w:tcPr>
            <w:tcW w:w="5762" w:type="dxa"/>
            <w:gridSpan w:val="2"/>
            <w:vMerge w:val="restart"/>
            <w:tcBorders>
              <w:top w:val="nil"/>
              <w:left w:val="nil"/>
              <w:right w:val="nil"/>
            </w:tcBorders>
            <w:shd w:val="clear" w:color="auto" w:fill="BFBFBF"/>
          </w:tcPr>
          <w:p>
            <w:pPr/>
          </w:p>
        </w:tc>
        <w:tc>
          <w:tcPr>
            <w:tcW w:w="2974" w:type="dxa"/>
            <w:tcBorders>
              <w:top w:val="nil"/>
              <w:left w:val="nil"/>
              <w:bottom w:val="nil"/>
              <w:right w:val="nil"/>
            </w:tcBorders>
            <w:shd w:val="clear" w:color="auto" w:fill="BFBFBF"/>
          </w:tcPr>
          <w:p>
            <w:pPr>
              <w:pStyle w:val="TableParagraph"/>
              <w:spacing w:line="214" w:lineRule="exact"/>
              <w:ind w:left="166" w:right="93"/>
              <w:rPr>
                <w:sz w:val="19"/>
              </w:rPr>
            </w:pPr>
            <w:r>
              <w:rPr>
                <w:w w:val="105"/>
                <w:sz w:val="19"/>
              </w:rPr>
              <w:t>federal y estatales, 1;</w:t>
            </w:r>
          </w:p>
        </w:tc>
      </w:tr>
      <w:tr>
        <w:trPr>
          <w:trHeight w:val="226" w:hRule="exact"/>
        </w:trPr>
        <w:tc>
          <w:tcPr>
            <w:tcW w:w="5762" w:type="dxa"/>
            <w:gridSpan w:val="2"/>
            <w:vMerge/>
            <w:tcBorders>
              <w:left w:val="nil"/>
              <w:right w:val="nil"/>
            </w:tcBorders>
            <w:shd w:val="clear" w:color="auto" w:fill="BFBFBF"/>
          </w:tcPr>
          <w:p>
            <w:pPr/>
          </w:p>
        </w:tc>
        <w:tc>
          <w:tcPr>
            <w:tcW w:w="2974" w:type="dxa"/>
            <w:tcBorders>
              <w:top w:val="nil"/>
              <w:left w:val="nil"/>
              <w:bottom w:val="nil"/>
              <w:right w:val="nil"/>
            </w:tcBorders>
            <w:shd w:val="clear" w:color="auto" w:fill="BFBFBF"/>
          </w:tcPr>
          <w:p>
            <w:pPr>
              <w:pStyle w:val="TableParagraph"/>
              <w:spacing w:line="214" w:lineRule="exact"/>
              <w:ind w:left="166" w:right="93"/>
              <w:rPr>
                <w:sz w:val="19"/>
              </w:rPr>
            </w:pPr>
            <w:r>
              <w:rPr>
                <w:w w:val="105"/>
                <w:sz w:val="19"/>
              </w:rPr>
              <w:t>legisladores, 2;magisterio y</w:t>
            </w:r>
          </w:p>
        </w:tc>
      </w:tr>
      <w:tr>
        <w:trPr>
          <w:trHeight w:val="446" w:hRule="exact"/>
        </w:trPr>
        <w:tc>
          <w:tcPr>
            <w:tcW w:w="5762" w:type="dxa"/>
            <w:gridSpan w:val="2"/>
            <w:vMerge/>
            <w:tcBorders>
              <w:left w:val="nil"/>
              <w:right w:val="nil"/>
            </w:tcBorders>
            <w:shd w:val="clear" w:color="auto" w:fill="BFBFBF"/>
          </w:tcPr>
          <w:p>
            <w:pPr/>
          </w:p>
        </w:tc>
        <w:tc>
          <w:tcPr>
            <w:tcW w:w="2974" w:type="dxa"/>
            <w:tcBorders>
              <w:top w:val="nil"/>
              <w:left w:val="nil"/>
              <w:bottom w:val="nil"/>
              <w:right w:val="nil"/>
            </w:tcBorders>
            <w:shd w:val="clear" w:color="auto" w:fill="BFBFBF"/>
          </w:tcPr>
          <w:p>
            <w:pPr>
              <w:pStyle w:val="TableParagraph"/>
              <w:spacing w:line="242" w:lineRule="auto"/>
              <w:ind w:left="166" w:right="170"/>
              <w:rPr>
                <w:sz w:val="19"/>
              </w:rPr>
            </w:pPr>
            <w:r>
              <w:rPr>
                <w:w w:val="105"/>
                <w:sz w:val="19"/>
              </w:rPr>
              <w:t>trabajadores de la educación, 2; SNTE, 7; ANUIES y</w:t>
            </w:r>
          </w:p>
        </w:tc>
      </w:tr>
      <w:tr>
        <w:trPr>
          <w:trHeight w:val="226" w:hRule="exact"/>
        </w:trPr>
        <w:tc>
          <w:tcPr>
            <w:tcW w:w="5762" w:type="dxa"/>
            <w:gridSpan w:val="2"/>
            <w:vMerge/>
            <w:tcBorders>
              <w:left w:val="nil"/>
              <w:right w:val="nil"/>
            </w:tcBorders>
            <w:shd w:val="clear" w:color="auto" w:fill="BFBFBF"/>
          </w:tcPr>
          <w:p>
            <w:pPr/>
          </w:p>
        </w:tc>
        <w:tc>
          <w:tcPr>
            <w:tcW w:w="2974" w:type="dxa"/>
            <w:tcBorders>
              <w:top w:val="nil"/>
              <w:left w:val="nil"/>
              <w:bottom w:val="nil"/>
              <w:right w:val="nil"/>
            </w:tcBorders>
            <w:shd w:val="clear" w:color="auto" w:fill="BFBFBF"/>
          </w:tcPr>
          <w:p>
            <w:pPr>
              <w:pStyle w:val="TableParagraph"/>
              <w:spacing w:line="214" w:lineRule="exact"/>
              <w:ind w:left="166" w:right="93"/>
              <w:rPr>
                <w:sz w:val="19"/>
              </w:rPr>
            </w:pPr>
            <w:r>
              <w:rPr>
                <w:w w:val="105"/>
                <w:sz w:val="19"/>
              </w:rPr>
              <w:t>FIMPES, 4; instituciones de</w:t>
            </w:r>
          </w:p>
        </w:tc>
      </w:tr>
      <w:tr>
        <w:trPr>
          <w:trHeight w:val="226" w:hRule="exact"/>
        </w:trPr>
        <w:tc>
          <w:tcPr>
            <w:tcW w:w="5762" w:type="dxa"/>
            <w:gridSpan w:val="2"/>
            <w:vMerge/>
            <w:tcBorders>
              <w:left w:val="nil"/>
              <w:right w:val="nil"/>
            </w:tcBorders>
            <w:shd w:val="clear" w:color="auto" w:fill="BFBFBF"/>
          </w:tcPr>
          <w:p>
            <w:pPr/>
          </w:p>
        </w:tc>
        <w:tc>
          <w:tcPr>
            <w:tcW w:w="2974" w:type="dxa"/>
            <w:tcBorders>
              <w:top w:val="nil"/>
              <w:left w:val="nil"/>
              <w:bottom w:val="nil"/>
              <w:right w:val="nil"/>
            </w:tcBorders>
            <w:shd w:val="clear" w:color="auto" w:fill="BFBFBF"/>
          </w:tcPr>
          <w:p>
            <w:pPr>
              <w:pStyle w:val="TableParagraph"/>
              <w:spacing w:line="214" w:lineRule="exact"/>
              <w:ind w:left="166" w:right="93"/>
              <w:rPr>
                <w:sz w:val="19"/>
              </w:rPr>
            </w:pPr>
            <w:r>
              <w:rPr>
                <w:w w:val="105"/>
                <w:sz w:val="19"/>
              </w:rPr>
              <w:t>media superior, 1;padres de</w:t>
            </w:r>
          </w:p>
        </w:tc>
      </w:tr>
      <w:tr>
        <w:trPr>
          <w:trHeight w:val="442" w:hRule="exact"/>
        </w:trPr>
        <w:tc>
          <w:tcPr>
            <w:tcW w:w="5762" w:type="dxa"/>
            <w:gridSpan w:val="2"/>
            <w:vMerge/>
            <w:tcBorders>
              <w:left w:val="nil"/>
              <w:right w:val="nil"/>
            </w:tcBorders>
            <w:shd w:val="clear" w:color="auto" w:fill="BFBFBF"/>
          </w:tcPr>
          <w:p>
            <w:pPr/>
          </w:p>
        </w:tc>
        <w:tc>
          <w:tcPr>
            <w:tcW w:w="2974" w:type="dxa"/>
            <w:tcBorders>
              <w:top w:val="nil"/>
              <w:left w:val="nil"/>
              <w:bottom w:val="nil"/>
              <w:right w:val="nil"/>
            </w:tcBorders>
            <w:shd w:val="clear" w:color="auto" w:fill="BFBFBF"/>
          </w:tcPr>
          <w:p>
            <w:pPr>
              <w:pStyle w:val="TableParagraph"/>
              <w:spacing w:line="213" w:lineRule="exact"/>
              <w:ind w:left="166" w:right="93"/>
              <w:rPr>
                <w:sz w:val="19"/>
              </w:rPr>
            </w:pPr>
            <w:r>
              <w:rPr>
                <w:w w:val="105"/>
                <w:sz w:val="19"/>
              </w:rPr>
              <w:t>familia, 4;</w:t>
            </w:r>
          </w:p>
          <w:p>
            <w:pPr>
              <w:pStyle w:val="TableParagraph"/>
              <w:spacing w:line="217" w:lineRule="exact"/>
              <w:ind w:left="166" w:right="93"/>
              <w:rPr>
                <w:sz w:val="19"/>
              </w:rPr>
            </w:pPr>
            <w:r>
              <w:rPr>
                <w:w w:val="105"/>
                <w:sz w:val="19"/>
              </w:rPr>
              <w:t>intelectuales, científicos y</w:t>
            </w:r>
          </w:p>
        </w:tc>
      </w:tr>
      <w:tr>
        <w:trPr>
          <w:trHeight w:val="226" w:hRule="exact"/>
        </w:trPr>
        <w:tc>
          <w:tcPr>
            <w:tcW w:w="5762" w:type="dxa"/>
            <w:gridSpan w:val="2"/>
            <w:vMerge/>
            <w:tcBorders>
              <w:left w:val="nil"/>
              <w:right w:val="nil"/>
            </w:tcBorders>
            <w:shd w:val="clear" w:color="auto" w:fill="BFBFBF"/>
          </w:tcPr>
          <w:p>
            <w:pPr/>
          </w:p>
        </w:tc>
        <w:tc>
          <w:tcPr>
            <w:tcW w:w="2974" w:type="dxa"/>
            <w:tcBorders>
              <w:top w:val="nil"/>
              <w:left w:val="nil"/>
              <w:bottom w:val="nil"/>
              <w:right w:val="nil"/>
            </w:tcBorders>
            <w:shd w:val="clear" w:color="auto" w:fill="BFBFBF"/>
          </w:tcPr>
          <w:p>
            <w:pPr>
              <w:pStyle w:val="TableParagraph"/>
              <w:spacing w:line="214" w:lineRule="exact"/>
              <w:ind w:left="166" w:right="93"/>
              <w:rPr>
                <w:sz w:val="19"/>
              </w:rPr>
            </w:pPr>
            <w:r>
              <w:rPr>
                <w:w w:val="105"/>
                <w:sz w:val="19"/>
              </w:rPr>
              <w:t>creadores artísticos, 3;</w:t>
            </w:r>
          </w:p>
        </w:tc>
      </w:tr>
      <w:tr>
        <w:trPr>
          <w:trHeight w:val="226" w:hRule="exact"/>
        </w:trPr>
        <w:tc>
          <w:tcPr>
            <w:tcW w:w="5762" w:type="dxa"/>
            <w:gridSpan w:val="2"/>
            <w:vMerge/>
            <w:tcBorders>
              <w:left w:val="nil"/>
              <w:bottom w:val="single" w:sz="8" w:space="0" w:color="000000"/>
              <w:right w:val="nil"/>
            </w:tcBorders>
            <w:shd w:val="clear" w:color="auto" w:fill="BFBFBF"/>
          </w:tcPr>
          <w:p>
            <w:pPr/>
          </w:p>
        </w:tc>
        <w:tc>
          <w:tcPr>
            <w:tcW w:w="2974" w:type="dxa"/>
            <w:tcBorders>
              <w:top w:val="nil"/>
              <w:left w:val="nil"/>
              <w:bottom w:val="single" w:sz="8" w:space="0" w:color="000000"/>
              <w:right w:val="nil"/>
            </w:tcBorders>
            <w:shd w:val="clear" w:color="auto" w:fill="BFBFBF"/>
          </w:tcPr>
          <w:p>
            <w:pPr>
              <w:pStyle w:val="TableParagraph"/>
              <w:spacing w:line="214" w:lineRule="exact"/>
              <w:ind w:left="166" w:right="93"/>
              <w:rPr>
                <w:sz w:val="19"/>
              </w:rPr>
            </w:pPr>
            <w:r>
              <w:rPr>
                <w:w w:val="105"/>
                <w:sz w:val="19"/>
              </w:rPr>
              <w:t>empresarios, 1; medios 3</w:t>
            </w:r>
          </w:p>
        </w:tc>
      </w:tr>
    </w:tbl>
    <w:p>
      <w:pPr>
        <w:spacing w:after="0" w:line="214" w:lineRule="exact"/>
        <w:rPr>
          <w:sz w:val="19"/>
        </w:rPr>
        <w:sectPr>
          <w:pgSz w:w="11910" w:h="16840"/>
          <w:pgMar w:header="0" w:footer="1457" w:top="1580" w:bottom="1640" w:left="1440" w:right="1500"/>
        </w:sectPr>
      </w:pPr>
    </w:p>
    <w:p>
      <w:pPr>
        <w:pStyle w:val="BodyText"/>
        <w:rPr>
          <w:b/>
          <w:sz w:val="20"/>
        </w:rPr>
      </w:pPr>
    </w:p>
    <w:p>
      <w:pPr>
        <w:pStyle w:val="BodyText"/>
        <w:spacing w:before="2"/>
        <w:rPr>
          <w:b/>
          <w:sz w:val="16"/>
        </w:rPr>
      </w:pPr>
    </w:p>
    <w:p>
      <w:pPr>
        <w:pStyle w:val="ListParagraph"/>
        <w:numPr>
          <w:ilvl w:val="2"/>
          <w:numId w:val="14"/>
        </w:numPr>
        <w:tabs>
          <w:tab w:pos="697" w:val="left" w:leader="none"/>
        </w:tabs>
        <w:spacing w:line="240" w:lineRule="auto" w:before="74" w:after="0"/>
        <w:ind w:left="696" w:right="0" w:hanging="580"/>
        <w:jc w:val="both"/>
        <w:rPr>
          <w:b/>
          <w:sz w:val="23"/>
        </w:rPr>
      </w:pPr>
      <w:r>
        <w:rPr>
          <w:b/>
          <w:sz w:val="23"/>
        </w:rPr>
        <w:t>El </w:t>
      </w:r>
      <w:r>
        <w:rPr>
          <w:b/>
          <w:i/>
          <w:sz w:val="23"/>
        </w:rPr>
        <w:t>Compromiso </w:t>
      </w:r>
      <w:r>
        <w:rPr>
          <w:b/>
          <w:sz w:val="23"/>
        </w:rPr>
        <w:t>y los juegos de</w:t>
      </w:r>
      <w:r>
        <w:rPr>
          <w:b/>
          <w:spacing w:val="53"/>
          <w:sz w:val="23"/>
        </w:rPr>
        <w:t> </w:t>
      </w:r>
      <w:r>
        <w:rPr>
          <w:b/>
          <w:sz w:val="23"/>
        </w:rPr>
        <w:t>poder</w:t>
      </w:r>
    </w:p>
    <w:p>
      <w:pPr>
        <w:pStyle w:val="BodyText"/>
        <w:spacing w:line="364" w:lineRule="auto" w:before="143"/>
        <w:ind w:left="115" w:right="102"/>
        <w:jc w:val="both"/>
      </w:pPr>
      <w:r>
        <w:rPr/>
        <w:t>La SEP, como institución del Poder Ejecutivo, </w:t>
      </w:r>
      <w:r>
        <w:rPr>
          <w:spacing w:val="-2"/>
        </w:rPr>
        <w:t>asumió </w:t>
      </w:r>
      <w:r>
        <w:rPr/>
        <w:t>los siguientes compromisos,   a partir de las “transiciones” referidas. Con respecto a </w:t>
      </w:r>
      <w:r>
        <w:rPr>
          <w:spacing w:val="-3"/>
        </w:rPr>
        <w:t>la </w:t>
      </w:r>
      <w:r>
        <w:rPr/>
        <w:t>TD se enumeraron </w:t>
      </w:r>
      <w:r>
        <w:rPr>
          <w:spacing w:val="-3"/>
        </w:rPr>
        <w:t>los </w:t>
      </w:r>
      <w:r>
        <w:rPr/>
        <w:t>siguientes compromisos: 1) cumplir eficazmente la función rectora y coordinadora  de </w:t>
      </w:r>
      <w:r>
        <w:rPr>
          <w:spacing w:val="-3"/>
        </w:rPr>
        <w:t>la </w:t>
      </w:r>
      <w:r>
        <w:rPr/>
        <w:t>educación por medio de una estructura redefinida y con dimensiones  reducidas que dé mayor racionalidad a los procesos de gestión educativa; 2) procurar que la solución de problemas y la toma de decisiones en el proceso educativo ocurran en las instancias del sistema más cercanas a cada comunidad escolar; y 3) impulsar </w:t>
      </w:r>
      <w:r>
        <w:rPr>
          <w:spacing w:val="-4"/>
        </w:rPr>
        <w:t>la </w:t>
      </w:r>
      <w:r>
        <w:rPr/>
        <w:t>expansión y el desarrollo de las instituciones que imparten educación media superior y superior en sus diversas </w:t>
      </w:r>
      <w:r>
        <w:rPr>
          <w:spacing w:val="7"/>
        </w:rPr>
        <w:t> </w:t>
      </w:r>
      <w:r>
        <w:rPr/>
        <w:t>modalidades.</w:t>
      </w:r>
    </w:p>
    <w:p>
      <w:pPr>
        <w:pStyle w:val="BodyText"/>
        <w:spacing w:line="364" w:lineRule="auto" w:before="5"/>
        <w:ind w:left="115" w:right="105" w:firstLine="686"/>
        <w:jc w:val="both"/>
      </w:pPr>
      <w:r>
        <w:rPr/>
        <w:t>En </w:t>
      </w:r>
      <w:r>
        <w:rPr>
          <w:spacing w:val="-5"/>
        </w:rPr>
        <w:t>lo </w:t>
      </w:r>
      <w:r>
        <w:rPr/>
        <w:t>relativo a la TS, </w:t>
      </w:r>
      <w:r>
        <w:rPr>
          <w:spacing w:val="2"/>
        </w:rPr>
        <w:t>se </w:t>
      </w:r>
      <w:r>
        <w:rPr/>
        <w:t>establecieron los siguientes compromisos: 1) dar alta prioridad a la formación y el desarrollo profesional de </w:t>
      </w:r>
      <w:r>
        <w:rPr>
          <w:spacing w:val="-3"/>
        </w:rPr>
        <w:t>los </w:t>
      </w:r>
      <w:r>
        <w:rPr/>
        <w:t>maestros; 2) definir contenidos educativos relevantes y de alcance nacional para la educación básica mediante mecanismos que propicien una mayor participación de las entidades federativas; 3) establecer estándares de aprovechamiento para evaluar </w:t>
      </w:r>
      <w:r>
        <w:rPr>
          <w:spacing w:val="-3"/>
        </w:rPr>
        <w:t>los </w:t>
      </w:r>
      <w:r>
        <w:rPr/>
        <w:t>aprendizajes; 4) crear mecanismos de planeación y administración que permitan orientar </w:t>
      </w:r>
      <w:r>
        <w:rPr>
          <w:spacing w:val="-4"/>
        </w:rPr>
        <w:t>la </w:t>
      </w:r>
      <w:r>
        <w:rPr/>
        <w:t>asignación de los recursos públicos con un sentido de equidad y mediante criterios transparentes con base </w:t>
      </w:r>
      <w:r>
        <w:rPr>
          <w:spacing w:val="-4"/>
        </w:rPr>
        <w:t>en </w:t>
      </w:r>
      <w:r>
        <w:rPr/>
        <w:t>los indicadores de </w:t>
      </w:r>
      <w:r>
        <w:rPr>
          <w:spacing w:val="-4"/>
        </w:rPr>
        <w:t>la </w:t>
      </w:r>
      <w:r>
        <w:rPr/>
        <w:t>demanda y el desempeño</w:t>
      </w:r>
      <w:r>
        <w:rPr>
          <w:spacing w:val="20"/>
        </w:rPr>
        <w:t> </w:t>
      </w:r>
      <w:r>
        <w:rPr/>
        <w:t>institucional.</w:t>
      </w:r>
    </w:p>
    <w:p>
      <w:pPr>
        <w:pStyle w:val="BodyText"/>
        <w:spacing w:line="364" w:lineRule="auto"/>
        <w:ind w:left="115" w:right="108" w:firstLine="686"/>
        <w:jc w:val="both"/>
      </w:pPr>
      <w:r>
        <w:rPr/>
        <w:t>En lo que respecta a </w:t>
      </w:r>
      <w:r>
        <w:rPr>
          <w:spacing w:val="-3"/>
        </w:rPr>
        <w:t>la </w:t>
      </w:r>
      <w:r>
        <w:rPr/>
        <w:t>TE, </w:t>
      </w:r>
      <w:r>
        <w:rPr>
          <w:spacing w:val="-3"/>
        </w:rPr>
        <w:t>la </w:t>
      </w:r>
      <w:r>
        <w:rPr/>
        <w:t>SEP </w:t>
      </w:r>
      <w:r>
        <w:rPr>
          <w:spacing w:val="3"/>
        </w:rPr>
        <w:t>se </w:t>
      </w:r>
      <w:r>
        <w:rPr/>
        <w:t>comprometió a considerar como prioritarias las acciones económicas y sociales destinadas a favorecer </w:t>
      </w:r>
      <w:r>
        <w:rPr>
          <w:spacing w:val="-5"/>
        </w:rPr>
        <w:t>la </w:t>
      </w:r>
      <w:r>
        <w:rPr/>
        <w:t>permanencia de la población vulnerable </w:t>
      </w:r>
      <w:r>
        <w:rPr>
          <w:spacing w:val="3"/>
        </w:rPr>
        <w:t>en el </w:t>
      </w:r>
      <w:r>
        <w:rPr/>
        <w:t>sistema educativo. En tanto que en   </w:t>
      </w:r>
      <w:r>
        <w:rPr>
          <w:spacing w:val="-5"/>
        </w:rPr>
        <w:t>lo  </w:t>
      </w:r>
      <w:r>
        <w:rPr/>
        <w:t>relativo a la TC, la SEP </w:t>
      </w:r>
      <w:r>
        <w:rPr>
          <w:spacing w:val="3"/>
        </w:rPr>
        <w:t>se </w:t>
      </w:r>
      <w:r>
        <w:rPr/>
        <w:t>comprometió a dedicar especial atención y apoyo a  los estudiantes de comunidades indígenas </w:t>
      </w:r>
      <w:r>
        <w:rPr>
          <w:spacing w:val="-3"/>
        </w:rPr>
        <w:t>de </w:t>
      </w:r>
      <w:r>
        <w:rPr/>
        <w:t>acuerdo con las condiciones propias de su</w:t>
      </w:r>
      <w:r>
        <w:rPr>
          <w:spacing w:val="9"/>
        </w:rPr>
        <w:t> </w:t>
      </w:r>
      <w:r>
        <w:rPr/>
        <w:t>cultura.</w:t>
      </w:r>
    </w:p>
    <w:p>
      <w:pPr>
        <w:pStyle w:val="BodyText"/>
        <w:spacing w:line="367" w:lineRule="auto"/>
        <w:ind w:left="115" w:right="104" w:firstLine="686"/>
        <w:jc w:val="both"/>
      </w:pPr>
      <w:r>
        <w:rPr/>
        <w:t>En </w:t>
      </w:r>
      <w:r>
        <w:rPr>
          <w:spacing w:val="-5"/>
        </w:rPr>
        <w:t>la  </w:t>
      </w:r>
      <w:r>
        <w:rPr/>
        <w:t>medida que los recursos para cada entidad son diferentes y también  su capacidad de cobertura de los problemas, </w:t>
      </w:r>
      <w:r>
        <w:rPr>
          <w:spacing w:val="3"/>
        </w:rPr>
        <w:t>se </w:t>
      </w:r>
      <w:r>
        <w:rPr/>
        <w:t>tornó imposible que  se  el  gobierno federal estableciera como prioridad las zonas  en rezago. Por otro lado,  no se establecieron plazos para que la SEP cumpliera con los compromisos, una estructura de seguimiento de los compromisos o una bitácora sobre plazos y posibilidades  (Canales  </w:t>
      </w:r>
      <w:r>
        <w:rPr>
          <w:i/>
        </w:rPr>
        <w:t>et.  al</w:t>
      </w:r>
      <w:r>
        <w:rPr/>
        <w:t>,  2002)  En  el  mejor  de  los  casos,  muchos  de</w:t>
      </w:r>
      <w:r>
        <w:rPr>
          <w:spacing w:val="15"/>
        </w:rPr>
        <w:t> </w:t>
      </w:r>
      <w:r>
        <w:rPr/>
        <w:t>los</w:t>
      </w:r>
    </w:p>
    <w:p>
      <w:pPr>
        <w:spacing w:after="0" w:line="367"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12"/>
        <w:jc w:val="both"/>
      </w:pPr>
      <w:r>
        <w:rPr/>
        <w:t>llamados compromisos eran su obligación y aun así, a lo largo del sexenio de Vicente Fox no es posible afirmar que se haya cumplido alguno de dichos compromisos.</w:t>
      </w:r>
    </w:p>
    <w:p>
      <w:pPr>
        <w:pStyle w:val="BodyText"/>
        <w:rPr>
          <w:sz w:val="22"/>
        </w:rPr>
      </w:pPr>
    </w:p>
    <w:p>
      <w:pPr>
        <w:pStyle w:val="Heading3"/>
        <w:numPr>
          <w:ilvl w:val="2"/>
          <w:numId w:val="14"/>
        </w:numPr>
        <w:tabs>
          <w:tab w:pos="700" w:val="left" w:leader="none"/>
        </w:tabs>
        <w:spacing w:line="240" w:lineRule="auto" w:before="155" w:after="0"/>
        <w:ind w:left="699" w:right="0" w:hanging="583"/>
        <w:jc w:val="both"/>
      </w:pPr>
      <w:r>
        <w:rPr/>
        <w:t>Autoridades educativas (federal y</w:t>
      </w:r>
      <w:r>
        <w:rPr>
          <w:spacing w:val="44"/>
        </w:rPr>
        <w:t> </w:t>
      </w:r>
      <w:r>
        <w:rPr/>
        <w:t>estatales)</w:t>
      </w:r>
    </w:p>
    <w:p>
      <w:pPr>
        <w:pStyle w:val="BodyText"/>
        <w:spacing w:line="364" w:lineRule="auto" w:before="138"/>
        <w:ind w:left="115" w:right="103"/>
        <w:jc w:val="both"/>
      </w:pPr>
      <w:r>
        <w:rPr/>
        <w:t>Por su parte, las autoridades educativas </w:t>
      </w:r>
      <w:r>
        <w:rPr>
          <w:spacing w:val="2"/>
        </w:rPr>
        <w:t>de </w:t>
      </w:r>
      <w:r>
        <w:rPr/>
        <w:t>los gobiernos estatales y federal, </w:t>
      </w:r>
      <w:r>
        <w:rPr>
          <w:spacing w:val="3"/>
        </w:rPr>
        <w:t>en </w:t>
      </w:r>
      <w:r>
        <w:rPr>
          <w:spacing w:val="-5"/>
        </w:rPr>
        <w:t>lo </w:t>
      </w:r>
      <w:r>
        <w:rPr/>
        <w:t>relativo a </w:t>
      </w:r>
      <w:r>
        <w:rPr>
          <w:spacing w:val="-5"/>
        </w:rPr>
        <w:t>la </w:t>
      </w:r>
      <w:r>
        <w:rPr/>
        <w:t>TP, </w:t>
      </w:r>
      <w:r>
        <w:rPr>
          <w:spacing w:val="4"/>
        </w:rPr>
        <w:t>se </w:t>
      </w:r>
      <w:r>
        <w:rPr/>
        <w:t>comprometieron a 1) fortalecer </w:t>
      </w:r>
      <w:r>
        <w:rPr>
          <w:spacing w:val="3"/>
        </w:rPr>
        <w:t>el </w:t>
      </w:r>
      <w:r>
        <w:rPr/>
        <w:t>federalismo educativo para responder a </w:t>
      </w:r>
      <w:r>
        <w:rPr>
          <w:spacing w:val="-3"/>
        </w:rPr>
        <w:t>las </w:t>
      </w:r>
      <w:r>
        <w:rPr/>
        <w:t>diversas condiciones que prevalecen en los contextos </w:t>
      </w:r>
      <w:r>
        <w:rPr>
          <w:spacing w:val="-3"/>
        </w:rPr>
        <w:t>local </w:t>
      </w:r>
      <w:r>
        <w:rPr/>
        <w:t>y regional; 2) impulsar </w:t>
      </w:r>
      <w:r>
        <w:rPr>
          <w:spacing w:val="-6"/>
        </w:rPr>
        <w:t>la </w:t>
      </w:r>
      <w:r>
        <w:rPr/>
        <w:t>organización escolar que propicie </w:t>
      </w:r>
      <w:r>
        <w:rPr>
          <w:spacing w:val="-3"/>
        </w:rPr>
        <w:t>la </w:t>
      </w:r>
      <w:r>
        <w:rPr/>
        <w:t>construcción de una comunidad educativa en torno a cada escuela. Esto implicará, cuando sea necesario, romper </w:t>
      </w:r>
      <w:r>
        <w:rPr>
          <w:spacing w:val="-3"/>
        </w:rPr>
        <w:t>la </w:t>
      </w:r>
      <w:r>
        <w:rPr/>
        <w:t>verticalidad y el exceso de normas en </w:t>
      </w:r>
      <w:r>
        <w:rPr>
          <w:spacing w:val="2"/>
        </w:rPr>
        <w:t>el </w:t>
      </w:r>
      <w:r>
        <w:rPr/>
        <w:t>sistema educativo, </w:t>
      </w:r>
      <w:r>
        <w:rPr>
          <w:spacing w:val="3"/>
        </w:rPr>
        <w:t>el </w:t>
      </w:r>
      <w:r>
        <w:rPr/>
        <w:t>cual ha </w:t>
      </w:r>
      <w:r>
        <w:rPr>
          <w:spacing w:val="2"/>
        </w:rPr>
        <w:t>de </w:t>
      </w:r>
      <w:r>
        <w:rPr/>
        <w:t>abrirse más a </w:t>
      </w:r>
      <w:r>
        <w:rPr>
          <w:spacing w:val="-4"/>
        </w:rPr>
        <w:t>la </w:t>
      </w:r>
      <w:r>
        <w:rPr/>
        <w:t>participación de los grupos sociales pertinentes; 3) estimular </w:t>
      </w:r>
      <w:r>
        <w:rPr>
          <w:spacing w:val="-3"/>
        </w:rPr>
        <w:t>la </w:t>
      </w:r>
      <w:r>
        <w:rPr/>
        <w:t>participación amplia de </w:t>
      </w:r>
      <w:r>
        <w:rPr>
          <w:spacing w:val="-4"/>
        </w:rPr>
        <w:t>las</w:t>
      </w:r>
      <w:r>
        <w:rPr>
          <w:spacing w:val="55"/>
        </w:rPr>
        <w:t> </w:t>
      </w:r>
      <w:r>
        <w:rPr/>
        <w:t>autoridades municipales para el mejoramiento continuo del servicio educativo en </w:t>
      </w:r>
      <w:r>
        <w:rPr>
          <w:spacing w:val="-3"/>
        </w:rPr>
        <w:t>la </w:t>
      </w:r>
      <w:r>
        <w:rPr/>
        <w:t>esfera </w:t>
      </w:r>
      <w:r>
        <w:rPr>
          <w:spacing w:val="3"/>
        </w:rPr>
        <w:t>de </w:t>
      </w:r>
      <w:r>
        <w:rPr/>
        <w:t>sus  competencias.</w:t>
      </w:r>
    </w:p>
    <w:p>
      <w:pPr>
        <w:pStyle w:val="BodyText"/>
        <w:spacing w:line="364" w:lineRule="auto" w:before="5"/>
        <w:ind w:left="115" w:right="109" w:firstLine="686"/>
        <w:jc w:val="both"/>
      </w:pPr>
      <w:r>
        <w:rPr/>
        <w:t>En lo referente a </w:t>
      </w:r>
      <w:r>
        <w:rPr>
          <w:spacing w:val="-3"/>
        </w:rPr>
        <w:t>la </w:t>
      </w:r>
      <w:r>
        <w:rPr/>
        <w:t>TC </w:t>
      </w:r>
      <w:r>
        <w:rPr>
          <w:spacing w:val="2"/>
        </w:rPr>
        <w:t>se </w:t>
      </w:r>
      <w:r>
        <w:rPr/>
        <w:t>comprometieron a promover </w:t>
      </w:r>
      <w:r>
        <w:rPr>
          <w:spacing w:val="-6"/>
        </w:rPr>
        <w:t>la </w:t>
      </w:r>
      <w:r>
        <w:rPr/>
        <w:t>innovación, </w:t>
      </w:r>
      <w:r>
        <w:rPr>
          <w:spacing w:val="-5"/>
        </w:rPr>
        <w:t>la </w:t>
      </w:r>
      <w:r>
        <w:rPr/>
        <w:t>mejora continua del servicio, la evaluación integral de los procesos educativos y </w:t>
      </w:r>
      <w:r>
        <w:rPr>
          <w:spacing w:val="-5"/>
        </w:rPr>
        <w:t>la </w:t>
      </w:r>
      <w:r>
        <w:rPr/>
        <w:t>rendición de cuentas. Con respecto a </w:t>
      </w:r>
      <w:r>
        <w:rPr>
          <w:spacing w:val="-3"/>
        </w:rPr>
        <w:t>la </w:t>
      </w:r>
      <w:r>
        <w:rPr/>
        <w:t>TE, se comprometieron a mejorar las condiciones laborales, salariales y de desarrollo humano y profesional de los trabajadores de la educación conforme a </w:t>
      </w:r>
      <w:r>
        <w:rPr>
          <w:spacing w:val="3"/>
        </w:rPr>
        <w:t>su </w:t>
      </w:r>
      <w:r>
        <w:rPr/>
        <w:t>capacidad y disposición  presupuestaria.</w:t>
      </w:r>
    </w:p>
    <w:p>
      <w:pPr>
        <w:pStyle w:val="BodyText"/>
        <w:spacing w:line="364" w:lineRule="auto" w:before="5"/>
        <w:ind w:left="115" w:right="101" w:firstLine="686"/>
        <w:jc w:val="both"/>
      </w:pPr>
      <w:r>
        <w:rPr/>
        <w:t>Como se puede observar, los compromisos entre gobiernos estatales y la SEP, no tienen amarres normativos ni en las metas ni en los plazos. En este caso, tampoco se establecieron mecanismos burocráticos de seguimiento ni esquemas administrativos de comunicación para reportar el grado de los avances. Desde la perspectiva de los “juegos de poder” no había nada que perder (Canales </w:t>
      </w:r>
      <w:r>
        <w:rPr>
          <w:i/>
        </w:rPr>
        <w:t>et. al.</w:t>
      </w:r>
      <w:r>
        <w:rPr/>
        <w:t>, 2002)</w:t>
      </w:r>
    </w:p>
    <w:p>
      <w:pPr>
        <w:pStyle w:val="BodyText"/>
        <w:rPr>
          <w:sz w:val="22"/>
        </w:rPr>
      </w:pPr>
    </w:p>
    <w:p>
      <w:pPr>
        <w:pStyle w:val="Heading3"/>
        <w:numPr>
          <w:ilvl w:val="1"/>
          <w:numId w:val="15"/>
        </w:numPr>
        <w:tabs>
          <w:tab w:pos="505" w:val="left" w:leader="none"/>
        </w:tabs>
        <w:spacing w:line="240" w:lineRule="auto" w:before="160" w:after="0"/>
        <w:ind w:left="504" w:right="0" w:hanging="389"/>
        <w:jc w:val="both"/>
      </w:pPr>
      <w:r>
        <w:rPr/>
        <w:t>El compromiso de los</w:t>
      </w:r>
      <w:r>
        <w:rPr>
          <w:spacing w:val="41"/>
        </w:rPr>
        <w:t> </w:t>
      </w:r>
      <w:r>
        <w:rPr/>
        <w:t>legisladores</w:t>
      </w:r>
    </w:p>
    <w:p>
      <w:pPr>
        <w:pStyle w:val="BodyText"/>
        <w:spacing w:line="364" w:lineRule="auto" w:before="138"/>
        <w:ind w:left="115" w:right="102"/>
        <w:jc w:val="both"/>
      </w:pPr>
      <w:r>
        <w:rPr/>
        <w:t>En lo que respecta a la TP, los diputados y senadores (representados  por  los líderes partidistas) se comprometieron a impulsar con responsabilidad su tarea (representativa y legislativa) para garantizar  el derecho de los  mexicanos  a   tener</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4"/>
        <w:jc w:val="both"/>
      </w:pPr>
      <w:r>
        <w:rPr/>
        <w:t>una educación de buena calidad y a apoyar un sano federalismo educativo. En el marco de la TE, a mejorar los niveles de inversión en educación hasta destinar cuando menos 8% del producto interno bruto y a promover una  mayor cercanía entre legisladores y centros educativos, con el fin de conocer la realidad de los educandos y de los educadores y así estar en condiciones de establecer las asignaciones presupuestarias que se requieren  para  obtener  mejores  resultados en las instituciones educativas públicas del país (Canales </w:t>
      </w:r>
      <w:r>
        <w:rPr>
          <w:i/>
        </w:rPr>
        <w:t>et. al.</w:t>
      </w:r>
      <w:r>
        <w:rPr/>
        <w:t>,  2002a).</w:t>
      </w:r>
    </w:p>
    <w:p>
      <w:pPr>
        <w:pStyle w:val="BodyText"/>
        <w:spacing w:line="364" w:lineRule="auto" w:before="5"/>
        <w:ind w:left="115" w:right="105" w:firstLine="686"/>
        <w:jc w:val="both"/>
      </w:pPr>
      <w:r>
        <w:rPr/>
        <w:t>Con relación a la TC, los legisladores se comprometieron a impulsar el desarrollo eficaz de un nuevo sistema de evaluación de la calidad educativa y a continuar con las transformaciones jurídicas que demanda la educación media y superior, así como con todos aquellos aspectos que “han de elevar los índices de equidad y eficacia de la  enseñanza.</w:t>
      </w:r>
    </w:p>
    <w:p>
      <w:pPr>
        <w:pStyle w:val="BodyText"/>
        <w:spacing w:line="364" w:lineRule="auto"/>
        <w:ind w:left="115" w:right="107" w:firstLine="686"/>
        <w:jc w:val="both"/>
      </w:pPr>
      <w:r>
        <w:rPr/>
        <w:t>En el compromiso clave de los legisladores, que es aumentar el 8% del PIB para educación, </w:t>
      </w:r>
      <w:r>
        <w:rPr>
          <w:spacing w:val="3"/>
        </w:rPr>
        <w:t>no se </w:t>
      </w:r>
      <w:r>
        <w:rPr/>
        <w:t>creó </w:t>
      </w:r>
      <w:r>
        <w:rPr>
          <w:spacing w:val="2"/>
        </w:rPr>
        <w:t>un </w:t>
      </w:r>
      <w:r>
        <w:rPr/>
        <w:t>mecanismo político para que todas </w:t>
      </w:r>
      <w:r>
        <w:rPr>
          <w:spacing w:val="-4"/>
        </w:rPr>
        <w:t>las </w:t>
      </w:r>
      <w:r>
        <w:rPr/>
        <w:t>bancadas partidistas </w:t>
      </w:r>
      <w:r>
        <w:rPr>
          <w:spacing w:val="2"/>
        </w:rPr>
        <w:t>se </w:t>
      </w:r>
      <w:r>
        <w:rPr/>
        <w:t>sumaran a dicho acuerdo. Tampoco se acordó con el Ejecutivo, a través </w:t>
      </w:r>
      <w:r>
        <w:rPr>
          <w:spacing w:val="-3"/>
        </w:rPr>
        <w:t>de </w:t>
      </w:r>
      <w:r>
        <w:rPr>
          <w:spacing w:val="-4"/>
        </w:rPr>
        <w:t>la </w:t>
      </w:r>
      <w:r>
        <w:rPr/>
        <w:t>Secretaría de Hacienda, hacer las transferencias correspondientes de recursos entre las partidas presupuestales y mucho menos definir, en el ámbito de  </w:t>
      </w:r>
      <w:r>
        <w:rPr>
          <w:spacing w:val="-5"/>
        </w:rPr>
        <w:t>la </w:t>
      </w:r>
      <w:r>
        <w:rPr/>
        <w:t>recaudación fiscal, cómo se obtendrían </w:t>
      </w:r>
      <w:r>
        <w:rPr>
          <w:spacing w:val="-3"/>
        </w:rPr>
        <w:t>los </w:t>
      </w:r>
      <w:r>
        <w:rPr/>
        <w:t>recursos en algún plazo establecido. En la medida que los legisladores en </w:t>
      </w:r>
      <w:r>
        <w:rPr>
          <w:spacing w:val="-5"/>
        </w:rPr>
        <w:t>lo </w:t>
      </w:r>
      <w:r>
        <w:rPr/>
        <w:t>individual o como grupo, no  tenían  pérdidas ni ganancias </w:t>
      </w:r>
      <w:r>
        <w:rPr>
          <w:spacing w:val="-3"/>
        </w:rPr>
        <w:t>por </w:t>
      </w:r>
      <w:r>
        <w:rPr/>
        <w:t>dejar de cumplir estos compromisos, no ocurrió nada significativo posteriormente (Canales,</w:t>
      </w:r>
      <w:r>
        <w:rPr>
          <w:spacing w:val="42"/>
        </w:rPr>
        <w:t> </w:t>
      </w:r>
      <w:r>
        <w:rPr/>
        <w:t>2002a).</w:t>
      </w:r>
    </w:p>
    <w:p>
      <w:pPr>
        <w:pStyle w:val="BodyText"/>
        <w:rPr>
          <w:sz w:val="22"/>
        </w:rPr>
      </w:pPr>
    </w:p>
    <w:p>
      <w:pPr>
        <w:pStyle w:val="Heading3"/>
        <w:numPr>
          <w:ilvl w:val="1"/>
          <w:numId w:val="15"/>
        </w:numPr>
        <w:tabs>
          <w:tab w:pos="505" w:val="left" w:leader="none"/>
        </w:tabs>
        <w:spacing w:line="240" w:lineRule="auto" w:before="155" w:after="0"/>
        <w:ind w:left="504" w:right="0" w:hanging="389"/>
        <w:jc w:val="both"/>
      </w:pPr>
      <w:r>
        <w:rPr/>
        <w:t>El compromiso del SNTE y los trabajadores de </w:t>
      </w:r>
      <w:r>
        <w:rPr>
          <w:spacing w:val="-3"/>
        </w:rPr>
        <w:t>la </w:t>
      </w:r>
      <w:r>
        <w:rPr>
          <w:spacing w:val="18"/>
        </w:rPr>
        <w:t> </w:t>
      </w:r>
      <w:r>
        <w:rPr/>
        <w:t>educación</w:t>
      </w:r>
    </w:p>
    <w:p>
      <w:pPr>
        <w:pStyle w:val="BodyText"/>
        <w:spacing w:line="357" w:lineRule="auto" w:before="138"/>
        <w:ind w:left="115" w:right="108"/>
        <w:jc w:val="both"/>
      </w:pPr>
      <w:r>
        <w:rPr/>
        <w:t>Este, junto con el compromiso de subir el presupuesto educativo al 8% del PIB, fueron los puntos clave.</w:t>
      </w:r>
      <w:r>
        <w:rPr>
          <w:position w:val="11"/>
          <w:sz w:val="15"/>
        </w:rPr>
        <w:t>46 </w:t>
      </w:r>
      <w:r>
        <w:rPr/>
        <w:t>En el marco de la TP, los “trabajadores de la educación”, se comprometieron a que </w:t>
      </w:r>
      <w:r>
        <w:rPr>
          <w:spacing w:val="-3"/>
        </w:rPr>
        <w:t>los </w:t>
      </w:r>
      <w:r>
        <w:rPr/>
        <w:t>educandos, aun aquellos con limitaciones, puedan lograr el éxito escolar. La mayor parte de los compromisos siguientes se situaron  en el contexto de la “transición cultural”. A</w:t>
      </w:r>
      <w:r>
        <w:rPr>
          <w:spacing w:val="49"/>
        </w:rPr>
        <w:t> </w:t>
      </w:r>
      <w:r>
        <w:rPr/>
        <w:t>saber:</w:t>
      </w:r>
    </w:p>
    <w:p>
      <w:pPr>
        <w:pStyle w:val="BodyText"/>
        <w:rPr>
          <w:sz w:val="20"/>
        </w:rPr>
      </w:pPr>
    </w:p>
    <w:p>
      <w:pPr>
        <w:pStyle w:val="BodyText"/>
        <w:rPr>
          <w:sz w:val="20"/>
        </w:rPr>
      </w:pPr>
    </w:p>
    <w:p>
      <w:pPr>
        <w:pStyle w:val="BodyText"/>
        <w:spacing w:before="9"/>
        <w:rPr>
          <w:sz w:val="27"/>
        </w:rPr>
      </w:pPr>
      <w:r>
        <w:rPr/>
        <w:pict>
          <v:line style="position:absolute;mso-position-horizontal-relative:page;mso-position-vertical-relative:paragraph;z-index:3112;mso-wrap-distance-left:0;mso-wrap-distance-right:0" from="82.799004pt,18.313587pt" to="222.958004pt,18.313587pt" stroked="true" strokeweight=".72pt" strokecolor="#000000">
            <w10:wrap type="topAndBottom"/>
          </v:line>
        </w:pict>
      </w:r>
    </w:p>
    <w:p>
      <w:pPr>
        <w:spacing w:line="247" w:lineRule="auto" w:before="56"/>
        <w:ind w:left="115" w:right="20" w:firstLine="0"/>
        <w:jc w:val="left"/>
        <w:rPr>
          <w:sz w:val="19"/>
        </w:rPr>
      </w:pPr>
      <w:r>
        <w:rPr>
          <w:rFonts w:ascii="Times New Roman" w:hAnsi="Times New Roman"/>
          <w:w w:val="105"/>
          <w:position w:val="9"/>
          <w:sz w:val="12"/>
        </w:rPr>
        <w:t>46 </w:t>
      </w:r>
      <w:r>
        <w:rPr>
          <w:w w:val="105"/>
          <w:sz w:val="19"/>
        </w:rPr>
        <w:t>Para tal efecto, el congreso autorizó la reforma al artículo 25 de la Ley General de Educación en noviembre del 2002.</w:t>
      </w:r>
    </w:p>
    <w:p>
      <w:pPr>
        <w:spacing w:after="0" w:line="247" w:lineRule="auto"/>
        <w:jc w:val="left"/>
        <w:rPr>
          <w:sz w:val="19"/>
        </w:rPr>
        <w:sectPr>
          <w:pgSz w:w="11910" w:h="16840"/>
          <w:pgMar w:header="0" w:footer="1457" w:top="1580" w:bottom="1640" w:left="1540" w:right="1540"/>
        </w:sectPr>
      </w:pPr>
    </w:p>
    <w:p>
      <w:pPr>
        <w:pStyle w:val="BodyText"/>
        <w:rPr>
          <w:sz w:val="20"/>
        </w:rPr>
      </w:pPr>
    </w:p>
    <w:p>
      <w:pPr>
        <w:pStyle w:val="BodyText"/>
        <w:spacing w:before="2"/>
        <w:rPr>
          <w:sz w:val="16"/>
        </w:rPr>
      </w:pPr>
    </w:p>
    <w:p>
      <w:pPr>
        <w:pStyle w:val="ListParagraph"/>
        <w:numPr>
          <w:ilvl w:val="2"/>
          <w:numId w:val="15"/>
        </w:numPr>
        <w:tabs>
          <w:tab w:pos="1112" w:val="left" w:leader="none"/>
        </w:tabs>
        <w:spacing w:line="364" w:lineRule="auto" w:before="74" w:after="0"/>
        <w:ind w:left="116" w:right="105" w:firstLine="686"/>
        <w:jc w:val="both"/>
        <w:rPr>
          <w:sz w:val="23"/>
        </w:rPr>
      </w:pPr>
      <w:r>
        <w:rPr>
          <w:sz w:val="23"/>
        </w:rPr>
        <w:t>Trabajar en colaboración  con las instituciones de educación superior y   los diversos centros </w:t>
      </w:r>
      <w:r>
        <w:rPr>
          <w:spacing w:val="-3"/>
          <w:sz w:val="23"/>
        </w:rPr>
        <w:t>de </w:t>
      </w:r>
      <w:r>
        <w:rPr>
          <w:sz w:val="23"/>
        </w:rPr>
        <w:t>investigación y desarrollo tecnológico de excelencia, para poner al día los conocimientos disciplinarios  y la formación pedagógica; 2) optar  por una trayectoria de actualización intelectualmente estimulante, en el marco de  los programas institucionales; 3) impulsar una nueva cultura  laboral  orientada  hacia la mejora de la calidad, de </w:t>
      </w:r>
      <w:r>
        <w:rPr>
          <w:spacing w:val="-5"/>
          <w:sz w:val="23"/>
        </w:rPr>
        <w:t>las </w:t>
      </w:r>
      <w:r>
        <w:rPr>
          <w:sz w:val="23"/>
        </w:rPr>
        <w:t>formas de organización y gestión escolar; 4) fomentar una actitud responsable y comprometida de los trabajadores de </w:t>
      </w:r>
      <w:r>
        <w:rPr>
          <w:spacing w:val="-6"/>
          <w:sz w:val="23"/>
        </w:rPr>
        <w:t>la </w:t>
      </w:r>
      <w:r>
        <w:rPr>
          <w:sz w:val="23"/>
        </w:rPr>
        <w:t>educación </w:t>
      </w:r>
      <w:r>
        <w:rPr>
          <w:spacing w:val="3"/>
          <w:sz w:val="23"/>
        </w:rPr>
        <w:t>con su </w:t>
      </w:r>
      <w:r>
        <w:rPr>
          <w:sz w:val="23"/>
        </w:rPr>
        <w:t>materia de trabajo y el derecho de los mexicanos a contar con educación de buena calidad y equitativa; 5) corresponsabilidad para mejorar el funcionamiento de los servicios y </w:t>
      </w:r>
      <w:r>
        <w:rPr>
          <w:spacing w:val="-5"/>
          <w:sz w:val="23"/>
        </w:rPr>
        <w:t>las </w:t>
      </w:r>
      <w:r>
        <w:rPr>
          <w:sz w:val="23"/>
        </w:rPr>
        <w:t>tareas inherentes; impulsar acciones para alentar </w:t>
      </w:r>
      <w:r>
        <w:rPr>
          <w:spacing w:val="-5"/>
          <w:sz w:val="23"/>
        </w:rPr>
        <w:t>la </w:t>
      </w:r>
      <w:r>
        <w:rPr>
          <w:sz w:val="23"/>
        </w:rPr>
        <w:t>capacitación permanente del magisterio; 6) fomentar  </w:t>
      </w:r>
      <w:r>
        <w:rPr>
          <w:spacing w:val="-5"/>
          <w:sz w:val="23"/>
        </w:rPr>
        <w:t>la  </w:t>
      </w:r>
      <w:r>
        <w:rPr>
          <w:sz w:val="23"/>
        </w:rPr>
        <w:t>innovación  desde la comunidad educativa e incidir en el fortalecimiento de los perfiles de </w:t>
      </w:r>
      <w:r>
        <w:rPr>
          <w:i/>
          <w:spacing w:val="-4"/>
          <w:sz w:val="23"/>
        </w:rPr>
        <w:t>los</w:t>
      </w:r>
      <w:r>
        <w:rPr>
          <w:i/>
          <w:spacing w:val="55"/>
          <w:sz w:val="23"/>
        </w:rPr>
        <w:t> </w:t>
      </w:r>
      <w:r>
        <w:rPr>
          <w:i/>
          <w:sz w:val="23"/>
        </w:rPr>
        <w:t>responsables de la docencia, la dirección, la supervisión y la jefatura de sector, impulsando medidas para que el acceso a estos cargos sea mediante exámenes  </w:t>
      </w:r>
      <w:r>
        <w:rPr>
          <w:sz w:val="23"/>
        </w:rPr>
        <w:t>de ingreso al servicio </w:t>
      </w:r>
      <w:r>
        <w:rPr>
          <w:i/>
          <w:sz w:val="23"/>
        </w:rPr>
        <w:t>y la promoción de </w:t>
      </w:r>
      <w:r>
        <w:rPr>
          <w:i/>
          <w:spacing w:val="-3"/>
          <w:sz w:val="23"/>
        </w:rPr>
        <w:t>los </w:t>
      </w:r>
      <w:r>
        <w:rPr>
          <w:i/>
          <w:sz w:val="23"/>
        </w:rPr>
        <w:t>docentes y directivos se lleve a cabo  </w:t>
      </w:r>
      <w:r>
        <w:rPr>
          <w:i/>
          <w:sz w:val="23"/>
        </w:rPr>
        <w:t>por medio de concursos de oposición; </w:t>
      </w:r>
      <w:r>
        <w:rPr>
          <w:sz w:val="23"/>
        </w:rPr>
        <w:t>7) profundizar entre los agremiados una cultura sindical democrática, participativa, propositiva y  respetuosa  de  </w:t>
      </w:r>
      <w:r>
        <w:rPr>
          <w:spacing w:val="-3"/>
          <w:sz w:val="23"/>
        </w:rPr>
        <w:t>los </w:t>
      </w:r>
      <w:r>
        <w:rPr>
          <w:sz w:val="23"/>
        </w:rPr>
        <w:t>derechos individuales y colectivos; 8) generar una relación con las autoridades educativas respetuosa, clara, transparente y propositiva, privilegiando </w:t>
      </w:r>
      <w:r>
        <w:rPr>
          <w:spacing w:val="-4"/>
          <w:sz w:val="23"/>
        </w:rPr>
        <w:t>la</w:t>
      </w:r>
      <w:r>
        <w:rPr>
          <w:spacing w:val="55"/>
          <w:sz w:val="23"/>
        </w:rPr>
        <w:t> </w:t>
      </w:r>
      <w:r>
        <w:rPr>
          <w:sz w:val="23"/>
        </w:rPr>
        <w:t>construcción de</w:t>
      </w:r>
      <w:r>
        <w:rPr>
          <w:spacing w:val="29"/>
          <w:sz w:val="23"/>
        </w:rPr>
        <w:t> </w:t>
      </w:r>
      <w:r>
        <w:rPr>
          <w:sz w:val="23"/>
        </w:rPr>
        <w:t>acuerdos.</w:t>
      </w:r>
    </w:p>
    <w:p>
      <w:pPr>
        <w:pStyle w:val="BodyText"/>
        <w:spacing w:line="364" w:lineRule="auto" w:before="5"/>
        <w:ind w:left="116" w:right="105" w:firstLine="686"/>
        <w:jc w:val="both"/>
      </w:pPr>
      <w:r>
        <w:rPr/>
        <w:t>Desde el punto </w:t>
      </w:r>
      <w:r>
        <w:rPr>
          <w:spacing w:val="-3"/>
        </w:rPr>
        <w:t>de </w:t>
      </w:r>
      <w:r>
        <w:rPr/>
        <w:t>vista político y de los juegos de poder, </w:t>
      </w:r>
      <w:r>
        <w:rPr>
          <w:spacing w:val="2"/>
        </w:rPr>
        <w:t>se </w:t>
      </w:r>
      <w:r>
        <w:rPr/>
        <w:t>puede considerar que este punto del </w:t>
      </w:r>
      <w:r>
        <w:rPr>
          <w:i/>
        </w:rPr>
        <w:t>Compromiso </w:t>
      </w:r>
      <w:r>
        <w:rPr/>
        <w:t>es clave, en particular </w:t>
      </w:r>
      <w:r>
        <w:rPr>
          <w:spacing w:val="2"/>
        </w:rPr>
        <w:t>el </w:t>
      </w:r>
      <w:r>
        <w:rPr/>
        <w:t>punto seis, sobre todo cuando </w:t>
      </w:r>
      <w:r>
        <w:rPr>
          <w:spacing w:val="-3"/>
        </w:rPr>
        <w:t>habla </w:t>
      </w:r>
      <w:r>
        <w:rPr/>
        <w:t>de que los cargos directivos habrían </w:t>
      </w:r>
      <w:r>
        <w:rPr>
          <w:spacing w:val="3"/>
        </w:rPr>
        <w:t>de </w:t>
      </w:r>
      <w:r>
        <w:rPr/>
        <w:t>otorgarse mediante exámenes de ingreso y que </w:t>
      </w:r>
      <w:r>
        <w:rPr>
          <w:spacing w:val="-4"/>
        </w:rPr>
        <w:t>la </w:t>
      </w:r>
      <w:r>
        <w:rPr/>
        <w:t>promoción o ascenso de docentes, se realizaría mediante concursos. Es clave el compromiso porque, </w:t>
      </w:r>
      <w:r>
        <w:rPr>
          <w:spacing w:val="3"/>
        </w:rPr>
        <w:t>no </w:t>
      </w:r>
      <w:r>
        <w:rPr/>
        <w:t>obstante </w:t>
      </w:r>
      <w:r>
        <w:rPr>
          <w:spacing w:val="-3"/>
        </w:rPr>
        <w:t>que </w:t>
      </w:r>
      <w:r>
        <w:rPr/>
        <w:t>existen un reglamento nacional de escalafón, así como reglamentos estatales, en los hechos, las autoridades estatales y el SNTE, </w:t>
      </w:r>
      <w:r>
        <w:rPr>
          <w:spacing w:val="-3"/>
        </w:rPr>
        <w:t>en </w:t>
      </w:r>
      <w:r>
        <w:rPr/>
        <w:t>cada entidad federativa, negocian la asignación de plazas en educación básica y normal en cuotas de 50% para cada</w:t>
      </w:r>
      <w:r>
        <w:rPr>
          <w:spacing w:val="13"/>
        </w:rPr>
        <w:t> </w:t>
      </w:r>
      <w:r>
        <w:rPr/>
        <w:t>parte.</w:t>
      </w:r>
    </w:p>
    <w:p>
      <w:pPr>
        <w:pStyle w:val="BodyText"/>
        <w:spacing w:line="369" w:lineRule="auto"/>
        <w:ind w:left="116" w:right="107" w:firstLine="686"/>
        <w:jc w:val="both"/>
      </w:pPr>
      <w:r>
        <w:rPr/>
        <w:t>Se supone que este mecanismo ha generado que no estén frente a grupo   los  mejores  docentes,  sino  que  los  líderes  sindicales  consideran  en  base    </w:t>
      </w:r>
      <w:r>
        <w:rPr>
          <w:spacing w:val="42"/>
        </w:rPr>
        <w:t> </w:t>
      </w:r>
      <w:r>
        <w:rPr/>
        <w:t>a</w:t>
      </w:r>
    </w:p>
    <w:p>
      <w:pPr>
        <w:spacing w:after="0" w:line="369"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7"/>
        <w:jc w:val="both"/>
      </w:pPr>
      <w:r>
        <w:rPr/>
        <w:t>criterios de lealtad, compadrazgo, padrinazgo o mecenazgo. Lo mismo ocurre con aquellos maestros que aspiran a un cargo de director de escuela, de supervisor o jefe de sector, el principal mérito es estar bien con los líderes sindicales (Canales, 2002a).</w:t>
      </w:r>
    </w:p>
    <w:p>
      <w:pPr>
        <w:pStyle w:val="BodyText"/>
        <w:spacing w:line="364" w:lineRule="auto" w:before="5"/>
        <w:ind w:left="115" w:right="105" w:firstLine="686"/>
        <w:jc w:val="both"/>
      </w:pPr>
      <w:r>
        <w:rPr>
          <w:spacing w:val="-3"/>
        </w:rPr>
        <w:t>Sin </w:t>
      </w:r>
      <w:r>
        <w:rPr/>
        <w:t>embargo, como en el caso </w:t>
      </w:r>
      <w:r>
        <w:rPr>
          <w:spacing w:val="-3"/>
        </w:rPr>
        <w:t>de </w:t>
      </w:r>
      <w:r>
        <w:rPr/>
        <w:t>los compromisos establecidos para  </w:t>
      </w:r>
      <w:r>
        <w:rPr>
          <w:spacing w:val="-2"/>
        </w:rPr>
        <w:t>los </w:t>
      </w:r>
      <w:r>
        <w:rPr/>
        <w:t>otros actores institucionales, </w:t>
      </w:r>
      <w:r>
        <w:rPr>
          <w:spacing w:val="3"/>
        </w:rPr>
        <w:t>no </w:t>
      </w:r>
      <w:r>
        <w:rPr/>
        <w:t>se habló de reglamentar </w:t>
      </w:r>
      <w:r>
        <w:rPr>
          <w:spacing w:val="2"/>
        </w:rPr>
        <w:t>el </w:t>
      </w:r>
      <w:r>
        <w:rPr/>
        <w:t>proceso, de establecer plazos y metas o de generar mecanismos burocráticos de seguimiento. En este marco, pese a que el SNTE </w:t>
      </w:r>
      <w:r>
        <w:rPr>
          <w:spacing w:val="-3"/>
        </w:rPr>
        <w:t>es </w:t>
      </w:r>
      <w:r>
        <w:rPr/>
        <w:t>una organización dependiente de la </w:t>
      </w:r>
      <w:r>
        <w:rPr>
          <w:spacing w:val="2"/>
        </w:rPr>
        <w:t>SEP, </w:t>
      </w:r>
      <w:r>
        <w:rPr/>
        <w:t>y por  tanto del Ejecutivo, no </w:t>
      </w:r>
      <w:r>
        <w:rPr>
          <w:spacing w:val="3"/>
        </w:rPr>
        <w:t>se </w:t>
      </w:r>
      <w:r>
        <w:rPr/>
        <w:t>generaron condiciones políticas o administrativas para hacer cumplir este compromiso. En este sentido, si la SEP no hizo ningún plan concreto para establecer </w:t>
      </w:r>
      <w:r>
        <w:rPr>
          <w:spacing w:val="2"/>
        </w:rPr>
        <w:t>el </w:t>
      </w:r>
      <w:r>
        <w:rPr/>
        <w:t>concurso para el ingreso o promoción de los docentes, los líderes del SNTE no tenían incentivos para impulsarlo por cuenta propia y  menos aun cuando este tema, como </w:t>
      </w:r>
      <w:r>
        <w:rPr>
          <w:spacing w:val="3"/>
        </w:rPr>
        <w:t>se </w:t>
      </w:r>
      <w:r>
        <w:rPr/>
        <w:t>vio, en </w:t>
      </w:r>
      <w:r>
        <w:rPr>
          <w:spacing w:val="-3"/>
        </w:rPr>
        <w:t>mayo </w:t>
      </w:r>
      <w:r>
        <w:rPr/>
        <w:t>de 2007, con la firma de Alianza para </w:t>
      </w:r>
      <w:r>
        <w:rPr>
          <w:spacing w:val="-5"/>
        </w:rPr>
        <w:t>la </w:t>
      </w:r>
      <w:r>
        <w:rPr/>
        <w:t>Calidad de la Educación (ACE), es motivo de confrontación entre líderes sindicales y agremiados y entre los </w:t>
      </w:r>
      <w:r>
        <w:rPr>
          <w:spacing w:val="-3"/>
        </w:rPr>
        <w:t>propios </w:t>
      </w:r>
      <w:r>
        <w:rPr/>
        <w:t>líderes, debido al poder y los recursos </w:t>
      </w:r>
      <w:r>
        <w:rPr>
          <w:spacing w:val="-3"/>
        </w:rPr>
        <w:t>que </w:t>
      </w:r>
      <w:r>
        <w:rPr/>
        <w:t>pierden éstos al no poder convertirse en padrinos o mecenas de aquellos a quienes </w:t>
      </w:r>
      <w:r>
        <w:rPr>
          <w:spacing w:val="2"/>
        </w:rPr>
        <w:t>se </w:t>
      </w:r>
      <w:r>
        <w:rPr>
          <w:spacing w:val="-3"/>
        </w:rPr>
        <w:t>les </w:t>
      </w:r>
      <w:r>
        <w:rPr/>
        <w:t>otorga una</w:t>
      </w:r>
      <w:r>
        <w:rPr>
          <w:spacing w:val="50"/>
        </w:rPr>
        <w:t> </w:t>
      </w:r>
      <w:r>
        <w:rPr/>
        <w:t>plaza.</w:t>
      </w:r>
    </w:p>
    <w:p>
      <w:pPr>
        <w:pStyle w:val="BodyText"/>
        <w:spacing w:line="364" w:lineRule="auto" w:before="10"/>
        <w:ind w:left="115" w:right="104" w:firstLine="686"/>
        <w:jc w:val="both"/>
      </w:pPr>
      <w:r>
        <w:rPr/>
        <w:t>Quizá como </w:t>
      </w:r>
      <w:r>
        <w:rPr>
          <w:spacing w:val="-3"/>
        </w:rPr>
        <w:t>un </w:t>
      </w:r>
      <w:r>
        <w:rPr/>
        <w:t>acto de “comunicación política”, fueron invitados a sumarse   a este </w:t>
      </w:r>
      <w:r>
        <w:rPr>
          <w:i/>
        </w:rPr>
        <w:t>Compromiso</w:t>
      </w:r>
      <w:r>
        <w:rPr/>
        <w:t>, agrupaciones de </w:t>
      </w:r>
      <w:r>
        <w:rPr>
          <w:spacing w:val="-2"/>
        </w:rPr>
        <w:t>padres </w:t>
      </w:r>
      <w:r>
        <w:rPr/>
        <w:t>de familia, las cuales en </w:t>
      </w:r>
      <w:r>
        <w:rPr>
          <w:spacing w:val="-3"/>
        </w:rPr>
        <w:t>la </w:t>
      </w:r>
      <w:r>
        <w:rPr/>
        <w:t>actividad cotidiana de </w:t>
      </w:r>
      <w:r>
        <w:rPr>
          <w:spacing w:val="-3"/>
        </w:rPr>
        <w:t>la </w:t>
      </w:r>
      <w:r>
        <w:rPr/>
        <w:t>escuela son ignorados, igualmente </w:t>
      </w:r>
      <w:r>
        <w:rPr>
          <w:spacing w:val="5"/>
        </w:rPr>
        <w:t>se </w:t>
      </w:r>
      <w:r>
        <w:rPr/>
        <w:t>sumaron a este evento representantes de intelectuales, científicos y creadores científicos, agrupaciones empresariales, organizaciones y medios de comunicación. En realidad fueron invitados testimoniales, porque desde que se firmó el </w:t>
      </w:r>
      <w:r>
        <w:rPr>
          <w:i/>
        </w:rPr>
        <w:t>Compromiso </w:t>
      </w:r>
      <w:r>
        <w:rPr/>
        <w:t>no se volvió a hablar de los “compromisos” y sus actores involucrados. Aquí la lección que dejó este evento es que el típico poder presidencial </w:t>
      </w:r>
      <w:r>
        <w:rPr>
          <w:spacing w:val="3"/>
        </w:rPr>
        <w:t>se </w:t>
      </w:r>
      <w:r>
        <w:rPr/>
        <w:t>erosionó por </w:t>
      </w:r>
      <w:r>
        <w:rPr>
          <w:spacing w:val="-5"/>
        </w:rPr>
        <w:t>la </w:t>
      </w:r>
      <w:r>
        <w:rPr/>
        <w:t>inexperiencia en gobierno, combinado con la magnitud de la necesidad de cambio, así como por </w:t>
      </w:r>
      <w:r>
        <w:rPr>
          <w:spacing w:val="-6"/>
        </w:rPr>
        <w:t>la </w:t>
      </w:r>
      <w:r>
        <w:rPr/>
        <w:t>falta de normas institucionales en </w:t>
      </w:r>
      <w:r>
        <w:rPr>
          <w:spacing w:val="-3"/>
        </w:rPr>
        <w:t>la </w:t>
      </w:r>
      <w:r>
        <w:rPr/>
        <w:t>puesta </w:t>
      </w:r>
      <w:r>
        <w:rPr>
          <w:spacing w:val="-3"/>
        </w:rPr>
        <w:t>en </w:t>
      </w:r>
      <w:r>
        <w:rPr/>
        <w:t>marcha de una política pública. Es decir, los compromisos que no están sustentados en reglas, nadie los </w:t>
      </w:r>
      <w:r>
        <w:rPr>
          <w:spacing w:val="3"/>
        </w:rPr>
        <w:t>va </w:t>
      </w:r>
      <w:r>
        <w:rPr/>
        <w:t>a cumplir  si no hay sanciones o recompensas, y más aún, si no hay algún órgano políticamente fuerte que los haga</w:t>
      </w:r>
      <w:r>
        <w:rPr>
          <w:spacing w:val="34"/>
        </w:rPr>
        <w:t> </w:t>
      </w:r>
      <w:r>
        <w:rPr/>
        <w:t>cumplir.</w:t>
      </w:r>
    </w:p>
    <w:p>
      <w:pPr>
        <w:spacing w:after="0" w:line="364" w:lineRule="auto"/>
        <w:jc w:val="both"/>
        <w:sectPr>
          <w:footerReference w:type="default" r:id="rId71"/>
          <w:pgSz w:w="11910" w:h="16840"/>
          <w:pgMar w:footer="1457" w:header="0" w:top="1580" w:bottom="1640" w:left="1540" w:right="1540"/>
        </w:sectPr>
      </w:pPr>
    </w:p>
    <w:p>
      <w:pPr>
        <w:pStyle w:val="BodyText"/>
        <w:rPr>
          <w:sz w:val="20"/>
        </w:rPr>
      </w:pPr>
    </w:p>
    <w:p>
      <w:pPr>
        <w:pStyle w:val="BodyText"/>
        <w:rPr>
          <w:sz w:val="20"/>
        </w:rPr>
      </w:pPr>
    </w:p>
    <w:p>
      <w:pPr>
        <w:pStyle w:val="BodyText"/>
        <w:rPr>
          <w:sz w:val="20"/>
        </w:rPr>
      </w:pPr>
    </w:p>
    <w:p>
      <w:pPr>
        <w:pStyle w:val="BodyText"/>
        <w:rPr>
          <w:sz w:val="18"/>
        </w:rPr>
      </w:pPr>
    </w:p>
    <w:p>
      <w:pPr>
        <w:pStyle w:val="Heading3"/>
        <w:numPr>
          <w:ilvl w:val="1"/>
          <w:numId w:val="15"/>
        </w:numPr>
        <w:tabs>
          <w:tab w:pos="503" w:val="left" w:leader="none"/>
        </w:tabs>
        <w:spacing w:line="240" w:lineRule="auto" w:before="1" w:after="0"/>
        <w:ind w:left="502" w:right="0" w:hanging="386"/>
        <w:jc w:val="both"/>
      </w:pPr>
      <w:r>
        <w:rPr/>
        <w:t>El Instituto Nacional de Evaluación Educativa</w:t>
      </w:r>
      <w:r>
        <w:rPr>
          <w:spacing w:val="57"/>
        </w:rPr>
        <w:t> </w:t>
      </w:r>
      <w:r>
        <w:rPr/>
        <w:t>(INEE)</w:t>
      </w:r>
    </w:p>
    <w:p>
      <w:pPr>
        <w:pStyle w:val="BodyText"/>
        <w:spacing w:line="364" w:lineRule="auto" w:before="134"/>
        <w:ind w:left="115" w:right="104"/>
        <w:jc w:val="both"/>
        <w:rPr>
          <w:i/>
        </w:rPr>
      </w:pPr>
      <w:r>
        <w:rPr/>
        <w:t>El mismo día </w:t>
      </w:r>
      <w:r>
        <w:rPr>
          <w:spacing w:val="3"/>
        </w:rPr>
        <w:t>en </w:t>
      </w:r>
      <w:r>
        <w:rPr/>
        <w:t>que se firmó el </w:t>
      </w:r>
      <w:r>
        <w:rPr>
          <w:i/>
        </w:rPr>
        <w:t>Compromiso Social por la Calidad de Educación,   </w:t>
      </w:r>
      <w:r>
        <w:rPr/>
        <w:t>el Ejecutivo federal emitió el decreto de creación del Instituto Nacional de  Evaluación Educativa (INEE), evitando con ello que el Congreso le </w:t>
      </w:r>
      <w:r>
        <w:rPr>
          <w:spacing w:val="-3"/>
        </w:rPr>
        <w:t>diera </w:t>
      </w:r>
      <w:r>
        <w:rPr/>
        <w:t>vida y así este organismo tuviera un carácter autónomo. De esta manera, el INEE quedó presidido por </w:t>
      </w:r>
      <w:r>
        <w:rPr>
          <w:spacing w:val="3"/>
        </w:rPr>
        <w:t>el </w:t>
      </w:r>
      <w:r>
        <w:rPr/>
        <w:t>secretario de Educación Pública, es </w:t>
      </w:r>
      <w:r>
        <w:rPr>
          <w:spacing w:val="-3"/>
        </w:rPr>
        <w:t>decir, </w:t>
      </w:r>
      <w:r>
        <w:rPr/>
        <w:t>se convirtió en un organismo </w:t>
      </w:r>
      <w:r>
        <w:rPr>
          <w:i/>
        </w:rPr>
        <w:t>presidencial </w:t>
      </w:r>
      <w:r>
        <w:rPr/>
        <w:t>(Martínez Rizo </w:t>
      </w:r>
      <w:r>
        <w:rPr>
          <w:i/>
        </w:rPr>
        <w:t>et. al</w:t>
      </w:r>
      <w:r>
        <w:rPr/>
        <w:t>,</w:t>
      </w:r>
      <w:r>
        <w:rPr>
          <w:spacing w:val="56"/>
        </w:rPr>
        <w:t> </w:t>
      </w:r>
      <w:r>
        <w:rPr/>
        <w:t>2002)</w:t>
      </w:r>
      <w:r>
        <w:rPr>
          <w:i/>
        </w:rPr>
        <w:t>.</w:t>
      </w:r>
    </w:p>
    <w:p>
      <w:pPr>
        <w:pStyle w:val="BodyText"/>
        <w:spacing w:line="362" w:lineRule="auto" w:before="5"/>
        <w:ind w:left="115" w:right="103" w:firstLine="686"/>
        <w:jc w:val="both"/>
        <w:rPr>
          <w:sz w:val="15"/>
        </w:rPr>
      </w:pPr>
      <w:r>
        <w:rPr/>
        <w:t>Por supuesto, al SNTE se le facilitaría  la interlocución con el INEE siendo  un organismo </w:t>
      </w:r>
      <w:r>
        <w:rPr>
          <w:i/>
        </w:rPr>
        <w:t>presidencial</w:t>
      </w:r>
      <w:r>
        <w:rPr/>
        <w:t>. Un elemento </w:t>
      </w:r>
      <w:r>
        <w:rPr>
          <w:spacing w:val="3"/>
        </w:rPr>
        <w:t>de </w:t>
      </w:r>
      <w:r>
        <w:rPr/>
        <w:t>la constitución del INEE que hizo v visible la intervención de la cúpula del SNTE fue </w:t>
      </w:r>
      <w:r>
        <w:rPr>
          <w:spacing w:val="-3"/>
        </w:rPr>
        <w:t>que </w:t>
      </w:r>
      <w:r>
        <w:rPr/>
        <w:t>se plasmara </w:t>
      </w:r>
      <w:r>
        <w:rPr>
          <w:spacing w:val="2"/>
        </w:rPr>
        <w:t>su </w:t>
      </w:r>
      <w:r>
        <w:rPr/>
        <w:t>carácter de vigilante sin armas: “(el INEE) tiene la misión de (…) cuidar que los resultados de  las evaluaciones que se realicen no sean utilizados por sí solos para tomar decisiones sobre individuos, y menos de carácter punitivo, entendiendo que su propósito </w:t>
      </w:r>
      <w:r>
        <w:rPr>
          <w:spacing w:val="-3"/>
        </w:rPr>
        <w:t>es </w:t>
      </w:r>
      <w:r>
        <w:rPr/>
        <w:t>retroalimentar al sistema educativo nacional" (artículo 4, fracciones II    y V). </w:t>
      </w:r>
      <w:r>
        <w:rPr>
          <w:spacing w:val="4"/>
        </w:rPr>
        <w:t>En </w:t>
      </w:r>
      <w:r>
        <w:rPr/>
        <w:t>este punto se advierte la mano sindical, pues hay un </w:t>
      </w:r>
      <w:r>
        <w:rPr>
          <w:i/>
        </w:rPr>
        <w:t>fuero </w:t>
      </w:r>
      <w:r>
        <w:rPr/>
        <w:t>similar para los maestros y directivos de las escuelas en la en </w:t>
      </w:r>
      <w:r>
        <w:rPr>
          <w:spacing w:val="-5"/>
        </w:rPr>
        <w:t>la </w:t>
      </w:r>
      <w:r>
        <w:rPr/>
        <w:t>Ley General de Educación (</w:t>
      </w:r>
      <w:r>
        <w:rPr>
          <w:i/>
        </w:rPr>
        <w:t>DOF</w:t>
      </w:r>
      <w:r>
        <w:rPr/>
        <w:t>,  8 de agosto de</w:t>
      </w:r>
      <w:r>
        <w:rPr>
          <w:spacing w:val="17"/>
        </w:rPr>
        <w:t> </w:t>
      </w:r>
      <w:r>
        <w:rPr/>
        <w:t>2002).</w:t>
      </w:r>
      <w:r>
        <w:rPr>
          <w:position w:val="11"/>
          <w:sz w:val="15"/>
        </w:rPr>
        <w:t>47</w:t>
      </w:r>
    </w:p>
    <w:p>
      <w:pPr>
        <w:pStyle w:val="BodyText"/>
        <w:spacing w:line="364" w:lineRule="auto"/>
        <w:ind w:left="115" w:right="108" w:firstLine="686"/>
        <w:jc w:val="both"/>
      </w:pPr>
      <w:r>
        <w:rPr/>
        <w:t>De este modo, en la letra el INEE se definió como un organismo público descentralizado que </w:t>
      </w:r>
      <w:r>
        <w:rPr>
          <w:spacing w:val="3"/>
        </w:rPr>
        <w:t>se </w:t>
      </w:r>
      <w:r>
        <w:rPr/>
        <w:t>encargaría de evaluar la educación básica y  media  superior de México, que trabajaría para establecer </w:t>
      </w:r>
      <w:r>
        <w:rPr>
          <w:spacing w:val="-2"/>
        </w:rPr>
        <w:t>modelos </w:t>
      </w:r>
      <w:r>
        <w:rPr/>
        <w:t>de evaluación que permitan conocer dónde estamos y hacia dónde vamos </w:t>
      </w:r>
      <w:r>
        <w:rPr>
          <w:spacing w:val="-3"/>
        </w:rPr>
        <w:t>en </w:t>
      </w:r>
      <w:r>
        <w:rPr/>
        <w:t>materia educativa, </w:t>
      </w:r>
      <w:r>
        <w:rPr>
          <w:spacing w:val="-3"/>
        </w:rPr>
        <w:t>que </w:t>
      </w:r>
      <w:r>
        <w:rPr/>
        <w:t>contribuiría</w:t>
      </w:r>
      <w:r>
        <w:rPr>
          <w:spacing w:val="26"/>
        </w:rPr>
        <w:t> </w:t>
      </w:r>
      <w:r>
        <w:rPr/>
        <w:t>a</w:t>
      </w:r>
      <w:r>
        <w:rPr>
          <w:spacing w:val="22"/>
        </w:rPr>
        <w:t> </w:t>
      </w:r>
      <w:r>
        <w:rPr>
          <w:spacing w:val="-4"/>
        </w:rPr>
        <w:t>la</w:t>
      </w:r>
      <w:r>
        <w:rPr>
          <w:spacing w:val="22"/>
        </w:rPr>
        <w:t> </w:t>
      </w:r>
      <w:r>
        <w:rPr/>
        <w:t>formación</w:t>
      </w:r>
      <w:r>
        <w:rPr>
          <w:spacing w:val="22"/>
        </w:rPr>
        <w:t> </w:t>
      </w:r>
      <w:r>
        <w:rPr/>
        <w:t>de</w:t>
      </w:r>
      <w:r>
        <w:rPr>
          <w:spacing w:val="26"/>
        </w:rPr>
        <w:t> </w:t>
      </w:r>
      <w:r>
        <w:rPr/>
        <w:t>un</w:t>
      </w:r>
      <w:r>
        <w:rPr>
          <w:spacing w:val="22"/>
        </w:rPr>
        <w:t> </w:t>
      </w:r>
      <w:r>
        <w:rPr/>
        <w:t>sistema</w:t>
      </w:r>
      <w:r>
        <w:rPr>
          <w:spacing w:val="22"/>
        </w:rPr>
        <w:t> </w:t>
      </w:r>
      <w:r>
        <w:rPr/>
        <w:t>nacional</w:t>
      </w:r>
      <w:r>
        <w:rPr>
          <w:spacing w:val="16"/>
        </w:rPr>
        <w:t> </w:t>
      </w:r>
      <w:r>
        <w:rPr/>
        <w:t>de</w:t>
      </w:r>
      <w:r>
        <w:rPr>
          <w:spacing w:val="22"/>
        </w:rPr>
        <w:t> </w:t>
      </w:r>
      <w:r>
        <w:rPr/>
        <w:t>evaluación</w:t>
      </w:r>
      <w:r>
        <w:rPr>
          <w:spacing w:val="22"/>
        </w:rPr>
        <w:t> </w:t>
      </w:r>
      <w:r>
        <w:rPr/>
        <w:t>y</w:t>
      </w:r>
      <w:r>
        <w:rPr>
          <w:spacing w:val="14"/>
        </w:rPr>
        <w:t> </w:t>
      </w:r>
      <w:r>
        <w:rPr/>
        <w:t>que</w:t>
      </w:r>
      <w:r>
        <w:rPr>
          <w:spacing w:val="22"/>
        </w:rPr>
        <w:t> </w:t>
      </w:r>
      <w:r>
        <w:rPr/>
        <w:t>impulsaría</w:t>
      </w:r>
    </w:p>
    <w:p>
      <w:pPr>
        <w:pStyle w:val="BodyText"/>
        <w:spacing w:line="270" w:lineRule="exact"/>
        <w:ind w:left="115"/>
        <w:jc w:val="both"/>
      </w:pPr>
      <w:r>
        <w:rPr/>
        <w:t>el establecimiento de una cultura en la materia</w:t>
      </w:r>
      <w:r>
        <w:rPr>
          <w:position w:val="11"/>
          <w:sz w:val="15"/>
        </w:rPr>
        <w:t>48</w:t>
      </w:r>
      <w:r>
        <w:rPr/>
        <w:t>.</w:t>
      </w:r>
    </w:p>
    <w:p>
      <w:pPr>
        <w:pStyle w:val="BodyText"/>
        <w:spacing w:before="5"/>
        <w:rPr>
          <w:sz w:val="24"/>
        </w:rPr>
      </w:pPr>
      <w:r>
        <w:rPr/>
        <w:pict>
          <v:line style="position:absolute;mso-position-horizontal-relative:page;mso-position-vertical-relative:paragraph;z-index:3136;mso-wrap-distance-left:0;mso-wrap-distance-right:0" from="82.799004pt,16.406979pt" to="222.958004pt,16.406979pt" stroked="true" strokeweight=".72pt" strokecolor="#000000">
            <w10:wrap type="topAndBottom"/>
          </v:line>
        </w:pict>
      </w:r>
    </w:p>
    <w:p>
      <w:pPr>
        <w:spacing w:line="247" w:lineRule="auto" w:before="52"/>
        <w:ind w:left="115" w:right="102" w:firstLine="0"/>
        <w:jc w:val="both"/>
        <w:rPr>
          <w:sz w:val="19"/>
        </w:rPr>
      </w:pPr>
      <w:r>
        <w:rPr>
          <w:rFonts w:ascii="Times New Roman" w:hAnsi="Times New Roman"/>
          <w:spacing w:val="-3"/>
          <w:w w:val="105"/>
          <w:position w:val="9"/>
          <w:sz w:val="12"/>
        </w:rPr>
        <w:t>47 </w:t>
      </w:r>
      <w:r>
        <w:rPr>
          <w:w w:val="105"/>
          <w:sz w:val="19"/>
        </w:rPr>
        <w:t>El artículo 75 de la </w:t>
      </w:r>
      <w:r>
        <w:rPr>
          <w:i/>
          <w:spacing w:val="-3"/>
          <w:w w:val="105"/>
          <w:sz w:val="19"/>
        </w:rPr>
        <w:t>Ley </w:t>
      </w:r>
      <w:r>
        <w:rPr>
          <w:i/>
          <w:w w:val="105"/>
          <w:sz w:val="19"/>
        </w:rPr>
        <w:t>General de Educación</w:t>
      </w:r>
      <w:r>
        <w:rPr>
          <w:w w:val="105"/>
          <w:sz w:val="19"/>
        </w:rPr>
        <w:t>, señala cuáles </w:t>
      </w:r>
      <w:r>
        <w:rPr>
          <w:spacing w:val="-3"/>
          <w:w w:val="105"/>
          <w:sz w:val="19"/>
        </w:rPr>
        <w:t>son </w:t>
      </w:r>
      <w:r>
        <w:rPr>
          <w:w w:val="105"/>
          <w:sz w:val="19"/>
        </w:rPr>
        <w:t>las razones para sancionar a quienes</w:t>
      </w:r>
      <w:r>
        <w:rPr>
          <w:spacing w:val="-7"/>
          <w:w w:val="105"/>
          <w:sz w:val="19"/>
        </w:rPr>
        <w:t> </w:t>
      </w:r>
      <w:r>
        <w:rPr>
          <w:w w:val="105"/>
          <w:sz w:val="19"/>
        </w:rPr>
        <w:t>incurran</w:t>
      </w:r>
      <w:r>
        <w:rPr>
          <w:spacing w:val="-7"/>
          <w:w w:val="105"/>
          <w:sz w:val="19"/>
        </w:rPr>
        <w:t> </w:t>
      </w:r>
      <w:r>
        <w:rPr>
          <w:w w:val="105"/>
          <w:sz w:val="19"/>
        </w:rPr>
        <w:t>en</w:t>
      </w:r>
      <w:r>
        <w:rPr>
          <w:spacing w:val="-7"/>
          <w:w w:val="105"/>
          <w:sz w:val="19"/>
        </w:rPr>
        <w:t> </w:t>
      </w:r>
      <w:r>
        <w:rPr>
          <w:w w:val="105"/>
          <w:sz w:val="19"/>
        </w:rPr>
        <w:t>alguna</w:t>
      </w:r>
      <w:r>
        <w:rPr>
          <w:spacing w:val="-7"/>
          <w:w w:val="105"/>
          <w:sz w:val="19"/>
        </w:rPr>
        <w:t> </w:t>
      </w:r>
      <w:r>
        <w:rPr>
          <w:w w:val="105"/>
          <w:sz w:val="19"/>
        </w:rPr>
        <w:t>falta,</w:t>
      </w:r>
      <w:r>
        <w:rPr>
          <w:spacing w:val="-10"/>
          <w:w w:val="105"/>
          <w:sz w:val="19"/>
        </w:rPr>
        <w:t> </w:t>
      </w:r>
      <w:r>
        <w:rPr>
          <w:w w:val="105"/>
          <w:sz w:val="19"/>
        </w:rPr>
        <w:t>sean</w:t>
      </w:r>
      <w:r>
        <w:rPr>
          <w:spacing w:val="-7"/>
          <w:w w:val="105"/>
          <w:sz w:val="19"/>
        </w:rPr>
        <w:t> </w:t>
      </w:r>
      <w:r>
        <w:rPr>
          <w:w w:val="105"/>
          <w:sz w:val="19"/>
        </w:rPr>
        <w:t>funcionarios</w:t>
      </w:r>
      <w:r>
        <w:rPr>
          <w:spacing w:val="-10"/>
          <w:w w:val="105"/>
          <w:sz w:val="19"/>
        </w:rPr>
        <w:t> </w:t>
      </w:r>
      <w:r>
        <w:rPr>
          <w:w w:val="105"/>
          <w:sz w:val="19"/>
        </w:rPr>
        <w:t>públicos</w:t>
      </w:r>
      <w:r>
        <w:rPr>
          <w:spacing w:val="-14"/>
          <w:w w:val="105"/>
          <w:sz w:val="19"/>
        </w:rPr>
        <w:t> </w:t>
      </w:r>
      <w:r>
        <w:rPr>
          <w:w w:val="105"/>
          <w:sz w:val="19"/>
        </w:rPr>
        <w:t>o</w:t>
      </w:r>
      <w:r>
        <w:rPr>
          <w:spacing w:val="-7"/>
          <w:w w:val="105"/>
          <w:sz w:val="19"/>
        </w:rPr>
        <w:t> </w:t>
      </w:r>
      <w:r>
        <w:rPr>
          <w:w w:val="105"/>
          <w:sz w:val="19"/>
        </w:rPr>
        <w:t>particulares,</w:t>
      </w:r>
      <w:r>
        <w:rPr>
          <w:spacing w:val="-7"/>
          <w:w w:val="105"/>
          <w:sz w:val="19"/>
        </w:rPr>
        <w:t> </w:t>
      </w:r>
      <w:r>
        <w:rPr>
          <w:spacing w:val="-4"/>
          <w:w w:val="105"/>
          <w:sz w:val="19"/>
        </w:rPr>
        <w:t>sin </w:t>
      </w:r>
      <w:r>
        <w:rPr>
          <w:w w:val="105"/>
          <w:sz w:val="19"/>
        </w:rPr>
        <w:t>embargo,</w:t>
      </w:r>
      <w:r>
        <w:rPr>
          <w:spacing w:val="-10"/>
          <w:w w:val="105"/>
          <w:sz w:val="19"/>
        </w:rPr>
        <w:t> </w:t>
      </w:r>
      <w:r>
        <w:rPr>
          <w:w w:val="105"/>
          <w:sz w:val="19"/>
        </w:rPr>
        <w:t>se</w:t>
      </w:r>
      <w:r>
        <w:rPr>
          <w:spacing w:val="-7"/>
          <w:w w:val="105"/>
          <w:sz w:val="19"/>
        </w:rPr>
        <w:t> </w:t>
      </w:r>
      <w:r>
        <w:rPr>
          <w:w w:val="105"/>
          <w:sz w:val="19"/>
        </w:rPr>
        <w:t>aclara que “las disposiciones de este artículo </w:t>
      </w:r>
      <w:r>
        <w:rPr>
          <w:spacing w:val="-3"/>
          <w:w w:val="105"/>
          <w:sz w:val="19"/>
        </w:rPr>
        <w:t>no </w:t>
      </w:r>
      <w:r>
        <w:rPr>
          <w:w w:val="105"/>
          <w:sz w:val="19"/>
        </w:rPr>
        <w:t>son aplicables a los trabajadores de la educación, en virtud de que, las infracciones </w:t>
      </w:r>
      <w:r>
        <w:rPr>
          <w:spacing w:val="-3"/>
          <w:w w:val="105"/>
          <w:sz w:val="19"/>
        </w:rPr>
        <w:t>en </w:t>
      </w:r>
      <w:r>
        <w:rPr>
          <w:w w:val="105"/>
          <w:sz w:val="19"/>
        </w:rPr>
        <w:t>que incurran serán sancionadas conforme a las disposiciones específicas</w:t>
      </w:r>
      <w:r>
        <w:rPr>
          <w:spacing w:val="-28"/>
          <w:w w:val="105"/>
          <w:sz w:val="19"/>
        </w:rPr>
        <w:t> </w:t>
      </w:r>
      <w:r>
        <w:rPr>
          <w:w w:val="105"/>
          <w:sz w:val="19"/>
        </w:rPr>
        <w:t>para</w:t>
      </w:r>
      <w:r>
        <w:rPr>
          <w:spacing w:val="-28"/>
          <w:w w:val="105"/>
          <w:sz w:val="19"/>
        </w:rPr>
        <w:t> </w:t>
      </w:r>
      <w:r>
        <w:rPr>
          <w:w w:val="105"/>
          <w:sz w:val="19"/>
        </w:rPr>
        <w:t>ellos”.</w:t>
      </w:r>
    </w:p>
    <w:p>
      <w:pPr>
        <w:spacing w:line="219" w:lineRule="exact" w:before="0"/>
        <w:ind w:left="115" w:right="0" w:firstLine="0"/>
        <w:jc w:val="both"/>
        <w:rPr>
          <w:sz w:val="19"/>
        </w:rPr>
      </w:pPr>
      <w:r>
        <w:rPr>
          <w:rFonts w:ascii="Times New Roman" w:hAnsi="Times New Roman"/>
          <w:spacing w:val="-3"/>
          <w:w w:val="105"/>
          <w:position w:val="9"/>
          <w:sz w:val="12"/>
        </w:rPr>
        <w:t>48 </w:t>
      </w:r>
      <w:r>
        <w:rPr>
          <w:w w:val="105"/>
          <w:sz w:val="19"/>
        </w:rPr>
        <w:t>Cabe señalar que el proyecto </w:t>
      </w:r>
      <w:r>
        <w:rPr>
          <w:spacing w:val="-3"/>
          <w:w w:val="105"/>
          <w:sz w:val="19"/>
        </w:rPr>
        <w:t>de </w:t>
      </w:r>
      <w:r>
        <w:rPr>
          <w:w w:val="105"/>
          <w:sz w:val="19"/>
        </w:rPr>
        <w:t>un </w:t>
      </w:r>
      <w:r>
        <w:rPr>
          <w:spacing w:val="-3"/>
          <w:w w:val="105"/>
          <w:sz w:val="19"/>
        </w:rPr>
        <w:t>instituto </w:t>
      </w:r>
      <w:r>
        <w:rPr>
          <w:spacing w:val="2"/>
          <w:w w:val="105"/>
          <w:sz w:val="19"/>
        </w:rPr>
        <w:t>de </w:t>
      </w:r>
      <w:r>
        <w:rPr>
          <w:w w:val="105"/>
          <w:sz w:val="19"/>
        </w:rPr>
        <w:t>evaluación </w:t>
      </w:r>
      <w:r>
        <w:rPr>
          <w:spacing w:val="-2"/>
          <w:w w:val="105"/>
          <w:sz w:val="19"/>
        </w:rPr>
        <w:t>fue </w:t>
      </w:r>
      <w:r>
        <w:rPr>
          <w:w w:val="105"/>
          <w:sz w:val="19"/>
        </w:rPr>
        <w:t>sometido a un proceso de análisis</w:t>
      </w:r>
    </w:p>
    <w:p>
      <w:pPr>
        <w:spacing w:line="244" w:lineRule="auto" w:before="7"/>
        <w:ind w:left="115" w:right="102" w:firstLine="0"/>
        <w:jc w:val="both"/>
        <w:rPr>
          <w:sz w:val="19"/>
        </w:rPr>
      </w:pPr>
      <w:r>
        <w:rPr>
          <w:w w:val="105"/>
          <w:sz w:val="19"/>
        </w:rPr>
        <w:t>intenso</w:t>
      </w:r>
      <w:r>
        <w:rPr>
          <w:spacing w:val="-9"/>
          <w:w w:val="105"/>
          <w:sz w:val="19"/>
        </w:rPr>
        <w:t> </w:t>
      </w:r>
      <w:r>
        <w:rPr>
          <w:w w:val="105"/>
          <w:sz w:val="19"/>
        </w:rPr>
        <w:t>el</w:t>
      </w:r>
      <w:r>
        <w:rPr>
          <w:spacing w:val="-12"/>
          <w:w w:val="105"/>
          <w:sz w:val="19"/>
        </w:rPr>
        <w:t> </w:t>
      </w:r>
      <w:r>
        <w:rPr>
          <w:w w:val="105"/>
          <w:sz w:val="19"/>
        </w:rPr>
        <w:t>cual,</w:t>
      </w:r>
      <w:r>
        <w:rPr>
          <w:spacing w:val="-12"/>
          <w:w w:val="105"/>
          <w:sz w:val="19"/>
        </w:rPr>
        <w:t> </w:t>
      </w:r>
      <w:r>
        <w:rPr>
          <w:w w:val="105"/>
          <w:sz w:val="19"/>
        </w:rPr>
        <w:t>entre</w:t>
      </w:r>
      <w:r>
        <w:rPr>
          <w:spacing w:val="-12"/>
          <w:w w:val="105"/>
          <w:sz w:val="19"/>
        </w:rPr>
        <w:t> </w:t>
      </w:r>
      <w:r>
        <w:rPr>
          <w:w w:val="105"/>
          <w:sz w:val="19"/>
        </w:rPr>
        <w:t>otras</w:t>
      </w:r>
      <w:r>
        <w:rPr>
          <w:spacing w:val="-15"/>
          <w:w w:val="105"/>
          <w:sz w:val="19"/>
        </w:rPr>
        <w:t> </w:t>
      </w:r>
      <w:r>
        <w:rPr>
          <w:w w:val="105"/>
          <w:sz w:val="19"/>
        </w:rPr>
        <w:t>cosas,</w:t>
      </w:r>
      <w:r>
        <w:rPr>
          <w:spacing w:val="-12"/>
          <w:w w:val="105"/>
          <w:sz w:val="19"/>
        </w:rPr>
        <w:t> </w:t>
      </w:r>
      <w:r>
        <w:rPr>
          <w:w w:val="105"/>
          <w:sz w:val="19"/>
        </w:rPr>
        <w:t>determinó</w:t>
      </w:r>
      <w:r>
        <w:rPr>
          <w:spacing w:val="-9"/>
          <w:w w:val="105"/>
          <w:sz w:val="19"/>
        </w:rPr>
        <w:t> </w:t>
      </w:r>
      <w:r>
        <w:rPr>
          <w:w w:val="105"/>
          <w:sz w:val="19"/>
        </w:rPr>
        <w:t>[que]</w:t>
      </w:r>
      <w:r>
        <w:rPr>
          <w:spacing w:val="-12"/>
          <w:w w:val="105"/>
          <w:sz w:val="19"/>
        </w:rPr>
        <w:t> </w:t>
      </w:r>
      <w:r>
        <w:rPr>
          <w:w w:val="105"/>
          <w:sz w:val="19"/>
        </w:rPr>
        <w:t>se</w:t>
      </w:r>
      <w:r>
        <w:rPr>
          <w:spacing w:val="-15"/>
          <w:w w:val="105"/>
          <w:sz w:val="19"/>
        </w:rPr>
        <w:t> </w:t>
      </w:r>
      <w:r>
        <w:rPr>
          <w:w w:val="105"/>
          <w:sz w:val="19"/>
        </w:rPr>
        <w:t>creara</w:t>
      </w:r>
      <w:r>
        <w:rPr>
          <w:spacing w:val="-9"/>
          <w:w w:val="105"/>
          <w:sz w:val="19"/>
        </w:rPr>
        <w:t> </w:t>
      </w:r>
      <w:r>
        <w:rPr>
          <w:w w:val="105"/>
          <w:sz w:val="19"/>
        </w:rPr>
        <w:t>el</w:t>
      </w:r>
      <w:r>
        <w:rPr>
          <w:spacing w:val="-12"/>
          <w:w w:val="105"/>
          <w:sz w:val="19"/>
        </w:rPr>
        <w:t> </w:t>
      </w:r>
      <w:r>
        <w:rPr>
          <w:w w:val="105"/>
          <w:sz w:val="19"/>
        </w:rPr>
        <w:t>INEE</w:t>
      </w:r>
      <w:r>
        <w:rPr>
          <w:spacing w:val="-15"/>
          <w:w w:val="105"/>
          <w:sz w:val="19"/>
        </w:rPr>
        <w:t> </w:t>
      </w:r>
      <w:r>
        <w:rPr>
          <w:w w:val="105"/>
          <w:sz w:val="19"/>
        </w:rPr>
        <w:t>a</w:t>
      </w:r>
      <w:r>
        <w:rPr>
          <w:spacing w:val="-9"/>
          <w:w w:val="105"/>
          <w:sz w:val="19"/>
        </w:rPr>
        <w:t> </w:t>
      </w:r>
      <w:r>
        <w:rPr>
          <w:spacing w:val="-3"/>
          <w:w w:val="105"/>
          <w:sz w:val="19"/>
        </w:rPr>
        <w:t>la</w:t>
      </w:r>
      <w:r>
        <w:rPr>
          <w:spacing w:val="-12"/>
          <w:w w:val="105"/>
          <w:sz w:val="19"/>
        </w:rPr>
        <w:t> </w:t>
      </w:r>
      <w:r>
        <w:rPr>
          <w:w w:val="105"/>
          <w:sz w:val="19"/>
        </w:rPr>
        <w:t>brevedad</w:t>
      </w:r>
      <w:r>
        <w:rPr>
          <w:spacing w:val="-12"/>
          <w:w w:val="105"/>
          <w:sz w:val="19"/>
        </w:rPr>
        <w:t> </w:t>
      </w:r>
      <w:r>
        <w:rPr>
          <w:w w:val="105"/>
          <w:sz w:val="19"/>
        </w:rPr>
        <w:t>posible.</w:t>
      </w:r>
      <w:r>
        <w:rPr>
          <w:spacing w:val="-16"/>
          <w:w w:val="105"/>
          <w:sz w:val="19"/>
        </w:rPr>
        <w:t> </w:t>
      </w:r>
      <w:r>
        <w:rPr>
          <w:w w:val="105"/>
          <w:sz w:val="19"/>
        </w:rPr>
        <w:t>En</w:t>
      </w:r>
      <w:r>
        <w:rPr>
          <w:spacing w:val="-12"/>
          <w:w w:val="105"/>
          <w:sz w:val="19"/>
        </w:rPr>
        <w:t> </w:t>
      </w:r>
      <w:r>
        <w:rPr>
          <w:w w:val="105"/>
          <w:sz w:val="19"/>
        </w:rPr>
        <w:t>este proceso de consulta participaron representantes de todos los sectores de la sociedad, entre ellos autoridades educativas, legisladores, investigadores y especialistas, maestros, alumnos, empresarios y padres de familia y se subrayó la necesidad de que el organismo tuviera un claro margen de independencia respecto de las autoridades educativas y de cualquier otra parte interesada.</w:t>
      </w:r>
    </w:p>
    <w:p>
      <w:pPr>
        <w:spacing w:after="0" w:line="244" w:lineRule="auto"/>
        <w:jc w:val="both"/>
        <w:rPr>
          <w:sz w:val="19"/>
        </w:rPr>
        <w:sectPr>
          <w:footerReference w:type="default" r:id="rId72"/>
          <w:pgSz w:w="11910" w:h="16840"/>
          <w:pgMar w:footer="1457" w:header="0" w:top="1580" w:bottom="1640" w:left="1540" w:right="1540"/>
          <w:pgNumType w:start="191"/>
        </w:sectPr>
      </w:pPr>
    </w:p>
    <w:p>
      <w:pPr>
        <w:pStyle w:val="BodyText"/>
        <w:rPr>
          <w:sz w:val="20"/>
        </w:rPr>
      </w:pPr>
    </w:p>
    <w:p>
      <w:pPr>
        <w:pStyle w:val="BodyText"/>
        <w:spacing w:before="2"/>
        <w:rPr>
          <w:sz w:val="16"/>
        </w:rPr>
      </w:pPr>
    </w:p>
    <w:p>
      <w:pPr>
        <w:pStyle w:val="BodyText"/>
        <w:spacing w:before="74"/>
        <w:ind w:left="115"/>
        <w:jc w:val="both"/>
      </w:pPr>
      <w:r>
        <w:rPr/>
        <w:t>El INEE desarrolla sus tareas en tres subsistemas  básicos:</w:t>
      </w:r>
    </w:p>
    <w:p>
      <w:pPr>
        <w:pStyle w:val="BodyText"/>
        <w:rPr>
          <w:sz w:val="22"/>
        </w:rPr>
      </w:pPr>
    </w:p>
    <w:p>
      <w:pPr>
        <w:pStyle w:val="ListParagraph"/>
        <w:numPr>
          <w:ilvl w:val="0"/>
          <w:numId w:val="16"/>
        </w:numPr>
        <w:tabs>
          <w:tab w:pos="801" w:val="left" w:leader="none"/>
          <w:tab w:pos="803" w:val="left" w:leader="none"/>
        </w:tabs>
        <w:spacing w:line="240" w:lineRule="auto" w:before="158" w:after="0"/>
        <w:ind w:left="802" w:right="0" w:hanging="336"/>
        <w:jc w:val="left"/>
        <w:rPr>
          <w:sz w:val="23"/>
        </w:rPr>
      </w:pPr>
      <w:r>
        <w:rPr>
          <w:sz w:val="23"/>
        </w:rPr>
        <w:t>Indicadores de calidad</w:t>
      </w:r>
      <w:r>
        <w:rPr>
          <w:spacing w:val="33"/>
          <w:sz w:val="23"/>
        </w:rPr>
        <w:t> </w:t>
      </w:r>
      <w:r>
        <w:rPr>
          <w:sz w:val="23"/>
        </w:rPr>
        <w:t>educativa.</w:t>
      </w:r>
    </w:p>
    <w:p>
      <w:pPr>
        <w:pStyle w:val="ListParagraph"/>
        <w:numPr>
          <w:ilvl w:val="0"/>
          <w:numId w:val="16"/>
        </w:numPr>
        <w:tabs>
          <w:tab w:pos="801" w:val="left" w:leader="none"/>
          <w:tab w:pos="803" w:val="left" w:leader="none"/>
        </w:tabs>
        <w:spacing w:line="240" w:lineRule="auto" w:before="140" w:after="0"/>
        <w:ind w:left="802" w:right="0" w:hanging="336"/>
        <w:jc w:val="left"/>
        <w:rPr>
          <w:sz w:val="23"/>
        </w:rPr>
      </w:pPr>
      <w:r>
        <w:rPr>
          <w:sz w:val="23"/>
        </w:rPr>
        <w:t>Pruebas de</w:t>
      </w:r>
      <w:r>
        <w:rPr>
          <w:spacing w:val="20"/>
          <w:sz w:val="23"/>
        </w:rPr>
        <w:t> </w:t>
      </w:r>
      <w:r>
        <w:rPr>
          <w:sz w:val="23"/>
        </w:rPr>
        <w:t>aprendizaje.</w:t>
      </w:r>
    </w:p>
    <w:p>
      <w:pPr>
        <w:pStyle w:val="ListParagraph"/>
        <w:numPr>
          <w:ilvl w:val="0"/>
          <w:numId w:val="16"/>
        </w:numPr>
        <w:tabs>
          <w:tab w:pos="802" w:val="left" w:leader="none"/>
          <w:tab w:pos="803" w:val="left" w:leader="none"/>
        </w:tabs>
        <w:spacing w:line="240" w:lineRule="auto" w:before="131" w:after="0"/>
        <w:ind w:left="802" w:right="0" w:hanging="336"/>
        <w:jc w:val="left"/>
        <w:rPr>
          <w:sz w:val="23"/>
        </w:rPr>
      </w:pPr>
      <w:r>
        <w:rPr>
          <w:sz w:val="23"/>
        </w:rPr>
        <w:t>Evaluación de</w:t>
      </w:r>
      <w:r>
        <w:rPr>
          <w:spacing w:val="20"/>
          <w:sz w:val="23"/>
        </w:rPr>
        <w:t> </w:t>
      </w:r>
      <w:r>
        <w:rPr>
          <w:sz w:val="23"/>
        </w:rPr>
        <w:t>escuelas</w:t>
      </w:r>
    </w:p>
    <w:p>
      <w:pPr>
        <w:pStyle w:val="BodyText"/>
        <w:spacing w:line="364" w:lineRule="auto" w:before="141"/>
        <w:ind w:left="115" w:right="106"/>
        <w:jc w:val="both"/>
      </w:pPr>
      <w:r>
        <w:rPr/>
        <w:t>En este marco, al INEE le corresponde evaluar la educación de tipo básico en sus niveles de preescolar, primaria y secundaria, y la de tipo medio superior de bachillerato o profesional, tanto en la modalidad escolar en escuelas públicas y privadas, urbanas y rurales, como en las modalidades no escolarizada y mixta, incluyendo la educación para adultos, educación especial, indígena y comunitaria (Martínez Rizo </w:t>
      </w:r>
      <w:r>
        <w:rPr>
          <w:i/>
        </w:rPr>
        <w:t>et. al</w:t>
      </w:r>
      <w:r>
        <w:rPr/>
        <w:t>, 2000).</w:t>
      </w:r>
    </w:p>
    <w:p>
      <w:pPr>
        <w:pStyle w:val="BodyText"/>
        <w:spacing w:line="364" w:lineRule="auto" w:before="5"/>
        <w:ind w:left="115" w:right="101" w:firstLine="686"/>
        <w:jc w:val="both"/>
      </w:pPr>
      <w:r>
        <w:rPr/>
        <w:t>Las evaluaciones se </w:t>
      </w:r>
      <w:r>
        <w:rPr>
          <w:spacing w:val="-3"/>
        </w:rPr>
        <w:t>realizan </w:t>
      </w:r>
      <w:r>
        <w:rPr/>
        <w:t>mediante la aplicación de indicadores  y pruebas creados por expertos técnicos nacionales e internacionales en los niveles </w:t>
      </w:r>
      <w:r>
        <w:rPr>
          <w:spacing w:val="-4"/>
        </w:rPr>
        <w:t>ya </w:t>
      </w:r>
      <w:r>
        <w:rPr/>
        <w:t>mencionados. A partir de la aplicación de estos instrumentos se busca conocer mejor </w:t>
      </w:r>
      <w:r>
        <w:rPr>
          <w:spacing w:val="-4"/>
        </w:rPr>
        <w:t>la </w:t>
      </w:r>
      <w:r>
        <w:rPr/>
        <w:t>situación del Sistema Educativo Nacional por medio de estudios </w:t>
      </w:r>
      <w:r>
        <w:rPr>
          <w:spacing w:val="-3"/>
        </w:rPr>
        <w:t>que </w:t>
      </w:r>
      <w:r>
        <w:rPr/>
        <w:t>expliquen </w:t>
      </w:r>
      <w:r>
        <w:rPr>
          <w:spacing w:val="-3"/>
        </w:rPr>
        <w:t>la </w:t>
      </w:r>
      <w:r>
        <w:rPr/>
        <w:t>situación reflejada. La detección de los factores del rendimiento  escolar, la valoración del peso de cada uno, y el conocimiento de su </w:t>
      </w:r>
      <w:r>
        <w:rPr>
          <w:i/>
        </w:rPr>
        <w:t>modus </w:t>
      </w:r>
      <w:r>
        <w:rPr>
          <w:i/>
        </w:rPr>
        <w:t>operandi </w:t>
      </w:r>
      <w:r>
        <w:rPr/>
        <w:t>y de la forma en que interactúa con los demás, permitirán que </w:t>
      </w:r>
      <w:r>
        <w:rPr>
          <w:spacing w:val="-3"/>
        </w:rPr>
        <w:t>los </w:t>
      </w:r>
      <w:r>
        <w:rPr/>
        <w:t>tomadores de decisiones cuenten con bases sólidas para diseñar estrategias </w:t>
      </w:r>
      <w:r>
        <w:rPr>
          <w:spacing w:val="-3"/>
        </w:rPr>
        <w:t>de </w:t>
      </w:r>
      <w:r>
        <w:rPr/>
        <w:t>mejoramiento (Martínez Rizo </w:t>
      </w:r>
      <w:r>
        <w:rPr>
          <w:i/>
        </w:rPr>
        <w:t>et. al.</w:t>
      </w:r>
      <w:r>
        <w:rPr/>
        <w:t>,</w:t>
      </w:r>
      <w:r>
        <w:rPr>
          <w:spacing w:val="47"/>
        </w:rPr>
        <w:t> </w:t>
      </w:r>
      <w:r>
        <w:rPr/>
        <w:t>2002).</w:t>
      </w:r>
    </w:p>
    <w:p>
      <w:pPr>
        <w:pStyle w:val="BodyText"/>
        <w:spacing w:line="367" w:lineRule="auto"/>
        <w:ind w:left="115" w:right="103" w:firstLine="686"/>
        <w:jc w:val="both"/>
      </w:pPr>
      <w:r>
        <w:rPr/>
        <w:t>Los resultados de las evaluaciones y de cada uno de sus estudios se difunden ampliamente como uno de los compromisos del INEE. Esta  tarea  </w:t>
      </w:r>
      <w:r>
        <w:rPr>
          <w:spacing w:val="-3"/>
        </w:rPr>
        <w:t>la </w:t>
      </w:r>
      <w:r>
        <w:rPr/>
        <w:t>realiza con el apoyo de los medios de comunicación. El público interesado puede consultarlos mediante la página </w:t>
      </w:r>
      <w:r>
        <w:rPr>
          <w:spacing w:val="3"/>
        </w:rPr>
        <w:t>Web </w:t>
      </w:r>
      <w:r>
        <w:rPr/>
        <w:t>del organismo o mediante los trabajos que publica al respecto. Dadas las grandes dimensiones del sistema educativo, y </w:t>
      </w:r>
      <w:r>
        <w:rPr>
          <w:spacing w:val="-3"/>
        </w:rPr>
        <w:t>sus </w:t>
      </w:r>
      <w:r>
        <w:rPr/>
        <w:t>propósitos de evaluación el INEE trabaja con muestras de población,  </w:t>
      </w:r>
      <w:r>
        <w:rPr>
          <w:spacing w:val="-4"/>
        </w:rPr>
        <w:t>lo  </w:t>
      </w:r>
      <w:r>
        <w:rPr/>
        <w:t>cual  impide hacer reportes individuales por alumnos y escuelas (INEE, </w:t>
      </w:r>
      <w:r>
        <w:rPr>
          <w:spacing w:val="13"/>
        </w:rPr>
        <w:t> </w:t>
      </w:r>
      <w:r>
        <w:rPr/>
        <w:t>2012).</w:t>
      </w:r>
    </w:p>
    <w:p>
      <w:pPr>
        <w:pStyle w:val="BodyText"/>
        <w:spacing w:line="364" w:lineRule="auto"/>
        <w:ind w:left="115" w:right="104" w:firstLine="686"/>
        <w:jc w:val="both"/>
      </w:pPr>
      <w:r>
        <w:rPr/>
        <w:t>Hay evidencia suficiente para considerar que la Junta Directiva es plural y que cuenta con un Consejo Técnico integrado por expertos nacionales e internacionales altamente calificados. Ante ello, se puede afirmar que están dados los elementos  para que los resultados sean    </w:t>
      </w:r>
      <w:r>
        <w:rPr>
          <w:spacing w:val="37"/>
        </w:rPr>
        <w:t> </w:t>
      </w:r>
      <w:r>
        <w:rPr/>
        <w:t>imparciales  y que en  los hechos  el</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9" w:lineRule="auto" w:before="74"/>
        <w:ind w:left="115" w:right="109"/>
        <w:jc w:val="both"/>
      </w:pPr>
      <w:r>
        <w:rPr/>
        <w:t>INEE se convirtió en una instancia técnica que aporta </w:t>
      </w:r>
      <w:r>
        <w:rPr>
          <w:spacing w:val="-3"/>
        </w:rPr>
        <w:t>una </w:t>
      </w:r>
      <w:r>
        <w:rPr/>
        <w:t>visión independiente sobre la situación educativa (Martínez Rizo </w:t>
      </w:r>
      <w:r>
        <w:rPr>
          <w:i/>
        </w:rPr>
        <w:t>et. al.</w:t>
      </w:r>
      <w:r>
        <w:rPr/>
        <w:t>,</w:t>
      </w:r>
      <w:r>
        <w:rPr>
          <w:spacing w:val="58"/>
        </w:rPr>
        <w:t> </w:t>
      </w:r>
      <w:r>
        <w:rPr/>
        <w:t>2002).</w:t>
      </w:r>
    </w:p>
    <w:p>
      <w:pPr>
        <w:pStyle w:val="BodyText"/>
        <w:spacing w:line="364" w:lineRule="auto"/>
        <w:ind w:left="115" w:right="107" w:firstLine="686"/>
        <w:jc w:val="both"/>
      </w:pPr>
      <w:r>
        <w:rPr/>
        <w:t>Ahora bien, el propósito de las evaluaciones del INEE no tienen un carácter político en el </w:t>
      </w:r>
      <w:r>
        <w:rPr>
          <w:spacing w:val="-3"/>
        </w:rPr>
        <w:t>ámbito </w:t>
      </w:r>
      <w:r>
        <w:rPr/>
        <w:t>de </w:t>
      </w:r>
      <w:r>
        <w:rPr>
          <w:spacing w:val="-5"/>
        </w:rPr>
        <w:t>la </w:t>
      </w:r>
      <w:r>
        <w:rPr/>
        <w:t>educación, de tal forma que los resultados difundidos tienen un carácter </w:t>
      </w:r>
      <w:r>
        <w:rPr>
          <w:i/>
        </w:rPr>
        <w:t>neutral </w:t>
      </w:r>
      <w:r>
        <w:rPr>
          <w:spacing w:val="-4"/>
        </w:rPr>
        <w:t>y, </w:t>
      </w:r>
      <w:r>
        <w:rPr>
          <w:spacing w:val="3"/>
        </w:rPr>
        <w:t>por </w:t>
      </w:r>
      <w:r>
        <w:rPr/>
        <w:t>tanto, limitado. </w:t>
      </w:r>
      <w:r>
        <w:rPr>
          <w:spacing w:val="2"/>
        </w:rPr>
        <w:t>Por </w:t>
      </w:r>
      <w:r>
        <w:rPr/>
        <w:t>ello, nadie </w:t>
      </w:r>
      <w:r>
        <w:rPr>
          <w:spacing w:val="3"/>
        </w:rPr>
        <w:t>se </w:t>
      </w:r>
      <w:r>
        <w:rPr/>
        <w:t>pudo sentir amenazado y muchos comprometido a tomar en cuenta los indicadores  y  resultados del INEE. De esta forma, </w:t>
      </w:r>
      <w:r>
        <w:rPr>
          <w:spacing w:val="-3"/>
        </w:rPr>
        <w:t>los </w:t>
      </w:r>
      <w:r>
        <w:rPr/>
        <w:t>análisis del INEE quedaron como un factor para que la buena voluntad de los actores educativos aludidos, sea </w:t>
      </w:r>
      <w:r>
        <w:rPr>
          <w:spacing w:val="3"/>
        </w:rPr>
        <w:t>el </w:t>
      </w:r>
      <w:r>
        <w:rPr/>
        <w:t>elemento de cambio. De acuerdo con esta premisa, el INEE asume que sus mediciones son  para “fortalecer y mejorar </w:t>
      </w:r>
      <w:r>
        <w:rPr>
          <w:spacing w:val="-4"/>
        </w:rPr>
        <w:t>la</w:t>
      </w:r>
      <w:r>
        <w:rPr>
          <w:spacing w:val="55"/>
        </w:rPr>
        <w:t> </w:t>
      </w:r>
      <w:r>
        <w:rPr/>
        <w:t>educación, sea pública o privada, para lo cual desarrolla conocimiento útil sobre los procesos y resultados  educativos,  de  manera que pueda ser aprovechada </w:t>
      </w:r>
      <w:r>
        <w:rPr>
          <w:spacing w:val="-3"/>
        </w:rPr>
        <w:t>por </w:t>
      </w:r>
      <w:r>
        <w:rPr/>
        <w:t>alumnos, docentes y autoridades de diferente nivel, para </w:t>
      </w:r>
      <w:r>
        <w:rPr>
          <w:spacing w:val="-5"/>
        </w:rPr>
        <w:t>la </w:t>
      </w:r>
      <w:r>
        <w:rPr/>
        <w:t>mejora constante” (INEE, </w:t>
      </w:r>
      <w:r>
        <w:rPr>
          <w:spacing w:val="4"/>
        </w:rPr>
        <w:t> </w:t>
      </w:r>
      <w:r>
        <w:rPr/>
        <w:t>2012).</w:t>
      </w:r>
    </w:p>
    <w:p>
      <w:pPr>
        <w:pStyle w:val="BodyText"/>
        <w:spacing w:line="362" w:lineRule="auto" w:before="10"/>
        <w:ind w:left="116" w:right="108" w:firstLine="686"/>
        <w:jc w:val="both"/>
        <w:rPr>
          <w:sz w:val="15"/>
        </w:rPr>
      </w:pPr>
      <w:r>
        <w:rPr/>
        <w:t>En </w:t>
      </w:r>
      <w:r>
        <w:rPr>
          <w:spacing w:val="-3"/>
        </w:rPr>
        <w:t>otras </w:t>
      </w:r>
      <w:r>
        <w:rPr/>
        <w:t>palabras, el INEE como instancia evaluadora quedó sin voz </w:t>
      </w:r>
      <w:r>
        <w:rPr>
          <w:spacing w:val="3"/>
        </w:rPr>
        <w:t>ni </w:t>
      </w:r>
      <w:r>
        <w:rPr/>
        <w:t>voto sobre lo que implican los (bajos) resultados en el ámbito </w:t>
      </w:r>
      <w:r>
        <w:rPr>
          <w:spacing w:val="2"/>
        </w:rPr>
        <w:t>del </w:t>
      </w:r>
      <w:r>
        <w:rPr/>
        <w:t>logro de </w:t>
      </w:r>
      <w:r>
        <w:rPr>
          <w:spacing w:val="-2"/>
        </w:rPr>
        <w:t>los </w:t>
      </w:r>
      <w:r>
        <w:rPr/>
        <w:t>aprendizajes. Ni siquiera puede enlistar o catalogar “recomendaciones” </w:t>
      </w:r>
      <w:r>
        <w:rPr>
          <w:spacing w:val="-3"/>
        </w:rPr>
        <w:t>que </w:t>
      </w:r>
      <w:r>
        <w:rPr/>
        <w:t>hayan sido exitosas en otros países, ni mucho </w:t>
      </w:r>
      <w:r>
        <w:rPr>
          <w:spacing w:val="-3"/>
        </w:rPr>
        <w:t>menos </w:t>
      </w:r>
      <w:r>
        <w:rPr/>
        <w:t>diagnosticar con procedimientos técnicos el porqué de </w:t>
      </w:r>
      <w:r>
        <w:rPr>
          <w:spacing w:val="-4"/>
        </w:rPr>
        <w:t>las </w:t>
      </w:r>
      <w:r>
        <w:rPr/>
        <w:t>fallas del sistema educativo. Bajo esta lógica, </w:t>
      </w:r>
      <w:r>
        <w:rPr>
          <w:spacing w:val="-2"/>
        </w:rPr>
        <w:t>los </w:t>
      </w:r>
      <w:r>
        <w:rPr/>
        <w:t>responsables (gobierno federal, congreso nacional y congresos locales, gobernadores, autoridades  educativas  estatales,   sindicato magisterial, directivos  y docentes) no serían imputados, </w:t>
      </w:r>
      <w:r>
        <w:rPr>
          <w:spacing w:val="3"/>
        </w:rPr>
        <w:t>ni </w:t>
      </w:r>
      <w:r>
        <w:rPr/>
        <w:t>siquiera desde el punto de vista técnico por el INEE.</w:t>
      </w:r>
      <w:r>
        <w:rPr>
          <w:position w:val="11"/>
          <w:sz w:val="15"/>
        </w:rPr>
        <w:t>49</w:t>
      </w:r>
    </w:p>
    <w:p>
      <w:pPr>
        <w:pStyle w:val="BodyText"/>
        <w:spacing w:line="248" w:lineRule="exact"/>
        <w:ind w:left="115" w:firstLine="686"/>
        <w:jc w:val="both"/>
      </w:pPr>
      <w:r>
        <w:rPr/>
        <w:t>La  estructura  de  gobierno  integrada  por  tres  cuerpos  colegiados:   Junta</w:t>
      </w:r>
    </w:p>
    <w:p>
      <w:pPr>
        <w:pStyle w:val="BodyText"/>
        <w:spacing w:line="348" w:lineRule="auto" w:before="138"/>
        <w:ind w:left="115" w:right="108"/>
        <w:jc w:val="both"/>
      </w:pPr>
      <w:r>
        <w:rPr/>
        <w:t>Directiva, Consejo Técnico y Consejo Consultivo. En tanto, su estructura operativa quedó integrada por un Director General, un Director Adjunto y nueve directores    de</w:t>
      </w:r>
      <w:r>
        <w:rPr>
          <w:spacing w:val="47"/>
        </w:rPr>
        <w:t> </w:t>
      </w:r>
      <w:r>
        <w:rPr/>
        <w:t>área.</w:t>
      </w:r>
      <w:r>
        <w:rPr>
          <w:position w:val="11"/>
          <w:sz w:val="15"/>
        </w:rPr>
        <w:t>50 </w:t>
      </w:r>
      <w:r>
        <w:rPr>
          <w:spacing w:val="26"/>
          <w:position w:val="11"/>
          <w:sz w:val="15"/>
        </w:rPr>
        <w:t> </w:t>
      </w:r>
      <w:r>
        <w:rPr/>
        <w:t>El</w:t>
      </w:r>
      <w:r>
        <w:rPr>
          <w:spacing w:val="40"/>
        </w:rPr>
        <w:t> </w:t>
      </w:r>
      <w:r>
        <w:rPr/>
        <w:t>Consejo</w:t>
      </w:r>
      <w:r>
        <w:rPr>
          <w:spacing w:val="44"/>
        </w:rPr>
        <w:t> </w:t>
      </w:r>
      <w:r>
        <w:rPr/>
        <w:t>Técnico</w:t>
      </w:r>
      <w:r>
        <w:rPr>
          <w:spacing w:val="44"/>
        </w:rPr>
        <w:t> </w:t>
      </w:r>
      <w:r>
        <w:rPr/>
        <w:t>establece</w:t>
      </w:r>
      <w:r>
        <w:rPr>
          <w:spacing w:val="44"/>
        </w:rPr>
        <w:t> </w:t>
      </w:r>
      <w:r>
        <w:rPr/>
        <w:t>los</w:t>
      </w:r>
      <w:r>
        <w:rPr>
          <w:spacing w:val="44"/>
        </w:rPr>
        <w:t> </w:t>
      </w:r>
      <w:r>
        <w:rPr/>
        <w:t>lineamientos</w:t>
      </w:r>
      <w:r>
        <w:rPr>
          <w:spacing w:val="53"/>
        </w:rPr>
        <w:t> </w:t>
      </w:r>
      <w:r>
        <w:rPr/>
        <w:t>técnicos</w:t>
      </w:r>
      <w:r>
        <w:rPr>
          <w:spacing w:val="44"/>
        </w:rPr>
        <w:t> </w:t>
      </w:r>
      <w:r>
        <w:rPr/>
        <w:t>que</w:t>
      </w:r>
      <w:r>
        <w:rPr>
          <w:spacing w:val="44"/>
        </w:rPr>
        <w:t> </w:t>
      </w:r>
      <w:r>
        <w:rPr/>
        <w:t>guían</w:t>
      </w:r>
      <w:r>
        <w:rPr>
          <w:spacing w:val="44"/>
        </w:rPr>
        <w:t> </w:t>
      </w:r>
      <w:r>
        <w:rPr/>
        <w:t>el</w:t>
      </w:r>
    </w:p>
    <w:p>
      <w:pPr>
        <w:pStyle w:val="BodyText"/>
        <w:spacing w:before="10"/>
        <w:rPr>
          <w:sz w:val="20"/>
        </w:rPr>
      </w:pPr>
      <w:r>
        <w:rPr/>
        <w:pict>
          <v:line style="position:absolute;mso-position-horizontal-relative:page;mso-position-vertical-relative:paragraph;z-index:3160;mso-wrap-distance-left:0;mso-wrap-distance-right:0" from="82.799004pt,14.340038pt" to="222.958004pt,14.340038pt" stroked="true" strokeweight=".72pt" strokecolor="#000000">
            <w10:wrap type="topAndBottom"/>
          </v:line>
        </w:pict>
      </w:r>
    </w:p>
    <w:p>
      <w:pPr>
        <w:spacing w:line="247" w:lineRule="auto" w:before="56"/>
        <w:ind w:left="115" w:right="99" w:firstLine="0"/>
        <w:jc w:val="both"/>
        <w:rPr>
          <w:sz w:val="19"/>
        </w:rPr>
      </w:pPr>
      <w:r>
        <w:rPr>
          <w:rFonts w:ascii="Times New Roman" w:hAnsi="Times New Roman"/>
          <w:spacing w:val="-3"/>
          <w:w w:val="105"/>
          <w:position w:val="9"/>
          <w:sz w:val="12"/>
        </w:rPr>
        <w:t>49 </w:t>
      </w:r>
      <w:r>
        <w:rPr>
          <w:spacing w:val="-3"/>
          <w:w w:val="105"/>
          <w:sz w:val="19"/>
        </w:rPr>
        <w:t>Este </w:t>
      </w:r>
      <w:r>
        <w:rPr>
          <w:w w:val="105"/>
          <w:sz w:val="19"/>
        </w:rPr>
        <w:t>elemento </w:t>
      </w:r>
      <w:r>
        <w:rPr>
          <w:spacing w:val="-4"/>
          <w:w w:val="105"/>
          <w:sz w:val="19"/>
        </w:rPr>
        <w:t>se </w:t>
      </w:r>
      <w:r>
        <w:rPr>
          <w:w w:val="105"/>
          <w:sz w:val="19"/>
        </w:rPr>
        <w:t>justificado por la SEP </w:t>
      </w:r>
      <w:r>
        <w:rPr>
          <w:spacing w:val="2"/>
          <w:w w:val="105"/>
          <w:sz w:val="19"/>
        </w:rPr>
        <w:t>al </w:t>
      </w:r>
      <w:r>
        <w:rPr>
          <w:w w:val="105"/>
          <w:sz w:val="19"/>
        </w:rPr>
        <w:t>argumentar que ee acuerdo con los resultados de las evaluaciones, la sociedad tendrá elementos para exigir a las instancias correspondientes la aplicación</w:t>
      </w:r>
      <w:r>
        <w:rPr>
          <w:spacing w:val="-12"/>
          <w:w w:val="105"/>
          <w:sz w:val="19"/>
        </w:rPr>
        <w:t> </w:t>
      </w:r>
      <w:r>
        <w:rPr>
          <w:w w:val="105"/>
          <w:sz w:val="19"/>
        </w:rPr>
        <w:t>de</w:t>
      </w:r>
      <w:r>
        <w:rPr>
          <w:spacing w:val="-16"/>
          <w:w w:val="105"/>
          <w:sz w:val="19"/>
        </w:rPr>
        <w:t> </w:t>
      </w:r>
      <w:r>
        <w:rPr>
          <w:w w:val="105"/>
          <w:sz w:val="19"/>
        </w:rPr>
        <w:t>estrategias</w:t>
      </w:r>
      <w:r>
        <w:rPr>
          <w:spacing w:val="-19"/>
          <w:w w:val="105"/>
          <w:sz w:val="19"/>
        </w:rPr>
        <w:t> </w:t>
      </w:r>
      <w:r>
        <w:rPr>
          <w:w w:val="105"/>
          <w:sz w:val="19"/>
        </w:rPr>
        <w:t>adecuadas</w:t>
      </w:r>
      <w:r>
        <w:rPr>
          <w:spacing w:val="-16"/>
          <w:w w:val="105"/>
          <w:sz w:val="19"/>
        </w:rPr>
        <w:t> </w:t>
      </w:r>
      <w:r>
        <w:rPr>
          <w:w w:val="105"/>
          <w:sz w:val="19"/>
        </w:rPr>
        <w:t>para</w:t>
      </w:r>
      <w:r>
        <w:rPr>
          <w:spacing w:val="-12"/>
          <w:w w:val="105"/>
          <w:sz w:val="19"/>
        </w:rPr>
        <w:t> </w:t>
      </w:r>
      <w:r>
        <w:rPr>
          <w:w w:val="105"/>
          <w:sz w:val="19"/>
        </w:rPr>
        <w:t>resolver</w:t>
      </w:r>
      <w:r>
        <w:rPr>
          <w:spacing w:val="-16"/>
          <w:w w:val="105"/>
          <w:sz w:val="19"/>
        </w:rPr>
        <w:t> </w:t>
      </w:r>
      <w:r>
        <w:rPr>
          <w:w w:val="105"/>
          <w:sz w:val="19"/>
        </w:rPr>
        <w:t>los</w:t>
      </w:r>
      <w:r>
        <w:rPr>
          <w:spacing w:val="-19"/>
          <w:w w:val="105"/>
          <w:sz w:val="19"/>
        </w:rPr>
        <w:t> </w:t>
      </w:r>
      <w:r>
        <w:rPr>
          <w:w w:val="105"/>
          <w:sz w:val="19"/>
        </w:rPr>
        <w:t>posibles</w:t>
      </w:r>
      <w:r>
        <w:rPr>
          <w:spacing w:val="-19"/>
          <w:w w:val="105"/>
          <w:sz w:val="19"/>
        </w:rPr>
        <w:t> </w:t>
      </w:r>
      <w:r>
        <w:rPr>
          <w:w w:val="105"/>
          <w:sz w:val="19"/>
        </w:rPr>
        <w:t>problemas</w:t>
      </w:r>
      <w:r>
        <w:rPr>
          <w:spacing w:val="-19"/>
          <w:w w:val="105"/>
          <w:sz w:val="19"/>
        </w:rPr>
        <w:t> </w:t>
      </w:r>
      <w:r>
        <w:rPr>
          <w:w w:val="105"/>
          <w:sz w:val="19"/>
        </w:rPr>
        <w:t>que</w:t>
      </w:r>
      <w:r>
        <w:rPr>
          <w:spacing w:val="-12"/>
          <w:w w:val="105"/>
          <w:sz w:val="19"/>
        </w:rPr>
        <w:t> </w:t>
      </w:r>
      <w:r>
        <w:rPr>
          <w:w w:val="105"/>
          <w:sz w:val="19"/>
        </w:rPr>
        <w:t>se</w:t>
      </w:r>
      <w:r>
        <w:rPr>
          <w:spacing w:val="-16"/>
          <w:w w:val="105"/>
          <w:sz w:val="19"/>
        </w:rPr>
        <w:t> </w:t>
      </w:r>
      <w:r>
        <w:rPr>
          <w:w w:val="105"/>
          <w:sz w:val="19"/>
        </w:rPr>
        <w:t>detecten</w:t>
      </w:r>
      <w:r>
        <w:rPr>
          <w:spacing w:val="-16"/>
          <w:w w:val="105"/>
          <w:sz w:val="19"/>
        </w:rPr>
        <w:t> </w:t>
      </w:r>
      <w:r>
        <w:rPr>
          <w:w w:val="105"/>
          <w:sz w:val="19"/>
        </w:rPr>
        <w:t>a</w:t>
      </w:r>
      <w:r>
        <w:rPr>
          <w:spacing w:val="-9"/>
          <w:w w:val="105"/>
          <w:sz w:val="19"/>
        </w:rPr>
        <w:t> </w:t>
      </w:r>
      <w:r>
        <w:rPr>
          <w:w w:val="105"/>
          <w:sz w:val="19"/>
        </w:rPr>
        <w:t>través de</w:t>
      </w:r>
      <w:r>
        <w:rPr>
          <w:spacing w:val="-4"/>
          <w:w w:val="105"/>
          <w:sz w:val="19"/>
        </w:rPr>
        <w:t> </w:t>
      </w:r>
      <w:r>
        <w:rPr>
          <w:w w:val="105"/>
          <w:sz w:val="19"/>
        </w:rPr>
        <w:t>tales</w:t>
      </w:r>
      <w:r>
        <w:rPr>
          <w:spacing w:val="-12"/>
          <w:w w:val="105"/>
          <w:sz w:val="19"/>
        </w:rPr>
        <w:t> </w:t>
      </w:r>
      <w:r>
        <w:rPr>
          <w:w w:val="105"/>
          <w:sz w:val="19"/>
        </w:rPr>
        <w:t>estudios.</w:t>
      </w:r>
      <w:r>
        <w:rPr>
          <w:spacing w:val="-9"/>
          <w:w w:val="105"/>
          <w:sz w:val="19"/>
        </w:rPr>
        <w:t> </w:t>
      </w:r>
      <w:r>
        <w:rPr>
          <w:w w:val="105"/>
          <w:sz w:val="19"/>
        </w:rPr>
        <w:t>Por</w:t>
      </w:r>
      <w:r>
        <w:rPr>
          <w:spacing w:val="-12"/>
          <w:w w:val="105"/>
          <w:sz w:val="19"/>
        </w:rPr>
        <w:t> </w:t>
      </w:r>
      <w:r>
        <w:rPr>
          <w:w w:val="105"/>
          <w:sz w:val="19"/>
        </w:rPr>
        <w:t>otro</w:t>
      </w:r>
      <w:r>
        <w:rPr>
          <w:spacing w:val="-4"/>
          <w:w w:val="105"/>
          <w:sz w:val="19"/>
        </w:rPr>
        <w:t> </w:t>
      </w:r>
      <w:r>
        <w:rPr>
          <w:w w:val="105"/>
          <w:sz w:val="19"/>
        </w:rPr>
        <w:t>lado,</w:t>
      </w:r>
      <w:r>
        <w:rPr>
          <w:spacing w:val="-9"/>
          <w:w w:val="105"/>
          <w:sz w:val="19"/>
        </w:rPr>
        <w:t> </w:t>
      </w:r>
      <w:r>
        <w:rPr>
          <w:w w:val="105"/>
          <w:sz w:val="19"/>
        </w:rPr>
        <w:t>dado</w:t>
      </w:r>
      <w:r>
        <w:rPr>
          <w:spacing w:val="-9"/>
          <w:w w:val="105"/>
          <w:sz w:val="19"/>
        </w:rPr>
        <w:t> </w:t>
      </w:r>
      <w:r>
        <w:rPr>
          <w:w w:val="105"/>
          <w:sz w:val="19"/>
        </w:rPr>
        <w:t>que</w:t>
      </w:r>
      <w:r>
        <w:rPr>
          <w:spacing w:val="-9"/>
          <w:w w:val="105"/>
          <w:sz w:val="19"/>
        </w:rPr>
        <w:t> </w:t>
      </w:r>
      <w:r>
        <w:rPr>
          <w:w w:val="105"/>
          <w:sz w:val="19"/>
        </w:rPr>
        <w:t>la</w:t>
      </w:r>
      <w:r>
        <w:rPr>
          <w:spacing w:val="-9"/>
          <w:w w:val="105"/>
          <w:sz w:val="19"/>
        </w:rPr>
        <w:t> </w:t>
      </w:r>
      <w:r>
        <w:rPr>
          <w:w w:val="105"/>
          <w:sz w:val="19"/>
        </w:rPr>
        <w:t>educación</w:t>
      </w:r>
      <w:r>
        <w:rPr>
          <w:spacing w:val="-9"/>
          <w:w w:val="105"/>
          <w:sz w:val="19"/>
        </w:rPr>
        <w:t> </w:t>
      </w:r>
      <w:r>
        <w:rPr>
          <w:w w:val="105"/>
          <w:sz w:val="19"/>
        </w:rPr>
        <w:t>es</w:t>
      </w:r>
      <w:r>
        <w:rPr>
          <w:spacing w:val="-9"/>
          <w:w w:val="105"/>
          <w:sz w:val="19"/>
        </w:rPr>
        <w:t> </w:t>
      </w:r>
      <w:r>
        <w:rPr>
          <w:w w:val="105"/>
          <w:sz w:val="19"/>
        </w:rPr>
        <w:t>tarea</w:t>
      </w:r>
      <w:r>
        <w:rPr>
          <w:spacing w:val="-9"/>
          <w:w w:val="105"/>
          <w:sz w:val="19"/>
        </w:rPr>
        <w:t> </w:t>
      </w:r>
      <w:r>
        <w:rPr>
          <w:w w:val="105"/>
          <w:sz w:val="19"/>
        </w:rPr>
        <w:t>de</w:t>
      </w:r>
      <w:r>
        <w:rPr>
          <w:spacing w:val="-4"/>
          <w:w w:val="105"/>
          <w:sz w:val="19"/>
        </w:rPr>
        <w:t> </w:t>
      </w:r>
      <w:r>
        <w:rPr>
          <w:w w:val="105"/>
          <w:sz w:val="19"/>
        </w:rPr>
        <w:t>todos,</w:t>
      </w:r>
      <w:r>
        <w:rPr>
          <w:spacing w:val="-9"/>
          <w:w w:val="105"/>
          <w:sz w:val="19"/>
        </w:rPr>
        <w:t> </w:t>
      </w:r>
      <w:r>
        <w:rPr>
          <w:w w:val="105"/>
          <w:sz w:val="19"/>
        </w:rPr>
        <w:t>las</w:t>
      </w:r>
      <w:r>
        <w:rPr>
          <w:spacing w:val="-11"/>
          <w:w w:val="105"/>
          <w:sz w:val="19"/>
        </w:rPr>
        <w:t> </w:t>
      </w:r>
      <w:r>
        <w:rPr>
          <w:w w:val="105"/>
          <w:sz w:val="19"/>
        </w:rPr>
        <w:t>familias</w:t>
      </w:r>
      <w:r>
        <w:rPr>
          <w:spacing w:val="-9"/>
          <w:w w:val="105"/>
          <w:sz w:val="19"/>
        </w:rPr>
        <w:t> </w:t>
      </w:r>
      <w:r>
        <w:rPr>
          <w:w w:val="105"/>
          <w:sz w:val="19"/>
        </w:rPr>
        <w:t>asumirán</w:t>
      </w:r>
      <w:r>
        <w:rPr>
          <w:spacing w:val="-4"/>
          <w:w w:val="105"/>
          <w:sz w:val="19"/>
        </w:rPr>
        <w:t> su </w:t>
      </w:r>
      <w:r>
        <w:rPr>
          <w:w w:val="105"/>
          <w:sz w:val="19"/>
        </w:rPr>
        <w:t>papel</w:t>
      </w:r>
      <w:r>
        <w:rPr>
          <w:spacing w:val="-12"/>
          <w:w w:val="105"/>
          <w:sz w:val="19"/>
        </w:rPr>
        <w:t> </w:t>
      </w:r>
      <w:r>
        <w:rPr>
          <w:w w:val="105"/>
          <w:sz w:val="19"/>
        </w:rPr>
        <w:t>para</w:t>
      </w:r>
      <w:r>
        <w:rPr>
          <w:spacing w:val="-17"/>
          <w:w w:val="105"/>
          <w:sz w:val="19"/>
        </w:rPr>
        <w:t> </w:t>
      </w:r>
      <w:r>
        <w:rPr>
          <w:w w:val="105"/>
          <w:sz w:val="19"/>
        </w:rPr>
        <w:t>apoyar</w:t>
      </w:r>
      <w:r>
        <w:rPr>
          <w:spacing w:val="-17"/>
          <w:w w:val="105"/>
          <w:sz w:val="19"/>
        </w:rPr>
        <w:t> </w:t>
      </w:r>
      <w:r>
        <w:rPr>
          <w:w w:val="105"/>
          <w:sz w:val="19"/>
        </w:rPr>
        <w:t>a</w:t>
      </w:r>
      <w:r>
        <w:rPr>
          <w:spacing w:val="-17"/>
          <w:w w:val="105"/>
          <w:sz w:val="19"/>
        </w:rPr>
        <w:t> </w:t>
      </w:r>
      <w:r>
        <w:rPr>
          <w:w w:val="105"/>
          <w:sz w:val="19"/>
        </w:rPr>
        <w:t>sus</w:t>
      </w:r>
      <w:r>
        <w:rPr>
          <w:spacing w:val="-19"/>
          <w:w w:val="105"/>
          <w:sz w:val="19"/>
        </w:rPr>
        <w:t> </w:t>
      </w:r>
      <w:r>
        <w:rPr>
          <w:w w:val="105"/>
          <w:sz w:val="19"/>
        </w:rPr>
        <w:t>hijos</w:t>
      </w:r>
      <w:r>
        <w:rPr>
          <w:spacing w:val="-17"/>
          <w:w w:val="105"/>
          <w:sz w:val="19"/>
        </w:rPr>
        <w:t> </w:t>
      </w:r>
      <w:r>
        <w:rPr>
          <w:spacing w:val="-3"/>
          <w:w w:val="105"/>
          <w:sz w:val="19"/>
        </w:rPr>
        <w:t>en</w:t>
      </w:r>
      <w:r>
        <w:rPr>
          <w:spacing w:val="-17"/>
          <w:w w:val="105"/>
          <w:sz w:val="19"/>
        </w:rPr>
        <w:t> </w:t>
      </w:r>
      <w:r>
        <w:rPr>
          <w:w w:val="105"/>
          <w:sz w:val="19"/>
        </w:rPr>
        <w:t>los</w:t>
      </w:r>
      <w:r>
        <w:rPr>
          <w:spacing w:val="-17"/>
          <w:w w:val="105"/>
          <w:sz w:val="19"/>
        </w:rPr>
        <w:t> </w:t>
      </w:r>
      <w:r>
        <w:rPr>
          <w:w w:val="105"/>
          <w:sz w:val="19"/>
        </w:rPr>
        <w:t>propósitos</w:t>
      </w:r>
      <w:r>
        <w:rPr>
          <w:spacing w:val="-17"/>
          <w:w w:val="105"/>
          <w:sz w:val="19"/>
        </w:rPr>
        <w:t> </w:t>
      </w:r>
      <w:r>
        <w:rPr>
          <w:w w:val="105"/>
          <w:sz w:val="19"/>
        </w:rPr>
        <w:t>educativos.</w:t>
      </w:r>
    </w:p>
    <w:p>
      <w:pPr>
        <w:spacing w:line="220" w:lineRule="exact" w:before="3"/>
        <w:ind w:left="115" w:right="102" w:firstLine="0"/>
        <w:jc w:val="both"/>
        <w:rPr>
          <w:sz w:val="19"/>
        </w:rPr>
      </w:pPr>
      <w:r>
        <w:rPr>
          <w:rFonts w:ascii="Times New Roman" w:hAnsi="Times New Roman"/>
          <w:spacing w:val="-3"/>
          <w:w w:val="105"/>
          <w:position w:val="9"/>
          <w:sz w:val="12"/>
        </w:rPr>
        <w:t>50</w:t>
      </w:r>
      <w:r>
        <w:rPr>
          <w:rFonts w:ascii="Times New Roman" w:hAnsi="Times New Roman"/>
          <w:spacing w:val="25"/>
          <w:w w:val="105"/>
          <w:position w:val="9"/>
          <w:sz w:val="12"/>
        </w:rPr>
        <w:t> </w:t>
      </w:r>
      <w:r>
        <w:rPr>
          <w:w w:val="105"/>
          <w:sz w:val="19"/>
        </w:rPr>
        <w:t>Las direcciones de: Indicadores Educativos; Pruebas y Medición; Evaluación de Escuelas; Comunicación</w:t>
      </w:r>
      <w:r>
        <w:rPr>
          <w:spacing w:val="-15"/>
          <w:w w:val="105"/>
          <w:sz w:val="19"/>
        </w:rPr>
        <w:t> </w:t>
      </w:r>
      <w:r>
        <w:rPr>
          <w:w w:val="105"/>
          <w:sz w:val="19"/>
        </w:rPr>
        <w:t>y</w:t>
      </w:r>
      <w:r>
        <w:rPr>
          <w:spacing w:val="-19"/>
          <w:w w:val="105"/>
          <w:sz w:val="19"/>
        </w:rPr>
        <w:t> </w:t>
      </w:r>
      <w:r>
        <w:rPr>
          <w:w w:val="105"/>
          <w:sz w:val="19"/>
        </w:rPr>
        <w:t>Difusión;</w:t>
      </w:r>
      <w:r>
        <w:rPr>
          <w:spacing w:val="-15"/>
          <w:w w:val="105"/>
          <w:sz w:val="19"/>
        </w:rPr>
        <w:t> </w:t>
      </w:r>
      <w:r>
        <w:rPr>
          <w:w w:val="105"/>
          <w:sz w:val="19"/>
        </w:rPr>
        <w:t>Relaciones</w:t>
      </w:r>
      <w:r>
        <w:rPr>
          <w:spacing w:val="-15"/>
          <w:w w:val="105"/>
          <w:sz w:val="19"/>
        </w:rPr>
        <w:t> </w:t>
      </w:r>
      <w:r>
        <w:rPr>
          <w:w w:val="105"/>
          <w:sz w:val="19"/>
        </w:rPr>
        <w:t>Nacionales</w:t>
      </w:r>
      <w:r>
        <w:rPr>
          <w:spacing w:val="-15"/>
          <w:w w:val="105"/>
          <w:sz w:val="19"/>
        </w:rPr>
        <w:t> </w:t>
      </w:r>
      <w:r>
        <w:rPr>
          <w:w w:val="105"/>
          <w:sz w:val="19"/>
        </w:rPr>
        <w:t>y</w:t>
      </w:r>
      <w:r>
        <w:rPr>
          <w:spacing w:val="-21"/>
          <w:w w:val="105"/>
          <w:sz w:val="19"/>
        </w:rPr>
        <w:t> </w:t>
      </w:r>
      <w:r>
        <w:rPr>
          <w:w w:val="105"/>
          <w:sz w:val="19"/>
        </w:rPr>
        <w:t>Logística;</w:t>
      </w:r>
      <w:r>
        <w:rPr>
          <w:spacing w:val="-19"/>
          <w:w w:val="105"/>
          <w:sz w:val="19"/>
        </w:rPr>
        <w:t> </w:t>
      </w:r>
      <w:r>
        <w:rPr>
          <w:w w:val="105"/>
          <w:sz w:val="19"/>
        </w:rPr>
        <w:t>Proyectos</w:t>
      </w:r>
      <w:r>
        <w:rPr>
          <w:spacing w:val="-15"/>
          <w:w w:val="105"/>
          <w:sz w:val="19"/>
        </w:rPr>
        <w:t> </w:t>
      </w:r>
      <w:r>
        <w:rPr>
          <w:w w:val="105"/>
          <w:sz w:val="19"/>
        </w:rPr>
        <w:t>Internacionales</w:t>
      </w:r>
      <w:r>
        <w:rPr>
          <w:spacing w:val="-15"/>
          <w:w w:val="105"/>
          <w:sz w:val="19"/>
        </w:rPr>
        <w:t> </w:t>
      </w:r>
      <w:r>
        <w:rPr>
          <w:w w:val="105"/>
          <w:sz w:val="19"/>
        </w:rPr>
        <w:t>y</w:t>
      </w:r>
      <w:r>
        <w:rPr>
          <w:spacing w:val="-21"/>
          <w:w w:val="105"/>
          <w:sz w:val="19"/>
        </w:rPr>
        <w:t> </w:t>
      </w:r>
      <w:r>
        <w:rPr>
          <w:w w:val="105"/>
          <w:sz w:val="19"/>
        </w:rPr>
        <w:t>Estudios</w:t>
      </w:r>
    </w:p>
    <w:p>
      <w:pPr>
        <w:spacing w:before="3"/>
        <w:ind w:left="115" w:right="0" w:firstLine="0"/>
        <w:jc w:val="both"/>
        <w:rPr>
          <w:sz w:val="19"/>
        </w:rPr>
      </w:pPr>
      <w:r>
        <w:rPr>
          <w:w w:val="105"/>
          <w:sz w:val="19"/>
        </w:rPr>
        <w:t>Especiales; Informática, Administración y Finanzas, y de Asuntos Jurídicos.</w:t>
      </w:r>
    </w:p>
    <w:p>
      <w:pPr>
        <w:spacing w:after="0"/>
        <w:jc w:val="both"/>
        <w:rPr>
          <w:sz w:val="19"/>
        </w:rPr>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7"/>
        <w:jc w:val="both"/>
      </w:pPr>
      <w:r>
        <w:rPr/>
        <w:t>trabajo del INEE; asesora a </w:t>
      </w:r>
      <w:r>
        <w:rPr>
          <w:spacing w:val="-3"/>
        </w:rPr>
        <w:t>la </w:t>
      </w:r>
      <w:r>
        <w:rPr/>
        <w:t>Junta Directiva y al Director General; conoce </w:t>
      </w:r>
      <w:r>
        <w:rPr>
          <w:spacing w:val="-2"/>
        </w:rPr>
        <w:t>los </w:t>
      </w:r>
      <w:r>
        <w:rPr/>
        <w:t>programas de trabajo anuales y de mediano plazo que elabora la  Dirección  General y recomienda a </w:t>
      </w:r>
      <w:r>
        <w:rPr>
          <w:spacing w:val="-5"/>
        </w:rPr>
        <w:t>la </w:t>
      </w:r>
      <w:r>
        <w:rPr/>
        <w:t>Junta Directiva, en </w:t>
      </w:r>
      <w:r>
        <w:rPr>
          <w:spacing w:val="2"/>
        </w:rPr>
        <w:t>su </w:t>
      </w:r>
      <w:r>
        <w:rPr/>
        <w:t>caso, su aprobación. Asimismo,    el Consejo Técnico está integrado por 16 expertos en </w:t>
      </w:r>
      <w:r>
        <w:rPr>
          <w:spacing w:val="-3"/>
        </w:rPr>
        <w:t>los </w:t>
      </w:r>
      <w:r>
        <w:rPr/>
        <w:t>campos de la evaluación   y de </w:t>
      </w:r>
      <w:r>
        <w:rPr>
          <w:spacing w:val="-5"/>
        </w:rPr>
        <w:t>la </w:t>
      </w:r>
      <w:r>
        <w:rPr/>
        <w:t>investigación educativa, quienes </w:t>
      </w:r>
      <w:r>
        <w:rPr>
          <w:spacing w:val="-3"/>
        </w:rPr>
        <w:t>trabajan </w:t>
      </w:r>
      <w:r>
        <w:rPr>
          <w:spacing w:val="2"/>
        </w:rPr>
        <w:t>en </w:t>
      </w:r>
      <w:r>
        <w:rPr/>
        <w:t>cuatro subgrupos: indicadores educativos; medición y pruebas de aprendizaje; evaluación de escuelas, y visión general de la problemática de </w:t>
      </w:r>
      <w:r>
        <w:rPr>
          <w:spacing w:val="-3"/>
        </w:rPr>
        <w:t>la </w:t>
      </w:r>
      <w:r>
        <w:rPr/>
        <w:t>evaluación del sistema educativo (INEE, </w:t>
      </w:r>
      <w:r>
        <w:rPr>
          <w:spacing w:val="28"/>
        </w:rPr>
        <w:t> </w:t>
      </w:r>
      <w:r>
        <w:rPr/>
        <w:t>2012).</w:t>
      </w:r>
    </w:p>
    <w:p>
      <w:pPr>
        <w:pStyle w:val="BodyText"/>
        <w:spacing w:line="364" w:lineRule="auto" w:before="5"/>
        <w:ind w:left="115" w:right="105" w:firstLine="686"/>
        <w:jc w:val="both"/>
      </w:pPr>
      <w:r>
        <w:rPr/>
        <w:t>El Consejo Consultivo por su parte es el Enlace para fortalecer la colaboración entre las autoridades educativas federal y locales en materia de evaluación educativa. Está integrado por los responsables de las áreas de evaluación de las 32 entidades federativas. Su pertenencia es honoraria (INEE, 2012).</w:t>
      </w:r>
    </w:p>
    <w:p>
      <w:pPr>
        <w:pStyle w:val="BodyText"/>
        <w:spacing w:line="364" w:lineRule="auto"/>
        <w:ind w:left="115" w:right="105" w:firstLine="686"/>
        <w:jc w:val="both"/>
      </w:pPr>
      <w:r>
        <w:rPr/>
        <w:t>Pese a todo, se puede afirmar que el INEE significa un avance significativo  en el conocimiento de la problemática del sector educativo,  </w:t>
      </w:r>
      <w:r>
        <w:rPr>
          <w:spacing w:val="-3"/>
        </w:rPr>
        <w:t>en  </w:t>
      </w:r>
      <w:r>
        <w:rPr>
          <w:spacing w:val="-4"/>
        </w:rPr>
        <w:t>la  </w:t>
      </w:r>
      <w:r>
        <w:rPr/>
        <w:t>medida  que desde su creación ha contribuido a  ubicar el estado de la educación a través  de  las evaluaciones integrales de </w:t>
      </w:r>
      <w:r>
        <w:rPr>
          <w:spacing w:val="-3"/>
        </w:rPr>
        <w:t>la </w:t>
      </w:r>
      <w:r>
        <w:rPr/>
        <w:t>calidad del sistema educativo y de los factores  que la determinan, así a través como de la difusión transparente y oportuna de los resultados. Ello para apoyar la toma de decisiones, </w:t>
      </w:r>
      <w:r>
        <w:rPr>
          <w:spacing w:val="-5"/>
        </w:rPr>
        <w:t>la </w:t>
      </w:r>
      <w:r>
        <w:rPr/>
        <w:t>mejora pedagógica </w:t>
      </w:r>
      <w:r>
        <w:rPr>
          <w:spacing w:val="-3"/>
        </w:rPr>
        <w:t>en </w:t>
      </w:r>
      <w:r>
        <w:rPr/>
        <w:t>las escuelas y la rendición de cuentas. Sobre todo en este último punto, el INEE, cambió la cultura de la evaluación en México (Martínez </w:t>
      </w:r>
      <w:r>
        <w:rPr>
          <w:spacing w:val="-3"/>
        </w:rPr>
        <w:t>Rizo </w:t>
      </w:r>
      <w:r>
        <w:rPr>
          <w:i/>
        </w:rPr>
        <w:t>et. al., </w:t>
      </w:r>
      <w:r>
        <w:rPr>
          <w:i/>
          <w:spacing w:val="33"/>
        </w:rPr>
        <w:t> </w:t>
      </w:r>
      <w:r>
        <w:rPr/>
        <w:t>2002).</w:t>
      </w:r>
    </w:p>
    <w:p>
      <w:pPr>
        <w:pStyle w:val="BodyText"/>
        <w:spacing w:line="364" w:lineRule="auto" w:before="5"/>
        <w:ind w:left="115" w:right="101" w:firstLine="686"/>
        <w:jc w:val="both"/>
      </w:pPr>
      <w:r>
        <w:rPr/>
        <w:t>También es clave </w:t>
      </w:r>
      <w:r>
        <w:rPr>
          <w:spacing w:val="-4"/>
        </w:rPr>
        <w:t>la </w:t>
      </w:r>
      <w:r>
        <w:rPr/>
        <w:t>tarea del INEE porque se le asignaron las funciones de evaluar el impacto de la inversión en educación y monitorear de manera permanente los avances, estancamientos o retrocesos para identificar cómo hacer más eficiente el gasto en educación en un contexto de restricción financiera (Zorrilla: 479) y se dejan las funciones de registro del diagnóstico escolar, de </w:t>
      </w:r>
      <w:r>
        <w:rPr>
          <w:spacing w:val="-3"/>
        </w:rPr>
        <w:t>la </w:t>
      </w:r>
      <w:r>
        <w:rPr/>
        <w:t>evaluación formativa y sumativa de cada año escolar, que llevan a cabo los profesores, a la Dirección General de Evaluación de la Secretaría de Educación. (Van Dijk, 2009:</w:t>
      </w:r>
      <w:r>
        <w:rPr>
          <w:spacing w:val="20"/>
        </w:rPr>
        <w:t> </w:t>
      </w:r>
      <w:r>
        <w:rPr/>
        <w:t>58)</w:t>
      </w:r>
    </w:p>
    <w:p>
      <w:pPr>
        <w:pStyle w:val="BodyText"/>
        <w:spacing w:line="364" w:lineRule="auto" w:before="5"/>
        <w:ind w:left="115" w:right="107" w:firstLine="686"/>
        <w:jc w:val="both"/>
      </w:pPr>
      <w:r>
        <w:rPr/>
        <w:t>Estos elementos son un </w:t>
      </w:r>
      <w:r>
        <w:rPr>
          <w:i/>
        </w:rPr>
        <w:t>parte aguas </w:t>
      </w:r>
      <w:r>
        <w:rPr/>
        <w:t>en las prácticas de evaluación a nivel nacional, sobre todo porque se conciben  las  evaluaciones  como  ejercicios externos que, en palabras del propio Instituto, se llevan a cabo con el objeto de</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8"/>
        <w:jc w:val="both"/>
      </w:pPr>
      <w:r>
        <w:rPr/>
        <w:t>ofrecer “a las autoridades educativas federal y estatales y al sector privado herramientas idóneas para evaluar los diferentes elementos que integran sus sistemas educativos”. Empero, la debilidad política del INEE como evaluador, se refleja en el hecho de que su función se  establece  como  complementaria,  de apoyo y de colaboración para dar seguimiento a los aprendizajes de los alumnos (van Dijk, 2009: 58).</w:t>
      </w:r>
    </w:p>
    <w:p>
      <w:pPr>
        <w:pStyle w:val="BodyText"/>
        <w:spacing w:line="364" w:lineRule="auto" w:before="5"/>
        <w:ind w:left="115" w:right="107" w:firstLine="686"/>
        <w:jc w:val="both"/>
      </w:pPr>
      <w:r>
        <w:rPr/>
        <w:t>En este marco, a partir del año 2003 el INEE se hizo cargo de las pruebas  de estándares, hasta entonces bajo la responsabilidad de </w:t>
      </w:r>
      <w:r>
        <w:rPr>
          <w:spacing w:val="-4"/>
        </w:rPr>
        <w:t>la </w:t>
      </w:r>
      <w:r>
        <w:rPr/>
        <w:t>Dirección General de Evaluación de la SEP. Estas pruebas buscaban identificar los conocimientos y habilidades que los estudiantes de primaria y secundaria aprendían de  </w:t>
      </w:r>
      <w:r>
        <w:rPr>
          <w:spacing w:val="-5"/>
        </w:rPr>
        <w:t>lo  </w:t>
      </w:r>
      <w:r>
        <w:rPr/>
        <w:t>propuesto en los planes de estudio. </w:t>
      </w:r>
      <w:r>
        <w:rPr>
          <w:spacing w:val="-3"/>
        </w:rPr>
        <w:t>Sin </w:t>
      </w:r>
      <w:r>
        <w:rPr/>
        <w:t>embargo, ante las limitaciones técnicas y metodológicas que presentaban, el instituto desarrolló en 2005  los  Exámenes  de  </w:t>
      </w:r>
      <w:r>
        <w:rPr>
          <w:spacing w:val="-5"/>
        </w:rPr>
        <w:t>la </w:t>
      </w:r>
      <w:r>
        <w:rPr/>
        <w:t>Calidad y </w:t>
      </w:r>
      <w:r>
        <w:rPr>
          <w:spacing w:val="4"/>
        </w:rPr>
        <w:t>el </w:t>
      </w:r>
      <w:r>
        <w:rPr/>
        <w:t>Logro Educativo (Excale) (INEE,</w:t>
      </w:r>
      <w:r>
        <w:rPr>
          <w:spacing w:val="56"/>
        </w:rPr>
        <w:t> </w:t>
      </w:r>
      <w:r>
        <w:rPr/>
        <w:t>2012).</w:t>
      </w:r>
    </w:p>
    <w:p>
      <w:pPr>
        <w:pStyle w:val="BodyText"/>
        <w:spacing w:line="364" w:lineRule="auto" w:before="10"/>
        <w:ind w:left="115" w:right="104" w:firstLine="686"/>
        <w:jc w:val="both"/>
      </w:pPr>
      <w:r>
        <w:rPr/>
        <w:t>El examen ha sido aplicado a muestras </w:t>
      </w:r>
      <w:r>
        <w:rPr>
          <w:spacing w:val="-3"/>
        </w:rPr>
        <w:t>de </w:t>
      </w:r>
      <w:r>
        <w:rPr/>
        <w:t>estudiantes </w:t>
      </w:r>
      <w:r>
        <w:rPr>
          <w:spacing w:val="2"/>
        </w:rPr>
        <w:t>de </w:t>
      </w:r>
      <w:r>
        <w:rPr/>
        <w:t>preescolar, primaria y secundaria para conocer su grado de dominio de los contenidos de casi todo el mapa curricular, pero es necesario lograr que se reconozca plenamente el sentido diagnóstico que tienen los resultados de estos exámenes para que no se  les tome como parámetros para realizar rankings de escuelas o que </w:t>
      </w:r>
      <w:r>
        <w:rPr>
          <w:spacing w:val="3"/>
        </w:rPr>
        <w:t>su </w:t>
      </w:r>
      <w:r>
        <w:rPr/>
        <w:t>aplicación sirva de sustento a pruebas escolares dirigidas exclusivamente a superar estos exámenes.</w:t>
      </w:r>
    </w:p>
    <w:p>
      <w:pPr>
        <w:pStyle w:val="BodyText"/>
        <w:spacing w:line="364" w:lineRule="auto" w:before="5"/>
        <w:ind w:left="115" w:right="106" w:firstLine="686"/>
        <w:jc w:val="both"/>
      </w:pPr>
      <w:r>
        <w:rPr/>
        <w:t>Otros ejemplos puntuales del trabajo del instituto son la información que a partir de 2005 presenta sobre flujos escolares, la cual permite identificar la manera en que aparece y aumenta el problema del rezago escolar; el señalamiento de la persistencia de asimetrías en el aprendizaje por modalidad escolar, sexo, estrato económico, entidad federativa y tipo de comunidad; la identificación de los factores que inciden en la capacidad lectora de los alumnos; o bien el grado de satisfacción alcanzado por los maestros en su trabajo en el aula. Asimismo, coordina la aplicación de los exámenes del Programa para la Evaluación Internacional del Estudiante de la OCDE, además difunde los resultados y aprovecha la información generada por la prueba para realizar análisis más focalizados y pormenorizados. (Muñoz Izquierdo </w:t>
      </w:r>
      <w:r>
        <w:rPr>
          <w:i/>
        </w:rPr>
        <w:t>et. al.</w:t>
      </w:r>
      <w:r>
        <w:rPr/>
        <w:t>,  2009).</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6" w:firstLine="686"/>
        <w:jc w:val="both"/>
      </w:pPr>
      <w:r>
        <w:rPr/>
        <w:t>Asimismo, cada año, el instituto publica un informe con </w:t>
      </w:r>
      <w:r>
        <w:rPr>
          <w:spacing w:val="3"/>
        </w:rPr>
        <w:t>el </w:t>
      </w:r>
      <w:r>
        <w:rPr/>
        <w:t>título genérico de </w:t>
      </w:r>
      <w:r>
        <w:rPr>
          <w:i/>
        </w:rPr>
        <w:t>La calidad de la educación básica en México</w:t>
      </w:r>
      <w:r>
        <w:rPr/>
        <w:t>, así como </w:t>
      </w:r>
      <w:r>
        <w:rPr>
          <w:i/>
        </w:rPr>
        <w:t>El panorama educativo de </w:t>
      </w:r>
      <w:r>
        <w:rPr>
          <w:i/>
        </w:rPr>
        <w:t>México. </w:t>
      </w:r>
      <w:r>
        <w:rPr/>
        <w:t>Hasta finales de 2008, las publicaciones impresas del INEE llegaban a  144, y a 177 </w:t>
      </w:r>
      <w:r>
        <w:rPr>
          <w:spacing w:val="2"/>
        </w:rPr>
        <w:t>si </w:t>
      </w:r>
      <w:r>
        <w:rPr/>
        <w:t>se incluyen las coediciones, entre trabajos específicos, manuales técnicos y reportes finales. Mientras que las publicaciones electrónicas sumaban  67, entre documentos técnicos y libros. A este resultado se puede sumar </w:t>
      </w:r>
      <w:r>
        <w:rPr>
          <w:spacing w:val="-6"/>
        </w:rPr>
        <w:t>la </w:t>
      </w:r>
      <w:r>
        <w:rPr/>
        <w:t>constitución, en coordinación con </w:t>
      </w:r>
      <w:r>
        <w:rPr>
          <w:spacing w:val="-3"/>
        </w:rPr>
        <w:t>la </w:t>
      </w:r>
      <w:r>
        <w:rPr>
          <w:spacing w:val="2"/>
        </w:rPr>
        <w:t>SEP, </w:t>
      </w:r>
      <w:r>
        <w:rPr/>
        <w:t>del Sistema Nacional de Indicadores Educativos (Sininde), cuyo objetivo es mejorar </w:t>
      </w:r>
      <w:r>
        <w:rPr>
          <w:spacing w:val="-3"/>
        </w:rPr>
        <w:t>las </w:t>
      </w:r>
      <w:r>
        <w:rPr/>
        <w:t>posibilidades de comparación entre resultados pasados y presentes, así como abrir la posibilidad de formular proyecciones para la atención de los problemas del sector. El sitio web del INEE alcanzó, entre septiembre de 2007 y agosto de 2008, poco más de 2 millones de visitas (Muñoz Izquierdo </w:t>
      </w:r>
      <w:r>
        <w:rPr>
          <w:i/>
        </w:rPr>
        <w:t>et. al.</w:t>
      </w:r>
      <w:r>
        <w:rPr/>
        <w:t>,</w:t>
      </w:r>
      <w:r>
        <w:rPr>
          <w:spacing w:val="35"/>
        </w:rPr>
        <w:t> </w:t>
      </w:r>
      <w:r>
        <w:rPr/>
        <w:t>2009).</w:t>
      </w:r>
    </w:p>
    <w:p>
      <w:pPr>
        <w:pStyle w:val="BodyText"/>
        <w:spacing w:line="364" w:lineRule="auto"/>
        <w:ind w:left="115" w:right="106" w:firstLine="686"/>
        <w:jc w:val="both"/>
      </w:pPr>
      <w:r>
        <w:rPr/>
        <w:t>Esto es fundamental, porque como se mencionó  antes,  durante  muchos años la información estadística de los resultados educativos se mantuvo fuera de    </w:t>
      </w:r>
      <w:r>
        <w:rPr>
          <w:spacing w:val="-5"/>
        </w:rPr>
        <w:t>la </w:t>
      </w:r>
      <w:r>
        <w:rPr/>
        <w:t>vista de </w:t>
      </w:r>
      <w:r>
        <w:rPr>
          <w:spacing w:val="-3"/>
        </w:rPr>
        <w:t>la </w:t>
      </w:r>
      <w:r>
        <w:rPr/>
        <w:t>sociedad. Actualmente </w:t>
      </w:r>
      <w:r>
        <w:rPr>
          <w:spacing w:val="-3"/>
        </w:rPr>
        <w:t>ya </w:t>
      </w:r>
      <w:r>
        <w:rPr/>
        <w:t>no ocurre </w:t>
      </w:r>
      <w:r>
        <w:rPr>
          <w:spacing w:val="-4"/>
        </w:rPr>
        <w:t>lo </w:t>
      </w:r>
      <w:r>
        <w:rPr/>
        <w:t>mismo; el INEE brinda una difusión oportuna y transparente del resultado de su trabajo. Pero el  manejo  público de esta información exige su debida comprensión técnica para  no  prestarse a equívocos o a cualquier interpretación incorrecta. Por ello, el instituto emprendió un programa de capacitación a reporteros de la fuente educativa para establecer y compartir un lenguaje común acerca de </w:t>
      </w:r>
      <w:r>
        <w:rPr>
          <w:spacing w:val="-4"/>
        </w:rPr>
        <w:t>los </w:t>
      </w:r>
      <w:r>
        <w:rPr/>
        <w:t>problemas de  la calidad  en </w:t>
      </w:r>
      <w:r>
        <w:rPr>
          <w:spacing w:val="-4"/>
        </w:rPr>
        <w:t>la</w:t>
      </w:r>
      <w:r>
        <w:rPr>
          <w:spacing w:val="24"/>
        </w:rPr>
        <w:t> </w:t>
      </w:r>
      <w:r>
        <w:rPr/>
        <w:t>educación</w:t>
      </w:r>
    </w:p>
    <w:p>
      <w:pPr>
        <w:pStyle w:val="BodyText"/>
        <w:spacing w:line="364" w:lineRule="auto" w:before="10"/>
        <w:ind w:left="115" w:right="106" w:firstLine="686"/>
        <w:jc w:val="both"/>
      </w:pPr>
      <w:r>
        <w:rPr/>
        <w:t>En suma, el INEE ha sido un verdadero parteaguas </w:t>
      </w:r>
      <w:r>
        <w:rPr>
          <w:spacing w:val="3"/>
        </w:rPr>
        <w:t>en </w:t>
      </w:r>
      <w:r>
        <w:rPr>
          <w:spacing w:val="-3"/>
        </w:rPr>
        <w:t>la </w:t>
      </w:r>
      <w:r>
        <w:rPr/>
        <w:t>historia de </w:t>
      </w:r>
      <w:r>
        <w:rPr>
          <w:spacing w:val="-5"/>
        </w:rPr>
        <w:t>la </w:t>
      </w:r>
      <w:r>
        <w:rPr/>
        <w:t>evaluación educativa del país. Ahora </w:t>
      </w:r>
      <w:r>
        <w:rPr>
          <w:spacing w:val="5"/>
        </w:rPr>
        <w:t>se </w:t>
      </w:r>
      <w:r>
        <w:rPr/>
        <w:t>cuenta </w:t>
      </w:r>
      <w:r>
        <w:rPr>
          <w:spacing w:val="3"/>
        </w:rPr>
        <w:t>con </w:t>
      </w:r>
      <w:r>
        <w:rPr/>
        <w:t>una instancia evaluadora de </w:t>
      </w:r>
      <w:r>
        <w:rPr>
          <w:spacing w:val="-5"/>
        </w:rPr>
        <w:t>la </w:t>
      </w:r>
      <w:r>
        <w:rPr/>
        <w:t>educación con facultades ampliadas, aunque todavía limitada en algunas </w:t>
      </w:r>
      <w:r>
        <w:rPr>
          <w:spacing w:val="-3"/>
        </w:rPr>
        <w:t>de </w:t>
      </w:r>
      <w:r>
        <w:rPr/>
        <w:t>sus competencias y ámbitos de ejercicio (el  instituto  no  tiene  facultades jurisdiccionales para evaluar maestros), que ha funcionado como organismo de coordinación y rendición de cuentas más </w:t>
      </w:r>
      <w:r>
        <w:rPr>
          <w:spacing w:val="-4"/>
        </w:rPr>
        <w:t>allá </w:t>
      </w:r>
      <w:r>
        <w:rPr/>
        <w:t>del trabajo burocratizado y  sin  matices realizado en el pasado por algunas instancias gubernamentales.  La  solidez que presentan sus datos, sus mediciones de alto nivel técnico y  sus  análisis finos permiten confiar en que es posible llegar a interpretaciones y conclusiones objetivas acerca de </w:t>
      </w:r>
      <w:r>
        <w:rPr>
          <w:spacing w:val="-5"/>
        </w:rPr>
        <w:t>la </w:t>
      </w:r>
      <w:r>
        <w:rPr/>
        <w:t>calidad educativa en </w:t>
      </w:r>
      <w:r>
        <w:rPr>
          <w:spacing w:val="14"/>
        </w:rPr>
        <w:t> </w:t>
      </w:r>
      <w:r>
        <w:rPr/>
        <w:t>México.</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6" w:right="107" w:firstLine="686"/>
        <w:jc w:val="both"/>
      </w:pPr>
      <w:r>
        <w:rPr/>
        <w:t>Se </w:t>
      </w:r>
      <w:r>
        <w:rPr>
          <w:spacing w:val="2"/>
        </w:rPr>
        <w:t>ha </w:t>
      </w:r>
      <w:r>
        <w:rPr/>
        <w:t>avanzado hacia una cultura de </w:t>
      </w:r>
      <w:r>
        <w:rPr>
          <w:spacing w:val="-5"/>
        </w:rPr>
        <w:t>la </w:t>
      </w:r>
      <w:r>
        <w:rPr/>
        <w:t>evaluación gracias al INEE. No obstante, también es conveniente señalar que esto </w:t>
      </w:r>
      <w:r>
        <w:rPr>
          <w:spacing w:val="-3"/>
        </w:rPr>
        <w:t>es </w:t>
      </w:r>
      <w:r>
        <w:rPr/>
        <w:t>sólo </w:t>
      </w:r>
      <w:r>
        <w:rPr>
          <w:spacing w:val="5"/>
        </w:rPr>
        <w:t>el </w:t>
      </w:r>
      <w:r>
        <w:rPr/>
        <w:t>comienzo, al tratarse de una institución muy joven, y que hace falta todavía superar las limitaciones que presenta el modelo de evaluación que ha consolidado el instituto. Por ejemplo, </w:t>
      </w:r>
      <w:r>
        <w:rPr>
          <w:spacing w:val="-5"/>
        </w:rPr>
        <w:t>la </w:t>
      </w:r>
      <w:r>
        <w:rPr/>
        <w:t>inexistencia hasta el momento </w:t>
      </w:r>
      <w:r>
        <w:rPr>
          <w:spacing w:val="3"/>
        </w:rPr>
        <w:t>de </w:t>
      </w:r>
      <w:r>
        <w:rPr/>
        <w:t>estudios de tipo longitudinal (seguimiento de estudiantes en el ciclo escolar) para conocer con mayor objetividad el proceso de aprendizaje en la trayectoria, así como los factores </w:t>
      </w:r>
      <w:r>
        <w:rPr>
          <w:spacing w:val="-3"/>
        </w:rPr>
        <w:t>que </w:t>
      </w:r>
      <w:r>
        <w:rPr/>
        <w:t>influyen en  </w:t>
      </w:r>
      <w:r>
        <w:rPr>
          <w:spacing w:val="5"/>
        </w:rPr>
        <w:t>el </w:t>
      </w:r>
      <w:r>
        <w:rPr/>
        <w:t>éxito  o fracaso escolar, </w:t>
      </w:r>
      <w:r>
        <w:rPr>
          <w:spacing w:val="-5"/>
        </w:rPr>
        <w:t>la </w:t>
      </w:r>
      <w:r>
        <w:rPr/>
        <w:t>irregularidad o la deserción. También hacen falta evaluaciones de valor agregado, </w:t>
      </w:r>
      <w:r>
        <w:rPr>
          <w:spacing w:val="-3"/>
        </w:rPr>
        <w:t>es </w:t>
      </w:r>
      <w:r>
        <w:rPr/>
        <w:t>decir, evaluaciones que permitan ponderar </w:t>
      </w:r>
      <w:r>
        <w:rPr>
          <w:spacing w:val="-4"/>
        </w:rPr>
        <w:t>la </w:t>
      </w:r>
      <w:r>
        <w:rPr/>
        <w:t>efectividad de las escuelas en distintos contextos, entre otras (Muñoz Izquierdo </w:t>
      </w:r>
      <w:r>
        <w:rPr>
          <w:i/>
        </w:rPr>
        <w:t>et. al.</w:t>
      </w:r>
      <w:r>
        <w:rPr/>
        <w:t>, </w:t>
      </w:r>
      <w:r>
        <w:rPr>
          <w:spacing w:val="17"/>
        </w:rPr>
        <w:t> </w:t>
      </w:r>
      <w:r>
        <w:rPr/>
        <w:t>2009).</w:t>
      </w:r>
    </w:p>
    <w:p>
      <w:pPr>
        <w:pStyle w:val="BodyText"/>
        <w:spacing w:line="364" w:lineRule="auto" w:before="5"/>
        <w:ind w:left="115" w:right="105" w:firstLine="686"/>
        <w:jc w:val="both"/>
      </w:pPr>
      <w:r>
        <w:rPr/>
        <w:t>El INEE cuenta con </w:t>
      </w:r>
      <w:r>
        <w:rPr>
          <w:spacing w:val="-3"/>
        </w:rPr>
        <w:t>un </w:t>
      </w:r>
      <w:r>
        <w:rPr/>
        <w:t>código de ética y conducta que </w:t>
      </w:r>
      <w:r>
        <w:rPr>
          <w:spacing w:val="3"/>
        </w:rPr>
        <w:t>no </w:t>
      </w:r>
      <w:r>
        <w:rPr/>
        <w:t>es insustancial para preservar </w:t>
      </w:r>
      <w:r>
        <w:rPr>
          <w:spacing w:val="3"/>
        </w:rPr>
        <w:t>su </w:t>
      </w:r>
      <w:r>
        <w:rPr/>
        <w:t>autonomía en el medio político donde tiene que desenvolverse,    y donde muchos de sus resultados podrían prestarse a usos que  rebasan  su sentido diagnóstico para solventar banderas políticas de  los  partidos,  </w:t>
      </w:r>
      <w:r>
        <w:rPr>
          <w:spacing w:val="-2"/>
        </w:rPr>
        <w:t>las </w:t>
      </w:r>
      <w:r>
        <w:rPr/>
        <w:t>fracciones parlamentarias, el SNTE o la propia</w:t>
      </w:r>
      <w:r>
        <w:rPr>
          <w:spacing w:val="58"/>
        </w:rPr>
        <w:t> </w:t>
      </w:r>
      <w:r>
        <w:rPr/>
        <w:t>SEP.</w:t>
      </w:r>
    </w:p>
    <w:p>
      <w:pPr>
        <w:pStyle w:val="BodyText"/>
        <w:spacing w:line="367" w:lineRule="auto"/>
        <w:ind w:left="115" w:right="102" w:firstLine="686"/>
        <w:jc w:val="both"/>
      </w:pPr>
      <w:r>
        <w:rPr/>
        <w:t>El reto inmediato y mayor del INEE </w:t>
      </w:r>
      <w:r>
        <w:rPr>
          <w:spacing w:val="-3"/>
        </w:rPr>
        <w:t>es </w:t>
      </w:r>
      <w:r>
        <w:rPr/>
        <w:t>dejar bien clara su función eminentemente técnica y su autonomía frente a intereses </w:t>
      </w:r>
      <w:r>
        <w:rPr>
          <w:spacing w:val="3"/>
        </w:rPr>
        <w:t>de </w:t>
      </w:r>
      <w:r>
        <w:rPr/>
        <w:t>otro orden. Tanto </w:t>
      </w:r>
      <w:r>
        <w:rPr>
          <w:spacing w:val="-4"/>
        </w:rPr>
        <w:t>la</w:t>
      </w:r>
      <w:r>
        <w:rPr>
          <w:spacing w:val="55"/>
        </w:rPr>
        <w:t> </w:t>
      </w:r>
      <w:r>
        <w:rPr/>
        <w:t>SEP como el INEE coinciden en que la evaluación provee información sobre el estado de la educación para el diseño y toma de decisiones de política educativa. </w:t>
      </w:r>
      <w:r>
        <w:rPr>
          <w:spacing w:val="-3"/>
        </w:rPr>
        <w:t>Sin </w:t>
      </w:r>
      <w:r>
        <w:rPr/>
        <w:t>embargo, la SEP tendría que apoyar al INEE fomentando una lectura veraz y equilibrada de los resultados de las pruebas aplicadas a estudiantes, y evitar que pudieran prevalecer lecturas superficiales y</w:t>
      </w:r>
      <w:r>
        <w:rPr>
          <w:spacing w:val="62"/>
        </w:rPr>
        <w:t> </w:t>
      </w:r>
      <w:r>
        <w:rPr/>
        <w:t>desacertadas.</w:t>
      </w:r>
    </w:p>
    <w:p>
      <w:pPr>
        <w:pStyle w:val="BodyText"/>
        <w:spacing w:line="364" w:lineRule="auto"/>
        <w:ind w:left="115" w:right="105" w:firstLine="686"/>
        <w:jc w:val="both"/>
      </w:pPr>
      <w:r>
        <w:rPr/>
        <w:t>Entre sus pendientes inmediatos, el instituto debe continuar el proyecto de evaluación de la educación media superior que comenzó a desarrollar en julio de 2008. </w:t>
      </w:r>
      <w:r>
        <w:rPr>
          <w:spacing w:val="-3"/>
        </w:rPr>
        <w:t>Los </w:t>
      </w:r>
      <w:r>
        <w:rPr/>
        <w:t>nuevos datos que pudiera aportar sobre este nivel son de enorme importancia para comprender mejor las problemáticas </w:t>
      </w:r>
      <w:r>
        <w:rPr>
          <w:spacing w:val="-3"/>
        </w:rPr>
        <w:t>hacia </w:t>
      </w:r>
      <w:r>
        <w:rPr/>
        <w:t>las que  debe  orientarse </w:t>
      </w:r>
      <w:r>
        <w:rPr>
          <w:spacing w:val="2"/>
        </w:rPr>
        <w:t>su </w:t>
      </w:r>
      <w:r>
        <w:rPr/>
        <w:t>atención. Resta dar impulso a </w:t>
      </w:r>
      <w:r>
        <w:rPr>
          <w:spacing w:val="-3"/>
        </w:rPr>
        <w:t>la </w:t>
      </w:r>
      <w:r>
        <w:rPr/>
        <w:t>creación de un Sistema Nacional de Evaluación, tarea en </w:t>
      </w:r>
      <w:r>
        <w:rPr>
          <w:spacing w:val="-5"/>
        </w:rPr>
        <w:t>la </w:t>
      </w:r>
      <w:r>
        <w:rPr/>
        <w:t>cual el INEE ha venido trabajado mediante  el  fortalecimiento </w:t>
      </w:r>
      <w:r>
        <w:rPr>
          <w:spacing w:val="2"/>
        </w:rPr>
        <w:t>de </w:t>
      </w:r>
      <w:r>
        <w:rPr>
          <w:spacing w:val="3"/>
        </w:rPr>
        <w:t>su </w:t>
      </w:r>
      <w:r>
        <w:rPr/>
        <w:t>papel como instancia de coordinación y capacitación en </w:t>
      </w:r>
      <w:r>
        <w:rPr>
          <w:spacing w:val="-4"/>
        </w:rPr>
        <w:t>los </w:t>
      </w:r>
      <w:r>
        <w:rPr/>
        <w:t>estados. Las áreas estatales de evaluación han servido como un primer filtro para reconocer e identificar las problemáticas en los centros escolares, además de  </w:t>
      </w:r>
      <w:r>
        <w:rPr>
          <w:spacing w:val="54"/>
        </w:rPr>
        <w:t> </w:t>
      </w:r>
      <w:r>
        <w:rPr/>
        <w:t>que</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7"/>
        <w:jc w:val="both"/>
      </w:pPr>
      <w:r>
        <w:rPr/>
        <w:t>poseen información importante que debería analizarse sistemáticamente, y que podría funcionar como insumo para formular propuestas regionales o estatales de evaluación. </w:t>
      </w:r>
      <w:r>
        <w:rPr>
          <w:spacing w:val="2"/>
        </w:rPr>
        <w:t>Si </w:t>
      </w:r>
      <w:r>
        <w:rPr/>
        <w:t>se logra una interlocución efectiva, se podría fortalecer el desarrollo de indicadores y mejorar la calidad de las estadísticas educativas para consolidar un auténtico sistema nacional de evaluación de la</w:t>
      </w:r>
      <w:r>
        <w:rPr>
          <w:spacing w:val="60"/>
        </w:rPr>
        <w:t> </w:t>
      </w:r>
      <w:r>
        <w:rPr/>
        <w:t>educación.</w:t>
      </w:r>
    </w:p>
    <w:p>
      <w:pPr>
        <w:pStyle w:val="BodyText"/>
        <w:rPr>
          <w:sz w:val="22"/>
        </w:rPr>
      </w:pPr>
    </w:p>
    <w:p>
      <w:pPr>
        <w:pStyle w:val="Heading3"/>
        <w:numPr>
          <w:ilvl w:val="1"/>
          <w:numId w:val="15"/>
        </w:numPr>
        <w:tabs>
          <w:tab w:pos="505" w:val="left" w:leader="none"/>
        </w:tabs>
        <w:spacing w:line="240" w:lineRule="auto" w:before="155" w:after="0"/>
        <w:ind w:left="504" w:right="0" w:hanging="388"/>
        <w:jc w:val="both"/>
      </w:pPr>
      <w:r>
        <w:rPr/>
        <w:t>Programa Escuelas de Calidad</w:t>
      </w:r>
      <w:r>
        <w:rPr>
          <w:spacing w:val="41"/>
        </w:rPr>
        <w:t> </w:t>
      </w:r>
      <w:r>
        <w:rPr/>
        <w:t>(PEC)</w:t>
      </w:r>
    </w:p>
    <w:p>
      <w:pPr>
        <w:pStyle w:val="BodyText"/>
        <w:spacing w:line="364" w:lineRule="auto" w:before="138"/>
        <w:ind w:left="115" w:right="104"/>
        <w:jc w:val="both"/>
      </w:pPr>
      <w:r>
        <w:rPr/>
        <w:t>Si revisamos la concepción de la “calidad educativa” en el </w:t>
      </w:r>
      <w:r>
        <w:rPr>
          <w:i/>
        </w:rPr>
        <w:t>Compromiso Social por   </w:t>
      </w:r>
      <w:r>
        <w:rPr>
          <w:i/>
        </w:rPr>
        <w:t>la Calidad de la Educación</w:t>
      </w:r>
      <w:r>
        <w:rPr/>
        <w:t>, podemos afirmar que el punto central era  que  </w:t>
      </w:r>
      <w:r>
        <w:rPr>
          <w:spacing w:val="-3"/>
        </w:rPr>
        <w:t>las </w:t>
      </w:r>
      <w:r>
        <w:rPr/>
        <w:t>plazas docentes y de tipo directivo, se asignaran por concurso. En el caso del  INEE, </w:t>
      </w:r>
      <w:r>
        <w:rPr>
          <w:spacing w:val="-3"/>
        </w:rPr>
        <w:t>la </w:t>
      </w:r>
      <w:r>
        <w:rPr/>
        <w:t>idea fundamental fue conocer el estado de </w:t>
      </w:r>
      <w:r>
        <w:rPr>
          <w:spacing w:val="-5"/>
        </w:rPr>
        <w:t>la  </w:t>
      </w:r>
      <w:r>
        <w:rPr/>
        <w:t>educación diagnosticando   su problemática mediante revisiones periódicas en </w:t>
      </w:r>
      <w:r>
        <w:rPr>
          <w:spacing w:val="-3"/>
        </w:rPr>
        <w:t>los </w:t>
      </w:r>
      <w:r>
        <w:rPr/>
        <w:t>distintos niveles del sistema educativo, </w:t>
      </w:r>
      <w:r>
        <w:rPr>
          <w:spacing w:val="-3"/>
        </w:rPr>
        <w:t>en </w:t>
      </w:r>
      <w:r>
        <w:rPr/>
        <w:t>particular en los niveles de la educación básica y la educación media superior. Si observamos estos esfuerzos gubernamentales a la luz de las dimensiones de la calidad educativa, podemos señalar  que  la  preocupación  central es la “eficacia” al interior </w:t>
      </w:r>
      <w:r>
        <w:rPr>
          <w:spacing w:val="2"/>
        </w:rPr>
        <w:t>del </w:t>
      </w:r>
      <w:r>
        <w:rPr/>
        <w:t>sistema. Desde el punto de vista de la calidad abstracta, el acento está en dos dimensiones: 1) ahorro de recursos (se supone  que los concursos por </w:t>
      </w:r>
      <w:r>
        <w:rPr>
          <w:spacing w:val="-3"/>
        </w:rPr>
        <w:t>las </w:t>
      </w:r>
      <w:r>
        <w:rPr/>
        <w:t>plazas evitan el gasto inútil en personal docente) y 2) medición de resultados. Empero </w:t>
      </w:r>
      <w:r>
        <w:rPr>
          <w:spacing w:val="-4"/>
        </w:rPr>
        <w:t>lo </w:t>
      </w:r>
      <w:r>
        <w:rPr/>
        <w:t>más significativo de estas iniciativas </w:t>
      </w:r>
      <w:r>
        <w:rPr>
          <w:spacing w:val="-3"/>
        </w:rPr>
        <w:t>es </w:t>
      </w:r>
      <w:r>
        <w:rPr/>
        <w:t>que el Presidente siempre fue el actor clave. El Programa Escuelas de Calidad (PEC), creado en 2001 por </w:t>
      </w:r>
      <w:r>
        <w:rPr>
          <w:spacing w:val="-3"/>
        </w:rPr>
        <w:t>la </w:t>
      </w:r>
      <w:r>
        <w:rPr/>
        <w:t>SEP, continuó en el mismo eje de las políticas públicas de    </w:t>
      </w:r>
      <w:r>
        <w:rPr>
          <w:spacing w:val="-5"/>
        </w:rPr>
        <w:t>la </w:t>
      </w:r>
      <w:r>
        <w:rPr/>
        <w:t>“calidad</w:t>
      </w:r>
      <w:r>
        <w:rPr>
          <w:spacing w:val="33"/>
        </w:rPr>
        <w:t> </w:t>
      </w:r>
      <w:r>
        <w:rPr/>
        <w:t>educativa”.</w:t>
      </w:r>
    </w:p>
    <w:p>
      <w:pPr>
        <w:pStyle w:val="BodyText"/>
        <w:spacing w:line="364" w:lineRule="auto"/>
        <w:ind w:left="115" w:right="103" w:firstLine="686"/>
        <w:jc w:val="both"/>
      </w:pPr>
      <w:r>
        <w:rPr/>
        <w:t>En la medida que resulta complicado orientar racionalmente las  políticas hacia los estados y hacia el magisterio en su conjunto, y con un </w:t>
      </w:r>
      <w:r>
        <w:rPr>
          <w:i/>
        </w:rPr>
        <w:t>control </w:t>
      </w:r>
      <w:r>
        <w:rPr/>
        <w:t>administrativo indiscutible, la SEP construyó un programa dirigido a las escuelas como unidad administrativa. Con ello, eliminaría las intermediaciones de las burocracias de los estados, los espacios para la corrupción de autoridades de los niveles inferiores y, desde luego, los vetos abiertos o velados de las autoridades sindicales en tanto no obtengan un beneficio directo de la  política.</w:t>
      </w:r>
    </w:p>
    <w:p>
      <w:pPr>
        <w:pStyle w:val="BodyText"/>
        <w:spacing w:line="369" w:lineRule="auto"/>
        <w:ind w:left="115" w:right="105" w:firstLine="686"/>
        <w:jc w:val="both"/>
      </w:pPr>
      <w:r>
        <w:rPr/>
        <w:t>De este modo, el PEC situó a </w:t>
      </w:r>
      <w:r>
        <w:rPr>
          <w:spacing w:val="-4"/>
        </w:rPr>
        <w:t>la </w:t>
      </w:r>
      <w:r>
        <w:rPr/>
        <w:t>escuela de educación básica como unidad de</w:t>
      </w:r>
      <w:r>
        <w:rPr>
          <w:spacing w:val="21"/>
        </w:rPr>
        <w:t> </w:t>
      </w:r>
      <w:r>
        <w:rPr/>
        <w:t>cambio</w:t>
      </w:r>
      <w:r>
        <w:rPr>
          <w:spacing w:val="29"/>
        </w:rPr>
        <w:t> </w:t>
      </w:r>
      <w:r>
        <w:rPr/>
        <w:t>y</w:t>
      </w:r>
      <w:r>
        <w:rPr>
          <w:spacing w:val="17"/>
        </w:rPr>
        <w:t> </w:t>
      </w:r>
      <w:r>
        <w:rPr/>
        <w:t>aseguramiento</w:t>
      </w:r>
      <w:r>
        <w:rPr>
          <w:spacing w:val="26"/>
        </w:rPr>
        <w:t> </w:t>
      </w:r>
      <w:r>
        <w:rPr/>
        <w:t>de</w:t>
      </w:r>
      <w:r>
        <w:rPr>
          <w:spacing w:val="21"/>
        </w:rPr>
        <w:t> </w:t>
      </w:r>
      <w:r>
        <w:rPr>
          <w:spacing w:val="-4"/>
        </w:rPr>
        <w:t>la</w:t>
      </w:r>
      <w:r>
        <w:rPr>
          <w:spacing w:val="21"/>
        </w:rPr>
        <w:t> </w:t>
      </w:r>
      <w:r>
        <w:rPr/>
        <w:t>calidad</w:t>
      </w:r>
      <w:r>
        <w:rPr>
          <w:spacing w:val="21"/>
        </w:rPr>
        <w:t> </w:t>
      </w:r>
      <w:r>
        <w:rPr/>
        <w:t>educativa,</w:t>
      </w:r>
      <w:r>
        <w:rPr>
          <w:spacing w:val="21"/>
        </w:rPr>
        <w:t> </w:t>
      </w:r>
      <w:r>
        <w:rPr/>
        <w:t>y</w:t>
      </w:r>
      <w:r>
        <w:rPr>
          <w:spacing w:val="16"/>
        </w:rPr>
        <w:t> </w:t>
      </w:r>
      <w:r>
        <w:rPr/>
        <w:t>a</w:t>
      </w:r>
      <w:r>
        <w:rPr>
          <w:spacing w:val="21"/>
        </w:rPr>
        <w:t> </w:t>
      </w:r>
      <w:r>
        <w:rPr/>
        <w:t>los</w:t>
      </w:r>
      <w:r>
        <w:rPr>
          <w:spacing w:val="21"/>
        </w:rPr>
        <w:t> </w:t>
      </w:r>
      <w:r>
        <w:rPr/>
        <w:t>alumnos</w:t>
      </w:r>
      <w:r>
        <w:rPr>
          <w:spacing w:val="21"/>
        </w:rPr>
        <w:t> </w:t>
      </w:r>
      <w:r>
        <w:rPr/>
        <w:t>como</w:t>
      </w:r>
      <w:r>
        <w:rPr>
          <w:spacing w:val="16"/>
        </w:rPr>
        <w:t> </w:t>
      </w:r>
      <w:r>
        <w:rPr/>
        <w:t>centro</w:t>
      </w:r>
    </w:p>
    <w:p>
      <w:pPr>
        <w:spacing w:after="0" w:line="369"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8"/>
        <w:jc w:val="both"/>
      </w:pPr>
      <w:r>
        <w:rPr/>
        <w:t>de toda iniciativa, “reconociendo la  capacidad  de  los  alumnos,  docentes, directivos y padres de familia, en suma de la comunidad educativa, para lograr una transformación del centro escolar aún en condiciones poco favorables para cumplir su misión y alcanzar su visión” (SEP, 2011).</w:t>
      </w:r>
    </w:p>
    <w:p>
      <w:pPr>
        <w:pStyle w:val="BodyText"/>
        <w:spacing w:line="364" w:lineRule="auto" w:before="5"/>
        <w:ind w:left="115" w:right="105" w:firstLine="686"/>
        <w:jc w:val="both"/>
      </w:pPr>
      <w:r>
        <w:rPr/>
        <w:t>El PEC es </w:t>
      </w:r>
      <w:r>
        <w:rPr>
          <w:spacing w:val="-3"/>
        </w:rPr>
        <w:t>una </w:t>
      </w:r>
      <w:r>
        <w:rPr/>
        <w:t>iniciativa del Gobierno Federal cuyo propósito general es mejorar </w:t>
      </w:r>
      <w:r>
        <w:rPr>
          <w:spacing w:val="-4"/>
        </w:rPr>
        <w:t>la </w:t>
      </w:r>
      <w:r>
        <w:rPr/>
        <w:t>calidad de la educación que se imparte en las escuelas públicas de educación básica, con base en el fortalecimiento, articulación y alineación de </w:t>
      </w:r>
      <w:r>
        <w:rPr>
          <w:spacing w:val="-2"/>
        </w:rPr>
        <w:t>los </w:t>
      </w:r>
      <w:r>
        <w:rPr/>
        <w:t>programas federales, estatales y municipales, a través de </w:t>
      </w:r>
      <w:r>
        <w:rPr>
          <w:spacing w:val="-5"/>
        </w:rPr>
        <w:t>la </w:t>
      </w:r>
      <w:r>
        <w:rPr/>
        <w:t>construcción de un nuevo modelo de gestión escolar, que permita transformar  la  cultura  organizacional y el funcionamiento de  las escuelas públicas que voluntariamente  se incorporen al programa, enfocado a la mejora de los aprendizajes </w:t>
      </w:r>
      <w:r>
        <w:rPr>
          <w:spacing w:val="3"/>
        </w:rPr>
        <w:t>de </w:t>
      </w:r>
      <w:r>
        <w:rPr>
          <w:spacing w:val="-3"/>
        </w:rPr>
        <w:t>los </w:t>
      </w:r>
      <w:r>
        <w:rPr/>
        <w:t>estudiantes, la práctica docente, </w:t>
      </w:r>
      <w:r>
        <w:rPr>
          <w:spacing w:val="-5"/>
        </w:rPr>
        <w:t>la </w:t>
      </w:r>
      <w:r>
        <w:rPr/>
        <w:t>participación social y </w:t>
      </w:r>
      <w:r>
        <w:rPr>
          <w:spacing w:val="-3"/>
        </w:rPr>
        <w:t>la  </w:t>
      </w:r>
      <w:r>
        <w:rPr/>
        <w:t>rendición de  cuentas. Es decir, el Programa hizo énfasis en la incorporación </w:t>
      </w:r>
      <w:r>
        <w:rPr>
          <w:spacing w:val="5"/>
        </w:rPr>
        <w:t> </w:t>
      </w:r>
      <w:r>
        <w:rPr>
          <w:i/>
        </w:rPr>
        <w:t>voluntaria</w:t>
      </w:r>
      <w:r>
        <w:rPr/>
        <w:t>.</w:t>
      </w:r>
    </w:p>
    <w:p>
      <w:pPr>
        <w:pStyle w:val="BodyText"/>
        <w:spacing w:line="364" w:lineRule="auto" w:before="10"/>
        <w:ind w:left="115" w:right="108" w:firstLine="686"/>
        <w:jc w:val="both"/>
      </w:pPr>
      <w:r>
        <w:rPr/>
        <w:t>La estrategia ha consistido en apoyar </w:t>
      </w:r>
      <w:r>
        <w:rPr>
          <w:spacing w:val="-3"/>
        </w:rPr>
        <w:t>las </w:t>
      </w:r>
      <w:r>
        <w:rPr/>
        <w:t>acciones, para mejorar tanto </w:t>
      </w:r>
      <w:r>
        <w:rPr>
          <w:spacing w:val="-5"/>
        </w:rPr>
        <w:t>la </w:t>
      </w:r>
      <w:r>
        <w:rPr/>
        <w:t>calidad del servicio educativo, como los resultados </w:t>
      </w:r>
      <w:r>
        <w:rPr>
          <w:spacing w:val="2"/>
        </w:rPr>
        <w:t>de </w:t>
      </w:r>
      <w:r>
        <w:rPr/>
        <w:t>aprendizaje, mediante una reorientación de </w:t>
      </w:r>
      <w:r>
        <w:rPr>
          <w:spacing w:val="-4"/>
        </w:rPr>
        <w:t>la</w:t>
      </w:r>
      <w:r>
        <w:rPr>
          <w:spacing w:val="55"/>
        </w:rPr>
        <w:t> </w:t>
      </w:r>
      <w:r>
        <w:rPr/>
        <w:t>gestión institucional –federal y estatal- para ampliar </w:t>
      </w:r>
      <w:r>
        <w:rPr>
          <w:spacing w:val="-3"/>
        </w:rPr>
        <w:t>los </w:t>
      </w:r>
      <w:r>
        <w:rPr/>
        <w:t>márgenes </w:t>
      </w:r>
      <w:r>
        <w:rPr>
          <w:spacing w:val="-3"/>
        </w:rPr>
        <w:t>de </w:t>
      </w:r>
      <w:r>
        <w:rPr/>
        <w:t>decisión escolar; ofrecer capacitación y  acompañamiento  técnico para enriquecer el proceso </w:t>
      </w:r>
      <w:r>
        <w:rPr>
          <w:spacing w:val="-3"/>
        </w:rPr>
        <w:t>de </w:t>
      </w:r>
      <w:r>
        <w:rPr/>
        <w:t>transformación escolar, abrir espacios significativos para </w:t>
      </w:r>
      <w:r>
        <w:rPr>
          <w:spacing w:val="-5"/>
        </w:rPr>
        <w:t>la </w:t>
      </w:r>
      <w:r>
        <w:rPr/>
        <w:t>participación social responsable y proveer recursos financieros adicionales administrados directamente por </w:t>
      </w:r>
      <w:r>
        <w:rPr>
          <w:spacing w:val="-4"/>
        </w:rPr>
        <w:t>la</w:t>
      </w:r>
      <w:r>
        <w:rPr>
          <w:spacing w:val="51"/>
        </w:rPr>
        <w:t> </w:t>
      </w:r>
      <w:r>
        <w:rPr/>
        <w:t>escuela.</w:t>
      </w:r>
    </w:p>
    <w:p>
      <w:pPr>
        <w:pStyle w:val="BodyText"/>
        <w:spacing w:line="364" w:lineRule="auto" w:before="5"/>
        <w:ind w:left="115" w:right="108" w:firstLine="686"/>
        <w:jc w:val="both"/>
      </w:pPr>
      <w:r>
        <w:rPr/>
        <w:t>El PEC parte </w:t>
      </w:r>
      <w:r>
        <w:rPr>
          <w:spacing w:val="-3"/>
        </w:rPr>
        <w:t>del </w:t>
      </w:r>
      <w:r>
        <w:rPr/>
        <w:t>supuesto de que las escuelas debe superar diversos obstáculos para el logro educativo (aparentemente identificados en el Programa Nacional de Educación (ProNaE 2001-2006), como son el estrecho margen para tomar decisiones, el desarrollo insuficiente de una cultura de planeación, </w:t>
      </w:r>
      <w:r>
        <w:rPr>
          <w:spacing w:val="-4"/>
        </w:rPr>
        <w:t>la</w:t>
      </w:r>
      <w:r>
        <w:rPr>
          <w:spacing w:val="55"/>
        </w:rPr>
        <w:t> </w:t>
      </w:r>
      <w:r>
        <w:rPr/>
        <w:t>ausencia de evaluación externa y de retroalimentación de información  para  mejorar su desempeño, </w:t>
      </w:r>
      <w:r>
        <w:rPr>
          <w:spacing w:val="-3"/>
        </w:rPr>
        <w:t>los </w:t>
      </w:r>
      <w:r>
        <w:rPr/>
        <w:t>excesivos requerimientos administrativos  </w:t>
      </w:r>
      <w:r>
        <w:rPr>
          <w:spacing w:val="-3"/>
        </w:rPr>
        <w:t>que  </w:t>
      </w:r>
      <w:r>
        <w:rPr/>
        <w:t>consumen el tiempo de los directores, supervisores y jefes de sector, </w:t>
      </w:r>
      <w:r>
        <w:rPr>
          <w:spacing w:val="-2"/>
        </w:rPr>
        <w:t>las </w:t>
      </w:r>
      <w:r>
        <w:rPr/>
        <w:t>condiciones poco propicias para el desarrollo de un liderazgo efectivo de los directores, supervisores y jefes de sector, </w:t>
      </w:r>
      <w:r>
        <w:rPr>
          <w:spacing w:val="-4"/>
        </w:rPr>
        <w:t>la </w:t>
      </w:r>
      <w:r>
        <w:rPr/>
        <w:t>escasa vinculación real de los actores escolares, el ausentismo, el uso poco eficaz de los recursos disponibles en </w:t>
      </w:r>
      <w:r>
        <w:rPr>
          <w:spacing w:val="-3"/>
        </w:rPr>
        <w:t>la </w:t>
      </w:r>
      <w:r>
        <w:rPr/>
        <w:t>escuela, la limitada participación social, las prácticas docentes rutinarias,  </w:t>
      </w:r>
      <w:r>
        <w:rPr>
          <w:spacing w:val="28"/>
        </w:rPr>
        <w:t> </w:t>
      </w:r>
      <w:r>
        <w:rPr/>
        <w:t>formales</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38" w:lineRule="auto" w:before="74"/>
        <w:ind w:left="115" w:right="191"/>
      </w:pPr>
      <w:r>
        <w:rPr/>
        <w:t>y rígidas </w:t>
      </w:r>
      <w:r>
        <w:rPr>
          <w:spacing w:val="3"/>
        </w:rPr>
        <w:t>con </w:t>
      </w:r>
      <w:r>
        <w:rPr/>
        <w:t>modelos únicos de atención a los educandos, </w:t>
      </w:r>
      <w:r>
        <w:rPr>
          <w:spacing w:val="-3"/>
        </w:rPr>
        <w:t>así </w:t>
      </w:r>
      <w:r>
        <w:rPr/>
        <w:t>como  </w:t>
      </w:r>
      <w:r>
        <w:rPr>
          <w:spacing w:val="-3"/>
        </w:rPr>
        <w:t>las  </w:t>
      </w:r>
      <w:r>
        <w:rPr/>
        <w:t>deficientes condiciones de infraestructura y equipamiento.</w:t>
      </w:r>
      <w:r>
        <w:rPr>
          <w:position w:val="11"/>
          <w:sz w:val="15"/>
        </w:rPr>
        <w:t>51  </w:t>
      </w:r>
      <w:r>
        <w:rPr/>
        <w:t>(Bracho </w:t>
      </w:r>
      <w:r>
        <w:rPr>
          <w:i/>
        </w:rPr>
        <w:t>et. al</w:t>
      </w:r>
      <w:r>
        <w:rPr/>
        <w:t>.,</w:t>
      </w:r>
      <w:r>
        <w:rPr>
          <w:spacing w:val="62"/>
        </w:rPr>
        <w:t> </w:t>
      </w:r>
      <w:r>
        <w:rPr/>
        <w:t>2008).</w:t>
      </w:r>
    </w:p>
    <w:p>
      <w:pPr>
        <w:pStyle w:val="BodyText"/>
        <w:spacing w:line="364" w:lineRule="auto" w:before="13"/>
        <w:ind w:left="115" w:right="105" w:firstLine="686"/>
        <w:jc w:val="both"/>
      </w:pPr>
      <w:r>
        <w:rPr/>
        <w:t>En esta perspectiva, el </w:t>
      </w:r>
      <w:r>
        <w:rPr>
          <w:spacing w:val="3"/>
        </w:rPr>
        <w:t>PEC </w:t>
      </w:r>
      <w:r>
        <w:rPr/>
        <w:t>buscó transformar el diseño de la política educativa desde una formulación centralista, que concentra todas las decisiones acerca de las prioridades, las estrategias, los recursos y </w:t>
      </w:r>
      <w:r>
        <w:rPr>
          <w:spacing w:val="3"/>
        </w:rPr>
        <w:t>su </w:t>
      </w:r>
      <w:r>
        <w:rPr/>
        <w:t>distribución, a un esquema que se propuso generar un modelo de gestión con enfoque estratégico desde la escuela hacia el sistema educativo, involucrando, al menos  en teoría, a  las autoridades responsables </w:t>
      </w:r>
      <w:r>
        <w:rPr>
          <w:spacing w:val="-3"/>
        </w:rPr>
        <w:t>de </w:t>
      </w:r>
      <w:r>
        <w:rPr/>
        <w:t>los tres niveles </w:t>
      </w:r>
      <w:r>
        <w:rPr>
          <w:spacing w:val="-3"/>
        </w:rPr>
        <w:t>de </w:t>
      </w:r>
      <w:r>
        <w:rPr/>
        <w:t>gobierno (federal, estatal y municipal).</w:t>
      </w:r>
    </w:p>
    <w:p>
      <w:pPr>
        <w:pStyle w:val="BodyText"/>
        <w:spacing w:line="364" w:lineRule="auto" w:before="5"/>
        <w:ind w:left="115" w:right="108" w:firstLine="686"/>
        <w:jc w:val="both"/>
      </w:pPr>
      <w:r>
        <w:rPr/>
        <w:t>El medio que sirve como herramienta para iniciar </w:t>
      </w:r>
      <w:r>
        <w:rPr>
          <w:spacing w:val="-3"/>
        </w:rPr>
        <w:t>los </w:t>
      </w:r>
      <w:r>
        <w:rPr/>
        <w:t>procesos de transformación escolar es el PETE (Plan Estratégico de Transformación Escolar), que permite a los actores contar con un panorama general de las grandes líneas   de trabajo, y los resultados por alcanzar en el mediano plazo, establece  el  referente estratégico base para </w:t>
      </w:r>
      <w:r>
        <w:rPr>
          <w:spacing w:val="-4"/>
        </w:rPr>
        <w:t>la </w:t>
      </w:r>
      <w:r>
        <w:rPr/>
        <w:t>escuela, en términos del alcance </w:t>
      </w:r>
      <w:r>
        <w:rPr>
          <w:spacing w:val="-2"/>
        </w:rPr>
        <w:t>máximo </w:t>
      </w:r>
      <w:r>
        <w:rPr/>
        <w:t>de </w:t>
      </w:r>
      <w:r>
        <w:rPr>
          <w:spacing w:val="-2"/>
        </w:rPr>
        <w:t>los </w:t>
      </w:r>
      <w:r>
        <w:rPr/>
        <w:t>propósitos y compromisos bajo su responsabilidad, considerando su propia programación y presupuestación. El PETE concreta </w:t>
      </w:r>
      <w:r>
        <w:rPr>
          <w:spacing w:val="3"/>
        </w:rPr>
        <w:t>su </w:t>
      </w:r>
      <w:r>
        <w:rPr/>
        <w:t>operación en el corto plazo en un Programa Anual de Trabajo (PAT) que especifica las acciones a realizar en un ciclo escolar (SEP,</w:t>
      </w:r>
      <w:r>
        <w:rPr>
          <w:spacing w:val="27"/>
        </w:rPr>
        <w:t> </w:t>
      </w:r>
      <w:r>
        <w:rPr/>
        <w:t>2001).</w:t>
      </w:r>
    </w:p>
    <w:p>
      <w:pPr>
        <w:pStyle w:val="BodyText"/>
        <w:spacing w:line="364" w:lineRule="auto" w:before="5"/>
        <w:ind w:left="115" w:right="106" w:firstLine="686"/>
        <w:jc w:val="both"/>
      </w:pPr>
      <w:r>
        <w:rPr/>
        <w:t>De acuerdo con la versión divulgada por </w:t>
      </w:r>
      <w:r>
        <w:rPr>
          <w:spacing w:val="-4"/>
        </w:rPr>
        <w:t>la </w:t>
      </w:r>
      <w:r>
        <w:rPr/>
        <w:t>SEP, una </w:t>
      </w:r>
      <w:r>
        <w:rPr>
          <w:i/>
        </w:rPr>
        <w:t>Escuela de Calidad </w:t>
      </w:r>
      <w:r>
        <w:rPr>
          <w:spacing w:val="-6"/>
        </w:rPr>
        <w:t>es </w:t>
      </w:r>
      <w:r>
        <w:rPr/>
        <w:t>aquella que asume “de manera colectiva” la responsabilidad por </w:t>
      </w:r>
      <w:r>
        <w:rPr>
          <w:spacing w:val="-3"/>
        </w:rPr>
        <w:t>los </w:t>
      </w:r>
      <w:r>
        <w:rPr/>
        <w:t>resultados de aprendizaje de todos sus alumnos, se compromete </w:t>
      </w:r>
      <w:r>
        <w:rPr>
          <w:spacing w:val="3"/>
        </w:rPr>
        <w:t>con </w:t>
      </w:r>
      <w:r>
        <w:rPr/>
        <w:t>el mejoramiento continuo  del aprovechamiento escolar. Es una escuela que procura la operación basada en normas, compartiendo sus experiencias e impulsando procesos </w:t>
      </w:r>
      <w:r>
        <w:rPr>
          <w:spacing w:val="-3"/>
        </w:rPr>
        <w:t>de </w:t>
      </w:r>
      <w:r>
        <w:rPr/>
        <w:t>autoformación de actores. Una escuela de calidad es una comunidad educativa integrada y comprometida que promueve la equidad y garantiza que los educandos adquieran conocimientos y desarrollen competencias, habilidades y valores necesarios para alcanzar una vida familiar y personal plena, participar en </w:t>
      </w:r>
      <w:r>
        <w:rPr>
          <w:spacing w:val="3"/>
        </w:rPr>
        <w:t>el </w:t>
      </w:r>
      <w:r>
        <w:rPr/>
        <w:t>trabajo productivo y continuar aprendiendo a lo largo de toda la vida (SEP, </w:t>
      </w:r>
      <w:r>
        <w:rPr>
          <w:spacing w:val="4"/>
        </w:rPr>
        <w:t> </w:t>
      </w:r>
      <w:r>
        <w:rPr/>
        <w:t>2011).</w:t>
      </w:r>
    </w:p>
    <w:p>
      <w:pPr>
        <w:pStyle w:val="BodyText"/>
        <w:rPr>
          <w:sz w:val="20"/>
        </w:rPr>
      </w:pPr>
    </w:p>
    <w:p>
      <w:pPr>
        <w:pStyle w:val="BodyText"/>
        <w:spacing w:before="6"/>
        <w:rPr>
          <w:sz w:val="27"/>
        </w:rPr>
      </w:pPr>
      <w:r>
        <w:rPr/>
        <w:pict>
          <v:line style="position:absolute;mso-position-horizontal-relative:page;mso-position-vertical-relative:paragraph;z-index:3184;mso-wrap-distance-left:0;mso-wrap-distance-right:0" from="82.799004pt,18.149187pt" to="222.958004pt,18.149187pt" stroked="true" strokeweight=".72pt" strokecolor="#000000">
            <w10:wrap type="topAndBottom"/>
          </v:line>
        </w:pict>
      </w:r>
    </w:p>
    <w:p>
      <w:pPr>
        <w:spacing w:line="244" w:lineRule="auto" w:before="61"/>
        <w:ind w:left="115" w:right="103" w:firstLine="0"/>
        <w:jc w:val="both"/>
        <w:rPr>
          <w:sz w:val="19"/>
        </w:rPr>
      </w:pPr>
      <w:r>
        <w:rPr>
          <w:rFonts w:ascii="Times New Roman" w:hAnsi="Times New Roman"/>
          <w:spacing w:val="-3"/>
          <w:w w:val="105"/>
          <w:position w:val="9"/>
          <w:sz w:val="12"/>
        </w:rPr>
        <w:t>51 </w:t>
      </w:r>
      <w:r>
        <w:rPr>
          <w:w w:val="105"/>
          <w:sz w:val="19"/>
        </w:rPr>
        <w:t>El programa considera que si los maestros, directivos, alumnos y padres de familia, forman una auténtica</w:t>
      </w:r>
      <w:r>
        <w:rPr>
          <w:spacing w:val="-14"/>
          <w:w w:val="105"/>
          <w:sz w:val="19"/>
        </w:rPr>
        <w:t> </w:t>
      </w:r>
      <w:r>
        <w:rPr>
          <w:w w:val="105"/>
          <w:sz w:val="19"/>
        </w:rPr>
        <w:t>comunidad</w:t>
      </w:r>
      <w:r>
        <w:rPr>
          <w:spacing w:val="-14"/>
          <w:w w:val="105"/>
          <w:sz w:val="19"/>
        </w:rPr>
        <w:t> </w:t>
      </w:r>
      <w:r>
        <w:rPr>
          <w:w w:val="105"/>
          <w:sz w:val="19"/>
        </w:rPr>
        <w:t>escolar,</w:t>
      </w:r>
      <w:r>
        <w:rPr>
          <w:spacing w:val="-17"/>
          <w:w w:val="105"/>
          <w:sz w:val="19"/>
        </w:rPr>
        <w:t> </w:t>
      </w:r>
      <w:r>
        <w:rPr>
          <w:w w:val="105"/>
          <w:sz w:val="19"/>
        </w:rPr>
        <w:t>ésta</w:t>
      </w:r>
      <w:r>
        <w:rPr>
          <w:spacing w:val="-14"/>
          <w:w w:val="105"/>
          <w:sz w:val="19"/>
        </w:rPr>
        <w:t> </w:t>
      </w:r>
      <w:r>
        <w:rPr>
          <w:w w:val="105"/>
          <w:sz w:val="19"/>
        </w:rPr>
        <w:t>tendrá</w:t>
      </w:r>
      <w:r>
        <w:rPr>
          <w:spacing w:val="-18"/>
          <w:w w:val="105"/>
          <w:sz w:val="19"/>
        </w:rPr>
        <w:t> </w:t>
      </w:r>
      <w:r>
        <w:rPr>
          <w:w w:val="105"/>
          <w:sz w:val="19"/>
        </w:rPr>
        <w:t>la</w:t>
      </w:r>
      <w:r>
        <w:rPr>
          <w:spacing w:val="-18"/>
          <w:w w:val="105"/>
          <w:sz w:val="19"/>
        </w:rPr>
        <w:t> </w:t>
      </w:r>
      <w:r>
        <w:rPr>
          <w:w w:val="105"/>
          <w:sz w:val="19"/>
        </w:rPr>
        <w:t>capacidad</w:t>
      </w:r>
      <w:r>
        <w:rPr>
          <w:spacing w:val="-14"/>
          <w:w w:val="105"/>
          <w:sz w:val="19"/>
        </w:rPr>
        <w:t> </w:t>
      </w:r>
      <w:r>
        <w:rPr>
          <w:w w:val="105"/>
          <w:sz w:val="19"/>
        </w:rPr>
        <w:t>de</w:t>
      </w:r>
      <w:r>
        <w:rPr>
          <w:spacing w:val="-14"/>
          <w:w w:val="105"/>
          <w:sz w:val="19"/>
        </w:rPr>
        <w:t> </w:t>
      </w:r>
      <w:r>
        <w:rPr>
          <w:w w:val="105"/>
          <w:sz w:val="19"/>
        </w:rPr>
        <w:t>identificar</w:t>
      </w:r>
      <w:r>
        <w:rPr>
          <w:spacing w:val="-14"/>
          <w:w w:val="105"/>
          <w:sz w:val="19"/>
        </w:rPr>
        <w:t> </w:t>
      </w:r>
      <w:r>
        <w:rPr>
          <w:w w:val="105"/>
          <w:sz w:val="19"/>
        </w:rPr>
        <w:t>sus</w:t>
      </w:r>
      <w:r>
        <w:rPr>
          <w:spacing w:val="-17"/>
          <w:w w:val="105"/>
          <w:sz w:val="19"/>
        </w:rPr>
        <w:t> </w:t>
      </w:r>
      <w:r>
        <w:rPr>
          <w:w w:val="105"/>
          <w:sz w:val="19"/>
        </w:rPr>
        <w:t>necesidades,</w:t>
      </w:r>
      <w:r>
        <w:rPr>
          <w:spacing w:val="-14"/>
          <w:w w:val="105"/>
          <w:sz w:val="19"/>
        </w:rPr>
        <w:t> </w:t>
      </w:r>
      <w:r>
        <w:rPr>
          <w:w w:val="105"/>
          <w:sz w:val="19"/>
        </w:rPr>
        <w:t>problemas</w:t>
      </w:r>
      <w:r>
        <w:rPr>
          <w:spacing w:val="-14"/>
          <w:w w:val="105"/>
          <w:sz w:val="19"/>
        </w:rPr>
        <w:t> </w:t>
      </w:r>
      <w:r>
        <w:rPr>
          <w:w w:val="105"/>
          <w:sz w:val="19"/>
        </w:rPr>
        <w:t>y metas</w:t>
      </w:r>
      <w:r>
        <w:rPr>
          <w:spacing w:val="-17"/>
          <w:w w:val="105"/>
          <w:sz w:val="19"/>
        </w:rPr>
        <w:t> </w:t>
      </w:r>
      <w:r>
        <w:rPr>
          <w:w w:val="105"/>
          <w:sz w:val="19"/>
        </w:rPr>
        <w:t>realizables</w:t>
      </w:r>
      <w:r>
        <w:rPr>
          <w:spacing w:val="-17"/>
          <w:w w:val="105"/>
          <w:sz w:val="19"/>
        </w:rPr>
        <w:t> </w:t>
      </w:r>
      <w:r>
        <w:rPr>
          <w:w w:val="105"/>
          <w:sz w:val="19"/>
        </w:rPr>
        <w:t>orientadas</w:t>
      </w:r>
      <w:r>
        <w:rPr>
          <w:spacing w:val="-17"/>
          <w:w w:val="105"/>
          <w:sz w:val="19"/>
        </w:rPr>
        <w:t> </w:t>
      </w:r>
      <w:r>
        <w:rPr>
          <w:w w:val="105"/>
          <w:sz w:val="19"/>
        </w:rPr>
        <w:t>hacia</w:t>
      </w:r>
      <w:r>
        <w:rPr>
          <w:spacing w:val="-17"/>
          <w:w w:val="105"/>
          <w:sz w:val="19"/>
        </w:rPr>
        <w:t> </w:t>
      </w:r>
      <w:r>
        <w:rPr>
          <w:w w:val="105"/>
          <w:sz w:val="19"/>
        </w:rPr>
        <w:t>la</w:t>
      </w:r>
      <w:r>
        <w:rPr>
          <w:spacing w:val="-20"/>
          <w:w w:val="105"/>
          <w:sz w:val="19"/>
        </w:rPr>
        <w:t> </w:t>
      </w:r>
      <w:r>
        <w:rPr>
          <w:w w:val="105"/>
          <w:sz w:val="19"/>
        </w:rPr>
        <w:t>mejora</w:t>
      </w:r>
      <w:r>
        <w:rPr>
          <w:spacing w:val="-17"/>
          <w:w w:val="105"/>
          <w:sz w:val="19"/>
        </w:rPr>
        <w:t> </w:t>
      </w:r>
      <w:r>
        <w:rPr>
          <w:w w:val="105"/>
          <w:sz w:val="19"/>
        </w:rPr>
        <w:t>de</w:t>
      </w:r>
      <w:r>
        <w:rPr>
          <w:spacing w:val="-17"/>
          <w:w w:val="105"/>
          <w:sz w:val="19"/>
        </w:rPr>
        <w:t> </w:t>
      </w:r>
      <w:r>
        <w:rPr>
          <w:w w:val="105"/>
          <w:sz w:val="19"/>
        </w:rPr>
        <w:t>la</w:t>
      </w:r>
      <w:r>
        <w:rPr>
          <w:spacing w:val="-17"/>
          <w:w w:val="105"/>
          <w:sz w:val="19"/>
        </w:rPr>
        <w:t> </w:t>
      </w:r>
      <w:r>
        <w:rPr>
          <w:w w:val="105"/>
          <w:sz w:val="19"/>
        </w:rPr>
        <w:t>calidad</w:t>
      </w:r>
      <w:r>
        <w:rPr>
          <w:spacing w:val="-17"/>
          <w:w w:val="105"/>
          <w:sz w:val="19"/>
        </w:rPr>
        <w:t> </w:t>
      </w:r>
      <w:r>
        <w:rPr>
          <w:w w:val="105"/>
          <w:sz w:val="19"/>
        </w:rPr>
        <w:t>y</w:t>
      </w:r>
      <w:r>
        <w:rPr>
          <w:spacing w:val="-22"/>
          <w:w w:val="105"/>
          <w:sz w:val="19"/>
        </w:rPr>
        <w:t> </w:t>
      </w:r>
      <w:r>
        <w:rPr>
          <w:w w:val="105"/>
          <w:sz w:val="19"/>
        </w:rPr>
        <w:t>el</w:t>
      </w:r>
      <w:r>
        <w:rPr>
          <w:spacing w:val="-14"/>
          <w:w w:val="105"/>
          <w:sz w:val="19"/>
        </w:rPr>
        <w:t> </w:t>
      </w:r>
      <w:r>
        <w:rPr>
          <w:w w:val="105"/>
          <w:sz w:val="19"/>
        </w:rPr>
        <w:t>servicio</w:t>
      </w:r>
      <w:r>
        <w:rPr>
          <w:spacing w:val="-17"/>
          <w:w w:val="105"/>
          <w:sz w:val="19"/>
        </w:rPr>
        <w:t> </w:t>
      </w:r>
      <w:r>
        <w:rPr>
          <w:w w:val="105"/>
          <w:sz w:val="19"/>
        </w:rPr>
        <w:t>educativo.</w:t>
      </w:r>
    </w:p>
    <w:p>
      <w:pPr>
        <w:spacing w:after="0" w:line="244" w:lineRule="auto"/>
        <w:jc w:val="both"/>
        <w:rPr>
          <w:sz w:val="19"/>
        </w:rPr>
        <w:sectPr>
          <w:footerReference w:type="default" r:id="rId73"/>
          <w:pgSz w:w="11910" w:h="16840"/>
          <w:pgMar w:footer="1457" w:header="0" w:top="1580" w:bottom="1640" w:left="1540" w:right="1540"/>
        </w:sectPr>
      </w:pPr>
    </w:p>
    <w:p>
      <w:pPr>
        <w:pStyle w:val="BodyText"/>
        <w:rPr>
          <w:sz w:val="20"/>
        </w:rPr>
      </w:pPr>
    </w:p>
    <w:p>
      <w:pPr>
        <w:pStyle w:val="BodyText"/>
        <w:spacing w:before="2"/>
        <w:rPr>
          <w:sz w:val="16"/>
        </w:rPr>
      </w:pPr>
    </w:p>
    <w:p>
      <w:pPr>
        <w:pStyle w:val="BodyText"/>
        <w:spacing w:line="364" w:lineRule="auto" w:before="74"/>
        <w:ind w:left="116" w:right="110" w:firstLine="686"/>
        <w:jc w:val="both"/>
      </w:pPr>
      <w:r>
        <w:rPr/>
        <w:t>El programa opera mediante un Fideicomiso Nacional que recibe los fondos de </w:t>
      </w:r>
      <w:r>
        <w:rPr>
          <w:spacing w:val="-4"/>
        </w:rPr>
        <w:t>la </w:t>
      </w:r>
      <w:r>
        <w:rPr/>
        <w:t>federación y los transfiere a los estados; este fideicomiso no puede retener más del 5% para gastos de administración, evaluación, difusión, etcétera. </w:t>
      </w:r>
      <w:r>
        <w:rPr>
          <w:spacing w:val="-3"/>
        </w:rPr>
        <w:t>Es </w:t>
      </w:r>
      <w:r>
        <w:rPr/>
        <w:t>decir, el 95% del total de los ingresos públicos se transfieren directamente a las escuelas incorporadas. En las entidades federativas se crean fideicomisos similares, que reciben fondos de la federación y </w:t>
      </w:r>
      <w:r>
        <w:rPr>
          <w:spacing w:val="2"/>
        </w:rPr>
        <w:t>del </w:t>
      </w:r>
      <w:r>
        <w:rPr/>
        <w:t>estado, en una  relación de 3 a 1, y con  reglas similares en cuanto a gastos de administración, capacitación, difusión, etcétera. </w:t>
      </w:r>
      <w:r>
        <w:rPr>
          <w:spacing w:val="-3"/>
        </w:rPr>
        <w:t>Los </w:t>
      </w:r>
      <w:r>
        <w:rPr/>
        <w:t>recursos asignados a las escuelas como aportación inicial, por ciclo escolar, es de hasta </w:t>
      </w:r>
      <w:r>
        <w:rPr>
          <w:spacing w:val="3"/>
        </w:rPr>
        <w:t>50 </w:t>
      </w:r>
      <w:r>
        <w:rPr>
          <w:spacing w:val="-3"/>
        </w:rPr>
        <w:t>mil </w:t>
      </w:r>
      <w:r>
        <w:rPr/>
        <w:t>pesos y por excepción de 70 mil (Bracho </w:t>
      </w:r>
      <w:r>
        <w:rPr>
          <w:i/>
        </w:rPr>
        <w:t>et. al.</w:t>
      </w:r>
      <w:r>
        <w:rPr/>
        <w:t>, </w:t>
      </w:r>
      <w:r>
        <w:rPr>
          <w:spacing w:val="33"/>
        </w:rPr>
        <w:t> </w:t>
      </w:r>
      <w:r>
        <w:rPr/>
        <w:t>2008).</w:t>
      </w:r>
    </w:p>
    <w:p>
      <w:pPr>
        <w:pStyle w:val="BodyText"/>
        <w:spacing w:line="364" w:lineRule="auto" w:before="5"/>
        <w:ind w:left="115" w:right="108" w:firstLine="686"/>
        <w:jc w:val="both"/>
      </w:pPr>
      <w:r>
        <w:rPr/>
        <w:t>El PEC </w:t>
      </w:r>
      <w:r>
        <w:rPr>
          <w:spacing w:val="3"/>
        </w:rPr>
        <w:t>se </w:t>
      </w:r>
      <w:r>
        <w:rPr/>
        <w:t>previó para reducir la brecha </w:t>
      </w:r>
      <w:r>
        <w:rPr>
          <w:spacing w:val="-4"/>
        </w:rPr>
        <w:t>de </w:t>
      </w:r>
      <w:r>
        <w:rPr/>
        <w:t>calidad que existe entre las escuelas mediante subvenciones que financien planes </w:t>
      </w:r>
      <w:r>
        <w:rPr>
          <w:spacing w:val="3"/>
        </w:rPr>
        <w:t>de </w:t>
      </w:r>
      <w:r>
        <w:rPr/>
        <w:t>mejora escolar. El objetivo es dar autonomía a las escuelas y promover una </w:t>
      </w:r>
      <w:r>
        <w:rPr>
          <w:spacing w:val="-3"/>
        </w:rPr>
        <w:t>toma </w:t>
      </w:r>
      <w:r>
        <w:rPr/>
        <w:t>de decisiones compartida entre los directores, </w:t>
      </w:r>
      <w:r>
        <w:rPr>
          <w:spacing w:val="-4"/>
        </w:rPr>
        <w:t>los </w:t>
      </w:r>
      <w:r>
        <w:rPr/>
        <w:t>docentes y los padres a través de los Consejos de Participación Social. </w:t>
      </w:r>
      <w:r>
        <w:rPr>
          <w:spacing w:val="4"/>
        </w:rPr>
        <w:t>El </w:t>
      </w:r>
      <w:r>
        <w:rPr/>
        <w:t>PEC comenzó en el año 2001 en 2,239 escuelas, brindando atención a 732,591 alumnos. En el ciclo escolar 2006-2007  el número  de escuelas inscritas en el programa fue de 37 mil 897; en ellas 294 mil 372 docentes atendieron a un total de 6 millones 921 mil 155 alumnos (SEP, </w:t>
      </w:r>
      <w:r>
        <w:rPr>
          <w:spacing w:val="16"/>
        </w:rPr>
        <w:t> </w:t>
      </w:r>
      <w:r>
        <w:rPr/>
        <w:t>2011).</w:t>
      </w:r>
    </w:p>
    <w:p>
      <w:pPr>
        <w:pStyle w:val="BodyText"/>
        <w:spacing w:line="364" w:lineRule="auto" w:before="10"/>
        <w:ind w:left="115" w:right="103" w:firstLine="686"/>
        <w:jc w:val="both"/>
      </w:pPr>
      <w:r>
        <w:rPr/>
        <w:t>Cabe destacar que la tasa de crecimiento anual promedio de escuelas incorporadas es del 76.1%, además de registrar una tasa de reincorporación anual alta (que en promedio es de 84.7%). Si se toma en cuenta el nivel escolar, se observa que </w:t>
      </w:r>
      <w:r>
        <w:rPr>
          <w:spacing w:val="2"/>
        </w:rPr>
        <w:t>en </w:t>
      </w:r>
      <w:r>
        <w:rPr/>
        <w:t>el ciclo escolar 2006-2007 participaron 10 mil 052 escuelas de preescolar, 18 mil 569 escuelas primarias, 8 mil 334 secundarias, y solamente 942 escuelas de educación especial. Del total de estas escuelas 18 </w:t>
      </w:r>
      <w:r>
        <w:rPr>
          <w:spacing w:val="-3"/>
        </w:rPr>
        <w:t>mil </w:t>
      </w:r>
      <w:r>
        <w:rPr/>
        <w:t>445 son </w:t>
      </w:r>
      <w:r>
        <w:rPr>
          <w:spacing w:val="-3"/>
        </w:rPr>
        <w:t>rurales   </w:t>
      </w:r>
      <w:r>
        <w:rPr/>
        <w:t>o sin clasificar (urbanas), mientras que 4 mil 784 presentan </w:t>
      </w:r>
      <w:r>
        <w:rPr>
          <w:spacing w:val="-3"/>
        </w:rPr>
        <w:t>un  </w:t>
      </w:r>
      <w:r>
        <w:rPr/>
        <w:t>grado  de marginación bajo y muy bajo; 9 mil 416 presentan un grado de marginación medio   y alto, y 5 mil 242 un grado de marginación  muy alto. En el ciclo 2008/9 cubrió   unas 40 mil 790 escuelas, 296 mil 478 docentes y 34 mil 688  directores  de escuela. Entre 2006 y 2009 obtuvo financiamiento del Banco Mundial y fue renovado para el periodo 2010-13 (SEP,</w:t>
      </w:r>
      <w:r>
        <w:rPr>
          <w:spacing w:val="50"/>
        </w:rPr>
        <w:t> </w:t>
      </w:r>
      <w:r>
        <w:rPr/>
        <w:t>2011).</w:t>
      </w:r>
    </w:p>
    <w:p>
      <w:pPr>
        <w:spacing w:after="0" w:line="364" w:lineRule="auto"/>
        <w:jc w:val="both"/>
        <w:sectPr>
          <w:footerReference w:type="default" r:id="rId74"/>
          <w:pgSz w:w="11910" w:h="16840"/>
          <w:pgMar w:footer="1457" w:header="0" w:top="1580" w:bottom="1640" w:left="1540" w:right="1540"/>
          <w:pgNumType w:start="201"/>
        </w:sectPr>
      </w:pPr>
    </w:p>
    <w:p>
      <w:pPr>
        <w:pStyle w:val="BodyText"/>
        <w:rPr>
          <w:sz w:val="20"/>
        </w:rPr>
      </w:pPr>
    </w:p>
    <w:p>
      <w:pPr>
        <w:pStyle w:val="BodyText"/>
        <w:spacing w:before="2"/>
        <w:rPr>
          <w:sz w:val="16"/>
        </w:rPr>
      </w:pPr>
    </w:p>
    <w:p>
      <w:pPr>
        <w:pStyle w:val="Heading3"/>
        <w:spacing w:before="74"/>
      </w:pPr>
      <w:r>
        <w:rPr/>
        <w:t>4.5.1 El PEC y los juegos de poder</w:t>
      </w:r>
    </w:p>
    <w:p>
      <w:pPr>
        <w:pStyle w:val="BodyText"/>
        <w:spacing w:line="364" w:lineRule="auto" w:before="143"/>
        <w:ind w:left="115" w:right="106"/>
        <w:jc w:val="both"/>
      </w:pPr>
      <w:r>
        <w:rPr>
          <w:spacing w:val="-3"/>
        </w:rPr>
        <w:t>Sin </w:t>
      </w:r>
      <w:r>
        <w:rPr/>
        <w:t>embargo, </w:t>
      </w:r>
      <w:r>
        <w:rPr>
          <w:spacing w:val="3"/>
        </w:rPr>
        <w:t>el PEC </w:t>
      </w:r>
      <w:r>
        <w:rPr/>
        <w:t>no </w:t>
      </w:r>
      <w:r>
        <w:rPr>
          <w:spacing w:val="2"/>
        </w:rPr>
        <w:t>se </w:t>
      </w:r>
      <w:r>
        <w:rPr/>
        <w:t>planteó </w:t>
      </w:r>
      <w:r>
        <w:rPr>
          <w:spacing w:val="-3"/>
        </w:rPr>
        <w:t>como </w:t>
      </w:r>
      <w:r>
        <w:rPr/>
        <w:t>un cheque en blanco para  </w:t>
      </w:r>
      <w:r>
        <w:rPr>
          <w:spacing w:val="-3"/>
        </w:rPr>
        <w:t>las  </w:t>
      </w:r>
      <w:r>
        <w:rPr/>
        <w:t>autoridades escolares o incluso para el conjunto de </w:t>
      </w:r>
      <w:r>
        <w:rPr>
          <w:spacing w:val="-5"/>
        </w:rPr>
        <w:t>la </w:t>
      </w:r>
      <w:r>
        <w:rPr/>
        <w:t>comunidad escolar. Los recursos financieros y administrativos se pusieron al alcance de </w:t>
      </w:r>
      <w:r>
        <w:rPr>
          <w:spacing w:val="-3"/>
        </w:rPr>
        <w:t>las </w:t>
      </w:r>
      <w:r>
        <w:rPr/>
        <w:t>burocracias escolares a través del sistema </w:t>
      </w:r>
      <w:r>
        <w:rPr>
          <w:spacing w:val="-3"/>
        </w:rPr>
        <w:t>de </w:t>
      </w:r>
      <w:r>
        <w:rPr/>
        <w:t>proyectos concursables, es decir, avalados </w:t>
      </w:r>
      <w:r>
        <w:rPr>
          <w:spacing w:val="-3"/>
        </w:rPr>
        <w:t>bajo </w:t>
      </w:r>
      <w:r>
        <w:rPr/>
        <w:t>ciertos estándares para requisitos iniciales y avalados hasta por cinco años bajo ciertos parámetros de supervisión federal. En este marco, los juegos de poder se dan solamente entre gobierno federal y autoridad escolar. El juego es asimétrico porque el primero evalúa al segundo sin posibilidad de réplica. No  pueden  intervenir otros actores institucionales para acotar o reorientar el programa porque no hay margen para ello. Así, el Congreso solamente aprueba los recursos que el Ejecutivo solicita; no hay forma de que participen los gobiernos estatales y mucho menos los líderes del sindicato</w:t>
      </w:r>
      <w:r>
        <w:rPr>
          <w:spacing w:val="39"/>
        </w:rPr>
        <w:t> </w:t>
      </w:r>
      <w:r>
        <w:rPr/>
        <w:t>magisterial.</w:t>
      </w:r>
    </w:p>
    <w:p>
      <w:pPr>
        <w:pStyle w:val="BodyText"/>
        <w:spacing w:line="364" w:lineRule="auto" w:before="10"/>
        <w:ind w:left="115" w:right="107" w:firstLine="686"/>
        <w:jc w:val="both"/>
      </w:pPr>
      <w:r>
        <w:rPr/>
        <w:t>Para que las escuelas ingresen al programa, cada gobierno estatal emite  una convocatoria en la cual </w:t>
      </w:r>
      <w:r>
        <w:rPr>
          <w:spacing w:val="3"/>
        </w:rPr>
        <w:t>se </w:t>
      </w:r>
      <w:r>
        <w:rPr/>
        <w:t>establecen los criterios </w:t>
      </w:r>
      <w:r>
        <w:rPr>
          <w:spacing w:val="3"/>
        </w:rPr>
        <w:t>de </w:t>
      </w:r>
      <w:r>
        <w:rPr/>
        <w:t>incorporación. Empero,  los gobiernos estatales no son los que califican ni tampoco delimitan el perfil de las escuelas potencialmente interesadas. Las escuelas que pretenden participar presentan una planeación estratégica escolar a cinco años y un plan anual de trabajo elaborado por la comunidad escolar (director, maestros y padres  de  familia). El proceso final de selección de las escuelas se lleva a cabo en cada estado, y es responsabilidad compartida del Consejo Escolar de  Participación Social en </w:t>
      </w:r>
      <w:r>
        <w:rPr>
          <w:spacing w:val="-3"/>
        </w:rPr>
        <w:t>la </w:t>
      </w:r>
      <w:r>
        <w:rPr/>
        <w:t>Educación y del Comité Dictaminador; para </w:t>
      </w:r>
      <w:r>
        <w:rPr>
          <w:spacing w:val="-5"/>
        </w:rPr>
        <w:t>lo </w:t>
      </w:r>
      <w:r>
        <w:rPr/>
        <w:t>que se requiere </w:t>
      </w:r>
      <w:r>
        <w:rPr>
          <w:spacing w:val="-5"/>
        </w:rPr>
        <w:t>la </w:t>
      </w:r>
      <w:r>
        <w:rPr/>
        <w:t>capacitación de directores y docentes </w:t>
      </w:r>
      <w:r>
        <w:rPr>
          <w:spacing w:val="-3"/>
        </w:rPr>
        <w:t>en </w:t>
      </w:r>
      <w:r>
        <w:rPr/>
        <w:t>planeación estratégica escolar, el apoyo para </w:t>
      </w:r>
      <w:r>
        <w:rPr>
          <w:spacing w:val="-4"/>
        </w:rPr>
        <w:t>la  </w:t>
      </w:r>
      <w:r>
        <w:rPr/>
        <w:t>elaboración del proyecto, el dictamen sobre solicitudes  y </w:t>
      </w:r>
      <w:r>
        <w:rPr>
          <w:spacing w:val="-4"/>
        </w:rPr>
        <w:t>la  </w:t>
      </w:r>
      <w:r>
        <w:rPr/>
        <w:t>selección de  las</w:t>
      </w:r>
      <w:r>
        <w:rPr>
          <w:spacing w:val="11"/>
        </w:rPr>
        <w:t> </w:t>
      </w:r>
      <w:r>
        <w:rPr/>
        <w:t>escuelas.</w:t>
      </w:r>
    </w:p>
    <w:p>
      <w:pPr>
        <w:pStyle w:val="BodyText"/>
        <w:spacing w:line="367" w:lineRule="auto"/>
        <w:ind w:left="115" w:right="105" w:firstLine="686"/>
        <w:jc w:val="both"/>
      </w:pPr>
      <w:r>
        <w:rPr/>
        <w:t>Según se puede advertir, para participar en el programa la escuela debe comprometerse a involucrar a los padres de familia organizados y capacitar a los directores. En este sentido, los padres y los directivos preparan un plan que define los pasos a seguir para obtener una mejora escolar. La escuela recibe una subvención anual que puede durar hasta un máximo de cinco años, siempre y cuando la escuela sea elegida cada vez para implementar las actividades  incluidas</w:t>
      </w:r>
    </w:p>
    <w:p>
      <w:pPr>
        <w:spacing w:after="0" w:line="367"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5"/>
        <w:jc w:val="both"/>
      </w:pPr>
      <w:r>
        <w:rPr/>
        <w:t>en el plan. Durante los primeros cuatro años, el </w:t>
      </w:r>
      <w:r>
        <w:rPr>
          <w:spacing w:val="3"/>
        </w:rPr>
        <w:t>PEC  </w:t>
      </w:r>
      <w:r>
        <w:rPr/>
        <w:t>exige  que  las  escuelas gasten el 80% de </w:t>
      </w:r>
      <w:r>
        <w:rPr>
          <w:spacing w:val="-4"/>
        </w:rPr>
        <w:t>la </w:t>
      </w:r>
      <w:r>
        <w:rPr/>
        <w:t>subvención en materiales, infraestructura y otras mercancías. En el último año, las escuelas deben gastar sólo el 50% de </w:t>
      </w:r>
      <w:r>
        <w:rPr>
          <w:spacing w:val="-4"/>
        </w:rPr>
        <w:t>la </w:t>
      </w:r>
      <w:r>
        <w:rPr/>
        <w:t>subvención en este </w:t>
      </w:r>
      <w:r>
        <w:rPr>
          <w:spacing w:val="-3"/>
        </w:rPr>
        <w:t>tipo </w:t>
      </w:r>
      <w:r>
        <w:rPr/>
        <w:t>de materiales y destinar </w:t>
      </w:r>
      <w:r>
        <w:rPr>
          <w:spacing w:val="-3"/>
        </w:rPr>
        <w:t>la </w:t>
      </w:r>
      <w:r>
        <w:rPr/>
        <w:t>mayor parte a financiar el desarrollo y la formación  de </w:t>
      </w:r>
      <w:r>
        <w:rPr>
          <w:spacing w:val="-3"/>
        </w:rPr>
        <w:t>los </w:t>
      </w:r>
      <w:r>
        <w:rPr/>
        <w:t>docentes. Las asociaciones de padres de familia están involucradas en diseñar los planes de mejora escolar, </w:t>
      </w:r>
      <w:r>
        <w:rPr>
          <w:spacing w:val="2"/>
        </w:rPr>
        <w:t>en </w:t>
      </w:r>
      <w:r>
        <w:rPr>
          <w:spacing w:val="-3"/>
        </w:rPr>
        <w:t>la </w:t>
      </w:r>
      <w:r>
        <w:rPr/>
        <w:t>compra de material y en </w:t>
      </w:r>
      <w:r>
        <w:rPr>
          <w:spacing w:val="-5"/>
        </w:rPr>
        <w:t>la </w:t>
      </w:r>
      <w:r>
        <w:rPr/>
        <w:t>implementación de los planes. </w:t>
      </w:r>
      <w:r>
        <w:rPr>
          <w:spacing w:val="-3"/>
        </w:rPr>
        <w:t>Los </w:t>
      </w:r>
      <w:r>
        <w:rPr/>
        <w:t>directores de escuela  también  reciben formación por medio del PEC, pues no existe actualmente ningún  tipo  de  formación oficial para los directores (SEP,</w:t>
      </w:r>
      <w:r>
        <w:rPr>
          <w:spacing w:val="51"/>
        </w:rPr>
        <w:t> </w:t>
      </w:r>
      <w:r>
        <w:rPr/>
        <w:t>2011).</w:t>
      </w:r>
    </w:p>
    <w:p>
      <w:pPr>
        <w:pStyle w:val="BodyText"/>
        <w:spacing w:line="364" w:lineRule="auto" w:before="5"/>
        <w:ind w:left="115" w:right="107" w:firstLine="686"/>
        <w:jc w:val="both"/>
      </w:pPr>
      <w:r>
        <w:rPr/>
        <w:t>En la planeación estratégica escolar se debe expresar </w:t>
      </w:r>
      <w:r>
        <w:rPr>
          <w:spacing w:val="-4"/>
        </w:rPr>
        <w:t>la </w:t>
      </w:r>
      <w:r>
        <w:rPr/>
        <w:t>misión, la visión, establecer metas mensurables, determinar acciones pertinentes y firmar un convenio de desempeño. La estrategia </w:t>
      </w:r>
      <w:r>
        <w:rPr>
          <w:spacing w:val="-3"/>
        </w:rPr>
        <w:t>del </w:t>
      </w:r>
      <w:r>
        <w:rPr/>
        <w:t>PEC es apoyar estos proyectos ofreciendo a las escuelas, acompañamiento técnico especializado y recursos financieros para </w:t>
      </w:r>
      <w:r>
        <w:rPr>
          <w:spacing w:val="3"/>
        </w:rPr>
        <w:t>su </w:t>
      </w:r>
      <w:r>
        <w:rPr/>
        <w:t>ejercicio directo. El programa prevé que al término del ciclo escolar </w:t>
      </w:r>
      <w:r>
        <w:rPr>
          <w:spacing w:val="-4"/>
        </w:rPr>
        <w:t>la </w:t>
      </w:r>
      <w:r>
        <w:rPr/>
        <w:t>escuela incorporada presente a la Coordinación General Estatal (CGE)  un reporte técnico en el que se describa </w:t>
      </w:r>
      <w:r>
        <w:rPr>
          <w:spacing w:val="3"/>
        </w:rPr>
        <w:t>qué </w:t>
      </w:r>
      <w:r>
        <w:rPr/>
        <w:t>actividades se han desarrollado,  y  otro financiero que dé cuenta en qué se han invertido los recursos; con base en estos reportes las escuelas pueden solicitar </w:t>
      </w:r>
      <w:r>
        <w:rPr>
          <w:spacing w:val="3"/>
        </w:rPr>
        <w:t>su </w:t>
      </w:r>
      <w:r>
        <w:rPr/>
        <w:t>reincorporación para </w:t>
      </w:r>
      <w:r>
        <w:rPr>
          <w:spacing w:val="5"/>
        </w:rPr>
        <w:t>el </w:t>
      </w:r>
      <w:r>
        <w:rPr/>
        <w:t>siguiente año, y se obligan a elaborar los ajustes sugeridos por </w:t>
      </w:r>
      <w:r>
        <w:rPr>
          <w:spacing w:val="-3"/>
        </w:rPr>
        <w:t>las </w:t>
      </w:r>
      <w:r>
        <w:rPr/>
        <w:t>evaluaciones (SEP,  2011).</w:t>
      </w:r>
    </w:p>
    <w:p>
      <w:pPr>
        <w:pStyle w:val="BodyText"/>
        <w:spacing w:line="364" w:lineRule="auto" w:before="5"/>
        <w:ind w:left="115" w:right="110" w:firstLine="686"/>
        <w:jc w:val="both"/>
      </w:pPr>
      <w:r>
        <w:rPr/>
        <w:t>Además, las escuelas cuentan, por </w:t>
      </w:r>
      <w:r>
        <w:rPr>
          <w:spacing w:val="-5"/>
        </w:rPr>
        <w:t>lo </w:t>
      </w:r>
      <w:r>
        <w:rPr/>
        <w:t>general, con un tipo de  enseñanza  que contempla programas educativos tradicionales. El trabajo de los docentes incluye lo que realizan en </w:t>
      </w:r>
      <w:r>
        <w:rPr>
          <w:spacing w:val="2"/>
        </w:rPr>
        <w:t>el </w:t>
      </w:r>
      <w:r>
        <w:rPr/>
        <w:t>aula, la asistencia regular, </w:t>
      </w:r>
      <w:r>
        <w:rPr>
          <w:spacing w:val="3"/>
        </w:rPr>
        <w:t>el </w:t>
      </w:r>
      <w:r>
        <w:rPr/>
        <w:t>tiempo que dedican a </w:t>
      </w:r>
      <w:r>
        <w:rPr>
          <w:spacing w:val="-4"/>
        </w:rPr>
        <w:t>la </w:t>
      </w:r>
      <w:r>
        <w:rPr/>
        <w:t>preparación del trabajo colegiado para  la elaboración de un proyecto escolar,  y  sus relaciones con los padres de familia. </w:t>
      </w:r>
      <w:r>
        <w:rPr>
          <w:spacing w:val="4"/>
        </w:rPr>
        <w:t>El </w:t>
      </w:r>
      <w:r>
        <w:rPr/>
        <w:t>PEC otorga a las comunidades escolares la autoridad para modificar esas  rutinas </w:t>
      </w:r>
      <w:r>
        <w:rPr>
          <w:spacing w:val="3"/>
        </w:rPr>
        <w:t>de </w:t>
      </w:r>
      <w:r>
        <w:rPr/>
        <w:t>trabajo, pero se sabe </w:t>
      </w:r>
      <w:r>
        <w:rPr>
          <w:spacing w:val="-3"/>
        </w:rPr>
        <w:t>que</w:t>
      </w:r>
      <w:r>
        <w:rPr>
          <w:spacing w:val="57"/>
        </w:rPr>
        <w:t> </w:t>
      </w:r>
      <w:r>
        <w:rPr/>
        <w:t>son éstas las más difíciles de transformarse en los espacios </w:t>
      </w:r>
      <w:r>
        <w:rPr>
          <w:spacing w:val="9"/>
        </w:rPr>
        <w:t> </w:t>
      </w:r>
      <w:r>
        <w:rPr/>
        <w:t>educativos.</w:t>
      </w:r>
    </w:p>
    <w:p>
      <w:pPr>
        <w:pStyle w:val="BodyText"/>
        <w:spacing w:line="364" w:lineRule="auto" w:before="5"/>
        <w:ind w:left="115" w:right="107" w:firstLine="686"/>
        <w:jc w:val="both"/>
      </w:pPr>
      <w:r>
        <w:rPr/>
        <w:t>Este programa proporciona subsidios con recursos federales, estatales y privados por cinco años por un monto aproximado de 180 mil pesos a cerca de un 21% de las escuelas mexicanas de educación básica. Sin embargo, los recursos asignados a las escuelas han disminuido: la cantidad de recursos totales se ha</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5"/>
        <w:jc w:val="both"/>
      </w:pPr>
      <w:r>
        <w:rPr/>
        <w:t>mantenido estables, mientras que el número de escuelas que participa en el programa ha aumentado. A pesar </w:t>
      </w:r>
      <w:r>
        <w:rPr>
          <w:spacing w:val="-4"/>
        </w:rPr>
        <w:t>de  </w:t>
      </w:r>
      <w:r>
        <w:rPr/>
        <w:t>que cada escuela primaria puede participar  en el PEC, y de que el programa está dirigido en especial a las escuelas desfavorecidas, algunos expertos subrayan el riesgo de que este programa  fomente la brecha entre las “escuelas pobres”, sobre todo de origen rural, y las escuelas urbanas con más recursos (OCDE, 2010:</w:t>
      </w:r>
      <w:r>
        <w:rPr>
          <w:spacing w:val="58"/>
        </w:rPr>
        <w:t> </w:t>
      </w:r>
      <w:r>
        <w:rPr/>
        <w:t>55).</w:t>
      </w:r>
    </w:p>
    <w:p>
      <w:pPr>
        <w:pStyle w:val="BodyText"/>
        <w:spacing w:line="364" w:lineRule="auto" w:before="5"/>
        <w:ind w:left="115" w:right="108" w:firstLine="686"/>
        <w:jc w:val="both"/>
      </w:pPr>
      <w:r>
        <w:rPr/>
        <w:t>En este marco, desde su puesta en marcha en abril de 2001, el PEC redefinió de manera sustantiva el centro de atención de </w:t>
      </w:r>
      <w:r>
        <w:rPr>
          <w:spacing w:val="-5"/>
        </w:rPr>
        <w:t>la </w:t>
      </w:r>
      <w:r>
        <w:rPr/>
        <w:t>política educativa. El programa ha dado relevancia a </w:t>
      </w:r>
      <w:r>
        <w:rPr>
          <w:spacing w:val="-4"/>
        </w:rPr>
        <w:t>las </w:t>
      </w:r>
      <w:r>
        <w:rPr/>
        <w:t>acciones en los centros escolares como objeto principal de la política y como una de las causales sustantivas de los resultados </w:t>
      </w:r>
      <w:r>
        <w:rPr>
          <w:spacing w:val="-3"/>
        </w:rPr>
        <w:t>de </w:t>
      </w:r>
      <w:r>
        <w:rPr/>
        <w:t>aprendizaje de los niños. Sin embargo, se mantienen algunos  retos y carencias  que ameritan una mayor atención de quienes participan en el desarrollo </w:t>
      </w:r>
      <w:r>
        <w:rPr>
          <w:spacing w:val="2"/>
        </w:rPr>
        <w:t>del </w:t>
      </w:r>
      <w:r>
        <w:rPr/>
        <w:t>programa.</w:t>
      </w:r>
    </w:p>
    <w:p>
      <w:pPr>
        <w:pStyle w:val="BodyText"/>
        <w:spacing w:line="364" w:lineRule="auto" w:before="10"/>
        <w:ind w:left="115" w:right="108" w:firstLine="686"/>
        <w:jc w:val="both"/>
      </w:pPr>
      <w:r>
        <w:rPr/>
        <w:t>Su principal virtud ha descansado en la confianza que otorga a los actores escolares para tomar decisiones en pos </w:t>
      </w:r>
      <w:r>
        <w:rPr>
          <w:spacing w:val="3"/>
        </w:rPr>
        <w:t>de </w:t>
      </w:r>
      <w:r>
        <w:rPr>
          <w:spacing w:val="-4"/>
        </w:rPr>
        <w:t>la </w:t>
      </w:r>
      <w:r>
        <w:rPr/>
        <w:t>mejora de los aprendizajes, aunque todavía queda mucho por hacer. Su principal logro ha sido conseguir  </w:t>
      </w:r>
      <w:r>
        <w:rPr>
          <w:spacing w:val="-5"/>
        </w:rPr>
        <w:t>la </w:t>
      </w:r>
      <w:r>
        <w:rPr/>
        <w:t>transferencia de fondos económicos a las escuelas públicas que atienden a poblaciones </w:t>
      </w:r>
      <w:r>
        <w:rPr>
          <w:spacing w:val="-3"/>
        </w:rPr>
        <w:t>en </w:t>
      </w:r>
      <w:r>
        <w:rPr/>
        <w:t>condiciones desventajosas y con ello desarrollar proyectos de mejora en las escuelas con la intención de impactar en sus  resultados; pero su  reto principal sigue siendo fomentar un auténtico sentido de corresponsabilidad entre actores educativos, así como instaurar una cultura de rendición de </w:t>
      </w:r>
      <w:r>
        <w:rPr>
          <w:spacing w:val="22"/>
        </w:rPr>
        <w:t> </w:t>
      </w:r>
      <w:r>
        <w:rPr/>
        <w:t>cuentas.</w:t>
      </w:r>
    </w:p>
    <w:p>
      <w:pPr>
        <w:pStyle w:val="BodyText"/>
        <w:spacing w:line="364" w:lineRule="auto" w:before="10"/>
        <w:ind w:left="115" w:right="104" w:firstLine="686"/>
        <w:jc w:val="both"/>
      </w:pPr>
      <w:r>
        <w:rPr/>
        <w:t>El PEC presenta actualmente resultados favorables y positivos, aunque también retos, carencias y deficiencias. Por lo que hace a </w:t>
      </w:r>
      <w:r>
        <w:rPr>
          <w:spacing w:val="-4"/>
        </w:rPr>
        <w:t>lo </w:t>
      </w:r>
      <w:r>
        <w:rPr/>
        <w:t>primero, puede señalarse que existen evaluaciones externas hechas </w:t>
      </w:r>
      <w:r>
        <w:rPr>
          <w:spacing w:val="2"/>
        </w:rPr>
        <w:t>al </w:t>
      </w:r>
      <w:r>
        <w:rPr/>
        <w:t>programa que hacen  constar su evolución progresiva, así como algunos </w:t>
      </w:r>
      <w:r>
        <w:rPr>
          <w:spacing w:val="-3"/>
        </w:rPr>
        <w:t>de </w:t>
      </w:r>
      <w:r>
        <w:rPr/>
        <w:t>sus logros. Además, el programa cuenta con cifras que respaldan a los resultados obtenidos hasta ahora. Las metodologías utilizadas en las evaluaciones </w:t>
      </w:r>
      <w:r>
        <w:rPr>
          <w:spacing w:val="-3"/>
        </w:rPr>
        <w:t>han </w:t>
      </w:r>
      <w:r>
        <w:rPr/>
        <w:t>sido distintas. Algunas han contemplado la comparación de escuelas PEC con otras escuelas públicas </w:t>
      </w:r>
      <w:r>
        <w:rPr>
          <w:spacing w:val="-3"/>
        </w:rPr>
        <w:t>de </w:t>
      </w:r>
      <w:r>
        <w:rPr/>
        <w:t>educación básica con características equiparables. Las instituciones evaluadoras han sido externas a </w:t>
      </w:r>
      <w:r>
        <w:rPr>
          <w:spacing w:val="-3"/>
        </w:rPr>
        <w:t>la </w:t>
      </w:r>
      <w:r>
        <w:rPr/>
        <w:t>Secretaría de Educación Pública (SEP) y varían desde nacionales  (como  el  Centro  de  Investigación  y  Docencia  Económicas  CIDE  </w:t>
      </w:r>
      <w:r>
        <w:rPr>
          <w:spacing w:val="19"/>
        </w:rPr>
        <w:t> </w:t>
      </w:r>
      <w:r>
        <w:rPr/>
        <w:t>y</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9" w:lineRule="auto" w:before="74"/>
        <w:ind w:left="115" w:right="191"/>
      </w:pPr>
      <w:r>
        <w:rPr/>
        <w:t>Heurística Educativa), hasta internacionales (como el Banco Mundial y la Universidad de Harvard) (Bracho </w:t>
      </w:r>
      <w:r>
        <w:rPr>
          <w:i/>
        </w:rPr>
        <w:t>et. al.</w:t>
      </w:r>
      <w:r>
        <w:rPr/>
        <w:t>, 2008).</w:t>
      </w:r>
    </w:p>
    <w:p>
      <w:pPr>
        <w:pStyle w:val="BodyText"/>
        <w:spacing w:line="364" w:lineRule="auto"/>
        <w:ind w:left="115" w:right="108" w:firstLine="686"/>
        <w:jc w:val="both"/>
      </w:pPr>
      <w:r>
        <w:rPr/>
        <w:t>Los principales hallazgos de estos estudios resaltan una disminución importante en las tasas de deserción, reprobación y repetición de los estudiantes  de las escuelas incorporadas al PEC en comparación con aquéllas no  incorporadas. Los estudios señalan también que toma varios años </w:t>
      </w:r>
      <w:r>
        <w:rPr>
          <w:spacing w:val="-3"/>
        </w:rPr>
        <w:t>de </w:t>
      </w:r>
      <w:r>
        <w:rPr/>
        <w:t>participación en el programa para que las escuelas presenten mejoras relevantes en sus resultados educativos. Indican también mayores beneficios para los estudiantes </w:t>
      </w:r>
      <w:r>
        <w:rPr>
          <w:spacing w:val="-3"/>
        </w:rPr>
        <w:t>en </w:t>
      </w:r>
      <w:r>
        <w:rPr/>
        <w:t>las escuelas </w:t>
      </w:r>
      <w:r>
        <w:rPr>
          <w:spacing w:val="-3"/>
        </w:rPr>
        <w:t>que </w:t>
      </w:r>
      <w:r>
        <w:rPr/>
        <w:t>se encontraban en condiciones de mayor rezago al momento de  su incorporación (Bracho et. al.,</w:t>
      </w:r>
      <w:r>
        <w:rPr>
          <w:spacing w:val="41"/>
        </w:rPr>
        <w:t> </w:t>
      </w:r>
      <w:r>
        <w:rPr/>
        <w:t>2008).</w:t>
      </w:r>
    </w:p>
    <w:p>
      <w:pPr>
        <w:pStyle w:val="BodyText"/>
        <w:spacing w:line="364" w:lineRule="auto" w:before="5"/>
        <w:ind w:left="115" w:right="106" w:firstLine="686"/>
        <w:jc w:val="both"/>
      </w:pPr>
      <w:r>
        <w:rPr/>
        <w:t>Además de </w:t>
      </w:r>
      <w:r>
        <w:rPr>
          <w:spacing w:val="-3"/>
        </w:rPr>
        <w:t>los </w:t>
      </w:r>
      <w:r>
        <w:rPr/>
        <w:t>estudios enfocados al progreso académico  de </w:t>
      </w:r>
      <w:r>
        <w:rPr>
          <w:spacing w:val="-3"/>
        </w:rPr>
        <w:t>los  </w:t>
      </w:r>
      <w:r>
        <w:rPr/>
        <w:t>alumnos de las escuelas incorporadas al programa, pueden identificarse otros que señalan sus logros al mostrar las posibilidades  de relación más  horizontal entre </w:t>
      </w:r>
      <w:r>
        <w:rPr>
          <w:spacing w:val="-3"/>
        </w:rPr>
        <w:t>la  </w:t>
      </w:r>
      <w:r>
        <w:rPr/>
        <w:t>SEP y los estados, </w:t>
      </w:r>
      <w:r>
        <w:rPr>
          <w:spacing w:val="-3"/>
        </w:rPr>
        <w:t>así </w:t>
      </w:r>
      <w:r>
        <w:rPr/>
        <w:t>como en las ventajas </w:t>
      </w:r>
      <w:r>
        <w:rPr>
          <w:spacing w:val="-3"/>
        </w:rPr>
        <w:t>de </w:t>
      </w:r>
      <w:r>
        <w:rPr/>
        <w:t>la participación de </w:t>
      </w:r>
      <w:r>
        <w:rPr>
          <w:spacing w:val="-3"/>
        </w:rPr>
        <w:t>la </w:t>
      </w:r>
      <w:r>
        <w:rPr/>
        <w:t>comunidad en el programa, aumentando la disposición de </w:t>
      </w:r>
      <w:r>
        <w:rPr>
          <w:spacing w:val="-4"/>
        </w:rPr>
        <w:t>los </w:t>
      </w:r>
      <w:r>
        <w:rPr/>
        <w:t>padres  de familia  para mantener a  sus hijos en </w:t>
      </w:r>
      <w:r>
        <w:rPr>
          <w:spacing w:val="-4"/>
        </w:rPr>
        <w:t>las</w:t>
      </w:r>
      <w:r>
        <w:rPr>
          <w:spacing w:val="55"/>
        </w:rPr>
        <w:t> </w:t>
      </w:r>
      <w:r>
        <w:rPr/>
        <w:t>escuelas. Al parecer, el programa ha tenido  resultados satisfactorios en </w:t>
      </w:r>
      <w:r>
        <w:rPr>
          <w:spacing w:val="-4"/>
        </w:rPr>
        <w:t>lo </w:t>
      </w:r>
      <w:r>
        <w:rPr/>
        <w:t>referente a la participación de las autoridades </w:t>
      </w:r>
      <w:r>
        <w:rPr>
          <w:spacing w:val="-4"/>
        </w:rPr>
        <w:t>y, </w:t>
      </w:r>
      <w:r>
        <w:rPr/>
        <w:t>en general, de  </w:t>
      </w:r>
      <w:r>
        <w:rPr>
          <w:spacing w:val="-5"/>
        </w:rPr>
        <w:t>la </w:t>
      </w:r>
      <w:r>
        <w:rPr/>
        <w:t>comunidad a la que</w:t>
      </w:r>
      <w:r>
        <w:rPr>
          <w:spacing w:val="43"/>
        </w:rPr>
        <w:t> </w:t>
      </w:r>
      <w:r>
        <w:rPr/>
        <w:t>atiende.</w:t>
      </w:r>
    </w:p>
    <w:p>
      <w:pPr>
        <w:pStyle w:val="BodyText"/>
        <w:spacing w:line="364" w:lineRule="auto" w:before="5"/>
        <w:ind w:left="115" w:right="105" w:firstLine="686"/>
        <w:jc w:val="both"/>
      </w:pPr>
      <w:r>
        <w:rPr/>
        <w:t>No obstante, debe señalarse también que la relación entre el acceso de las escuelas al </w:t>
      </w:r>
      <w:r>
        <w:rPr>
          <w:spacing w:val="3"/>
        </w:rPr>
        <w:t>PEC </w:t>
      </w:r>
      <w:r>
        <w:rPr/>
        <w:t>y el mejoramiento del aprovechamiento escolar de </w:t>
      </w:r>
      <w:r>
        <w:rPr>
          <w:spacing w:val="2"/>
        </w:rPr>
        <w:t>sus </w:t>
      </w:r>
      <w:r>
        <w:rPr/>
        <w:t>alumnos  no es nítida. El estudio realizado por Heurística Educativa, por ejemplo, encontró que en el 88% de las escuelas incorporadas al </w:t>
      </w:r>
      <w:r>
        <w:rPr>
          <w:spacing w:val="3"/>
        </w:rPr>
        <w:t>PEC </w:t>
      </w:r>
      <w:r>
        <w:rPr/>
        <w:t>el aprovechamiento escolar permaneció constante; mientras que en el 8%, ese aprovechamiento disminuyó ligeramente. De hecho, los mejoramientos en las tasas de reprobación y deserción que algunos investigadores extranjeros han atribuido a la participación de </w:t>
      </w:r>
      <w:r>
        <w:rPr>
          <w:spacing w:val="-2"/>
        </w:rPr>
        <w:t>las </w:t>
      </w:r>
      <w:r>
        <w:rPr/>
        <w:t>escuelas en el </w:t>
      </w:r>
      <w:r>
        <w:rPr>
          <w:spacing w:val="3"/>
        </w:rPr>
        <w:t>PEC </w:t>
      </w:r>
      <w:r>
        <w:rPr/>
        <w:t>no se apoyan en evaluaciones objetivas de los  aprendizajes  de los alumnos, sino en las apreciaciones que hacen </w:t>
      </w:r>
      <w:r>
        <w:rPr>
          <w:spacing w:val="-3"/>
        </w:rPr>
        <w:t>los </w:t>
      </w:r>
      <w:r>
        <w:rPr/>
        <w:t>maestros, al comparar el aprovechamiento de los alumnos inscritos en el mismo grupo (Bracho  et.  al., 2008).</w:t>
      </w:r>
    </w:p>
    <w:p>
      <w:pPr>
        <w:pStyle w:val="BodyText"/>
        <w:spacing w:line="369" w:lineRule="auto"/>
        <w:ind w:left="115" w:right="111" w:firstLine="686"/>
      </w:pPr>
      <w:r>
        <w:rPr/>
        <w:t>Como el PEC no promueve acciones específicamente orientadas a mejorar  </w:t>
      </w:r>
      <w:r>
        <w:rPr>
          <w:spacing w:val="-5"/>
        </w:rPr>
        <w:t>la</w:t>
      </w:r>
      <w:r>
        <w:rPr>
          <w:spacing w:val="19"/>
        </w:rPr>
        <w:t> </w:t>
      </w:r>
      <w:r>
        <w:rPr/>
        <w:t>calidad</w:t>
      </w:r>
      <w:r>
        <w:rPr>
          <w:spacing w:val="19"/>
        </w:rPr>
        <w:t> </w:t>
      </w:r>
      <w:r>
        <w:rPr/>
        <w:t>de</w:t>
      </w:r>
      <w:r>
        <w:rPr>
          <w:spacing w:val="26"/>
        </w:rPr>
        <w:t> </w:t>
      </w:r>
      <w:r>
        <w:rPr>
          <w:spacing w:val="-5"/>
        </w:rPr>
        <w:t>la</w:t>
      </w:r>
      <w:r>
        <w:rPr>
          <w:spacing w:val="19"/>
        </w:rPr>
        <w:t> </w:t>
      </w:r>
      <w:r>
        <w:rPr/>
        <w:t>docencia,</w:t>
      </w:r>
      <w:r>
        <w:rPr>
          <w:spacing w:val="19"/>
        </w:rPr>
        <w:t> </w:t>
      </w:r>
      <w:r>
        <w:rPr>
          <w:spacing w:val="-3"/>
        </w:rPr>
        <w:t>es</w:t>
      </w:r>
      <w:r>
        <w:rPr>
          <w:spacing w:val="26"/>
        </w:rPr>
        <w:t> </w:t>
      </w:r>
      <w:r>
        <w:rPr/>
        <w:t>probable</w:t>
      </w:r>
      <w:r>
        <w:rPr>
          <w:spacing w:val="19"/>
        </w:rPr>
        <w:t> </w:t>
      </w:r>
      <w:r>
        <w:rPr/>
        <w:t>que</w:t>
      </w:r>
      <w:r>
        <w:rPr>
          <w:spacing w:val="19"/>
        </w:rPr>
        <w:t> </w:t>
      </w:r>
      <w:r>
        <w:rPr/>
        <w:t>los</w:t>
      </w:r>
      <w:r>
        <w:rPr>
          <w:spacing w:val="19"/>
        </w:rPr>
        <w:t> </w:t>
      </w:r>
      <w:r>
        <w:rPr/>
        <w:t>cambios</w:t>
      </w:r>
      <w:r>
        <w:rPr>
          <w:spacing w:val="26"/>
        </w:rPr>
        <w:t> </w:t>
      </w:r>
      <w:r>
        <w:rPr/>
        <w:t>observados</w:t>
      </w:r>
      <w:r>
        <w:rPr>
          <w:spacing w:val="19"/>
        </w:rPr>
        <w:t> </w:t>
      </w:r>
      <w:r>
        <w:rPr/>
        <w:t>por</w:t>
      </w:r>
      <w:r>
        <w:rPr>
          <w:spacing w:val="19"/>
        </w:rPr>
        <w:t> </w:t>
      </w:r>
      <w:r>
        <w:rPr/>
        <w:t>Heurística</w:t>
      </w:r>
    </w:p>
    <w:p>
      <w:pPr>
        <w:spacing w:after="0" w:line="369" w:lineRule="auto"/>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3"/>
        <w:jc w:val="both"/>
      </w:pPr>
      <w:r>
        <w:rPr/>
        <w:t>Educativa </w:t>
      </w:r>
      <w:r>
        <w:rPr>
          <w:spacing w:val="3"/>
        </w:rPr>
        <w:t>en </w:t>
      </w:r>
      <w:r>
        <w:rPr/>
        <w:t>8% de las escuelas estudiadas, así como los registrados en las tasas de reprobación/deserción, sean atribuibles a que </w:t>
      </w:r>
      <w:r>
        <w:rPr>
          <w:spacing w:val="-3"/>
        </w:rPr>
        <w:t>la </w:t>
      </w:r>
      <w:r>
        <w:rPr/>
        <w:t>participación de los padres de familia esté estimulando una observación más estricta de la normatividad mínima  en </w:t>
      </w:r>
      <w:r>
        <w:rPr>
          <w:spacing w:val="-4"/>
        </w:rPr>
        <w:t>la </w:t>
      </w:r>
      <w:r>
        <w:rPr/>
        <w:t>escuela, lo que probablemente genere un menor ausentismo y ello a su vez, efectos positivos </w:t>
      </w:r>
      <w:r>
        <w:rPr>
          <w:spacing w:val="3"/>
        </w:rPr>
        <w:t>en </w:t>
      </w:r>
      <w:r>
        <w:rPr/>
        <w:t>el rendimiento escolar (Bracho et. al.,</w:t>
      </w:r>
      <w:r>
        <w:rPr>
          <w:spacing w:val="59"/>
        </w:rPr>
        <w:t> </w:t>
      </w:r>
      <w:r>
        <w:rPr/>
        <w:t>2008).</w:t>
      </w:r>
    </w:p>
    <w:p>
      <w:pPr>
        <w:pStyle w:val="BodyText"/>
        <w:spacing w:line="364" w:lineRule="auto" w:before="5"/>
        <w:ind w:left="115" w:right="106" w:firstLine="686"/>
        <w:jc w:val="both"/>
      </w:pPr>
      <w:r>
        <w:rPr/>
        <w:t>Por lo que hace a las carencias y deficiencias en el PEC, éstas son, por ejemplo, que no cuenta con un componente específico para influir en la práctica en el aula y no promueve de manera directa intervenciones o procesos pedagógicos,  es decir, el programa favorece los cambios </w:t>
      </w:r>
      <w:r>
        <w:rPr>
          <w:spacing w:val="-3"/>
        </w:rPr>
        <w:t>en </w:t>
      </w:r>
      <w:r>
        <w:rPr/>
        <w:t>el nivel de gestión, pero muy pocos en el aprendizaje de los niños. El programa debe enfrentar también la simulación  de cifras y datos para la obtención de recursos, que ha sido una de las prácticas más denunciadas. Mientras que </w:t>
      </w:r>
      <w:r>
        <w:rPr>
          <w:spacing w:val="3"/>
        </w:rPr>
        <w:t>se </w:t>
      </w:r>
      <w:r>
        <w:rPr/>
        <w:t>ha observado que los  consejos  de  participación social sólo se constituyen para poder entrar al programa y no vuelven a sesionar (Bracho et. al.,</w:t>
      </w:r>
      <w:r>
        <w:rPr>
          <w:spacing w:val="36"/>
        </w:rPr>
        <w:t> </w:t>
      </w:r>
      <w:r>
        <w:rPr/>
        <w:t>2008).</w:t>
      </w:r>
    </w:p>
    <w:p>
      <w:pPr>
        <w:pStyle w:val="BodyText"/>
        <w:spacing w:line="364" w:lineRule="auto" w:before="5"/>
        <w:ind w:left="115" w:right="104" w:firstLine="686"/>
        <w:jc w:val="both"/>
      </w:pPr>
      <w:r>
        <w:rPr/>
        <w:t>El objetivo del PEC supone profundas transformaciones en el sistema educativo nacional </w:t>
      </w:r>
      <w:r>
        <w:rPr>
          <w:spacing w:val="-5"/>
        </w:rPr>
        <w:t>y, </w:t>
      </w:r>
      <w:r>
        <w:rPr/>
        <w:t>sobre todo, en las escuelas y </w:t>
      </w:r>
      <w:r>
        <w:rPr>
          <w:spacing w:val="-3"/>
        </w:rPr>
        <w:t>la </w:t>
      </w:r>
      <w:r>
        <w:rPr/>
        <w:t>administración educativa, cuyas arraigadas tradiciones burocráticas suelen ser contrarias a </w:t>
      </w:r>
      <w:r>
        <w:rPr>
          <w:spacing w:val="-4"/>
        </w:rPr>
        <w:t>la </w:t>
      </w:r>
      <w:r>
        <w:rPr/>
        <w:t>rendición de cuentas. En el nivel del sistema, el </w:t>
      </w:r>
      <w:r>
        <w:rPr>
          <w:spacing w:val="-3"/>
        </w:rPr>
        <w:t>reto </w:t>
      </w:r>
      <w:r>
        <w:rPr/>
        <w:t>principal es transformar </w:t>
      </w:r>
      <w:r>
        <w:rPr>
          <w:spacing w:val="-5"/>
        </w:rPr>
        <w:t>la </w:t>
      </w:r>
      <w:r>
        <w:rPr/>
        <w:t>forma en que se comunican y colaboran los distintos órdenes de gobierno (la  Coordinación  Nacional del Programa Escuelas de Calidad, CNPEC, y la Coordinación General Estatal, CGE, de cada entidad) y capacidad de operación del programa a nivel federal. En el nivel de las escuelas </w:t>
      </w:r>
      <w:r>
        <w:rPr>
          <w:spacing w:val="3"/>
        </w:rPr>
        <w:t>se </w:t>
      </w:r>
      <w:r>
        <w:rPr/>
        <w:t>suponen cambios en la  comunidad  educativa importantes, tales como: compromiso de </w:t>
      </w:r>
      <w:r>
        <w:rPr>
          <w:spacing w:val="-3"/>
        </w:rPr>
        <w:t>los </w:t>
      </w:r>
      <w:r>
        <w:rPr/>
        <w:t>directivos y maestros en el diseño y cumplimiento de la planeación estratégica escolar, así como en </w:t>
      </w:r>
      <w:r>
        <w:rPr>
          <w:spacing w:val="-5"/>
        </w:rPr>
        <w:t>la </w:t>
      </w:r>
      <w:r>
        <w:rPr/>
        <w:t>participación de los padres de familia en la toma de decisiones y en la capacidad  de </w:t>
      </w:r>
      <w:r>
        <w:rPr>
          <w:spacing w:val="-5"/>
        </w:rPr>
        <w:t>la </w:t>
      </w:r>
      <w:r>
        <w:rPr/>
        <w:t>escuela para comunicarse con la </w:t>
      </w:r>
      <w:r>
        <w:rPr>
          <w:spacing w:val="2"/>
        </w:rPr>
        <w:t> </w:t>
      </w:r>
      <w:r>
        <w:rPr/>
        <w:t>CGE.</w:t>
      </w:r>
    </w:p>
    <w:p>
      <w:pPr>
        <w:pStyle w:val="BodyText"/>
        <w:spacing w:line="364" w:lineRule="auto" w:before="10"/>
        <w:ind w:left="115" w:right="110" w:firstLine="686"/>
        <w:jc w:val="both"/>
      </w:pPr>
      <w:r>
        <w:rPr/>
        <w:t>Hay varios retos de tipo organizativo todavía por cumplir en el sistema educativo: primero, su capacidad para relacionarse intergubernamentalmente de forma efectiva; segundo, su capacidad de monitorear y dar seguimiento a los procesos de  transformación efectivos en  las escuelas;  y tercero, la capacidad   de</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9" w:lineRule="auto" w:before="74"/>
        <w:ind w:left="115" w:right="191"/>
      </w:pPr>
      <w:r>
        <w:rPr/>
        <w:t>operar con la estructura organizacional con que cuenta, en el contexto burocrático- administrativo de la Subsecretaría de Educación Básica (Bracho et. al.,  2008).</w:t>
      </w:r>
    </w:p>
    <w:p>
      <w:pPr>
        <w:pStyle w:val="BodyText"/>
        <w:spacing w:line="364" w:lineRule="auto"/>
        <w:ind w:left="115" w:right="104" w:firstLine="686"/>
        <w:jc w:val="both"/>
      </w:pPr>
      <w:r>
        <w:rPr/>
        <w:t>El primer reto tiene relación con el esquema de  coparticipación  en  que opera el programa; requiere de la existencia de relaciones intergubernamentales  que </w:t>
      </w:r>
      <w:r>
        <w:rPr>
          <w:spacing w:val="-3"/>
        </w:rPr>
        <w:t>le </w:t>
      </w:r>
      <w:r>
        <w:rPr/>
        <w:t>permitan cofinanciar, capacitar y asesorar en el modelo de gestión  estratégica en cascada (CNPEC a CGE a escuelas). El PEC manifiesta tener un espíritu federalista y señala que requiere de la coordinación con los  distintos niveles de gobiernos estatales y municipales. </w:t>
      </w:r>
      <w:r>
        <w:rPr>
          <w:spacing w:val="-3"/>
        </w:rPr>
        <w:t>En </w:t>
      </w:r>
      <w:r>
        <w:rPr/>
        <w:t>este marco se ha buscado promover </w:t>
      </w:r>
      <w:r>
        <w:rPr>
          <w:spacing w:val="-3"/>
        </w:rPr>
        <w:t>la </w:t>
      </w:r>
      <w:r>
        <w:rPr/>
        <w:t>corresponsabilidad para </w:t>
      </w:r>
      <w:r>
        <w:rPr>
          <w:spacing w:val="-5"/>
        </w:rPr>
        <w:t>la </w:t>
      </w:r>
      <w:r>
        <w:rPr/>
        <w:t>correcta operación del programa en </w:t>
      </w:r>
      <w:r>
        <w:rPr>
          <w:spacing w:val="-3"/>
        </w:rPr>
        <w:t>las </w:t>
      </w:r>
      <w:r>
        <w:rPr/>
        <w:t>entidades. La CNPEC y </w:t>
      </w:r>
      <w:r>
        <w:rPr>
          <w:spacing w:val="-3"/>
        </w:rPr>
        <w:t>las </w:t>
      </w:r>
      <w:r>
        <w:rPr/>
        <w:t>CGE deben ser un soporte interinstitucional para vincular, articular y potenciar los fines y objetivos del programa, </w:t>
      </w:r>
      <w:r>
        <w:rPr>
          <w:spacing w:val="-3"/>
        </w:rPr>
        <w:t>ya  </w:t>
      </w:r>
      <w:r>
        <w:rPr/>
        <w:t>que  en  </w:t>
      </w:r>
      <w:r>
        <w:rPr>
          <w:spacing w:val="-5"/>
        </w:rPr>
        <w:t>la </w:t>
      </w:r>
      <w:r>
        <w:rPr/>
        <w:t>medida que se logre una correcta vinculación entre gobierno federal y estatal, así como entre ellos y </w:t>
      </w:r>
      <w:r>
        <w:rPr>
          <w:spacing w:val="-3"/>
        </w:rPr>
        <w:t>las </w:t>
      </w:r>
      <w:r>
        <w:rPr/>
        <w:t>escuelas, se podrán conseguir los objetivos de </w:t>
      </w:r>
      <w:r>
        <w:rPr>
          <w:spacing w:val="-3"/>
        </w:rPr>
        <w:t>la </w:t>
      </w:r>
      <w:r>
        <w:rPr/>
        <w:t>capacitación, seguimiento y</w:t>
      </w:r>
      <w:r>
        <w:rPr>
          <w:spacing w:val="34"/>
        </w:rPr>
        <w:t> </w:t>
      </w:r>
      <w:r>
        <w:rPr/>
        <w:t>evaluación.</w:t>
      </w:r>
    </w:p>
    <w:p>
      <w:pPr>
        <w:pStyle w:val="BodyText"/>
        <w:spacing w:line="364" w:lineRule="auto" w:before="5"/>
        <w:ind w:left="115" w:right="105" w:firstLine="686"/>
        <w:jc w:val="both"/>
      </w:pPr>
      <w:r>
        <w:rPr/>
        <w:t>El segundo reto </w:t>
      </w:r>
      <w:r>
        <w:rPr>
          <w:spacing w:val="-3"/>
        </w:rPr>
        <w:t>es </w:t>
      </w:r>
      <w:r>
        <w:rPr/>
        <w:t>atender </w:t>
      </w:r>
      <w:r>
        <w:rPr>
          <w:spacing w:val="-3"/>
        </w:rPr>
        <w:t>los </w:t>
      </w:r>
      <w:r>
        <w:rPr/>
        <w:t>problemas de información, pues la creación  del PEC coincide con </w:t>
      </w:r>
      <w:r>
        <w:rPr>
          <w:spacing w:val="-5"/>
        </w:rPr>
        <w:t>la </w:t>
      </w:r>
      <w:r>
        <w:rPr/>
        <w:t>búsqueda de sistemas </w:t>
      </w:r>
      <w:r>
        <w:rPr>
          <w:spacing w:val="3"/>
        </w:rPr>
        <w:t>de </w:t>
      </w:r>
      <w:r>
        <w:rPr/>
        <w:t>información eficientes en </w:t>
      </w:r>
      <w:r>
        <w:rPr>
          <w:spacing w:val="-5"/>
        </w:rPr>
        <w:t>la </w:t>
      </w:r>
      <w:r>
        <w:rPr/>
        <w:t>administración educativa. El programa ha buscado crear primero, y fortalecer, después, </w:t>
      </w:r>
      <w:r>
        <w:rPr>
          <w:spacing w:val="-3"/>
        </w:rPr>
        <w:t>su </w:t>
      </w:r>
      <w:r>
        <w:rPr/>
        <w:t>capacidad para monitorear y dar seguimiento a </w:t>
      </w:r>
      <w:r>
        <w:rPr>
          <w:spacing w:val="3"/>
        </w:rPr>
        <w:t>su </w:t>
      </w:r>
      <w:r>
        <w:rPr/>
        <w:t>operación a través de </w:t>
      </w:r>
      <w:r>
        <w:rPr>
          <w:spacing w:val="-3"/>
        </w:rPr>
        <w:t>la </w:t>
      </w:r>
      <w:r>
        <w:rPr/>
        <w:t>información sistematizada para conocer </w:t>
      </w:r>
      <w:r>
        <w:rPr>
          <w:spacing w:val="-4"/>
        </w:rPr>
        <w:t>la </w:t>
      </w:r>
      <w:r>
        <w:rPr/>
        <w:t>demanda, las características y </w:t>
      </w:r>
      <w:r>
        <w:rPr>
          <w:spacing w:val="-3"/>
        </w:rPr>
        <w:t>los </w:t>
      </w:r>
      <w:r>
        <w:rPr/>
        <w:t>problemas que enfrentan las escuelas beneficiadas, el uso de los recursos, así  como instrumentos para conocer el grado de satisfacción de sus beneficiarios. El programa cuenta </w:t>
      </w:r>
      <w:r>
        <w:rPr>
          <w:spacing w:val="2"/>
        </w:rPr>
        <w:t>con </w:t>
      </w:r>
      <w:r>
        <w:rPr/>
        <w:t>el mecanismo para recabar la mayor parte de esta  información que debería estar contenida en el Sistema de Información  del  Programa Escuelas de Calidad (SIPEC); sin embargo, este sistema no </w:t>
      </w:r>
      <w:r>
        <w:rPr>
          <w:spacing w:val="-3"/>
        </w:rPr>
        <w:t>ha </w:t>
      </w:r>
      <w:r>
        <w:rPr/>
        <w:t>logrado aún operar con regularidad por </w:t>
      </w:r>
      <w:r>
        <w:rPr>
          <w:spacing w:val="-5"/>
        </w:rPr>
        <w:t>lo </w:t>
      </w:r>
      <w:r>
        <w:rPr>
          <w:spacing w:val="2"/>
        </w:rPr>
        <w:t>no </w:t>
      </w:r>
      <w:r>
        <w:rPr/>
        <w:t>se cuenta con información sistematizada que  </w:t>
      </w:r>
      <w:r>
        <w:rPr>
          <w:spacing w:val="-5"/>
        </w:rPr>
        <w:t>le </w:t>
      </w:r>
      <w:r>
        <w:rPr/>
        <w:t>permita dar seguimiento a la operación del programa </w:t>
      </w:r>
      <w:r>
        <w:rPr>
          <w:spacing w:val="3"/>
        </w:rPr>
        <w:t>en </w:t>
      </w:r>
      <w:r>
        <w:rPr>
          <w:spacing w:val="-3"/>
        </w:rPr>
        <w:t>las </w:t>
      </w:r>
      <w:r>
        <w:rPr/>
        <w:t>escuelas ni medir el costo-efectividad de </w:t>
      </w:r>
      <w:r>
        <w:rPr>
          <w:spacing w:val="-4"/>
        </w:rPr>
        <w:t>las </w:t>
      </w:r>
      <w:r>
        <w:rPr/>
        <w:t>acciones (Bracho et. al., </w:t>
      </w:r>
      <w:r>
        <w:rPr>
          <w:spacing w:val="3"/>
        </w:rPr>
        <w:t> </w:t>
      </w:r>
      <w:r>
        <w:rPr/>
        <w:t>2008).</w:t>
      </w:r>
    </w:p>
    <w:p>
      <w:pPr>
        <w:pStyle w:val="BodyText"/>
        <w:spacing w:line="364" w:lineRule="auto" w:before="5"/>
        <w:ind w:left="115" w:right="105" w:firstLine="686"/>
        <w:jc w:val="both"/>
      </w:pPr>
      <w:r>
        <w:rPr/>
        <w:t>El tercer reto para el PEC consiste en reconocer la enorme diversidad que hay en la educación básica nacional y atender  las  necesidades  diferenciadas.  Si se considera que los contextos escolares son muy diversos, también se debe considerar  que  lo  son  las  necesidades  educativas  y  las  capacidades  de  cada</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5"/>
        <w:jc w:val="both"/>
      </w:pPr>
      <w:r>
        <w:rPr/>
        <w:t>comunidad escolar; es decir, la capacidad </w:t>
      </w:r>
      <w:r>
        <w:rPr>
          <w:spacing w:val="2"/>
        </w:rPr>
        <w:t>de </w:t>
      </w:r>
      <w:r>
        <w:rPr/>
        <w:t>gestión, interpretación y ejecución de los objetivos del programa pueden ser divergentes. El PEC plantea, desde su creación, que la transformación para </w:t>
      </w:r>
      <w:r>
        <w:rPr>
          <w:spacing w:val="-5"/>
        </w:rPr>
        <w:t>la </w:t>
      </w:r>
      <w:r>
        <w:rPr/>
        <w:t>mejora en las escuelas  es  una decisión  que debe asumir </w:t>
      </w:r>
      <w:r>
        <w:rPr>
          <w:spacing w:val="-5"/>
        </w:rPr>
        <w:t>la </w:t>
      </w:r>
      <w:r>
        <w:rPr/>
        <w:t>comunidad escolar. Este tipo de reformas tendrían que ser asimiladas sin dificultad </w:t>
      </w:r>
      <w:r>
        <w:rPr>
          <w:spacing w:val="2"/>
        </w:rPr>
        <w:t>en </w:t>
      </w:r>
      <w:r>
        <w:rPr/>
        <w:t>condiciones en que se han creado mecanismos de rendición de cuentas y una orientación de la acción colectiva hacia resultados. Por  </w:t>
      </w:r>
      <w:r>
        <w:rPr>
          <w:spacing w:val="-5"/>
        </w:rPr>
        <w:t>lo </w:t>
      </w:r>
      <w:r>
        <w:rPr/>
        <w:t>anterior, los conceptos de calidad, innovación,  plan  estratégico  de transformación escolar, evaluación y rendición de cuentas incluidos  en el centro   del programa, son difícilmente comprensibles </w:t>
      </w:r>
      <w:r>
        <w:rPr>
          <w:spacing w:val="-3"/>
        </w:rPr>
        <w:t>en </w:t>
      </w:r>
      <w:r>
        <w:rPr/>
        <w:t>un hábitat clientelar, como bien podría caracterizarse a la burocracia educativa en México, en el que predomina </w:t>
      </w:r>
      <w:r>
        <w:rPr>
          <w:spacing w:val="-5"/>
        </w:rPr>
        <w:t>la </w:t>
      </w:r>
      <w:r>
        <w:rPr/>
        <w:t>baja capacidad de orientación estratégica, </w:t>
      </w:r>
      <w:r>
        <w:rPr>
          <w:spacing w:val="-4"/>
        </w:rPr>
        <w:t>la </w:t>
      </w:r>
      <w:r>
        <w:rPr/>
        <w:t>baja responsabilidad y </w:t>
      </w:r>
      <w:r>
        <w:rPr>
          <w:spacing w:val="-3"/>
        </w:rPr>
        <w:t>la </w:t>
      </w:r>
      <w:r>
        <w:rPr/>
        <w:t>costumbre  de opacidad informativa (Bracho et. al.,</w:t>
      </w:r>
      <w:r>
        <w:rPr>
          <w:spacing w:val="48"/>
        </w:rPr>
        <w:t> </w:t>
      </w:r>
      <w:r>
        <w:rPr/>
        <w:t>2008).</w:t>
      </w:r>
    </w:p>
    <w:p>
      <w:pPr>
        <w:pStyle w:val="BodyText"/>
        <w:spacing w:line="364" w:lineRule="auto"/>
        <w:ind w:left="115" w:right="105" w:firstLine="686"/>
        <w:jc w:val="both"/>
      </w:pPr>
      <w:r>
        <w:rPr/>
        <w:t>Es en </w:t>
      </w:r>
      <w:r>
        <w:rPr>
          <w:spacing w:val="-5"/>
        </w:rPr>
        <w:t>la </w:t>
      </w:r>
      <w:r>
        <w:rPr/>
        <w:t>escuela donde </w:t>
      </w:r>
      <w:r>
        <w:rPr>
          <w:spacing w:val="3"/>
        </w:rPr>
        <w:t>se </w:t>
      </w:r>
      <w:r>
        <w:rPr/>
        <w:t>concretan las formas  de  enseñanza  y convivencia cotidiana entre quienes la integran, los estilos de dirección, </w:t>
      </w:r>
      <w:r>
        <w:rPr>
          <w:spacing w:val="-4"/>
        </w:rPr>
        <w:t>la</w:t>
      </w:r>
      <w:r>
        <w:rPr>
          <w:spacing w:val="55"/>
        </w:rPr>
        <w:t> </w:t>
      </w:r>
      <w:r>
        <w:rPr/>
        <w:t>identificación de </w:t>
      </w:r>
      <w:r>
        <w:rPr>
          <w:spacing w:val="-5"/>
        </w:rPr>
        <w:t>la </w:t>
      </w:r>
      <w:r>
        <w:rPr/>
        <w:t>importancia de las prioridades educativas del plantel y los tipos de participación de los padres de familia y la comunidad. Estas prácticas de organización y gestión son resultado </w:t>
      </w:r>
      <w:r>
        <w:rPr>
          <w:spacing w:val="3"/>
        </w:rPr>
        <w:t>de </w:t>
      </w:r>
      <w:r>
        <w:rPr/>
        <w:t>las características específicas de cada escuela, que a </w:t>
      </w:r>
      <w:r>
        <w:rPr>
          <w:spacing w:val="2"/>
        </w:rPr>
        <w:t>su </w:t>
      </w:r>
      <w:r>
        <w:rPr/>
        <w:t>vez se derivan de su historia particular, así </w:t>
      </w:r>
      <w:r>
        <w:rPr>
          <w:spacing w:val="2"/>
        </w:rPr>
        <w:t>como </w:t>
      </w:r>
      <w:r>
        <w:rPr/>
        <w:t>de las formas de estructura de las relaciones clientelares entre  docentes,  directivos,  supervisores escolares y administración</w:t>
      </w:r>
      <w:r>
        <w:rPr>
          <w:spacing w:val="48"/>
        </w:rPr>
        <w:t> </w:t>
      </w:r>
      <w:r>
        <w:rPr/>
        <w:t>estatal.</w:t>
      </w:r>
    </w:p>
    <w:p>
      <w:pPr>
        <w:pStyle w:val="BodyText"/>
        <w:spacing w:before="9"/>
      </w:pPr>
    </w:p>
    <w:p>
      <w:pPr>
        <w:pStyle w:val="ListParagraph"/>
        <w:numPr>
          <w:ilvl w:val="1"/>
          <w:numId w:val="17"/>
        </w:numPr>
        <w:tabs>
          <w:tab w:pos="505" w:val="left" w:leader="none"/>
        </w:tabs>
        <w:spacing w:line="364" w:lineRule="auto" w:before="0" w:after="0"/>
        <w:ind w:left="116" w:right="101" w:firstLine="0"/>
        <w:jc w:val="left"/>
        <w:rPr>
          <w:sz w:val="23"/>
        </w:rPr>
      </w:pPr>
      <w:r>
        <w:rPr>
          <w:b/>
          <w:sz w:val="23"/>
        </w:rPr>
        <w:t>Evaluación Nacional de Logro Académico </w:t>
      </w:r>
      <w:r>
        <w:rPr>
          <w:b/>
          <w:spacing w:val="2"/>
          <w:sz w:val="23"/>
        </w:rPr>
        <w:t>en </w:t>
      </w:r>
      <w:r>
        <w:rPr>
          <w:b/>
          <w:sz w:val="23"/>
        </w:rPr>
        <w:t>Centros Escolares (Enlace) </w:t>
      </w:r>
      <w:r>
        <w:rPr>
          <w:sz w:val="23"/>
        </w:rPr>
        <w:t>En el marco de la dinámica </w:t>
      </w:r>
      <w:r>
        <w:rPr>
          <w:spacing w:val="2"/>
          <w:sz w:val="23"/>
        </w:rPr>
        <w:t>de </w:t>
      </w:r>
      <w:r>
        <w:rPr>
          <w:spacing w:val="-3"/>
          <w:sz w:val="23"/>
        </w:rPr>
        <w:t>la </w:t>
      </w:r>
      <w:r>
        <w:rPr>
          <w:sz w:val="23"/>
        </w:rPr>
        <w:t>obtención de </w:t>
      </w:r>
      <w:r>
        <w:rPr>
          <w:spacing w:val="-3"/>
          <w:sz w:val="23"/>
        </w:rPr>
        <w:t>la </w:t>
      </w:r>
      <w:r>
        <w:rPr>
          <w:sz w:val="23"/>
        </w:rPr>
        <w:t>calidad a través de las  mediciones, en 2006, ya en el segundo periodo presidencial del PAN, se comenzó  a aplicar una prueba estandarizada </w:t>
      </w:r>
      <w:r>
        <w:rPr>
          <w:spacing w:val="3"/>
          <w:sz w:val="23"/>
        </w:rPr>
        <w:t>de </w:t>
      </w:r>
      <w:r>
        <w:rPr>
          <w:sz w:val="23"/>
        </w:rPr>
        <w:t>carácter censal, denominada Evaluación Nacional del Logro Académico en Centros Escolares (Enlace). Este instrumento, desde </w:t>
      </w:r>
      <w:r>
        <w:rPr>
          <w:spacing w:val="3"/>
          <w:sz w:val="23"/>
        </w:rPr>
        <w:t>el </w:t>
      </w:r>
      <w:r>
        <w:rPr>
          <w:sz w:val="23"/>
        </w:rPr>
        <w:t>punto de vista de </w:t>
      </w:r>
      <w:r>
        <w:rPr>
          <w:spacing w:val="-3"/>
          <w:sz w:val="23"/>
        </w:rPr>
        <w:t>los </w:t>
      </w:r>
      <w:r>
        <w:rPr>
          <w:sz w:val="23"/>
        </w:rPr>
        <w:t>juegos de poder o  juegos  políticos, continuó  el mismo esquema que las propuestas anteriores. Salió de </w:t>
      </w:r>
      <w:r>
        <w:rPr>
          <w:spacing w:val="-5"/>
          <w:sz w:val="23"/>
        </w:rPr>
        <w:t>la  </w:t>
      </w:r>
      <w:r>
        <w:rPr>
          <w:sz w:val="23"/>
        </w:rPr>
        <w:t>SEP, es decir, del  Poder Ejecutivo y no dio mucho margen para que otros actores institucionales (el congreso, los gobernadores y el SNTE), cuestionaran  sus  propósitos,  sus alcances, o bien,  reorientaran su operación. En el mejor de los casos, como el  PEC, esta política nacional </w:t>
      </w:r>
      <w:r>
        <w:rPr>
          <w:spacing w:val="3"/>
          <w:sz w:val="23"/>
        </w:rPr>
        <w:t>se </w:t>
      </w:r>
      <w:r>
        <w:rPr>
          <w:sz w:val="23"/>
        </w:rPr>
        <w:t>compartió con los gobiernos subnacionales en </w:t>
      </w:r>
      <w:r>
        <w:rPr>
          <w:spacing w:val="55"/>
          <w:sz w:val="23"/>
        </w:rPr>
        <w:t> </w:t>
      </w:r>
      <w:r>
        <w:rPr>
          <w:sz w:val="23"/>
        </w:rPr>
        <w:t>tanto</w:t>
      </w:r>
    </w:p>
    <w:p>
      <w:pPr>
        <w:spacing w:after="0" w:line="364" w:lineRule="auto"/>
        <w:jc w:val="left"/>
        <w:rPr>
          <w:sz w:val="23"/>
        </w:rPr>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9" w:lineRule="auto" w:before="74"/>
        <w:ind w:left="115" w:right="191"/>
      </w:pPr>
      <w:r>
        <w:rPr/>
        <w:t>estructuras de delegación burocrática, es decir, se sumaron como garantes de los lineamientos de la federación.</w:t>
      </w:r>
    </w:p>
    <w:p>
      <w:pPr>
        <w:pStyle w:val="BodyText"/>
        <w:spacing w:line="364" w:lineRule="auto"/>
        <w:ind w:left="115" w:right="107" w:firstLine="686"/>
        <w:jc w:val="both"/>
      </w:pPr>
      <w:r>
        <w:rPr/>
        <w:t>En términos </w:t>
      </w:r>
      <w:r>
        <w:rPr>
          <w:i/>
        </w:rPr>
        <w:t>oficiales</w:t>
      </w:r>
      <w:r>
        <w:rPr/>
        <w:t>, Enlace </w:t>
      </w:r>
      <w:r>
        <w:rPr>
          <w:spacing w:val="-3"/>
        </w:rPr>
        <w:t>es </w:t>
      </w:r>
      <w:r>
        <w:rPr/>
        <w:t>una prueba del Sistema Educativo Nacional que se aplica a planteles públicos y privados del País. En el nivel de la educación básica, se aplica a niños de tercero a sexto de primaria y jóvenes de primero, segundo y tercero de secundaria, en función de los planes o programas  de  estudios oficiales en las asignaturas de Español, Matemáticas y Formación  </w:t>
      </w:r>
      <w:r>
        <w:rPr>
          <w:spacing w:val="60"/>
        </w:rPr>
        <w:t> </w:t>
      </w:r>
      <w:r>
        <w:rPr/>
        <w:t>Cívica</w:t>
      </w:r>
    </w:p>
    <w:p>
      <w:pPr>
        <w:pStyle w:val="BodyText"/>
        <w:spacing w:line="270" w:lineRule="exact"/>
        <w:ind w:left="115" w:right="191"/>
        <w:rPr>
          <w:sz w:val="15"/>
        </w:rPr>
      </w:pPr>
      <w:r>
        <w:rPr/>
        <w:t>y Ética.</w:t>
      </w:r>
      <w:r>
        <w:rPr>
          <w:position w:val="11"/>
          <w:sz w:val="15"/>
        </w:rPr>
        <w:t>52</w:t>
      </w:r>
    </w:p>
    <w:p>
      <w:pPr>
        <w:pStyle w:val="BodyText"/>
        <w:rPr>
          <w:sz w:val="22"/>
        </w:rPr>
      </w:pPr>
    </w:p>
    <w:p>
      <w:pPr>
        <w:pStyle w:val="BodyText"/>
        <w:spacing w:line="364" w:lineRule="auto" w:before="1"/>
        <w:ind w:left="115" w:right="105" w:firstLine="686"/>
        <w:jc w:val="both"/>
      </w:pPr>
      <w:r>
        <w:rPr/>
        <w:t>En Educación Media Superior, </w:t>
      </w:r>
      <w:r>
        <w:rPr>
          <w:spacing w:val="3"/>
        </w:rPr>
        <w:t>se </w:t>
      </w:r>
      <w:r>
        <w:rPr/>
        <w:t>aplica a jóvenes que cursan el  último grado de bachillerato para evaluar conocimientos y habilidades básicas adquiridas   a </w:t>
      </w:r>
      <w:r>
        <w:rPr>
          <w:spacing w:val="-4"/>
        </w:rPr>
        <w:t>lo </w:t>
      </w:r>
      <w:r>
        <w:rPr/>
        <w:t>largo de la trayectoria escolar para hacer un uso apropiado de </w:t>
      </w:r>
      <w:r>
        <w:rPr>
          <w:spacing w:val="-3"/>
        </w:rPr>
        <w:t>la </w:t>
      </w:r>
      <w:r>
        <w:rPr/>
        <w:t>lengua – habilidad lectora- y las matemáticas –habilidad matemática-. Los resultados, en teoría, permiten retroalimentar a padres de familia,  estudiantes,  docentes, directivos y autoridades educativas con información para mejorar </w:t>
      </w:r>
      <w:r>
        <w:rPr>
          <w:spacing w:val="-4"/>
        </w:rPr>
        <w:t>la </w:t>
      </w:r>
      <w:r>
        <w:rPr/>
        <w:t>calidad de </w:t>
      </w:r>
      <w:r>
        <w:rPr>
          <w:spacing w:val="-5"/>
        </w:rPr>
        <w:t>la </w:t>
      </w:r>
      <w:r>
        <w:rPr/>
        <w:t>educación, promoviendo </w:t>
      </w:r>
      <w:r>
        <w:rPr>
          <w:spacing w:val="-4"/>
        </w:rPr>
        <w:t>la </w:t>
      </w:r>
      <w:r>
        <w:rPr/>
        <w:t>transparencia y rendición de cuentas (SEP, </w:t>
      </w:r>
      <w:r>
        <w:rPr>
          <w:spacing w:val="30"/>
        </w:rPr>
        <w:t> </w:t>
      </w:r>
      <w:r>
        <w:rPr/>
        <w:t>2012a)</w:t>
      </w:r>
    </w:p>
    <w:p>
      <w:pPr>
        <w:pStyle w:val="BodyText"/>
        <w:spacing w:line="364" w:lineRule="auto" w:before="5"/>
        <w:ind w:left="115" w:right="105" w:firstLine="686"/>
        <w:jc w:val="both"/>
      </w:pPr>
      <w:r>
        <w:rPr/>
        <w:t>De acuerdo con </w:t>
      </w:r>
      <w:r>
        <w:rPr>
          <w:spacing w:val="-5"/>
        </w:rPr>
        <w:t>la </w:t>
      </w:r>
      <w:r>
        <w:rPr/>
        <w:t>SEP, </w:t>
      </w:r>
      <w:r>
        <w:rPr>
          <w:spacing w:val="-3"/>
        </w:rPr>
        <w:t>es </w:t>
      </w:r>
      <w:r>
        <w:rPr/>
        <w:t>una prueba “objetiva” y estandarizada de aplicación masiva y controlada; emplea una metodología </w:t>
      </w:r>
      <w:r>
        <w:rPr>
          <w:spacing w:val="3"/>
        </w:rPr>
        <w:t>de </w:t>
      </w:r>
      <w:r>
        <w:rPr/>
        <w:t>calificación precisa, que proporciona referencias  de comparación nacional; ofrece un diagnóstico  de  los estudiantes a nivel individual; </w:t>
      </w:r>
      <w:r>
        <w:rPr>
          <w:spacing w:val="2"/>
        </w:rPr>
        <w:t>es </w:t>
      </w:r>
      <w:r>
        <w:rPr/>
        <w:t>una prueba centrada en  el  conocimiento; evalúa el resultado del trabajo escolar contenido en </w:t>
      </w:r>
      <w:r>
        <w:rPr>
          <w:spacing w:val="-4"/>
        </w:rPr>
        <w:t>los </w:t>
      </w:r>
      <w:r>
        <w:rPr/>
        <w:t>planes y programas oficiales, consta de un cuadernillo de preguntas y de una hoja de respuestas; está conformada por reactivos de opción múltiple, </w:t>
      </w:r>
      <w:r>
        <w:rPr>
          <w:spacing w:val="3"/>
        </w:rPr>
        <w:t>50 </w:t>
      </w:r>
      <w:r>
        <w:rPr/>
        <w:t>como mínimo y 70 como máximo para cada asignatura; y cada reactivo sólo puede tener una  respuesta correcta (SEP,</w:t>
      </w:r>
      <w:r>
        <w:rPr>
          <w:spacing w:val="14"/>
        </w:rPr>
        <w:t> </w:t>
      </w:r>
      <w:r>
        <w:rPr/>
        <w:t>2012a).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7"/>
        </w:rPr>
      </w:pPr>
      <w:r>
        <w:rPr/>
        <w:pict>
          <v:line style="position:absolute;mso-position-horizontal-relative:page;mso-position-vertical-relative:paragraph;z-index:3208;mso-wrap-distance-left:0;mso-wrap-distance-right:0" from="82.799004pt,12.53403pt" to="222.958004pt,12.53403pt" stroked="true" strokeweight=".72pt" strokecolor="#000000">
            <w10:wrap type="topAndBottom"/>
          </v:line>
        </w:pict>
      </w:r>
    </w:p>
    <w:p>
      <w:pPr>
        <w:spacing w:line="244" w:lineRule="auto" w:before="56"/>
        <w:ind w:left="115" w:right="107" w:firstLine="0"/>
        <w:jc w:val="both"/>
        <w:rPr>
          <w:rFonts w:ascii="Times New Roman" w:hAnsi="Times New Roman"/>
          <w:sz w:val="19"/>
        </w:rPr>
      </w:pPr>
      <w:r>
        <w:rPr>
          <w:rFonts w:ascii="Times New Roman" w:hAnsi="Times New Roman"/>
          <w:spacing w:val="-3"/>
          <w:w w:val="105"/>
          <w:position w:val="9"/>
          <w:sz w:val="12"/>
        </w:rPr>
        <w:t>52</w:t>
      </w:r>
      <w:r>
        <w:rPr>
          <w:rFonts w:ascii="Times New Roman" w:hAnsi="Times New Roman"/>
          <w:spacing w:val="19"/>
          <w:w w:val="105"/>
          <w:position w:val="9"/>
          <w:sz w:val="12"/>
        </w:rPr>
        <w:t> </w:t>
      </w:r>
      <w:r>
        <w:rPr>
          <w:w w:val="105"/>
          <w:sz w:val="19"/>
        </w:rPr>
        <w:t>A</w:t>
      </w:r>
      <w:r>
        <w:rPr>
          <w:spacing w:val="-14"/>
          <w:w w:val="105"/>
          <w:sz w:val="19"/>
        </w:rPr>
        <w:t> </w:t>
      </w:r>
      <w:r>
        <w:rPr>
          <w:w w:val="105"/>
          <w:sz w:val="19"/>
        </w:rPr>
        <w:t>partir</w:t>
      </w:r>
      <w:r>
        <w:rPr>
          <w:spacing w:val="-3"/>
          <w:w w:val="105"/>
          <w:sz w:val="19"/>
        </w:rPr>
        <w:t> </w:t>
      </w:r>
      <w:r>
        <w:rPr>
          <w:w w:val="105"/>
          <w:sz w:val="19"/>
        </w:rPr>
        <w:t>de</w:t>
      </w:r>
      <w:r>
        <w:rPr>
          <w:spacing w:val="-6"/>
          <w:w w:val="105"/>
          <w:sz w:val="19"/>
        </w:rPr>
        <w:t> </w:t>
      </w:r>
      <w:r>
        <w:rPr>
          <w:w w:val="105"/>
          <w:sz w:val="19"/>
        </w:rPr>
        <w:t>2008</w:t>
      </w:r>
      <w:r>
        <w:rPr>
          <w:spacing w:val="-6"/>
          <w:w w:val="105"/>
          <w:sz w:val="19"/>
        </w:rPr>
        <w:t> </w:t>
      </w:r>
      <w:r>
        <w:rPr>
          <w:w w:val="105"/>
          <w:sz w:val="19"/>
        </w:rPr>
        <w:t>en</w:t>
      </w:r>
      <w:r>
        <w:rPr>
          <w:spacing w:val="-11"/>
          <w:w w:val="105"/>
          <w:sz w:val="19"/>
        </w:rPr>
        <w:t> </w:t>
      </w:r>
      <w:r>
        <w:rPr>
          <w:w w:val="105"/>
          <w:sz w:val="19"/>
        </w:rPr>
        <w:t>cada</w:t>
      </w:r>
      <w:r>
        <w:rPr>
          <w:spacing w:val="-11"/>
          <w:w w:val="105"/>
          <w:sz w:val="19"/>
        </w:rPr>
        <w:t> </w:t>
      </w:r>
      <w:r>
        <w:rPr>
          <w:w w:val="105"/>
          <w:sz w:val="19"/>
        </w:rPr>
        <w:t>aplicación</w:t>
      </w:r>
      <w:r>
        <w:rPr>
          <w:spacing w:val="-6"/>
          <w:w w:val="105"/>
          <w:sz w:val="19"/>
        </w:rPr>
        <w:t> </w:t>
      </w:r>
      <w:r>
        <w:rPr>
          <w:spacing w:val="-3"/>
          <w:w w:val="105"/>
          <w:sz w:val="19"/>
        </w:rPr>
        <w:t>también</w:t>
      </w:r>
      <w:r>
        <w:rPr>
          <w:spacing w:val="-4"/>
          <w:w w:val="105"/>
          <w:sz w:val="19"/>
        </w:rPr>
        <w:t> </w:t>
      </w:r>
      <w:r>
        <w:rPr>
          <w:w w:val="105"/>
          <w:sz w:val="19"/>
        </w:rPr>
        <w:t>se</w:t>
      </w:r>
      <w:r>
        <w:rPr>
          <w:spacing w:val="-4"/>
          <w:w w:val="105"/>
          <w:sz w:val="19"/>
        </w:rPr>
        <w:t> </w:t>
      </w:r>
      <w:r>
        <w:rPr>
          <w:spacing w:val="-3"/>
          <w:w w:val="105"/>
          <w:sz w:val="19"/>
        </w:rPr>
        <w:t>incluye</w:t>
      </w:r>
      <w:r>
        <w:rPr>
          <w:spacing w:val="-6"/>
          <w:w w:val="105"/>
          <w:sz w:val="19"/>
        </w:rPr>
        <w:t> </w:t>
      </w:r>
      <w:r>
        <w:rPr>
          <w:w w:val="105"/>
          <w:sz w:val="19"/>
        </w:rPr>
        <w:t>una</w:t>
      </w:r>
      <w:r>
        <w:rPr>
          <w:spacing w:val="-4"/>
          <w:w w:val="105"/>
          <w:sz w:val="19"/>
        </w:rPr>
        <w:t> </w:t>
      </w:r>
      <w:r>
        <w:rPr>
          <w:w w:val="105"/>
          <w:sz w:val="19"/>
        </w:rPr>
        <w:t>tercera</w:t>
      </w:r>
      <w:r>
        <w:rPr>
          <w:spacing w:val="-6"/>
          <w:w w:val="105"/>
          <w:sz w:val="19"/>
        </w:rPr>
        <w:t> </w:t>
      </w:r>
      <w:r>
        <w:rPr>
          <w:w w:val="105"/>
          <w:sz w:val="19"/>
        </w:rPr>
        <w:t>asignatura</w:t>
      </w:r>
      <w:r>
        <w:rPr>
          <w:spacing w:val="-6"/>
          <w:w w:val="105"/>
          <w:sz w:val="19"/>
        </w:rPr>
        <w:t> </w:t>
      </w:r>
      <w:r>
        <w:rPr>
          <w:w w:val="105"/>
          <w:sz w:val="19"/>
        </w:rPr>
        <w:t>que</w:t>
      </w:r>
      <w:r>
        <w:rPr>
          <w:spacing w:val="-4"/>
          <w:w w:val="105"/>
          <w:sz w:val="19"/>
        </w:rPr>
        <w:t> </w:t>
      </w:r>
      <w:r>
        <w:rPr>
          <w:w w:val="105"/>
          <w:sz w:val="19"/>
        </w:rPr>
        <w:t>se</w:t>
      </w:r>
      <w:r>
        <w:rPr>
          <w:spacing w:val="-4"/>
          <w:w w:val="105"/>
          <w:sz w:val="19"/>
        </w:rPr>
        <w:t> va</w:t>
      </w:r>
      <w:r>
        <w:rPr>
          <w:spacing w:val="-6"/>
          <w:w w:val="105"/>
          <w:sz w:val="19"/>
        </w:rPr>
        <w:t> </w:t>
      </w:r>
      <w:r>
        <w:rPr>
          <w:w w:val="105"/>
          <w:sz w:val="19"/>
        </w:rPr>
        <w:t>rotando cada año, </w:t>
      </w:r>
      <w:r>
        <w:rPr>
          <w:spacing w:val="-4"/>
          <w:w w:val="105"/>
          <w:sz w:val="19"/>
        </w:rPr>
        <w:t>de </w:t>
      </w:r>
      <w:r>
        <w:rPr>
          <w:w w:val="105"/>
          <w:sz w:val="19"/>
        </w:rPr>
        <w:t>acuerdo a la siguiente programación: Ciencias (2008), Formación cívica y ética (2009),</w:t>
      </w:r>
      <w:r>
        <w:rPr>
          <w:spacing w:val="-20"/>
          <w:w w:val="105"/>
          <w:sz w:val="19"/>
        </w:rPr>
        <w:t> </w:t>
      </w:r>
      <w:r>
        <w:rPr>
          <w:w w:val="105"/>
          <w:sz w:val="19"/>
        </w:rPr>
        <w:t>Historia</w:t>
      </w:r>
      <w:r>
        <w:rPr>
          <w:spacing w:val="-20"/>
          <w:w w:val="105"/>
          <w:sz w:val="19"/>
        </w:rPr>
        <w:t> </w:t>
      </w:r>
      <w:r>
        <w:rPr>
          <w:w w:val="105"/>
          <w:sz w:val="19"/>
        </w:rPr>
        <w:t>(2010)</w:t>
      </w:r>
      <w:r>
        <w:rPr>
          <w:spacing w:val="-22"/>
          <w:w w:val="105"/>
          <w:sz w:val="19"/>
        </w:rPr>
        <w:t> </w:t>
      </w:r>
      <w:r>
        <w:rPr>
          <w:w w:val="105"/>
          <w:sz w:val="19"/>
        </w:rPr>
        <w:t>y</w:t>
      </w:r>
      <w:r>
        <w:rPr>
          <w:spacing w:val="-25"/>
          <w:w w:val="105"/>
          <w:sz w:val="19"/>
        </w:rPr>
        <w:t> </w:t>
      </w:r>
      <w:r>
        <w:rPr>
          <w:w w:val="105"/>
          <w:sz w:val="19"/>
        </w:rPr>
        <w:t>Geografía</w:t>
      </w:r>
      <w:r>
        <w:rPr>
          <w:spacing w:val="-20"/>
          <w:w w:val="105"/>
          <w:sz w:val="19"/>
        </w:rPr>
        <w:t> </w:t>
      </w:r>
      <w:r>
        <w:rPr>
          <w:w w:val="105"/>
          <w:sz w:val="19"/>
        </w:rPr>
        <w:t>(2011)</w:t>
      </w:r>
      <w:r>
        <w:rPr>
          <w:rFonts w:ascii="Times New Roman" w:hAnsi="Times New Roman"/>
          <w:w w:val="105"/>
          <w:sz w:val="19"/>
        </w:rPr>
        <w:t>.</w:t>
      </w:r>
    </w:p>
    <w:p>
      <w:pPr>
        <w:spacing w:after="0" w:line="244" w:lineRule="auto"/>
        <w:jc w:val="both"/>
        <w:rPr>
          <w:rFonts w:ascii="Times New Roman" w:hAnsi="Times New Roman"/>
          <w:sz w:val="19"/>
        </w:rPr>
        <w:sectPr>
          <w:pgSz w:w="11910" w:h="16840"/>
          <w:pgMar w:header="0" w:footer="1457" w:top="1580" w:bottom="1640" w:left="1540" w:right="1540"/>
        </w:sectPr>
      </w:pPr>
    </w:p>
    <w:p>
      <w:pPr>
        <w:pStyle w:val="BodyText"/>
        <w:rPr>
          <w:rFonts w:ascii="Times New Roman"/>
          <w:sz w:val="20"/>
        </w:rPr>
      </w:pPr>
    </w:p>
    <w:p>
      <w:pPr>
        <w:pStyle w:val="BodyText"/>
        <w:spacing w:before="9"/>
        <w:rPr>
          <w:rFonts w:ascii="Times New Roman"/>
          <w:sz w:val="15"/>
        </w:rPr>
      </w:pPr>
    </w:p>
    <w:p>
      <w:pPr>
        <w:spacing w:before="78"/>
        <w:ind w:left="2052" w:right="2052" w:firstLine="0"/>
        <w:jc w:val="center"/>
        <w:rPr>
          <w:b/>
          <w:sz w:val="21"/>
        </w:rPr>
      </w:pPr>
      <w:r>
        <w:rPr>
          <w:b/>
          <w:sz w:val="21"/>
        </w:rPr>
        <w:t>Tabla N° 15</w:t>
      </w:r>
    </w:p>
    <w:p>
      <w:pPr>
        <w:spacing w:before="8"/>
        <w:ind w:left="2056" w:right="2052" w:firstLine="0"/>
        <w:jc w:val="center"/>
        <w:rPr>
          <w:b/>
          <w:sz w:val="21"/>
        </w:rPr>
      </w:pPr>
      <w:r>
        <w:rPr>
          <w:b/>
          <w:sz w:val="21"/>
        </w:rPr>
        <w:t>Asignaturas evaluadas por Enlace  (2006-2009)</w:t>
      </w:r>
    </w:p>
    <w:p>
      <w:pPr>
        <w:pStyle w:val="BodyText"/>
        <w:spacing w:before="4"/>
        <w:rPr>
          <w:b/>
          <w:sz w:val="25"/>
        </w:rPr>
      </w:pPr>
    </w:p>
    <w:tbl>
      <w:tblPr>
        <w:tblCellSpacing w:w="6" w:type="dxa"/>
        <w:tblW w:w="0" w:type="auto"/>
        <w:jc w:val="left"/>
        <w:tblInd w:w="163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43"/>
        <w:gridCol w:w="1042"/>
        <w:gridCol w:w="1270"/>
        <w:gridCol w:w="2609"/>
      </w:tblGrid>
      <w:tr>
        <w:trPr>
          <w:trHeight w:val="367" w:hRule="exact"/>
        </w:trPr>
        <w:tc>
          <w:tcPr>
            <w:tcW w:w="643" w:type="dxa"/>
            <w:tcBorders>
              <w:bottom w:val="nil"/>
              <w:right w:val="nil"/>
            </w:tcBorders>
            <w:shd w:val="clear" w:color="auto" w:fill="F69545"/>
          </w:tcPr>
          <w:p>
            <w:pPr>
              <w:pStyle w:val="TableParagraph"/>
              <w:spacing w:before="71"/>
              <w:ind w:left="72"/>
              <w:rPr>
                <w:sz w:val="19"/>
              </w:rPr>
            </w:pPr>
            <w:r>
              <w:rPr>
                <w:color w:val="FFFFFF"/>
                <w:w w:val="105"/>
                <w:sz w:val="19"/>
              </w:rPr>
              <w:t>Año</w:t>
            </w:r>
          </w:p>
        </w:tc>
        <w:tc>
          <w:tcPr>
            <w:tcW w:w="1042" w:type="dxa"/>
            <w:tcBorders>
              <w:left w:val="nil"/>
              <w:bottom w:val="nil"/>
              <w:right w:val="nil"/>
            </w:tcBorders>
            <w:shd w:val="clear" w:color="auto" w:fill="F69545"/>
          </w:tcPr>
          <w:p>
            <w:pPr>
              <w:pStyle w:val="TableParagraph"/>
              <w:spacing w:before="71"/>
              <w:ind w:left="76"/>
              <w:rPr>
                <w:sz w:val="19"/>
              </w:rPr>
            </w:pPr>
            <w:r>
              <w:rPr>
                <w:color w:val="FFFFFF"/>
                <w:w w:val="105"/>
                <w:sz w:val="19"/>
              </w:rPr>
              <w:t>Escuelas</w:t>
            </w:r>
          </w:p>
        </w:tc>
        <w:tc>
          <w:tcPr>
            <w:tcW w:w="1270" w:type="dxa"/>
            <w:tcBorders>
              <w:left w:val="nil"/>
              <w:bottom w:val="nil"/>
              <w:right w:val="nil"/>
            </w:tcBorders>
            <w:shd w:val="clear" w:color="auto" w:fill="F69545"/>
          </w:tcPr>
          <w:p>
            <w:pPr>
              <w:pStyle w:val="TableParagraph"/>
              <w:spacing w:before="71"/>
              <w:ind w:left="81"/>
              <w:rPr>
                <w:sz w:val="19"/>
              </w:rPr>
            </w:pPr>
            <w:r>
              <w:rPr>
                <w:color w:val="FFFFFF"/>
                <w:w w:val="105"/>
                <w:sz w:val="19"/>
              </w:rPr>
              <w:t>Alumnos</w:t>
            </w:r>
          </w:p>
        </w:tc>
        <w:tc>
          <w:tcPr>
            <w:tcW w:w="2609" w:type="dxa"/>
            <w:tcBorders>
              <w:left w:val="nil"/>
              <w:bottom w:val="nil"/>
            </w:tcBorders>
            <w:shd w:val="clear" w:color="auto" w:fill="F69545"/>
          </w:tcPr>
          <w:p>
            <w:pPr>
              <w:pStyle w:val="TableParagraph"/>
              <w:spacing w:before="71"/>
              <w:ind w:left="76"/>
              <w:rPr>
                <w:sz w:val="19"/>
              </w:rPr>
            </w:pPr>
            <w:r>
              <w:rPr>
                <w:color w:val="FFFFFF"/>
                <w:sz w:val="19"/>
              </w:rPr>
              <w:t>Asignaturas evaluadas</w:t>
            </w:r>
          </w:p>
        </w:tc>
      </w:tr>
      <w:tr>
        <w:trPr>
          <w:trHeight w:val="818" w:hRule="exact"/>
        </w:trPr>
        <w:tc>
          <w:tcPr>
            <w:tcW w:w="643" w:type="dxa"/>
            <w:tcBorders>
              <w:top w:val="nil"/>
              <w:bottom w:val="nil"/>
              <w:right w:val="nil"/>
            </w:tcBorders>
            <w:shd w:val="clear" w:color="auto" w:fill="FFEFDC"/>
          </w:tcPr>
          <w:p>
            <w:pPr>
              <w:pStyle w:val="TableParagraph"/>
              <w:spacing w:before="9"/>
              <w:rPr>
                <w:b/>
                <w:sz w:val="25"/>
              </w:rPr>
            </w:pPr>
          </w:p>
          <w:p>
            <w:pPr>
              <w:pStyle w:val="TableParagraph"/>
              <w:ind w:left="72"/>
              <w:rPr>
                <w:sz w:val="19"/>
              </w:rPr>
            </w:pPr>
            <w:r>
              <w:rPr>
                <w:color w:val="666666"/>
                <w:w w:val="105"/>
                <w:sz w:val="19"/>
              </w:rPr>
              <w:t>2009</w:t>
            </w:r>
          </w:p>
        </w:tc>
        <w:tc>
          <w:tcPr>
            <w:tcW w:w="1042" w:type="dxa"/>
            <w:tcBorders>
              <w:top w:val="nil"/>
              <w:left w:val="nil"/>
              <w:bottom w:val="nil"/>
              <w:right w:val="nil"/>
            </w:tcBorders>
            <w:shd w:val="clear" w:color="auto" w:fill="FFEFDC"/>
          </w:tcPr>
          <w:p>
            <w:pPr>
              <w:pStyle w:val="TableParagraph"/>
              <w:spacing w:before="9"/>
              <w:rPr>
                <w:b/>
                <w:sz w:val="25"/>
              </w:rPr>
            </w:pPr>
          </w:p>
          <w:p>
            <w:pPr>
              <w:pStyle w:val="TableParagraph"/>
              <w:ind w:left="76"/>
              <w:rPr>
                <w:sz w:val="19"/>
              </w:rPr>
            </w:pPr>
            <w:r>
              <w:rPr>
                <w:color w:val="666666"/>
                <w:w w:val="105"/>
                <w:sz w:val="19"/>
              </w:rPr>
              <w:t>119,669</w:t>
            </w:r>
          </w:p>
        </w:tc>
        <w:tc>
          <w:tcPr>
            <w:tcW w:w="1270" w:type="dxa"/>
            <w:tcBorders>
              <w:top w:val="nil"/>
              <w:left w:val="nil"/>
              <w:bottom w:val="nil"/>
              <w:right w:val="nil"/>
            </w:tcBorders>
            <w:shd w:val="clear" w:color="auto" w:fill="FFEFDC"/>
          </w:tcPr>
          <w:p>
            <w:pPr>
              <w:pStyle w:val="TableParagraph"/>
              <w:spacing w:before="9"/>
              <w:rPr>
                <w:b/>
                <w:sz w:val="25"/>
              </w:rPr>
            </w:pPr>
          </w:p>
          <w:p>
            <w:pPr>
              <w:pStyle w:val="TableParagraph"/>
              <w:ind w:left="81"/>
              <w:rPr>
                <w:sz w:val="19"/>
              </w:rPr>
            </w:pPr>
            <w:r>
              <w:rPr>
                <w:color w:val="666666"/>
                <w:w w:val="105"/>
                <w:sz w:val="19"/>
              </w:rPr>
              <w:t>13,187,688</w:t>
            </w:r>
          </w:p>
        </w:tc>
        <w:tc>
          <w:tcPr>
            <w:tcW w:w="2609" w:type="dxa"/>
            <w:tcBorders>
              <w:top w:val="nil"/>
              <w:left w:val="nil"/>
              <w:bottom w:val="nil"/>
            </w:tcBorders>
            <w:shd w:val="clear" w:color="auto" w:fill="FFEFDC"/>
          </w:tcPr>
          <w:p>
            <w:pPr>
              <w:pStyle w:val="TableParagraph"/>
              <w:spacing w:before="71"/>
              <w:ind w:left="76"/>
              <w:rPr>
                <w:sz w:val="19"/>
              </w:rPr>
            </w:pPr>
            <w:r>
              <w:rPr>
                <w:color w:val="666666"/>
                <w:w w:val="105"/>
                <w:sz w:val="19"/>
              </w:rPr>
              <w:t>-Español</w:t>
            </w:r>
          </w:p>
          <w:p>
            <w:pPr>
              <w:pStyle w:val="TableParagraph"/>
              <w:spacing w:before="7"/>
              <w:ind w:left="76"/>
              <w:rPr>
                <w:sz w:val="19"/>
              </w:rPr>
            </w:pPr>
            <w:r>
              <w:rPr>
                <w:color w:val="666666"/>
                <w:w w:val="105"/>
                <w:sz w:val="19"/>
              </w:rPr>
              <w:t>-Matemáticas</w:t>
            </w:r>
          </w:p>
          <w:p>
            <w:pPr>
              <w:pStyle w:val="TableParagraph"/>
              <w:spacing w:before="7"/>
              <w:ind w:left="76"/>
              <w:rPr>
                <w:sz w:val="19"/>
              </w:rPr>
            </w:pPr>
            <w:r>
              <w:rPr>
                <w:color w:val="666666"/>
                <w:w w:val="105"/>
                <w:sz w:val="19"/>
              </w:rPr>
              <w:t>-Formación cívica y ética</w:t>
            </w:r>
          </w:p>
        </w:tc>
      </w:tr>
      <w:tr>
        <w:trPr>
          <w:trHeight w:val="818" w:hRule="exact"/>
        </w:trPr>
        <w:tc>
          <w:tcPr>
            <w:tcW w:w="643" w:type="dxa"/>
            <w:tcBorders>
              <w:top w:val="nil"/>
              <w:bottom w:val="nil"/>
              <w:right w:val="nil"/>
            </w:tcBorders>
            <w:shd w:val="clear" w:color="auto" w:fill="FDCC89"/>
          </w:tcPr>
          <w:p>
            <w:pPr>
              <w:pStyle w:val="TableParagraph"/>
              <w:spacing w:before="9"/>
              <w:rPr>
                <w:b/>
                <w:sz w:val="25"/>
              </w:rPr>
            </w:pPr>
          </w:p>
          <w:p>
            <w:pPr>
              <w:pStyle w:val="TableParagraph"/>
              <w:spacing w:before="1"/>
              <w:ind w:left="72"/>
              <w:rPr>
                <w:sz w:val="19"/>
              </w:rPr>
            </w:pPr>
            <w:r>
              <w:rPr>
                <w:color w:val="666666"/>
                <w:w w:val="105"/>
                <w:sz w:val="19"/>
              </w:rPr>
              <w:t>2008</w:t>
            </w:r>
          </w:p>
        </w:tc>
        <w:tc>
          <w:tcPr>
            <w:tcW w:w="1042" w:type="dxa"/>
            <w:tcBorders>
              <w:top w:val="nil"/>
              <w:left w:val="nil"/>
              <w:bottom w:val="nil"/>
              <w:right w:val="nil"/>
            </w:tcBorders>
            <w:shd w:val="clear" w:color="auto" w:fill="FDCC89"/>
          </w:tcPr>
          <w:p>
            <w:pPr>
              <w:pStyle w:val="TableParagraph"/>
              <w:spacing w:before="9"/>
              <w:rPr>
                <w:b/>
                <w:sz w:val="25"/>
              </w:rPr>
            </w:pPr>
          </w:p>
          <w:p>
            <w:pPr>
              <w:pStyle w:val="TableParagraph"/>
              <w:spacing w:before="1"/>
              <w:ind w:left="76"/>
              <w:rPr>
                <w:sz w:val="19"/>
              </w:rPr>
            </w:pPr>
            <w:r>
              <w:rPr>
                <w:color w:val="666666"/>
                <w:w w:val="105"/>
                <w:sz w:val="19"/>
              </w:rPr>
              <w:t>121,668</w:t>
            </w:r>
          </w:p>
        </w:tc>
        <w:tc>
          <w:tcPr>
            <w:tcW w:w="1270" w:type="dxa"/>
            <w:tcBorders>
              <w:top w:val="nil"/>
              <w:left w:val="nil"/>
              <w:bottom w:val="nil"/>
              <w:right w:val="nil"/>
            </w:tcBorders>
            <w:shd w:val="clear" w:color="auto" w:fill="FDCC89"/>
          </w:tcPr>
          <w:p>
            <w:pPr>
              <w:pStyle w:val="TableParagraph"/>
              <w:spacing w:before="9"/>
              <w:rPr>
                <w:b/>
                <w:sz w:val="25"/>
              </w:rPr>
            </w:pPr>
          </w:p>
          <w:p>
            <w:pPr>
              <w:pStyle w:val="TableParagraph"/>
              <w:spacing w:before="1"/>
              <w:ind w:left="81"/>
              <w:rPr>
                <w:sz w:val="19"/>
              </w:rPr>
            </w:pPr>
            <w:r>
              <w:rPr>
                <w:color w:val="666666"/>
                <w:w w:val="105"/>
                <w:sz w:val="19"/>
              </w:rPr>
              <w:t>9,930,309</w:t>
            </w:r>
          </w:p>
        </w:tc>
        <w:tc>
          <w:tcPr>
            <w:tcW w:w="2609" w:type="dxa"/>
            <w:tcBorders>
              <w:top w:val="nil"/>
              <w:left w:val="nil"/>
              <w:bottom w:val="nil"/>
            </w:tcBorders>
            <w:shd w:val="clear" w:color="auto" w:fill="FDCC89"/>
          </w:tcPr>
          <w:p>
            <w:pPr>
              <w:pStyle w:val="TableParagraph"/>
              <w:spacing w:before="71"/>
              <w:ind w:left="76"/>
              <w:rPr>
                <w:sz w:val="19"/>
              </w:rPr>
            </w:pPr>
            <w:r>
              <w:rPr>
                <w:color w:val="666666"/>
                <w:w w:val="105"/>
                <w:sz w:val="19"/>
              </w:rPr>
              <w:t>-Español</w:t>
            </w:r>
          </w:p>
          <w:p>
            <w:pPr>
              <w:pStyle w:val="TableParagraph"/>
              <w:spacing w:before="7"/>
              <w:ind w:left="76"/>
              <w:rPr>
                <w:sz w:val="19"/>
              </w:rPr>
            </w:pPr>
            <w:r>
              <w:rPr>
                <w:color w:val="666666"/>
                <w:w w:val="105"/>
                <w:sz w:val="19"/>
              </w:rPr>
              <w:t>-Matemáticas</w:t>
            </w:r>
          </w:p>
          <w:p>
            <w:pPr>
              <w:pStyle w:val="TableParagraph"/>
              <w:spacing w:before="7"/>
              <w:ind w:left="76"/>
              <w:rPr>
                <w:sz w:val="19"/>
              </w:rPr>
            </w:pPr>
            <w:r>
              <w:rPr>
                <w:color w:val="666666"/>
                <w:w w:val="105"/>
                <w:sz w:val="19"/>
              </w:rPr>
              <w:t>-Ciencias</w:t>
            </w:r>
          </w:p>
        </w:tc>
      </w:tr>
      <w:tr>
        <w:trPr>
          <w:trHeight w:val="597" w:hRule="exact"/>
        </w:trPr>
        <w:tc>
          <w:tcPr>
            <w:tcW w:w="643" w:type="dxa"/>
            <w:tcBorders>
              <w:top w:val="nil"/>
              <w:bottom w:val="nil"/>
              <w:right w:val="nil"/>
            </w:tcBorders>
            <w:shd w:val="clear" w:color="auto" w:fill="FFEFDC"/>
          </w:tcPr>
          <w:p>
            <w:pPr>
              <w:pStyle w:val="TableParagraph"/>
              <w:spacing w:before="3"/>
              <w:rPr>
                <w:b/>
                <w:sz w:val="16"/>
              </w:rPr>
            </w:pPr>
          </w:p>
          <w:p>
            <w:pPr>
              <w:pStyle w:val="TableParagraph"/>
              <w:ind w:left="72"/>
              <w:rPr>
                <w:sz w:val="19"/>
              </w:rPr>
            </w:pPr>
            <w:r>
              <w:rPr>
                <w:color w:val="666666"/>
                <w:w w:val="105"/>
                <w:sz w:val="19"/>
              </w:rPr>
              <w:t>2007</w:t>
            </w:r>
          </w:p>
        </w:tc>
        <w:tc>
          <w:tcPr>
            <w:tcW w:w="1042" w:type="dxa"/>
            <w:tcBorders>
              <w:top w:val="nil"/>
              <w:left w:val="nil"/>
              <w:bottom w:val="nil"/>
              <w:right w:val="nil"/>
            </w:tcBorders>
            <w:shd w:val="clear" w:color="auto" w:fill="FFEFDC"/>
          </w:tcPr>
          <w:p>
            <w:pPr>
              <w:pStyle w:val="TableParagraph"/>
              <w:spacing w:before="3"/>
              <w:rPr>
                <w:b/>
                <w:sz w:val="16"/>
              </w:rPr>
            </w:pPr>
          </w:p>
          <w:p>
            <w:pPr>
              <w:pStyle w:val="TableParagraph"/>
              <w:ind w:left="76"/>
              <w:rPr>
                <w:sz w:val="19"/>
              </w:rPr>
            </w:pPr>
            <w:r>
              <w:rPr>
                <w:color w:val="666666"/>
                <w:w w:val="105"/>
                <w:sz w:val="19"/>
              </w:rPr>
              <w:t>121,585</w:t>
            </w:r>
          </w:p>
        </w:tc>
        <w:tc>
          <w:tcPr>
            <w:tcW w:w="1270" w:type="dxa"/>
            <w:tcBorders>
              <w:top w:val="nil"/>
              <w:left w:val="nil"/>
              <w:bottom w:val="nil"/>
              <w:right w:val="nil"/>
            </w:tcBorders>
            <w:shd w:val="clear" w:color="auto" w:fill="FFEFDC"/>
          </w:tcPr>
          <w:p>
            <w:pPr>
              <w:pStyle w:val="TableParagraph"/>
              <w:spacing w:before="3"/>
              <w:rPr>
                <w:b/>
                <w:sz w:val="16"/>
              </w:rPr>
            </w:pPr>
          </w:p>
          <w:p>
            <w:pPr>
              <w:pStyle w:val="TableParagraph"/>
              <w:ind w:left="81"/>
              <w:rPr>
                <w:sz w:val="19"/>
              </w:rPr>
            </w:pPr>
            <w:r>
              <w:rPr>
                <w:color w:val="666666"/>
                <w:w w:val="105"/>
                <w:sz w:val="19"/>
              </w:rPr>
              <w:t>10,148,666</w:t>
            </w:r>
          </w:p>
        </w:tc>
        <w:tc>
          <w:tcPr>
            <w:tcW w:w="2609" w:type="dxa"/>
            <w:tcBorders>
              <w:top w:val="nil"/>
              <w:left w:val="nil"/>
              <w:bottom w:val="nil"/>
            </w:tcBorders>
            <w:shd w:val="clear" w:color="auto" w:fill="FFEFDC"/>
          </w:tcPr>
          <w:p>
            <w:pPr>
              <w:pStyle w:val="TableParagraph"/>
              <w:spacing w:before="77"/>
              <w:ind w:left="76"/>
              <w:rPr>
                <w:sz w:val="19"/>
              </w:rPr>
            </w:pPr>
            <w:r>
              <w:rPr>
                <w:color w:val="666666"/>
                <w:w w:val="105"/>
                <w:sz w:val="19"/>
              </w:rPr>
              <w:t>-Español</w:t>
            </w:r>
          </w:p>
          <w:p>
            <w:pPr>
              <w:pStyle w:val="TableParagraph"/>
              <w:spacing w:before="2"/>
              <w:ind w:left="76"/>
              <w:rPr>
                <w:sz w:val="19"/>
              </w:rPr>
            </w:pPr>
            <w:r>
              <w:rPr>
                <w:color w:val="666666"/>
                <w:w w:val="105"/>
                <w:sz w:val="19"/>
              </w:rPr>
              <w:t>-Matemáticas</w:t>
            </w:r>
          </w:p>
        </w:tc>
      </w:tr>
      <w:tr>
        <w:trPr>
          <w:trHeight w:val="588" w:hRule="exact"/>
        </w:trPr>
        <w:tc>
          <w:tcPr>
            <w:tcW w:w="643" w:type="dxa"/>
            <w:tcBorders>
              <w:top w:val="nil"/>
              <w:right w:val="nil"/>
            </w:tcBorders>
            <w:shd w:val="clear" w:color="auto" w:fill="FDCC89"/>
          </w:tcPr>
          <w:p>
            <w:pPr>
              <w:pStyle w:val="TableParagraph"/>
              <w:spacing w:before="3"/>
              <w:rPr>
                <w:b/>
                <w:sz w:val="16"/>
              </w:rPr>
            </w:pPr>
          </w:p>
          <w:p>
            <w:pPr>
              <w:pStyle w:val="TableParagraph"/>
              <w:ind w:left="72"/>
              <w:rPr>
                <w:sz w:val="19"/>
              </w:rPr>
            </w:pPr>
            <w:r>
              <w:rPr>
                <w:color w:val="666666"/>
                <w:w w:val="105"/>
                <w:sz w:val="19"/>
              </w:rPr>
              <w:t>2006</w:t>
            </w:r>
          </w:p>
        </w:tc>
        <w:tc>
          <w:tcPr>
            <w:tcW w:w="1042" w:type="dxa"/>
            <w:tcBorders>
              <w:top w:val="nil"/>
              <w:left w:val="nil"/>
              <w:right w:val="nil"/>
            </w:tcBorders>
            <w:shd w:val="clear" w:color="auto" w:fill="FDCC89"/>
          </w:tcPr>
          <w:p>
            <w:pPr>
              <w:pStyle w:val="TableParagraph"/>
              <w:spacing w:before="3"/>
              <w:rPr>
                <w:b/>
                <w:sz w:val="16"/>
              </w:rPr>
            </w:pPr>
          </w:p>
          <w:p>
            <w:pPr>
              <w:pStyle w:val="TableParagraph"/>
              <w:ind w:left="76"/>
              <w:rPr>
                <w:sz w:val="19"/>
              </w:rPr>
            </w:pPr>
            <w:r>
              <w:rPr>
                <w:color w:val="666666"/>
                <w:w w:val="105"/>
                <w:sz w:val="19"/>
              </w:rPr>
              <w:t>112,912</w:t>
            </w:r>
          </w:p>
        </w:tc>
        <w:tc>
          <w:tcPr>
            <w:tcW w:w="1270" w:type="dxa"/>
            <w:tcBorders>
              <w:top w:val="nil"/>
              <w:left w:val="nil"/>
              <w:right w:val="nil"/>
            </w:tcBorders>
            <w:shd w:val="clear" w:color="auto" w:fill="FDCC89"/>
          </w:tcPr>
          <w:p>
            <w:pPr>
              <w:pStyle w:val="TableParagraph"/>
              <w:spacing w:before="3"/>
              <w:rPr>
                <w:b/>
                <w:sz w:val="16"/>
              </w:rPr>
            </w:pPr>
          </w:p>
          <w:p>
            <w:pPr>
              <w:pStyle w:val="TableParagraph"/>
              <w:ind w:left="81"/>
              <w:rPr>
                <w:sz w:val="19"/>
              </w:rPr>
            </w:pPr>
            <w:r>
              <w:rPr>
                <w:color w:val="666666"/>
                <w:w w:val="105"/>
                <w:sz w:val="19"/>
              </w:rPr>
              <w:t>9,529,490</w:t>
            </w:r>
          </w:p>
        </w:tc>
        <w:tc>
          <w:tcPr>
            <w:tcW w:w="2609" w:type="dxa"/>
            <w:tcBorders>
              <w:top w:val="nil"/>
              <w:left w:val="nil"/>
            </w:tcBorders>
            <w:shd w:val="clear" w:color="auto" w:fill="FDCC89"/>
          </w:tcPr>
          <w:p>
            <w:pPr>
              <w:pStyle w:val="TableParagraph"/>
              <w:spacing w:before="71"/>
              <w:ind w:left="76"/>
              <w:rPr>
                <w:sz w:val="19"/>
              </w:rPr>
            </w:pPr>
            <w:r>
              <w:rPr>
                <w:color w:val="666666"/>
                <w:w w:val="105"/>
                <w:sz w:val="19"/>
              </w:rPr>
              <w:t>-Español</w:t>
            </w:r>
          </w:p>
          <w:p>
            <w:pPr>
              <w:pStyle w:val="TableParagraph"/>
              <w:spacing w:before="7"/>
              <w:ind w:left="76"/>
              <w:rPr>
                <w:sz w:val="19"/>
              </w:rPr>
            </w:pPr>
            <w:r>
              <w:rPr>
                <w:color w:val="666666"/>
                <w:w w:val="105"/>
                <w:sz w:val="19"/>
              </w:rPr>
              <w:t>-Matemáticas</w:t>
            </w:r>
          </w:p>
        </w:tc>
      </w:tr>
    </w:tbl>
    <w:p>
      <w:pPr>
        <w:spacing w:before="8"/>
        <w:ind w:left="2055" w:right="2052" w:firstLine="0"/>
        <w:jc w:val="center"/>
        <w:rPr>
          <w:sz w:val="19"/>
        </w:rPr>
      </w:pPr>
      <w:r>
        <w:rPr>
          <w:b/>
          <w:w w:val="105"/>
          <w:sz w:val="19"/>
        </w:rPr>
        <w:t>FUENTE: </w:t>
      </w:r>
      <w:r>
        <w:rPr>
          <w:w w:val="105"/>
          <w:sz w:val="19"/>
        </w:rPr>
        <w:t>SEP, 2010</w:t>
      </w:r>
    </w:p>
    <w:p>
      <w:pPr>
        <w:pStyle w:val="BodyText"/>
        <w:rPr>
          <w:sz w:val="20"/>
        </w:rPr>
      </w:pPr>
    </w:p>
    <w:p>
      <w:pPr>
        <w:pStyle w:val="BodyText"/>
        <w:spacing w:before="10"/>
        <w:rPr>
          <w:sz w:val="24"/>
        </w:rPr>
      </w:pPr>
    </w:p>
    <w:p>
      <w:pPr>
        <w:pStyle w:val="Heading3"/>
        <w:numPr>
          <w:ilvl w:val="2"/>
          <w:numId w:val="17"/>
        </w:numPr>
        <w:tabs>
          <w:tab w:pos="700" w:val="left" w:leader="none"/>
        </w:tabs>
        <w:spacing w:line="240" w:lineRule="auto" w:before="1" w:after="0"/>
        <w:ind w:left="115" w:right="0" w:firstLine="1"/>
        <w:jc w:val="both"/>
      </w:pPr>
      <w:r>
        <w:rPr/>
        <w:t>Autoridad y juegos de</w:t>
      </w:r>
      <w:r>
        <w:rPr>
          <w:spacing w:val="39"/>
        </w:rPr>
        <w:t> </w:t>
      </w:r>
      <w:r>
        <w:rPr/>
        <w:t>poder</w:t>
      </w:r>
    </w:p>
    <w:p>
      <w:pPr>
        <w:pStyle w:val="BodyText"/>
        <w:spacing w:line="364" w:lineRule="auto" w:before="134"/>
        <w:ind w:left="116" w:right="107"/>
        <w:jc w:val="both"/>
      </w:pPr>
      <w:r>
        <w:rPr/>
        <w:t>La aplicación de la prueba ENLACE </w:t>
      </w:r>
      <w:r>
        <w:rPr>
          <w:spacing w:val="-3"/>
        </w:rPr>
        <w:t>es </w:t>
      </w:r>
      <w:r>
        <w:rPr/>
        <w:t>coordinada por la Dirección General de Evaluación de Políticas de la SEP y en cada entidad federativa es organizada por  el área o instituto estatal de evaluación. Esto es clave, pues con ello se evita en </w:t>
      </w:r>
      <w:r>
        <w:rPr>
          <w:spacing w:val="-4"/>
        </w:rPr>
        <w:t>lo </w:t>
      </w:r>
      <w:r>
        <w:rPr/>
        <w:t>posible que las burocracias de los sistemas educativos estatales frenen de algún modo </w:t>
      </w:r>
      <w:r>
        <w:rPr>
          <w:spacing w:val="-4"/>
        </w:rPr>
        <w:t>la</w:t>
      </w:r>
      <w:r>
        <w:rPr>
          <w:spacing w:val="55"/>
        </w:rPr>
        <w:t> </w:t>
      </w:r>
      <w:r>
        <w:rPr/>
        <w:t>aplicación de </w:t>
      </w:r>
      <w:r>
        <w:rPr>
          <w:spacing w:val="-3"/>
        </w:rPr>
        <w:t>la </w:t>
      </w:r>
      <w:r>
        <w:rPr/>
        <w:t>prueba. La impresión de </w:t>
      </w:r>
      <w:r>
        <w:rPr>
          <w:spacing w:val="-3"/>
        </w:rPr>
        <w:t>la </w:t>
      </w:r>
      <w:r>
        <w:rPr/>
        <w:t>prueba, empaque  y  distribución nacional se realiza a través </w:t>
      </w:r>
      <w:r>
        <w:rPr>
          <w:spacing w:val="3"/>
        </w:rPr>
        <w:t>de </w:t>
      </w:r>
      <w:r>
        <w:rPr>
          <w:spacing w:val="-3"/>
        </w:rPr>
        <w:t>la </w:t>
      </w:r>
      <w:r>
        <w:rPr/>
        <w:t>Comisión Nacional de Libros  de  Texto Gratuito. Ello también es clave debido a que directivos </w:t>
      </w:r>
      <w:r>
        <w:rPr>
          <w:spacing w:val="3"/>
        </w:rPr>
        <w:t>de </w:t>
      </w:r>
      <w:r>
        <w:rPr/>
        <w:t>escuelas, supervisores e incluso funcionarios de alto nivel en las secretarías de educación estatales, se interesan por conocer de antemano su contenido y así beneficiar a ciertos alumnos, escuelas o grupos de escuelas. De hecho, los  medios impresos  de comunicación reportan constantemente que hay personas (dentro y fuera de    los sistemas educativos estatales) que venden las pruebas (SEP, </w:t>
      </w:r>
      <w:r>
        <w:rPr>
          <w:spacing w:val="10"/>
        </w:rPr>
        <w:t> </w:t>
      </w:r>
      <w:r>
        <w:rPr/>
        <w:t>2011).</w:t>
      </w:r>
    </w:p>
    <w:p>
      <w:pPr>
        <w:pStyle w:val="BodyText"/>
        <w:spacing w:line="364" w:lineRule="auto" w:before="5"/>
        <w:ind w:left="116" w:right="110" w:firstLine="686"/>
        <w:jc w:val="both"/>
      </w:pPr>
      <w:r>
        <w:rPr/>
        <w:t>Muchos maestros, directivos y funcionarios de los sistemas educativos estatales estarían interesados en tener </w:t>
      </w:r>
      <w:r>
        <w:rPr>
          <w:spacing w:val="-4"/>
        </w:rPr>
        <w:t>la  </w:t>
      </w:r>
      <w:r>
        <w:rPr/>
        <w:t>prueba con antelación para preparar a  los alumnos en los temas o incluso darles las respuestas. Sobre todo porque </w:t>
      </w:r>
      <w:r>
        <w:rPr>
          <w:spacing w:val="-5"/>
        </w:rPr>
        <w:t>la </w:t>
      </w:r>
      <w:r>
        <w:rPr/>
        <w:t>prueba Enlace genera resultados </w:t>
      </w:r>
      <w:r>
        <w:rPr>
          <w:spacing w:val="-3"/>
        </w:rPr>
        <w:t>por </w:t>
      </w:r>
      <w:r>
        <w:rPr/>
        <w:t>alumno, por escuela, por sector escolar y por entidad  federativa.  Tanto  escuelas  públicas  como  particulares  evitarían  en   </w:t>
      </w:r>
      <w:r>
        <w:rPr>
          <w:spacing w:val="46"/>
        </w:rPr>
        <w:t> </w:t>
      </w:r>
      <w:r>
        <w:rPr>
          <w:spacing w:val="-5"/>
        </w:rPr>
        <w:t>lo</w:t>
      </w:r>
    </w:p>
    <w:p>
      <w:pPr>
        <w:spacing w:after="0" w:line="364" w:lineRule="auto"/>
        <w:jc w:val="both"/>
        <w:sectPr>
          <w:footerReference w:type="default" r:id="rId75"/>
          <w:pgSz w:w="11910" w:h="16840"/>
          <w:pgMar w:footer="1457" w:header="0" w:top="1580" w:bottom="1640" w:left="1540" w:right="1540"/>
        </w:sectPr>
      </w:pPr>
    </w:p>
    <w:p>
      <w:pPr>
        <w:pStyle w:val="BodyText"/>
        <w:rPr>
          <w:sz w:val="20"/>
        </w:rPr>
      </w:pPr>
    </w:p>
    <w:p>
      <w:pPr>
        <w:pStyle w:val="BodyText"/>
        <w:spacing w:before="2"/>
        <w:rPr>
          <w:sz w:val="16"/>
        </w:rPr>
      </w:pPr>
    </w:p>
    <w:p>
      <w:pPr>
        <w:pStyle w:val="BodyText"/>
        <w:spacing w:line="369" w:lineRule="auto" w:before="74"/>
        <w:ind w:left="115" w:right="191"/>
      </w:pPr>
      <w:r>
        <w:rPr/>
        <w:t>posible ubicarse en los niveles más bajos de los respectivos rangos si ello fuera posible.</w:t>
      </w:r>
    </w:p>
    <w:p>
      <w:pPr>
        <w:pStyle w:val="BodyText"/>
        <w:spacing w:line="364" w:lineRule="auto"/>
        <w:ind w:left="115" w:right="111" w:firstLine="686"/>
        <w:jc w:val="both"/>
      </w:pPr>
      <w:r>
        <w:rPr/>
        <w:t>Por ello, la aplicación involucra a diversos actores institucionales y sociales; de este modo, además </w:t>
      </w:r>
      <w:r>
        <w:rPr>
          <w:spacing w:val="3"/>
        </w:rPr>
        <w:t>de </w:t>
      </w:r>
      <w:r>
        <w:rPr/>
        <w:t>los alumnos, en las escuelas participan un coordinador externo, el director del plantel y los docentes, que aplican la  prueba.  Adicionalmente el director de </w:t>
      </w:r>
      <w:r>
        <w:rPr>
          <w:spacing w:val="-3"/>
        </w:rPr>
        <w:t>la </w:t>
      </w:r>
      <w:r>
        <w:rPr/>
        <w:t>escuela debe invitar a padres de familia a que participen como supervisores, </w:t>
      </w:r>
      <w:r>
        <w:rPr>
          <w:spacing w:val="-3"/>
        </w:rPr>
        <w:t>así </w:t>
      </w:r>
      <w:r>
        <w:rPr/>
        <w:t>como a personas externas,  para  que  funjan como</w:t>
      </w:r>
      <w:r>
        <w:rPr>
          <w:spacing w:val="21"/>
        </w:rPr>
        <w:t> </w:t>
      </w:r>
      <w:r>
        <w:rPr/>
        <w:t>observadores.</w:t>
      </w:r>
    </w:p>
    <w:p>
      <w:pPr>
        <w:pStyle w:val="BodyText"/>
        <w:spacing w:line="362" w:lineRule="auto" w:before="5"/>
        <w:ind w:left="115" w:right="107" w:firstLine="686"/>
        <w:jc w:val="both"/>
        <w:rPr>
          <w:sz w:val="15"/>
        </w:rPr>
      </w:pPr>
      <w:r>
        <w:rPr/>
        <w:t>La SEP comisiona aproximadamente a 133 mil coordinadores externos de aplicación, uno por cada plantel educativo, quienes son responsables de trasladar los materiales hasta el plantel </w:t>
      </w:r>
      <w:r>
        <w:rPr>
          <w:spacing w:val="-3"/>
        </w:rPr>
        <w:t>y, </w:t>
      </w:r>
      <w:r>
        <w:rPr/>
        <w:t>en coordinación con el director de </w:t>
      </w:r>
      <w:r>
        <w:rPr>
          <w:spacing w:val="-3"/>
        </w:rPr>
        <w:t>la </w:t>
      </w:r>
      <w:r>
        <w:rPr/>
        <w:t>escuela, garantizan la aplicación y levantamiento de las actas previas. Es decir, </w:t>
      </w:r>
      <w:r>
        <w:rPr>
          <w:spacing w:val="-5"/>
        </w:rPr>
        <w:t>la </w:t>
      </w:r>
      <w:r>
        <w:rPr/>
        <w:t>SEP </w:t>
      </w:r>
      <w:r>
        <w:rPr>
          <w:spacing w:val="-3"/>
        </w:rPr>
        <w:t>no </w:t>
      </w:r>
      <w:r>
        <w:rPr/>
        <w:t>confía en los directores. El día de la aplicación, el coordinador externo acude a </w:t>
      </w:r>
      <w:r>
        <w:rPr>
          <w:spacing w:val="-5"/>
        </w:rPr>
        <w:t>la </w:t>
      </w:r>
      <w:r>
        <w:rPr/>
        <w:t>sede con los exámenes empacados y resguardados </w:t>
      </w:r>
      <w:r>
        <w:rPr>
          <w:spacing w:val="-3"/>
        </w:rPr>
        <w:t>en </w:t>
      </w:r>
      <w:r>
        <w:rPr/>
        <w:t>bolsas cerradas con sellos que garantizan </w:t>
      </w:r>
      <w:r>
        <w:rPr>
          <w:spacing w:val="4"/>
        </w:rPr>
        <w:t>su </w:t>
      </w:r>
      <w:r>
        <w:rPr/>
        <w:t>confidencialidad. El coordinador externo de aplicación  se  acredita con el director </w:t>
      </w:r>
      <w:r>
        <w:rPr>
          <w:spacing w:val="2"/>
        </w:rPr>
        <w:t>al </w:t>
      </w:r>
      <w:r>
        <w:rPr/>
        <w:t>inicio de las actividades, explica la logística y verifica </w:t>
      </w:r>
      <w:r>
        <w:rPr>
          <w:spacing w:val="-4"/>
        </w:rPr>
        <w:t>la </w:t>
      </w:r>
      <w:r>
        <w:rPr/>
        <w:t>presencia de padres-supervisores, observadores externos y el intercambio de grupos entre los</w:t>
      </w:r>
      <w:r>
        <w:rPr>
          <w:spacing w:val="33"/>
        </w:rPr>
        <w:t> </w:t>
      </w:r>
      <w:r>
        <w:rPr/>
        <w:t>docentes-aplicadores.</w:t>
      </w:r>
      <w:r>
        <w:rPr>
          <w:position w:val="11"/>
          <w:sz w:val="15"/>
        </w:rPr>
        <w:t>53</w:t>
      </w:r>
    </w:p>
    <w:p>
      <w:pPr>
        <w:pStyle w:val="BodyText"/>
        <w:spacing w:line="364" w:lineRule="auto"/>
        <w:ind w:left="115" w:right="106" w:firstLine="686"/>
        <w:jc w:val="both"/>
      </w:pPr>
      <w:r>
        <w:rPr/>
        <w:t>Independientemente de los mínimos alcances </w:t>
      </w:r>
      <w:r>
        <w:rPr>
          <w:spacing w:val="-3"/>
        </w:rPr>
        <w:t>de </w:t>
      </w:r>
      <w:r>
        <w:rPr/>
        <w:t>las mediciones, </w:t>
      </w:r>
      <w:r>
        <w:rPr>
          <w:spacing w:val="-3"/>
        </w:rPr>
        <w:t>la </w:t>
      </w:r>
      <w:r>
        <w:rPr/>
        <w:t>prueba Enlace está modificando gradualmente la cultura de los aprendizajes y </w:t>
      </w:r>
      <w:r>
        <w:rPr>
          <w:spacing w:val="-5"/>
        </w:rPr>
        <w:t>la  </w:t>
      </w:r>
      <w:r>
        <w:rPr/>
        <w:t>evaluación en México. Anteriormente, el gobierno federal, a  través  de  la  SEP hacía evaluaciones, pero tenían un carácter confidencial, como si los resultados se trataran de asuntos de seguridad nacional. Como se recordará, </w:t>
      </w:r>
      <w:r>
        <w:rPr>
          <w:spacing w:val="-4"/>
        </w:rPr>
        <w:t>la </w:t>
      </w:r>
      <w:r>
        <w:rPr/>
        <w:t>SEP ocultó a </w:t>
      </w:r>
      <w:r>
        <w:rPr>
          <w:spacing w:val="-4"/>
        </w:rPr>
        <w:t>la </w:t>
      </w:r>
      <w:r>
        <w:rPr/>
        <w:t>opinión pública, durante el sexenio del presidente Zedillo, el insatisfactorio nivel en el que se encontraban </w:t>
      </w:r>
      <w:r>
        <w:rPr>
          <w:spacing w:val="-3"/>
        </w:rPr>
        <w:t>los </w:t>
      </w:r>
      <w:r>
        <w:rPr/>
        <w:t>aprendizajes adquiridos en </w:t>
      </w:r>
      <w:r>
        <w:rPr>
          <w:spacing w:val="-4"/>
        </w:rPr>
        <w:t>la</w:t>
      </w:r>
      <w:r>
        <w:rPr>
          <w:spacing w:val="55"/>
        </w:rPr>
        <w:t> </w:t>
      </w:r>
      <w:r>
        <w:rPr/>
        <w:t>asignatura  de  matemáticas por </w:t>
      </w:r>
      <w:r>
        <w:rPr>
          <w:spacing w:val="-3"/>
        </w:rPr>
        <w:t>los </w:t>
      </w:r>
      <w:r>
        <w:rPr/>
        <w:t>estudiantes mexicanos, de acuerdo con los resultados de  </w:t>
      </w:r>
      <w:r>
        <w:rPr>
          <w:spacing w:val="19"/>
        </w:rPr>
        <w:t> </w:t>
      </w:r>
      <w:r>
        <w:rPr/>
        <w:t>una</w:t>
      </w:r>
    </w:p>
    <w:p>
      <w:pPr>
        <w:pStyle w:val="BodyText"/>
        <w:rPr>
          <w:sz w:val="20"/>
        </w:rPr>
      </w:pPr>
    </w:p>
    <w:p>
      <w:pPr>
        <w:pStyle w:val="BodyText"/>
        <w:rPr>
          <w:sz w:val="20"/>
        </w:rPr>
      </w:pPr>
    </w:p>
    <w:p>
      <w:pPr>
        <w:pStyle w:val="BodyText"/>
        <w:spacing w:before="7"/>
        <w:rPr>
          <w:sz w:val="19"/>
        </w:rPr>
      </w:pPr>
      <w:r>
        <w:rPr/>
        <w:pict>
          <v:line style="position:absolute;mso-position-horizontal-relative:page;mso-position-vertical-relative:paragraph;z-index:3232;mso-wrap-distance-left:0;mso-wrap-distance-right:0" from="82.799004pt,13.608155pt" to="222.958004pt,13.608155pt" stroked="true" strokeweight=".72pt" strokecolor="#000000">
            <w10:wrap type="topAndBottom"/>
          </v:line>
        </w:pict>
      </w:r>
    </w:p>
    <w:p>
      <w:pPr>
        <w:spacing w:line="244" w:lineRule="auto" w:before="61"/>
        <w:ind w:left="115" w:right="107" w:firstLine="0"/>
        <w:jc w:val="both"/>
        <w:rPr>
          <w:sz w:val="19"/>
        </w:rPr>
      </w:pPr>
      <w:r>
        <w:rPr>
          <w:rFonts w:ascii="Times New Roman" w:hAnsi="Times New Roman"/>
          <w:spacing w:val="-3"/>
          <w:w w:val="105"/>
          <w:position w:val="9"/>
          <w:sz w:val="12"/>
        </w:rPr>
        <w:t>53 </w:t>
      </w:r>
      <w:r>
        <w:rPr>
          <w:w w:val="105"/>
          <w:sz w:val="19"/>
        </w:rPr>
        <w:t>Los documentos normativos para </w:t>
      </w:r>
      <w:r>
        <w:rPr>
          <w:spacing w:val="-3"/>
          <w:w w:val="105"/>
          <w:sz w:val="19"/>
        </w:rPr>
        <w:t>la </w:t>
      </w:r>
      <w:r>
        <w:rPr>
          <w:w w:val="105"/>
          <w:sz w:val="19"/>
        </w:rPr>
        <w:t>aplicación </w:t>
      </w:r>
      <w:r>
        <w:rPr>
          <w:spacing w:val="-4"/>
          <w:w w:val="105"/>
          <w:sz w:val="19"/>
        </w:rPr>
        <w:t>son </w:t>
      </w:r>
      <w:r>
        <w:rPr>
          <w:w w:val="105"/>
          <w:sz w:val="19"/>
        </w:rPr>
        <w:t>los siguientes: </w:t>
      </w:r>
      <w:r>
        <w:rPr>
          <w:spacing w:val="2"/>
          <w:w w:val="105"/>
          <w:sz w:val="19"/>
        </w:rPr>
        <w:t>1) </w:t>
      </w:r>
      <w:r>
        <w:rPr>
          <w:w w:val="105"/>
          <w:sz w:val="19"/>
        </w:rPr>
        <w:t>normas operativas, 2) características generales del levantamiento de datos, 3) manual </w:t>
      </w:r>
      <w:r>
        <w:rPr>
          <w:spacing w:val="-3"/>
          <w:w w:val="105"/>
          <w:sz w:val="19"/>
        </w:rPr>
        <w:t>para </w:t>
      </w:r>
      <w:r>
        <w:rPr>
          <w:w w:val="105"/>
          <w:sz w:val="19"/>
        </w:rPr>
        <w:t>el coordinador operativo </w:t>
      </w:r>
      <w:r>
        <w:rPr>
          <w:spacing w:val="-3"/>
          <w:w w:val="105"/>
          <w:sz w:val="19"/>
        </w:rPr>
        <w:t>y/o </w:t>
      </w:r>
      <w:r>
        <w:rPr>
          <w:w w:val="105"/>
          <w:sz w:val="19"/>
        </w:rPr>
        <w:t>regional, 4) manual para el coordinador de aplicación, 5) guía para el docente-aplicador, </w:t>
      </w:r>
      <w:r>
        <w:rPr>
          <w:spacing w:val="-3"/>
          <w:w w:val="105"/>
          <w:sz w:val="19"/>
        </w:rPr>
        <w:t>6) </w:t>
      </w:r>
      <w:r>
        <w:rPr>
          <w:w w:val="105"/>
          <w:sz w:val="19"/>
        </w:rPr>
        <w:t>guía para el docente-aplicador en escuelas multigrado </w:t>
      </w:r>
      <w:r>
        <w:rPr>
          <w:spacing w:val="-3"/>
          <w:w w:val="105"/>
          <w:sz w:val="19"/>
        </w:rPr>
        <w:t>del </w:t>
      </w:r>
      <w:r>
        <w:rPr>
          <w:w w:val="105"/>
          <w:sz w:val="19"/>
        </w:rPr>
        <w:t>Consejo Nacional de Fomento Educativo (Conafe), </w:t>
      </w:r>
      <w:r>
        <w:rPr>
          <w:spacing w:val="2"/>
          <w:w w:val="105"/>
          <w:sz w:val="19"/>
        </w:rPr>
        <w:t>7) </w:t>
      </w:r>
      <w:r>
        <w:rPr>
          <w:spacing w:val="-3"/>
          <w:w w:val="105"/>
          <w:sz w:val="19"/>
        </w:rPr>
        <w:t>guía </w:t>
      </w:r>
      <w:r>
        <w:rPr>
          <w:w w:val="105"/>
          <w:sz w:val="19"/>
        </w:rPr>
        <w:t>para </w:t>
      </w:r>
      <w:r>
        <w:rPr>
          <w:spacing w:val="-3"/>
          <w:w w:val="105"/>
          <w:sz w:val="19"/>
        </w:rPr>
        <w:t>el </w:t>
      </w:r>
      <w:r>
        <w:rPr>
          <w:w w:val="105"/>
          <w:sz w:val="19"/>
        </w:rPr>
        <w:t>docente-aplicador </w:t>
      </w:r>
      <w:r>
        <w:rPr>
          <w:spacing w:val="-4"/>
          <w:w w:val="105"/>
          <w:sz w:val="19"/>
        </w:rPr>
        <w:t>en </w:t>
      </w:r>
      <w:r>
        <w:rPr>
          <w:w w:val="105"/>
          <w:sz w:val="19"/>
        </w:rPr>
        <w:t>escuelas de educación indígena, y 8) guía para padres supervisores (SEP, 2013).</w:t>
      </w:r>
    </w:p>
    <w:p>
      <w:pPr>
        <w:spacing w:after="0" w:line="244" w:lineRule="auto"/>
        <w:jc w:val="both"/>
        <w:rPr>
          <w:sz w:val="19"/>
        </w:rPr>
        <w:sectPr>
          <w:footerReference w:type="default" r:id="rId76"/>
          <w:pgSz w:w="11910" w:h="16840"/>
          <w:pgMar w:footer="1457" w:header="0" w:top="1580" w:bottom="1640" w:left="1540" w:right="1540"/>
          <w:pgNumType w:start="211"/>
        </w:sectPr>
      </w:pPr>
    </w:p>
    <w:p>
      <w:pPr>
        <w:pStyle w:val="BodyText"/>
        <w:rPr>
          <w:sz w:val="20"/>
        </w:rPr>
      </w:pPr>
    </w:p>
    <w:p>
      <w:pPr>
        <w:pStyle w:val="BodyText"/>
        <w:spacing w:before="2"/>
        <w:rPr>
          <w:sz w:val="16"/>
        </w:rPr>
      </w:pPr>
    </w:p>
    <w:p>
      <w:pPr>
        <w:pStyle w:val="BodyText"/>
        <w:spacing w:line="369" w:lineRule="auto" w:before="74"/>
        <w:ind w:left="115" w:right="235"/>
      </w:pPr>
      <w:r>
        <w:rPr/>
        <w:t>evaluación que fue </w:t>
      </w:r>
      <w:r>
        <w:rPr>
          <w:spacing w:val="-3"/>
        </w:rPr>
        <w:t>realizada  </w:t>
      </w:r>
      <w:r>
        <w:rPr/>
        <w:t>-con pleno consentimiento de dicha Secretaría- por  un prestigiado organismo internacional (Muñoz Izquierdo </w:t>
      </w:r>
      <w:r>
        <w:rPr>
          <w:i/>
        </w:rPr>
        <w:t>et. al.</w:t>
      </w:r>
      <w:r>
        <w:rPr/>
        <w:t>, </w:t>
      </w:r>
      <w:r>
        <w:rPr>
          <w:spacing w:val="9"/>
        </w:rPr>
        <w:t> </w:t>
      </w:r>
      <w:r>
        <w:rPr/>
        <w:t>2010).</w:t>
      </w:r>
    </w:p>
    <w:p>
      <w:pPr>
        <w:pStyle w:val="BodyText"/>
        <w:spacing w:line="364" w:lineRule="auto"/>
        <w:ind w:left="115" w:right="111" w:firstLine="686"/>
        <w:jc w:val="both"/>
      </w:pPr>
      <w:r>
        <w:rPr/>
        <w:t>Cuatro años después de la fundación del INEE, los resultados de la prueba ENLACE son entregados en forma confidencial e individualizada, a los propios estudiantes, a sus padres y tutores, así como a los docentes y directivos de las respectivas escuelas. Esa información también es difundida pero no en forma individualizada,    por    obvias    razones,    a    través    de    distintos    medios   de</w:t>
      </w:r>
    </w:p>
    <w:p>
      <w:pPr>
        <w:pStyle w:val="BodyText"/>
        <w:spacing w:line="270" w:lineRule="exact"/>
        <w:ind w:left="115" w:right="191"/>
        <w:rPr>
          <w:sz w:val="15"/>
        </w:rPr>
      </w:pPr>
      <w:r>
        <w:rPr/>
        <w:t>comunicación.</w:t>
      </w:r>
      <w:r>
        <w:rPr>
          <w:position w:val="11"/>
          <w:sz w:val="15"/>
        </w:rPr>
        <w:t>54</w:t>
      </w:r>
    </w:p>
    <w:p>
      <w:pPr>
        <w:pStyle w:val="BodyText"/>
        <w:rPr>
          <w:sz w:val="28"/>
        </w:rPr>
      </w:pPr>
    </w:p>
    <w:p>
      <w:pPr>
        <w:pStyle w:val="ListParagraph"/>
        <w:numPr>
          <w:ilvl w:val="2"/>
          <w:numId w:val="17"/>
        </w:numPr>
        <w:tabs>
          <w:tab w:pos="702" w:val="left" w:leader="none"/>
        </w:tabs>
        <w:spacing w:line="364" w:lineRule="auto" w:before="220" w:after="0"/>
        <w:ind w:left="115" w:right="104" w:firstLine="0"/>
        <w:jc w:val="left"/>
        <w:rPr>
          <w:sz w:val="23"/>
        </w:rPr>
      </w:pPr>
      <w:r>
        <w:rPr>
          <w:b/>
          <w:sz w:val="23"/>
        </w:rPr>
        <w:t>Los resultados </w:t>
      </w:r>
      <w:r>
        <w:rPr>
          <w:b/>
          <w:spacing w:val="3"/>
          <w:sz w:val="23"/>
        </w:rPr>
        <w:t>de </w:t>
      </w:r>
      <w:r>
        <w:rPr>
          <w:b/>
          <w:sz w:val="23"/>
        </w:rPr>
        <w:t>Enlace </w:t>
      </w:r>
      <w:r>
        <w:rPr>
          <w:b/>
          <w:spacing w:val="-3"/>
          <w:sz w:val="23"/>
        </w:rPr>
        <w:t>en </w:t>
      </w:r>
      <w:r>
        <w:rPr>
          <w:b/>
          <w:sz w:val="23"/>
        </w:rPr>
        <w:t>la perspectiva de la desigualdad regional  </w:t>
      </w:r>
      <w:r>
        <w:rPr>
          <w:sz w:val="23"/>
        </w:rPr>
        <w:t>En agosto de 2010, </w:t>
      </w:r>
      <w:r>
        <w:rPr>
          <w:spacing w:val="-3"/>
          <w:sz w:val="23"/>
        </w:rPr>
        <w:t>la </w:t>
      </w:r>
      <w:r>
        <w:rPr>
          <w:sz w:val="23"/>
        </w:rPr>
        <w:t>SEP publicó los resultados de la quinta aplicación consecutiva de dichas pruebas. </w:t>
      </w:r>
      <w:r>
        <w:rPr>
          <w:spacing w:val="-3"/>
          <w:sz w:val="23"/>
        </w:rPr>
        <w:t>Ello </w:t>
      </w:r>
      <w:r>
        <w:rPr>
          <w:sz w:val="23"/>
        </w:rPr>
        <w:t>permitió conocer </w:t>
      </w:r>
      <w:r>
        <w:rPr>
          <w:spacing w:val="-4"/>
          <w:sz w:val="23"/>
        </w:rPr>
        <w:t>la </w:t>
      </w:r>
      <w:r>
        <w:rPr>
          <w:sz w:val="23"/>
        </w:rPr>
        <w:t>forma en que se distribuyó el aprovechamiento en </w:t>
      </w:r>
      <w:r>
        <w:rPr>
          <w:spacing w:val="-3"/>
          <w:sz w:val="23"/>
        </w:rPr>
        <w:t>las </w:t>
      </w:r>
      <w:r>
        <w:rPr>
          <w:sz w:val="23"/>
        </w:rPr>
        <w:t>asignaturas de Español, Matemáticas e Historia,  entre los niveles en que lo clasifica </w:t>
      </w:r>
      <w:r>
        <w:rPr>
          <w:spacing w:val="-5"/>
          <w:sz w:val="23"/>
        </w:rPr>
        <w:t>la </w:t>
      </w:r>
      <w:r>
        <w:rPr>
          <w:spacing w:val="2"/>
          <w:sz w:val="23"/>
        </w:rPr>
        <w:t>SEP, </w:t>
      </w:r>
      <w:r>
        <w:rPr>
          <w:sz w:val="23"/>
        </w:rPr>
        <w:t>que obtuvieron, durante el año lectivo 2009- 2010, </w:t>
      </w:r>
      <w:r>
        <w:rPr>
          <w:spacing w:val="-3"/>
          <w:sz w:val="23"/>
        </w:rPr>
        <w:t>todos </w:t>
      </w:r>
      <w:r>
        <w:rPr>
          <w:sz w:val="23"/>
        </w:rPr>
        <w:t>los alumnos inscritos en </w:t>
      </w:r>
      <w:r>
        <w:rPr>
          <w:spacing w:val="-3"/>
          <w:sz w:val="23"/>
        </w:rPr>
        <w:t>las </w:t>
      </w:r>
      <w:r>
        <w:rPr>
          <w:sz w:val="23"/>
        </w:rPr>
        <w:t>escuelas  primarias  y  secundarias  del país.</w:t>
      </w:r>
    </w:p>
    <w:p>
      <w:pPr>
        <w:pStyle w:val="BodyText"/>
        <w:spacing w:line="364" w:lineRule="auto" w:before="5"/>
        <w:ind w:left="115" w:right="105" w:firstLine="686"/>
        <w:jc w:val="both"/>
      </w:pPr>
      <w:r>
        <w:rPr/>
        <w:t>Entre el año 2006 y 2010 (es decir, durante los primeros cuatro años </w:t>
      </w:r>
      <w:r>
        <w:rPr>
          <w:spacing w:val="3"/>
        </w:rPr>
        <w:t>de </w:t>
      </w:r>
      <w:r>
        <w:rPr/>
        <w:t>la administración del presidente Calderón) la población estudiantil que fue evaluada por </w:t>
      </w:r>
      <w:r>
        <w:rPr>
          <w:spacing w:val="-3"/>
        </w:rPr>
        <w:t>la </w:t>
      </w:r>
      <w:r>
        <w:rPr/>
        <w:t>SEP </w:t>
      </w:r>
      <w:r>
        <w:rPr>
          <w:spacing w:val="3"/>
        </w:rPr>
        <w:t>se </w:t>
      </w:r>
      <w:r>
        <w:rPr/>
        <w:t>incrementó en 4669.273 alumnos, (al pasar de 8811,782 a  13481,055 sujetos, </w:t>
      </w:r>
      <w:r>
        <w:rPr>
          <w:spacing w:val="-4"/>
        </w:rPr>
        <w:t>lo </w:t>
      </w:r>
      <w:r>
        <w:rPr/>
        <w:t>que representa un crecimiento del 35%). </w:t>
      </w:r>
      <w:r>
        <w:rPr>
          <w:spacing w:val="-3"/>
        </w:rPr>
        <w:t>Sin </w:t>
      </w:r>
      <w:r>
        <w:rPr/>
        <w:t>embargo, </w:t>
      </w:r>
      <w:r>
        <w:rPr>
          <w:spacing w:val="-3"/>
        </w:rPr>
        <w:t>es </w:t>
      </w:r>
      <w:r>
        <w:rPr/>
        <w:t>importante hacer notar que las pruebas estaban dirigidas a 16077,963 estudiantes. La merma observada se </w:t>
      </w:r>
      <w:r>
        <w:rPr>
          <w:spacing w:val="-3"/>
        </w:rPr>
        <w:t>debió </w:t>
      </w:r>
      <w:r>
        <w:rPr/>
        <w:t>a que, por razones de índole política, sólo fue  posible aplicar las pruebas mencionadas en el 50% y </w:t>
      </w:r>
      <w:r>
        <w:rPr>
          <w:spacing w:val="3"/>
        </w:rPr>
        <w:t>el </w:t>
      </w:r>
      <w:r>
        <w:rPr/>
        <w:t>14% de las escuelas ubicadas </w:t>
      </w:r>
      <w:r>
        <w:rPr>
          <w:spacing w:val="3"/>
        </w:rPr>
        <w:t>en </w:t>
      </w:r>
      <w:r>
        <w:rPr/>
        <w:t>los estados de Michoacán y Oaxaca, respectivamente (Muñoz  Izquierdo </w:t>
      </w:r>
      <w:r>
        <w:rPr>
          <w:i/>
        </w:rPr>
        <w:t>et. al.</w:t>
      </w:r>
      <w:r>
        <w:rPr/>
        <w:t>,</w:t>
      </w:r>
      <w:r>
        <w:rPr>
          <w:spacing w:val="24"/>
        </w:rPr>
        <w:t> </w:t>
      </w:r>
      <w:r>
        <w:rPr/>
        <w:t>2010).</w:t>
      </w:r>
    </w:p>
    <w:p>
      <w:pPr>
        <w:pStyle w:val="BodyText"/>
        <w:rPr>
          <w:sz w:val="22"/>
        </w:rPr>
      </w:pPr>
    </w:p>
    <w:p>
      <w:pPr>
        <w:pStyle w:val="Heading3"/>
        <w:numPr>
          <w:ilvl w:val="2"/>
          <w:numId w:val="17"/>
        </w:numPr>
        <w:tabs>
          <w:tab w:pos="702" w:val="left" w:leader="none"/>
        </w:tabs>
        <w:spacing w:line="240" w:lineRule="auto" w:before="155" w:after="0"/>
        <w:ind w:left="701" w:right="0" w:hanging="586"/>
        <w:jc w:val="left"/>
      </w:pPr>
      <w:r>
        <w:rPr/>
        <w:t>Usos y abusos </w:t>
      </w:r>
      <w:r>
        <w:rPr>
          <w:spacing w:val="2"/>
        </w:rPr>
        <w:t>de </w:t>
      </w:r>
      <w:r>
        <w:rPr/>
        <w:t>las</w:t>
      </w:r>
      <w:r>
        <w:rPr>
          <w:spacing w:val="28"/>
        </w:rPr>
        <w:t> </w:t>
      </w:r>
      <w:r>
        <w:rPr/>
        <w:t>pruebas</w:t>
      </w:r>
    </w:p>
    <w:p>
      <w:pPr>
        <w:pStyle w:val="BodyText"/>
        <w:spacing w:line="364" w:lineRule="auto" w:before="138"/>
        <w:ind w:left="115" w:right="110"/>
      </w:pPr>
      <w:r>
        <w:rPr/>
        <w:t>Como se mencionó antes, las pruebas Enlace están destinadas a evaluar el grado en  el  que  cada  estudiante  alcanzó  determinados  objetivos  de  los   respectivos</w:t>
      </w:r>
    </w:p>
    <w:p>
      <w:pPr>
        <w:pStyle w:val="BodyText"/>
        <w:rPr>
          <w:sz w:val="20"/>
        </w:rPr>
      </w:pPr>
    </w:p>
    <w:p>
      <w:pPr>
        <w:pStyle w:val="BodyText"/>
        <w:rPr>
          <w:sz w:val="12"/>
        </w:rPr>
      </w:pPr>
      <w:r>
        <w:rPr/>
        <w:pict>
          <v:line style="position:absolute;mso-position-horizontal-relative:page;mso-position-vertical-relative:paragraph;z-index:3256;mso-wrap-distance-left:0;mso-wrap-distance-right:0" from="82.799004pt,9.266186pt" to="222.958004pt,9.266186pt" stroked="true" strokeweight=".72pt" strokecolor="#000000">
            <w10:wrap type="topAndBottom"/>
          </v:line>
        </w:pict>
      </w:r>
    </w:p>
    <w:p>
      <w:pPr>
        <w:spacing w:line="247" w:lineRule="auto" w:before="56"/>
        <w:ind w:left="115" w:right="191" w:firstLine="0"/>
        <w:jc w:val="left"/>
        <w:rPr>
          <w:sz w:val="19"/>
        </w:rPr>
      </w:pPr>
      <w:r>
        <w:rPr>
          <w:rFonts w:ascii="Times New Roman"/>
          <w:w w:val="105"/>
          <w:position w:val="9"/>
          <w:sz w:val="12"/>
        </w:rPr>
        <w:t>54 </w:t>
      </w:r>
      <w:r>
        <w:rPr>
          <w:w w:val="105"/>
          <w:sz w:val="19"/>
        </w:rPr>
        <w:t>La SEP distribuye el aprovechamiento entre cuatro niveles: insuficiente. elemental, bueno y excelente</w:t>
      </w:r>
    </w:p>
    <w:p>
      <w:pPr>
        <w:spacing w:after="0" w:line="247" w:lineRule="auto"/>
        <w:jc w:val="left"/>
        <w:rPr>
          <w:sz w:val="19"/>
        </w:rPr>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7"/>
        <w:jc w:val="both"/>
      </w:pPr>
      <w:r>
        <w:rPr/>
        <w:t>planes y programas de estudios. Evidentemente, para desempeñar esta función es necesario que las pruebas satisfagan adecuadamente, al menos, dos condiciones. La primera consiste en que ellas sean realmente capaces de evaluar los objetivos curriculares hacia los que estén dirigidas (es decir que, desde una perspectiva técnica,  hayan  sido  correctamente  diseñadas,  considerando  las  condiciones   y</w:t>
      </w:r>
    </w:p>
    <w:p>
      <w:pPr>
        <w:pStyle w:val="BodyText"/>
        <w:spacing w:line="350" w:lineRule="auto" w:before="5"/>
        <w:ind w:left="115" w:right="107"/>
        <w:jc w:val="both"/>
      </w:pPr>
      <w:r>
        <w:rPr/>
        <w:t>costumbres de cada uno de los grupos de estudiantes destinatarios de las mismas).</w:t>
      </w:r>
      <w:r>
        <w:rPr>
          <w:position w:val="11"/>
          <w:sz w:val="15"/>
        </w:rPr>
        <w:t>55 </w:t>
      </w:r>
      <w:r>
        <w:rPr/>
        <w:t>La segunda consiste en asegurar que los procedimientos seguidos al aplicarlas sean impecables; </w:t>
      </w:r>
      <w:r>
        <w:rPr>
          <w:spacing w:val="-5"/>
        </w:rPr>
        <w:t>lo </w:t>
      </w:r>
      <w:r>
        <w:rPr/>
        <w:t>que supone evitar que </w:t>
      </w:r>
      <w:r>
        <w:rPr>
          <w:spacing w:val="2"/>
        </w:rPr>
        <w:t>se </w:t>
      </w:r>
      <w:r>
        <w:rPr/>
        <w:t>incurra en prácticas como  </w:t>
      </w:r>
      <w:r>
        <w:rPr>
          <w:spacing w:val="-5"/>
        </w:rPr>
        <w:t>la </w:t>
      </w:r>
      <w:r>
        <w:rPr/>
        <w:t>de copiar, recibir alguna ayuda durante la aplicación de las mismas, o modificar alargando o recortando- </w:t>
      </w:r>
      <w:r>
        <w:rPr>
          <w:spacing w:val="-3"/>
        </w:rPr>
        <w:t>los </w:t>
      </w:r>
      <w:r>
        <w:rPr/>
        <w:t>tiempos previstos para </w:t>
      </w:r>
      <w:r>
        <w:rPr>
          <w:spacing w:val="17"/>
        </w:rPr>
        <w:t> </w:t>
      </w:r>
      <w:r>
        <w:rPr/>
        <w:t>resolverlas</w:t>
      </w:r>
      <w:r>
        <w:rPr>
          <w:position w:val="11"/>
          <w:sz w:val="15"/>
        </w:rPr>
        <w:t>56</w:t>
      </w:r>
      <w:r>
        <w:rPr/>
        <w:t>.</w:t>
      </w:r>
    </w:p>
    <w:p>
      <w:pPr>
        <w:pStyle w:val="BodyText"/>
        <w:spacing w:line="364" w:lineRule="auto" w:before="3"/>
        <w:ind w:left="115" w:right="104" w:firstLine="686"/>
        <w:jc w:val="both"/>
      </w:pPr>
      <w:r>
        <w:rPr/>
        <w:t>Con frecuencia han aparecido en la prensa varios cuestionamientos </w:t>
      </w:r>
      <w:r>
        <w:rPr>
          <w:spacing w:val="-3"/>
        </w:rPr>
        <w:t>que </w:t>
      </w:r>
      <w:r>
        <w:rPr/>
        <w:t>ponen en duda la utilidad de las pruebas que estamos comentando (o, al menos,    </w:t>
      </w:r>
      <w:r>
        <w:rPr>
          <w:spacing w:val="-5"/>
        </w:rPr>
        <w:t>la </w:t>
      </w:r>
      <w:r>
        <w:rPr/>
        <w:t>de algunas formas </w:t>
      </w:r>
      <w:r>
        <w:rPr>
          <w:spacing w:val="-3"/>
        </w:rPr>
        <w:t>de </w:t>
      </w:r>
      <w:r>
        <w:rPr/>
        <w:t>utilizarlas). Por un lado, </w:t>
      </w:r>
      <w:r>
        <w:rPr>
          <w:spacing w:val="4"/>
        </w:rPr>
        <w:t>se </w:t>
      </w:r>
      <w:r>
        <w:rPr/>
        <w:t>ha afirmado que ellas no  pueden  servir  para  evaluar  integralmente  la  calidad  de  </w:t>
      </w:r>
      <w:r>
        <w:rPr>
          <w:spacing w:val="-3"/>
        </w:rPr>
        <w:t>la  </w:t>
      </w:r>
      <w:r>
        <w:rPr/>
        <w:t>educación.  Esto  </w:t>
      </w:r>
      <w:r>
        <w:rPr>
          <w:spacing w:val="10"/>
        </w:rPr>
        <w:t> </w:t>
      </w:r>
      <w:r>
        <w:rPr>
          <w:spacing w:val="-3"/>
        </w:rPr>
        <w:t>es</w:t>
      </w:r>
    </w:p>
    <w:p>
      <w:pPr>
        <w:pStyle w:val="BodyText"/>
        <w:spacing w:line="328" w:lineRule="auto" w:before="5"/>
        <w:ind w:left="115" w:right="114"/>
        <w:jc w:val="both"/>
        <w:rPr>
          <w:sz w:val="15"/>
        </w:rPr>
      </w:pPr>
      <w:r>
        <w:rPr/>
        <w:t>evidente, porque una evaluación de esa envergadura no se encuentra entre los propósitos de las pruebas mencionadas.</w:t>
      </w:r>
      <w:r>
        <w:rPr>
          <w:position w:val="11"/>
          <w:sz w:val="15"/>
        </w:rPr>
        <w:t>57</w:t>
      </w:r>
    </w:p>
    <w:p>
      <w:pPr>
        <w:pStyle w:val="BodyText"/>
        <w:rPr>
          <w:sz w:val="20"/>
        </w:rPr>
      </w:pPr>
    </w:p>
    <w:p>
      <w:pPr>
        <w:pStyle w:val="BodyText"/>
        <w:spacing w:before="6"/>
        <w:rPr>
          <w:sz w:val="22"/>
        </w:rPr>
      </w:pPr>
      <w:r>
        <w:rPr/>
        <w:pict>
          <v:line style="position:absolute;mso-position-horizontal-relative:page;mso-position-vertical-relative:paragraph;z-index:3280;mso-wrap-distance-left:0;mso-wrap-distance-right:0" from="82.799004pt,15.178648pt" to="222.958004pt,15.178648pt" stroked="true" strokeweight=".479pt" strokecolor="#000000">
            <w10:wrap type="topAndBottom"/>
          </v:line>
        </w:pict>
      </w:r>
    </w:p>
    <w:p>
      <w:pPr>
        <w:spacing w:line="247" w:lineRule="auto" w:before="56"/>
        <w:ind w:left="115" w:right="100" w:firstLine="0"/>
        <w:jc w:val="both"/>
        <w:rPr>
          <w:sz w:val="19"/>
        </w:rPr>
      </w:pPr>
      <w:r>
        <w:rPr>
          <w:rFonts w:ascii="Times New Roman" w:hAnsi="Times New Roman"/>
          <w:spacing w:val="-3"/>
          <w:w w:val="105"/>
          <w:position w:val="9"/>
          <w:sz w:val="12"/>
        </w:rPr>
        <w:t>55</w:t>
      </w:r>
      <w:r>
        <w:rPr>
          <w:rFonts w:ascii="Times New Roman" w:hAnsi="Times New Roman"/>
          <w:spacing w:val="25"/>
          <w:w w:val="105"/>
          <w:position w:val="9"/>
          <w:sz w:val="12"/>
        </w:rPr>
        <w:t> </w:t>
      </w:r>
      <w:r>
        <w:rPr>
          <w:w w:val="105"/>
          <w:sz w:val="19"/>
        </w:rPr>
        <w:t>Por esta razón, </w:t>
      </w:r>
      <w:r>
        <w:rPr>
          <w:spacing w:val="-4"/>
          <w:w w:val="105"/>
          <w:sz w:val="19"/>
        </w:rPr>
        <w:t>se </w:t>
      </w:r>
      <w:r>
        <w:rPr>
          <w:w w:val="105"/>
          <w:sz w:val="19"/>
        </w:rPr>
        <w:t>ha insistido en la necesidad de que las pruebas </w:t>
      </w:r>
      <w:r>
        <w:rPr>
          <w:spacing w:val="-3"/>
          <w:w w:val="105"/>
          <w:sz w:val="19"/>
        </w:rPr>
        <w:t>no </w:t>
      </w:r>
      <w:r>
        <w:rPr>
          <w:w w:val="105"/>
          <w:sz w:val="19"/>
        </w:rPr>
        <w:t>contengan sesgos culturales lo cual difícilmente </w:t>
      </w:r>
      <w:r>
        <w:rPr>
          <w:spacing w:val="-4"/>
          <w:w w:val="105"/>
          <w:sz w:val="19"/>
        </w:rPr>
        <w:t>se </w:t>
      </w:r>
      <w:r>
        <w:rPr>
          <w:w w:val="105"/>
          <w:sz w:val="19"/>
        </w:rPr>
        <w:t>puede lograr en un país que, como el nuestro, se enorgullece </w:t>
      </w:r>
      <w:r>
        <w:rPr>
          <w:spacing w:val="-4"/>
          <w:w w:val="105"/>
          <w:sz w:val="19"/>
        </w:rPr>
        <w:t>de </w:t>
      </w:r>
      <w:r>
        <w:rPr>
          <w:w w:val="105"/>
          <w:sz w:val="19"/>
        </w:rPr>
        <w:t>su propia multiculturalidad. También se ha señalado la necesidad de que los alumnos estén debidamente entrenados para responder preguntas </w:t>
      </w:r>
      <w:r>
        <w:rPr>
          <w:spacing w:val="-3"/>
          <w:w w:val="105"/>
          <w:sz w:val="19"/>
        </w:rPr>
        <w:t>de </w:t>
      </w:r>
      <w:r>
        <w:rPr>
          <w:w w:val="105"/>
          <w:sz w:val="19"/>
        </w:rPr>
        <w:t>opción múltiple, y para proporcionar sus respuestas</w:t>
      </w:r>
      <w:r>
        <w:rPr>
          <w:spacing w:val="-11"/>
          <w:w w:val="105"/>
          <w:sz w:val="19"/>
        </w:rPr>
        <w:t> </w:t>
      </w:r>
      <w:r>
        <w:rPr>
          <w:w w:val="105"/>
          <w:sz w:val="19"/>
        </w:rPr>
        <w:t>en</w:t>
      </w:r>
      <w:r>
        <w:rPr>
          <w:spacing w:val="-8"/>
          <w:w w:val="105"/>
          <w:sz w:val="19"/>
        </w:rPr>
        <w:t> </w:t>
      </w:r>
      <w:r>
        <w:rPr>
          <w:w w:val="105"/>
          <w:sz w:val="19"/>
        </w:rPr>
        <w:t>forma</w:t>
      </w:r>
      <w:r>
        <w:rPr>
          <w:spacing w:val="-11"/>
          <w:w w:val="105"/>
          <w:sz w:val="19"/>
        </w:rPr>
        <w:t> </w:t>
      </w:r>
      <w:r>
        <w:rPr>
          <w:w w:val="105"/>
          <w:sz w:val="19"/>
        </w:rPr>
        <w:t>adecuada</w:t>
      </w:r>
      <w:r>
        <w:rPr>
          <w:spacing w:val="-8"/>
          <w:w w:val="105"/>
          <w:sz w:val="19"/>
        </w:rPr>
        <w:t> </w:t>
      </w:r>
      <w:r>
        <w:rPr>
          <w:w w:val="105"/>
          <w:sz w:val="19"/>
        </w:rPr>
        <w:t>(lo</w:t>
      </w:r>
      <w:r>
        <w:rPr>
          <w:spacing w:val="-8"/>
          <w:w w:val="105"/>
          <w:sz w:val="19"/>
        </w:rPr>
        <w:t> </w:t>
      </w:r>
      <w:r>
        <w:rPr>
          <w:w w:val="105"/>
          <w:sz w:val="19"/>
        </w:rPr>
        <w:t>que</w:t>
      </w:r>
      <w:r>
        <w:rPr>
          <w:spacing w:val="-5"/>
          <w:w w:val="105"/>
          <w:sz w:val="19"/>
        </w:rPr>
        <w:t> </w:t>
      </w:r>
      <w:r>
        <w:rPr>
          <w:spacing w:val="-3"/>
          <w:w w:val="105"/>
          <w:sz w:val="19"/>
        </w:rPr>
        <w:t>implica</w:t>
      </w:r>
      <w:r>
        <w:rPr>
          <w:spacing w:val="-5"/>
          <w:w w:val="105"/>
          <w:sz w:val="19"/>
        </w:rPr>
        <w:t> </w:t>
      </w:r>
      <w:r>
        <w:rPr>
          <w:w w:val="105"/>
          <w:sz w:val="19"/>
        </w:rPr>
        <w:t>saber</w:t>
      </w:r>
      <w:r>
        <w:rPr>
          <w:spacing w:val="-11"/>
          <w:w w:val="105"/>
          <w:sz w:val="19"/>
        </w:rPr>
        <w:t> </w:t>
      </w:r>
      <w:r>
        <w:rPr>
          <w:w w:val="105"/>
          <w:sz w:val="19"/>
        </w:rPr>
        <w:t>llenar</w:t>
      </w:r>
      <w:r>
        <w:rPr>
          <w:spacing w:val="-11"/>
          <w:w w:val="105"/>
          <w:sz w:val="19"/>
        </w:rPr>
        <w:t> </w:t>
      </w:r>
      <w:r>
        <w:rPr>
          <w:w w:val="105"/>
          <w:sz w:val="19"/>
        </w:rPr>
        <w:t>correctamente</w:t>
      </w:r>
      <w:r>
        <w:rPr>
          <w:spacing w:val="-8"/>
          <w:w w:val="105"/>
          <w:sz w:val="19"/>
        </w:rPr>
        <w:t> </w:t>
      </w:r>
      <w:r>
        <w:rPr>
          <w:w w:val="105"/>
          <w:sz w:val="19"/>
        </w:rPr>
        <w:t>los</w:t>
      </w:r>
      <w:r>
        <w:rPr>
          <w:spacing w:val="-8"/>
          <w:w w:val="105"/>
          <w:sz w:val="19"/>
        </w:rPr>
        <w:t> </w:t>
      </w:r>
      <w:r>
        <w:rPr>
          <w:w w:val="105"/>
          <w:sz w:val="19"/>
        </w:rPr>
        <w:t>espacios</w:t>
      </w:r>
      <w:r>
        <w:rPr>
          <w:spacing w:val="-11"/>
          <w:w w:val="105"/>
          <w:sz w:val="19"/>
        </w:rPr>
        <w:t> </w:t>
      </w:r>
      <w:r>
        <w:rPr>
          <w:w w:val="105"/>
          <w:sz w:val="19"/>
        </w:rPr>
        <w:t>destinados a</w:t>
      </w:r>
      <w:r>
        <w:rPr>
          <w:spacing w:val="-10"/>
          <w:w w:val="105"/>
          <w:sz w:val="19"/>
        </w:rPr>
        <w:t> </w:t>
      </w:r>
      <w:r>
        <w:rPr>
          <w:w w:val="105"/>
          <w:sz w:val="19"/>
        </w:rPr>
        <w:t>recabarlas)-</w:t>
      </w:r>
      <w:r>
        <w:rPr>
          <w:spacing w:val="-11"/>
          <w:w w:val="105"/>
          <w:sz w:val="19"/>
        </w:rPr>
        <w:t> </w:t>
      </w:r>
      <w:r>
        <w:rPr>
          <w:w w:val="105"/>
          <w:sz w:val="19"/>
        </w:rPr>
        <w:t>Es</w:t>
      </w:r>
      <w:r>
        <w:rPr>
          <w:spacing w:val="-14"/>
          <w:w w:val="105"/>
          <w:sz w:val="19"/>
        </w:rPr>
        <w:t> </w:t>
      </w:r>
      <w:r>
        <w:rPr>
          <w:spacing w:val="-3"/>
          <w:w w:val="105"/>
          <w:sz w:val="19"/>
        </w:rPr>
        <w:t>obvio</w:t>
      </w:r>
      <w:r>
        <w:rPr>
          <w:spacing w:val="-10"/>
          <w:w w:val="105"/>
          <w:sz w:val="19"/>
        </w:rPr>
        <w:t> </w:t>
      </w:r>
      <w:r>
        <w:rPr>
          <w:w w:val="105"/>
          <w:sz w:val="19"/>
        </w:rPr>
        <w:t>que</w:t>
      </w:r>
      <w:r>
        <w:rPr>
          <w:spacing w:val="-10"/>
          <w:w w:val="105"/>
          <w:sz w:val="19"/>
        </w:rPr>
        <w:t> </w:t>
      </w:r>
      <w:r>
        <w:rPr>
          <w:w w:val="105"/>
          <w:sz w:val="19"/>
        </w:rPr>
        <w:t>estas</w:t>
      </w:r>
      <w:r>
        <w:rPr>
          <w:spacing w:val="-11"/>
          <w:w w:val="105"/>
          <w:sz w:val="19"/>
        </w:rPr>
        <w:t> </w:t>
      </w:r>
      <w:r>
        <w:rPr>
          <w:w w:val="105"/>
          <w:sz w:val="19"/>
        </w:rPr>
        <w:t>condiciones</w:t>
      </w:r>
      <w:r>
        <w:rPr>
          <w:spacing w:val="-11"/>
          <w:w w:val="105"/>
          <w:sz w:val="19"/>
        </w:rPr>
        <w:t> </w:t>
      </w:r>
      <w:r>
        <w:rPr>
          <w:w w:val="105"/>
          <w:sz w:val="19"/>
        </w:rPr>
        <w:t>no</w:t>
      </w:r>
      <w:r>
        <w:rPr>
          <w:spacing w:val="-11"/>
          <w:w w:val="105"/>
          <w:sz w:val="19"/>
        </w:rPr>
        <w:t> </w:t>
      </w:r>
      <w:r>
        <w:rPr>
          <w:w w:val="105"/>
          <w:sz w:val="19"/>
        </w:rPr>
        <w:t>pueden</w:t>
      </w:r>
      <w:r>
        <w:rPr>
          <w:spacing w:val="-10"/>
          <w:w w:val="105"/>
          <w:sz w:val="19"/>
        </w:rPr>
        <w:t> </w:t>
      </w:r>
      <w:r>
        <w:rPr>
          <w:w w:val="105"/>
          <w:sz w:val="19"/>
        </w:rPr>
        <w:t>ser</w:t>
      </w:r>
      <w:r>
        <w:rPr>
          <w:spacing w:val="-11"/>
          <w:w w:val="105"/>
          <w:sz w:val="19"/>
        </w:rPr>
        <w:t> </w:t>
      </w:r>
      <w:r>
        <w:rPr>
          <w:w w:val="105"/>
          <w:sz w:val="19"/>
        </w:rPr>
        <w:t>satisfechas</w:t>
      </w:r>
      <w:r>
        <w:rPr>
          <w:spacing w:val="-11"/>
          <w:w w:val="105"/>
          <w:sz w:val="19"/>
        </w:rPr>
        <w:t> </w:t>
      </w:r>
      <w:r>
        <w:rPr>
          <w:w w:val="105"/>
          <w:sz w:val="19"/>
        </w:rPr>
        <w:t>de</w:t>
      </w:r>
      <w:r>
        <w:rPr>
          <w:spacing w:val="-11"/>
          <w:w w:val="105"/>
          <w:sz w:val="19"/>
        </w:rPr>
        <w:t> </w:t>
      </w:r>
      <w:r>
        <w:rPr>
          <w:w w:val="105"/>
          <w:sz w:val="19"/>
        </w:rPr>
        <w:t>la</w:t>
      </w:r>
      <w:r>
        <w:rPr>
          <w:spacing w:val="-11"/>
          <w:w w:val="105"/>
          <w:sz w:val="19"/>
        </w:rPr>
        <w:t> </w:t>
      </w:r>
      <w:r>
        <w:rPr>
          <w:w w:val="105"/>
          <w:sz w:val="19"/>
        </w:rPr>
        <w:t>noche</w:t>
      </w:r>
      <w:r>
        <w:rPr>
          <w:spacing w:val="-10"/>
          <w:w w:val="105"/>
          <w:sz w:val="19"/>
        </w:rPr>
        <w:t> </w:t>
      </w:r>
      <w:r>
        <w:rPr>
          <w:w w:val="105"/>
          <w:sz w:val="19"/>
        </w:rPr>
        <w:t>a</w:t>
      </w:r>
      <w:r>
        <w:rPr>
          <w:spacing w:val="-11"/>
          <w:w w:val="105"/>
          <w:sz w:val="19"/>
        </w:rPr>
        <w:t> </w:t>
      </w:r>
      <w:r>
        <w:rPr>
          <w:w w:val="105"/>
          <w:sz w:val="19"/>
        </w:rPr>
        <w:t>la</w:t>
      </w:r>
      <w:r>
        <w:rPr>
          <w:spacing w:val="-11"/>
          <w:w w:val="105"/>
          <w:sz w:val="19"/>
        </w:rPr>
        <w:t> </w:t>
      </w:r>
      <w:r>
        <w:rPr>
          <w:w w:val="105"/>
          <w:sz w:val="19"/>
        </w:rPr>
        <w:t>mañana, aunque se debe reconocer que la SEP toma </w:t>
      </w:r>
      <w:r>
        <w:rPr>
          <w:spacing w:val="-3"/>
          <w:w w:val="105"/>
          <w:sz w:val="19"/>
        </w:rPr>
        <w:t>un </w:t>
      </w:r>
      <w:r>
        <w:rPr>
          <w:w w:val="105"/>
          <w:sz w:val="19"/>
        </w:rPr>
        <w:t>conjunto de medidas destinadas a asegurar la debida</w:t>
      </w:r>
      <w:r>
        <w:rPr>
          <w:spacing w:val="-5"/>
          <w:w w:val="105"/>
          <w:sz w:val="19"/>
        </w:rPr>
        <w:t> </w:t>
      </w:r>
      <w:r>
        <w:rPr>
          <w:w w:val="105"/>
          <w:sz w:val="19"/>
        </w:rPr>
        <w:t>aplicación</w:t>
      </w:r>
      <w:r>
        <w:rPr>
          <w:spacing w:val="-7"/>
          <w:w w:val="105"/>
          <w:sz w:val="19"/>
        </w:rPr>
        <w:t> </w:t>
      </w:r>
      <w:r>
        <w:rPr>
          <w:w w:val="105"/>
          <w:sz w:val="19"/>
        </w:rPr>
        <w:t>de</w:t>
      </w:r>
      <w:r>
        <w:rPr>
          <w:spacing w:val="-7"/>
          <w:w w:val="105"/>
          <w:sz w:val="19"/>
        </w:rPr>
        <w:t> </w:t>
      </w:r>
      <w:r>
        <w:rPr>
          <w:w w:val="105"/>
          <w:sz w:val="19"/>
        </w:rPr>
        <w:t>dichas</w:t>
      </w:r>
      <w:r>
        <w:rPr>
          <w:spacing w:val="-7"/>
          <w:w w:val="105"/>
          <w:sz w:val="19"/>
        </w:rPr>
        <w:t> </w:t>
      </w:r>
      <w:r>
        <w:rPr>
          <w:w w:val="105"/>
          <w:sz w:val="19"/>
        </w:rPr>
        <w:t>pruebas</w:t>
      </w:r>
      <w:r>
        <w:rPr>
          <w:spacing w:val="-7"/>
          <w:w w:val="105"/>
          <w:sz w:val="19"/>
        </w:rPr>
        <w:t> </w:t>
      </w:r>
      <w:r>
        <w:rPr>
          <w:w w:val="105"/>
          <w:sz w:val="19"/>
        </w:rPr>
        <w:t>(entre</w:t>
      </w:r>
      <w:r>
        <w:rPr>
          <w:spacing w:val="-7"/>
          <w:w w:val="105"/>
          <w:sz w:val="19"/>
        </w:rPr>
        <w:t> </w:t>
      </w:r>
      <w:r>
        <w:rPr>
          <w:w w:val="105"/>
          <w:sz w:val="19"/>
        </w:rPr>
        <w:t>las</w:t>
      </w:r>
      <w:r>
        <w:rPr>
          <w:spacing w:val="-7"/>
          <w:w w:val="105"/>
          <w:sz w:val="19"/>
        </w:rPr>
        <w:t> </w:t>
      </w:r>
      <w:r>
        <w:rPr>
          <w:w w:val="105"/>
          <w:sz w:val="19"/>
        </w:rPr>
        <w:t>que,</w:t>
      </w:r>
      <w:r>
        <w:rPr>
          <w:spacing w:val="-7"/>
          <w:w w:val="105"/>
          <w:sz w:val="19"/>
        </w:rPr>
        <w:t> </w:t>
      </w:r>
      <w:r>
        <w:rPr>
          <w:w w:val="105"/>
          <w:sz w:val="19"/>
        </w:rPr>
        <w:t>se</w:t>
      </w:r>
      <w:r>
        <w:rPr>
          <w:spacing w:val="-11"/>
          <w:w w:val="105"/>
          <w:sz w:val="19"/>
        </w:rPr>
        <w:t> </w:t>
      </w:r>
      <w:r>
        <w:rPr>
          <w:w w:val="105"/>
          <w:sz w:val="19"/>
        </w:rPr>
        <w:t>encuentra</w:t>
      </w:r>
      <w:r>
        <w:rPr>
          <w:spacing w:val="-7"/>
          <w:w w:val="105"/>
          <w:sz w:val="19"/>
        </w:rPr>
        <w:t> </w:t>
      </w:r>
      <w:r>
        <w:rPr>
          <w:w w:val="105"/>
          <w:sz w:val="19"/>
        </w:rPr>
        <w:t>la</w:t>
      </w:r>
      <w:r>
        <w:rPr>
          <w:spacing w:val="-11"/>
          <w:w w:val="105"/>
          <w:sz w:val="19"/>
        </w:rPr>
        <w:t> </w:t>
      </w:r>
      <w:r>
        <w:rPr>
          <w:w w:val="105"/>
          <w:sz w:val="19"/>
        </w:rPr>
        <w:t>participación</w:t>
      </w:r>
      <w:r>
        <w:rPr>
          <w:spacing w:val="-7"/>
          <w:w w:val="105"/>
          <w:sz w:val="19"/>
        </w:rPr>
        <w:t> </w:t>
      </w:r>
      <w:r>
        <w:rPr>
          <w:w w:val="105"/>
          <w:sz w:val="19"/>
        </w:rPr>
        <w:t>de</w:t>
      </w:r>
      <w:r>
        <w:rPr>
          <w:spacing w:val="-7"/>
          <w:w w:val="105"/>
          <w:sz w:val="19"/>
        </w:rPr>
        <w:t> </w:t>
      </w:r>
      <w:r>
        <w:rPr>
          <w:w w:val="105"/>
          <w:sz w:val="19"/>
        </w:rPr>
        <w:t>los</w:t>
      </w:r>
      <w:r>
        <w:rPr>
          <w:spacing w:val="-7"/>
          <w:w w:val="105"/>
          <w:sz w:val="19"/>
        </w:rPr>
        <w:t> </w:t>
      </w:r>
      <w:r>
        <w:rPr>
          <w:w w:val="105"/>
          <w:sz w:val="19"/>
        </w:rPr>
        <w:t>padres</w:t>
      </w:r>
      <w:r>
        <w:rPr>
          <w:spacing w:val="-7"/>
          <w:w w:val="105"/>
          <w:sz w:val="19"/>
        </w:rPr>
        <w:t> </w:t>
      </w:r>
      <w:r>
        <w:rPr>
          <w:w w:val="105"/>
          <w:sz w:val="19"/>
        </w:rPr>
        <w:t>de familia como observadores </w:t>
      </w:r>
      <w:r>
        <w:rPr>
          <w:spacing w:val="-3"/>
          <w:w w:val="105"/>
          <w:sz w:val="19"/>
        </w:rPr>
        <w:t>de </w:t>
      </w:r>
      <w:r>
        <w:rPr>
          <w:w w:val="105"/>
          <w:sz w:val="19"/>
        </w:rPr>
        <w:t>ese proceso, aún cuando los mismos padres o tutores hayan adquirido</w:t>
      </w:r>
      <w:r>
        <w:rPr>
          <w:spacing w:val="-26"/>
          <w:w w:val="105"/>
          <w:sz w:val="19"/>
        </w:rPr>
        <w:t> </w:t>
      </w:r>
      <w:r>
        <w:rPr>
          <w:w w:val="105"/>
          <w:sz w:val="19"/>
        </w:rPr>
        <w:t>escasas</w:t>
      </w:r>
      <w:r>
        <w:rPr>
          <w:spacing w:val="-28"/>
          <w:w w:val="105"/>
          <w:sz w:val="19"/>
        </w:rPr>
        <w:t> </w:t>
      </w:r>
      <w:r>
        <w:rPr>
          <w:w w:val="105"/>
          <w:sz w:val="19"/>
        </w:rPr>
        <w:t>dosis</w:t>
      </w:r>
      <w:r>
        <w:rPr>
          <w:spacing w:val="-28"/>
          <w:w w:val="105"/>
          <w:sz w:val="19"/>
        </w:rPr>
        <w:t> </w:t>
      </w:r>
      <w:r>
        <w:rPr>
          <w:spacing w:val="3"/>
          <w:w w:val="105"/>
          <w:sz w:val="19"/>
        </w:rPr>
        <w:t>de</w:t>
      </w:r>
      <w:r>
        <w:rPr>
          <w:spacing w:val="-28"/>
          <w:w w:val="105"/>
          <w:sz w:val="19"/>
        </w:rPr>
        <w:t> </w:t>
      </w:r>
      <w:r>
        <w:rPr>
          <w:w w:val="105"/>
          <w:sz w:val="19"/>
        </w:rPr>
        <w:t>escolaridad).</w:t>
      </w:r>
    </w:p>
    <w:p>
      <w:pPr>
        <w:spacing w:line="219" w:lineRule="exact" w:before="0"/>
        <w:ind w:left="115" w:right="0" w:firstLine="0"/>
        <w:jc w:val="both"/>
        <w:rPr>
          <w:sz w:val="19"/>
        </w:rPr>
      </w:pPr>
      <w:r>
        <w:rPr>
          <w:rFonts w:ascii="Times New Roman" w:hAnsi="Times New Roman"/>
          <w:spacing w:val="-3"/>
          <w:w w:val="105"/>
          <w:position w:val="9"/>
          <w:sz w:val="12"/>
        </w:rPr>
        <w:t>56</w:t>
      </w:r>
      <w:r>
        <w:rPr>
          <w:rFonts w:ascii="Times New Roman" w:hAnsi="Times New Roman"/>
          <w:spacing w:val="12"/>
          <w:w w:val="105"/>
          <w:position w:val="9"/>
          <w:sz w:val="12"/>
        </w:rPr>
        <w:t> </w:t>
      </w:r>
      <w:r>
        <w:rPr>
          <w:w w:val="105"/>
          <w:sz w:val="19"/>
        </w:rPr>
        <w:t>Para</w:t>
      </w:r>
      <w:r>
        <w:rPr>
          <w:spacing w:val="-12"/>
          <w:w w:val="105"/>
          <w:sz w:val="19"/>
        </w:rPr>
        <w:t> </w:t>
      </w:r>
      <w:r>
        <w:rPr>
          <w:w w:val="105"/>
          <w:sz w:val="19"/>
        </w:rPr>
        <w:t>cumplir</w:t>
      </w:r>
      <w:r>
        <w:rPr>
          <w:spacing w:val="-12"/>
          <w:w w:val="105"/>
          <w:sz w:val="19"/>
        </w:rPr>
        <w:t> </w:t>
      </w:r>
      <w:r>
        <w:rPr>
          <w:w w:val="105"/>
          <w:sz w:val="19"/>
        </w:rPr>
        <w:t>esta</w:t>
      </w:r>
      <w:r>
        <w:rPr>
          <w:spacing w:val="-16"/>
          <w:w w:val="105"/>
          <w:sz w:val="19"/>
        </w:rPr>
        <w:t> </w:t>
      </w:r>
      <w:r>
        <w:rPr>
          <w:w w:val="105"/>
          <w:sz w:val="19"/>
        </w:rPr>
        <w:t>condición,</w:t>
      </w:r>
      <w:r>
        <w:rPr>
          <w:spacing w:val="-16"/>
          <w:w w:val="105"/>
          <w:sz w:val="19"/>
        </w:rPr>
        <w:t> </w:t>
      </w:r>
      <w:r>
        <w:rPr>
          <w:w w:val="105"/>
          <w:sz w:val="19"/>
        </w:rPr>
        <w:t>la</w:t>
      </w:r>
      <w:r>
        <w:rPr>
          <w:spacing w:val="-12"/>
          <w:w w:val="105"/>
          <w:sz w:val="19"/>
        </w:rPr>
        <w:t> </w:t>
      </w:r>
      <w:r>
        <w:rPr>
          <w:w w:val="105"/>
          <w:sz w:val="19"/>
        </w:rPr>
        <w:t>SEP</w:t>
      </w:r>
      <w:r>
        <w:rPr>
          <w:spacing w:val="-15"/>
          <w:w w:val="105"/>
          <w:sz w:val="19"/>
        </w:rPr>
        <w:t> </w:t>
      </w:r>
      <w:r>
        <w:rPr>
          <w:w w:val="105"/>
          <w:sz w:val="19"/>
        </w:rPr>
        <w:t>sólo</w:t>
      </w:r>
      <w:r>
        <w:rPr>
          <w:spacing w:val="-12"/>
          <w:w w:val="105"/>
          <w:sz w:val="19"/>
        </w:rPr>
        <w:t> </w:t>
      </w:r>
      <w:r>
        <w:rPr>
          <w:w w:val="105"/>
          <w:sz w:val="19"/>
        </w:rPr>
        <w:t>publica</w:t>
      </w:r>
      <w:r>
        <w:rPr>
          <w:spacing w:val="-10"/>
          <w:w w:val="105"/>
          <w:sz w:val="19"/>
        </w:rPr>
        <w:t> </w:t>
      </w:r>
      <w:r>
        <w:rPr>
          <w:w w:val="105"/>
          <w:sz w:val="19"/>
        </w:rPr>
        <w:t>los</w:t>
      </w:r>
      <w:r>
        <w:rPr>
          <w:spacing w:val="-12"/>
          <w:w w:val="105"/>
          <w:sz w:val="19"/>
        </w:rPr>
        <w:t> </w:t>
      </w:r>
      <w:r>
        <w:rPr>
          <w:w w:val="105"/>
          <w:sz w:val="19"/>
        </w:rPr>
        <w:t>resultados</w:t>
      </w:r>
      <w:r>
        <w:rPr>
          <w:spacing w:val="-12"/>
          <w:w w:val="105"/>
          <w:sz w:val="19"/>
        </w:rPr>
        <w:t> </w:t>
      </w:r>
      <w:r>
        <w:rPr>
          <w:w w:val="105"/>
          <w:sz w:val="19"/>
        </w:rPr>
        <w:t>de</w:t>
      </w:r>
      <w:r>
        <w:rPr>
          <w:spacing w:val="-10"/>
          <w:w w:val="105"/>
          <w:sz w:val="19"/>
        </w:rPr>
        <w:t> </w:t>
      </w:r>
      <w:r>
        <w:rPr>
          <w:w w:val="105"/>
          <w:sz w:val="19"/>
        </w:rPr>
        <w:t>las</w:t>
      </w:r>
      <w:r>
        <w:rPr>
          <w:spacing w:val="-12"/>
          <w:w w:val="105"/>
          <w:sz w:val="19"/>
        </w:rPr>
        <w:t> </w:t>
      </w:r>
      <w:r>
        <w:rPr>
          <w:w w:val="105"/>
          <w:sz w:val="19"/>
        </w:rPr>
        <w:t>pruebas</w:t>
      </w:r>
      <w:r>
        <w:rPr>
          <w:spacing w:val="-16"/>
          <w:w w:val="105"/>
          <w:sz w:val="19"/>
        </w:rPr>
        <w:t> </w:t>
      </w:r>
      <w:r>
        <w:rPr>
          <w:w w:val="105"/>
          <w:sz w:val="19"/>
        </w:rPr>
        <w:t>después</w:t>
      </w:r>
      <w:r>
        <w:rPr>
          <w:spacing w:val="-16"/>
          <w:w w:val="105"/>
          <w:sz w:val="19"/>
        </w:rPr>
        <w:t> </w:t>
      </w:r>
      <w:r>
        <w:rPr>
          <w:w w:val="105"/>
          <w:sz w:val="19"/>
        </w:rPr>
        <w:t>de</w:t>
      </w:r>
      <w:r>
        <w:rPr>
          <w:spacing w:val="-10"/>
          <w:w w:val="105"/>
          <w:sz w:val="19"/>
        </w:rPr>
        <w:t> </w:t>
      </w:r>
      <w:r>
        <w:rPr>
          <w:w w:val="105"/>
          <w:sz w:val="19"/>
        </w:rPr>
        <w:t>haber</w:t>
      </w:r>
    </w:p>
    <w:p>
      <w:pPr>
        <w:spacing w:line="242" w:lineRule="auto" w:before="7"/>
        <w:ind w:left="115" w:right="102" w:firstLine="0"/>
        <w:jc w:val="both"/>
        <w:rPr>
          <w:sz w:val="19"/>
        </w:rPr>
      </w:pPr>
      <w:r>
        <w:rPr>
          <w:w w:val="105"/>
          <w:sz w:val="19"/>
        </w:rPr>
        <w:t>eliminado las que contengan las mismas respuestas erróneas; ya que es muy probable que las mismas hayan sido copiadas.</w:t>
      </w:r>
    </w:p>
    <w:p>
      <w:pPr>
        <w:spacing w:line="219" w:lineRule="exact" w:before="0"/>
        <w:ind w:left="115" w:right="0" w:firstLine="0"/>
        <w:jc w:val="both"/>
        <w:rPr>
          <w:sz w:val="19"/>
        </w:rPr>
      </w:pPr>
      <w:r>
        <w:rPr>
          <w:rFonts w:ascii="Times New Roman" w:hAnsi="Times New Roman"/>
          <w:w w:val="105"/>
          <w:position w:val="9"/>
          <w:sz w:val="12"/>
        </w:rPr>
        <w:t>57  </w:t>
      </w:r>
      <w:r>
        <w:rPr>
          <w:w w:val="105"/>
          <w:sz w:val="19"/>
        </w:rPr>
        <w:t>Conviene señalar que la misma acotación de los objetivos de las pruebas ha dado lugar a otra</w:t>
      </w:r>
    </w:p>
    <w:p>
      <w:pPr>
        <w:spacing w:line="244" w:lineRule="auto" w:before="12"/>
        <w:ind w:left="115" w:right="100" w:firstLine="0"/>
        <w:jc w:val="both"/>
        <w:rPr>
          <w:sz w:val="19"/>
        </w:rPr>
      </w:pPr>
      <w:r>
        <w:rPr>
          <w:w w:val="105"/>
          <w:sz w:val="19"/>
        </w:rPr>
        <w:t>crítica que algunos especialistas han hecho, frecuentemente, a las pruebas que estamos comentando. Según ellos, las pruebas pueden provocar que los maestros dediquen tiempos extraordinarios a realizar las actividades que son necesarias para que los alumnos contesten correctamente</w:t>
      </w:r>
      <w:r>
        <w:rPr>
          <w:spacing w:val="-10"/>
          <w:w w:val="105"/>
          <w:sz w:val="19"/>
        </w:rPr>
        <w:t> </w:t>
      </w:r>
      <w:r>
        <w:rPr>
          <w:w w:val="105"/>
          <w:sz w:val="19"/>
        </w:rPr>
        <w:t>los</w:t>
      </w:r>
      <w:r>
        <w:rPr>
          <w:spacing w:val="-10"/>
          <w:w w:val="105"/>
          <w:sz w:val="19"/>
        </w:rPr>
        <w:t> </w:t>
      </w:r>
      <w:r>
        <w:rPr>
          <w:w w:val="105"/>
          <w:sz w:val="19"/>
        </w:rPr>
        <w:t>reactivos</w:t>
      </w:r>
      <w:r>
        <w:rPr>
          <w:spacing w:val="-14"/>
          <w:w w:val="105"/>
          <w:sz w:val="19"/>
        </w:rPr>
        <w:t> </w:t>
      </w:r>
      <w:r>
        <w:rPr>
          <w:w w:val="105"/>
          <w:sz w:val="19"/>
        </w:rPr>
        <w:t>de</w:t>
      </w:r>
      <w:r>
        <w:rPr>
          <w:spacing w:val="-15"/>
          <w:w w:val="105"/>
          <w:sz w:val="19"/>
        </w:rPr>
        <w:t> </w:t>
      </w:r>
      <w:r>
        <w:rPr>
          <w:w w:val="105"/>
          <w:sz w:val="19"/>
        </w:rPr>
        <w:t>las</w:t>
      </w:r>
      <w:r>
        <w:rPr>
          <w:spacing w:val="-14"/>
          <w:w w:val="105"/>
          <w:sz w:val="19"/>
        </w:rPr>
        <w:t> </w:t>
      </w:r>
      <w:r>
        <w:rPr>
          <w:w w:val="105"/>
          <w:sz w:val="19"/>
        </w:rPr>
        <w:t>mismas.</w:t>
      </w:r>
      <w:r>
        <w:rPr>
          <w:spacing w:val="-10"/>
          <w:w w:val="105"/>
          <w:sz w:val="19"/>
        </w:rPr>
        <w:t> </w:t>
      </w:r>
      <w:r>
        <w:rPr>
          <w:spacing w:val="-3"/>
          <w:w w:val="105"/>
          <w:sz w:val="19"/>
        </w:rPr>
        <w:t>Sin</w:t>
      </w:r>
      <w:r>
        <w:rPr>
          <w:spacing w:val="-10"/>
          <w:w w:val="105"/>
          <w:sz w:val="19"/>
        </w:rPr>
        <w:t> </w:t>
      </w:r>
      <w:r>
        <w:rPr>
          <w:w w:val="105"/>
          <w:sz w:val="19"/>
        </w:rPr>
        <w:t>embargo,</w:t>
      </w:r>
      <w:r>
        <w:rPr>
          <w:spacing w:val="-10"/>
          <w:w w:val="105"/>
          <w:sz w:val="19"/>
        </w:rPr>
        <w:t> </w:t>
      </w:r>
      <w:r>
        <w:rPr>
          <w:w w:val="105"/>
          <w:sz w:val="19"/>
        </w:rPr>
        <w:t>si</w:t>
      </w:r>
      <w:r>
        <w:rPr>
          <w:spacing w:val="-13"/>
          <w:w w:val="105"/>
          <w:sz w:val="19"/>
        </w:rPr>
        <w:t> </w:t>
      </w:r>
      <w:r>
        <w:rPr>
          <w:w w:val="105"/>
          <w:sz w:val="19"/>
        </w:rPr>
        <w:t>las</w:t>
      </w:r>
      <w:r>
        <w:rPr>
          <w:spacing w:val="-18"/>
          <w:w w:val="105"/>
          <w:sz w:val="19"/>
        </w:rPr>
        <w:t> </w:t>
      </w:r>
      <w:r>
        <w:rPr>
          <w:w w:val="105"/>
          <w:sz w:val="19"/>
        </w:rPr>
        <w:t>pruebas</w:t>
      </w:r>
      <w:r>
        <w:rPr>
          <w:spacing w:val="-10"/>
          <w:w w:val="105"/>
          <w:sz w:val="19"/>
        </w:rPr>
        <w:t> </w:t>
      </w:r>
      <w:r>
        <w:rPr>
          <w:spacing w:val="-3"/>
          <w:w w:val="105"/>
          <w:sz w:val="19"/>
        </w:rPr>
        <w:t>están</w:t>
      </w:r>
      <w:r>
        <w:rPr>
          <w:spacing w:val="-4"/>
          <w:w w:val="105"/>
          <w:sz w:val="19"/>
        </w:rPr>
        <w:t> </w:t>
      </w:r>
      <w:r>
        <w:rPr>
          <w:w w:val="105"/>
          <w:sz w:val="19"/>
        </w:rPr>
        <w:t>fielmente</w:t>
      </w:r>
      <w:r>
        <w:rPr>
          <w:spacing w:val="-10"/>
          <w:w w:val="105"/>
          <w:sz w:val="19"/>
        </w:rPr>
        <w:t> </w:t>
      </w:r>
      <w:r>
        <w:rPr>
          <w:w w:val="105"/>
          <w:sz w:val="19"/>
        </w:rPr>
        <w:t>orientadas a valorar los objetivos considerados en los currículos, no </w:t>
      </w:r>
      <w:r>
        <w:rPr>
          <w:spacing w:val="-3"/>
          <w:w w:val="105"/>
          <w:sz w:val="19"/>
        </w:rPr>
        <w:t>sería </w:t>
      </w:r>
      <w:r>
        <w:rPr>
          <w:w w:val="105"/>
          <w:sz w:val="19"/>
        </w:rPr>
        <w:t>cuestionable que los profesores dedicaran una atención especial a la adquisición de los conocimientos y habilidades </w:t>
      </w:r>
      <w:r>
        <w:rPr>
          <w:spacing w:val="-4"/>
          <w:w w:val="105"/>
          <w:sz w:val="19"/>
        </w:rPr>
        <w:t>que </w:t>
      </w:r>
      <w:r>
        <w:rPr>
          <w:spacing w:val="-3"/>
          <w:w w:val="105"/>
          <w:sz w:val="19"/>
        </w:rPr>
        <w:t>son </w:t>
      </w:r>
      <w:r>
        <w:rPr>
          <w:w w:val="105"/>
          <w:sz w:val="19"/>
        </w:rPr>
        <w:t>evaluados</w:t>
      </w:r>
      <w:r>
        <w:rPr>
          <w:spacing w:val="-16"/>
          <w:w w:val="105"/>
          <w:sz w:val="19"/>
        </w:rPr>
        <w:t> </w:t>
      </w:r>
      <w:r>
        <w:rPr>
          <w:w w:val="105"/>
          <w:sz w:val="19"/>
        </w:rPr>
        <w:t>por</w:t>
      </w:r>
      <w:r>
        <w:rPr>
          <w:spacing w:val="-20"/>
          <w:w w:val="105"/>
          <w:sz w:val="19"/>
        </w:rPr>
        <w:t> </w:t>
      </w:r>
      <w:r>
        <w:rPr>
          <w:w w:val="105"/>
          <w:sz w:val="19"/>
        </w:rPr>
        <w:t>medio</w:t>
      </w:r>
      <w:r>
        <w:rPr>
          <w:spacing w:val="-13"/>
          <w:w w:val="105"/>
          <w:sz w:val="19"/>
        </w:rPr>
        <w:t> </w:t>
      </w:r>
      <w:r>
        <w:rPr>
          <w:w w:val="105"/>
          <w:sz w:val="19"/>
        </w:rPr>
        <w:t>de</w:t>
      </w:r>
      <w:r>
        <w:rPr>
          <w:spacing w:val="-13"/>
          <w:w w:val="105"/>
          <w:sz w:val="19"/>
        </w:rPr>
        <w:t> </w:t>
      </w:r>
      <w:r>
        <w:rPr>
          <w:w w:val="105"/>
          <w:sz w:val="19"/>
        </w:rPr>
        <w:t>dichos</w:t>
      </w:r>
      <w:r>
        <w:rPr>
          <w:spacing w:val="-13"/>
          <w:w w:val="105"/>
          <w:sz w:val="19"/>
        </w:rPr>
        <w:t> </w:t>
      </w:r>
      <w:r>
        <w:rPr>
          <w:w w:val="105"/>
          <w:sz w:val="19"/>
        </w:rPr>
        <w:t>instrumentos.</w:t>
      </w:r>
      <w:r>
        <w:rPr>
          <w:spacing w:val="-13"/>
          <w:w w:val="105"/>
          <w:sz w:val="19"/>
        </w:rPr>
        <w:t> </w:t>
      </w:r>
      <w:r>
        <w:rPr>
          <w:w w:val="105"/>
          <w:sz w:val="19"/>
        </w:rPr>
        <w:t>Por</w:t>
      </w:r>
      <w:r>
        <w:rPr>
          <w:spacing w:val="-16"/>
          <w:w w:val="105"/>
          <w:sz w:val="19"/>
        </w:rPr>
        <w:t> </w:t>
      </w:r>
      <w:r>
        <w:rPr>
          <w:w w:val="105"/>
          <w:sz w:val="19"/>
        </w:rPr>
        <w:t>tanto,</w:t>
      </w:r>
      <w:r>
        <w:rPr>
          <w:spacing w:val="-13"/>
          <w:w w:val="105"/>
          <w:sz w:val="19"/>
        </w:rPr>
        <w:t> </w:t>
      </w:r>
      <w:r>
        <w:rPr>
          <w:spacing w:val="2"/>
          <w:w w:val="105"/>
          <w:sz w:val="19"/>
        </w:rPr>
        <w:t>lo</w:t>
      </w:r>
      <w:r>
        <w:rPr>
          <w:spacing w:val="-13"/>
          <w:w w:val="105"/>
          <w:sz w:val="19"/>
        </w:rPr>
        <w:t> </w:t>
      </w:r>
      <w:r>
        <w:rPr>
          <w:spacing w:val="-3"/>
          <w:w w:val="105"/>
          <w:sz w:val="19"/>
        </w:rPr>
        <w:t>que</w:t>
      </w:r>
      <w:r>
        <w:rPr>
          <w:spacing w:val="-13"/>
          <w:w w:val="105"/>
          <w:sz w:val="19"/>
        </w:rPr>
        <w:t> </w:t>
      </w:r>
      <w:r>
        <w:rPr>
          <w:w w:val="105"/>
          <w:sz w:val="19"/>
        </w:rPr>
        <w:t>nos</w:t>
      </w:r>
      <w:r>
        <w:rPr>
          <w:spacing w:val="-13"/>
          <w:w w:val="105"/>
          <w:sz w:val="19"/>
        </w:rPr>
        <w:t> </w:t>
      </w:r>
      <w:r>
        <w:rPr>
          <w:w w:val="105"/>
          <w:sz w:val="19"/>
        </w:rPr>
        <w:t>tenemos</w:t>
      </w:r>
      <w:r>
        <w:rPr>
          <w:spacing w:val="-16"/>
          <w:w w:val="105"/>
          <w:sz w:val="19"/>
        </w:rPr>
        <w:t> </w:t>
      </w:r>
      <w:r>
        <w:rPr>
          <w:w w:val="105"/>
          <w:sz w:val="19"/>
        </w:rPr>
        <w:t>que</w:t>
      </w:r>
      <w:r>
        <w:rPr>
          <w:spacing w:val="-17"/>
          <w:w w:val="105"/>
          <w:sz w:val="19"/>
        </w:rPr>
        <w:t> </w:t>
      </w:r>
      <w:r>
        <w:rPr>
          <w:w w:val="105"/>
          <w:sz w:val="19"/>
        </w:rPr>
        <w:t>preguntar</w:t>
      </w:r>
      <w:r>
        <w:rPr>
          <w:spacing w:val="-16"/>
          <w:w w:val="105"/>
          <w:sz w:val="19"/>
        </w:rPr>
        <w:t> </w:t>
      </w:r>
      <w:r>
        <w:rPr>
          <w:w w:val="105"/>
          <w:sz w:val="19"/>
        </w:rPr>
        <w:t>es</w:t>
      </w:r>
      <w:r>
        <w:rPr>
          <w:spacing w:val="-13"/>
          <w:w w:val="105"/>
          <w:sz w:val="19"/>
        </w:rPr>
        <w:t> </w:t>
      </w:r>
      <w:r>
        <w:rPr>
          <w:w w:val="105"/>
          <w:sz w:val="19"/>
        </w:rPr>
        <w:t>si</w:t>
      </w:r>
      <w:r>
        <w:rPr>
          <w:spacing w:val="-16"/>
          <w:w w:val="105"/>
          <w:sz w:val="19"/>
        </w:rPr>
        <w:t> </w:t>
      </w:r>
      <w:r>
        <w:rPr>
          <w:w w:val="105"/>
          <w:sz w:val="19"/>
        </w:rPr>
        <w:t>las pruebas</w:t>
      </w:r>
      <w:r>
        <w:rPr>
          <w:spacing w:val="-14"/>
          <w:w w:val="105"/>
          <w:sz w:val="19"/>
        </w:rPr>
        <w:t> </w:t>
      </w:r>
      <w:r>
        <w:rPr>
          <w:w w:val="105"/>
          <w:sz w:val="19"/>
        </w:rPr>
        <w:t>satisfacen</w:t>
      </w:r>
      <w:r>
        <w:rPr>
          <w:spacing w:val="-9"/>
          <w:w w:val="105"/>
          <w:sz w:val="19"/>
        </w:rPr>
        <w:t> </w:t>
      </w:r>
      <w:r>
        <w:rPr>
          <w:w w:val="105"/>
          <w:sz w:val="19"/>
        </w:rPr>
        <w:t>la</w:t>
      </w:r>
      <w:r>
        <w:rPr>
          <w:spacing w:val="-15"/>
          <w:w w:val="105"/>
          <w:sz w:val="19"/>
        </w:rPr>
        <w:t> </w:t>
      </w:r>
      <w:r>
        <w:rPr>
          <w:w w:val="105"/>
          <w:sz w:val="19"/>
        </w:rPr>
        <w:t>condición</w:t>
      </w:r>
      <w:r>
        <w:rPr>
          <w:spacing w:val="-15"/>
          <w:w w:val="105"/>
          <w:sz w:val="19"/>
        </w:rPr>
        <w:t> </w:t>
      </w:r>
      <w:r>
        <w:rPr>
          <w:w w:val="105"/>
          <w:sz w:val="19"/>
        </w:rPr>
        <w:t>mencionada.</w:t>
      </w:r>
      <w:r>
        <w:rPr>
          <w:spacing w:val="-13"/>
          <w:w w:val="105"/>
          <w:sz w:val="19"/>
        </w:rPr>
        <w:t> </w:t>
      </w:r>
      <w:r>
        <w:rPr>
          <w:w w:val="105"/>
          <w:sz w:val="19"/>
        </w:rPr>
        <w:t>Si</w:t>
      </w:r>
      <w:r>
        <w:rPr>
          <w:spacing w:val="-15"/>
          <w:w w:val="105"/>
          <w:sz w:val="19"/>
        </w:rPr>
        <w:t> </w:t>
      </w:r>
      <w:r>
        <w:rPr>
          <w:w w:val="105"/>
          <w:sz w:val="19"/>
        </w:rPr>
        <w:t>así</w:t>
      </w:r>
      <w:r>
        <w:rPr>
          <w:spacing w:val="-9"/>
          <w:w w:val="105"/>
          <w:sz w:val="19"/>
        </w:rPr>
        <w:t> </w:t>
      </w:r>
      <w:r>
        <w:rPr>
          <w:w w:val="105"/>
          <w:sz w:val="19"/>
        </w:rPr>
        <w:t>fuera,</w:t>
      </w:r>
      <w:r>
        <w:rPr>
          <w:spacing w:val="-9"/>
          <w:w w:val="105"/>
          <w:sz w:val="19"/>
        </w:rPr>
        <w:t> </w:t>
      </w:r>
      <w:r>
        <w:rPr>
          <w:w w:val="105"/>
          <w:sz w:val="19"/>
        </w:rPr>
        <w:t>y</w:t>
      </w:r>
      <w:r>
        <w:rPr>
          <w:spacing w:val="-15"/>
          <w:w w:val="105"/>
          <w:sz w:val="19"/>
        </w:rPr>
        <w:t> </w:t>
      </w:r>
      <w:r>
        <w:rPr>
          <w:w w:val="105"/>
          <w:sz w:val="19"/>
        </w:rPr>
        <w:t>aún</w:t>
      </w:r>
      <w:r>
        <w:rPr>
          <w:spacing w:val="-9"/>
          <w:w w:val="105"/>
          <w:sz w:val="19"/>
        </w:rPr>
        <w:t> </w:t>
      </w:r>
      <w:r>
        <w:rPr>
          <w:w w:val="105"/>
          <w:sz w:val="19"/>
        </w:rPr>
        <w:t>así</w:t>
      </w:r>
      <w:r>
        <w:rPr>
          <w:spacing w:val="-9"/>
          <w:w w:val="105"/>
          <w:sz w:val="19"/>
        </w:rPr>
        <w:t> </w:t>
      </w:r>
      <w:r>
        <w:rPr>
          <w:w w:val="105"/>
          <w:sz w:val="19"/>
        </w:rPr>
        <w:t>si</w:t>
      </w:r>
      <w:r>
        <w:rPr>
          <w:spacing w:val="-12"/>
          <w:w w:val="105"/>
          <w:sz w:val="19"/>
        </w:rPr>
        <w:t> </w:t>
      </w:r>
      <w:r>
        <w:rPr>
          <w:w w:val="105"/>
          <w:sz w:val="19"/>
        </w:rPr>
        <w:t>se</w:t>
      </w:r>
      <w:r>
        <w:rPr>
          <w:spacing w:val="-9"/>
          <w:w w:val="105"/>
          <w:sz w:val="19"/>
        </w:rPr>
        <w:t> </w:t>
      </w:r>
      <w:r>
        <w:rPr>
          <w:w w:val="105"/>
          <w:sz w:val="19"/>
        </w:rPr>
        <w:t>considerase</w:t>
      </w:r>
      <w:r>
        <w:rPr>
          <w:spacing w:val="-9"/>
          <w:w w:val="105"/>
          <w:sz w:val="19"/>
        </w:rPr>
        <w:t> </w:t>
      </w:r>
      <w:r>
        <w:rPr>
          <w:w w:val="105"/>
          <w:sz w:val="19"/>
        </w:rPr>
        <w:t>que</w:t>
      </w:r>
      <w:r>
        <w:rPr>
          <w:spacing w:val="-9"/>
          <w:w w:val="105"/>
          <w:sz w:val="19"/>
        </w:rPr>
        <w:t> </w:t>
      </w:r>
      <w:r>
        <w:rPr>
          <w:w w:val="105"/>
          <w:sz w:val="19"/>
        </w:rPr>
        <w:t>incluyen reactivos</w:t>
      </w:r>
      <w:r>
        <w:rPr>
          <w:spacing w:val="-7"/>
          <w:w w:val="105"/>
          <w:sz w:val="19"/>
        </w:rPr>
        <w:t> </w:t>
      </w:r>
      <w:r>
        <w:rPr>
          <w:w w:val="105"/>
          <w:sz w:val="19"/>
        </w:rPr>
        <w:t>inadecuados</w:t>
      </w:r>
      <w:r>
        <w:rPr>
          <w:spacing w:val="-7"/>
          <w:w w:val="105"/>
          <w:sz w:val="19"/>
        </w:rPr>
        <w:t> </w:t>
      </w:r>
      <w:r>
        <w:rPr>
          <w:w w:val="105"/>
          <w:sz w:val="19"/>
        </w:rPr>
        <w:t>(como</w:t>
      </w:r>
      <w:r>
        <w:rPr>
          <w:spacing w:val="-7"/>
          <w:w w:val="105"/>
          <w:sz w:val="19"/>
        </w:rPr>
        <w:t> </w:t>
      </w:r>
      <w:r>
        <w:rPr>
          <w:w w:val="105"/>
          <w:sz w:val="19"/>
        </w:rPr>
        <w:t>podrían</w:t>
      </w:r>
      <w:r>
        <w:rPr>
          <w:spacing w:val="-5"/>
          <w:w w:val="105"/>
          <w:sz w:val="19"/>
        </w:rPr>
        <w:t> </w:t>
      </w:r>
      <w:r>
        <w:rPr>
          <w:w w:val="105"/>
          <w:sz w:val="19"/>
        </w:rPr>
        <w:t>ser</w:t>
      </w:r>
      <w:r>
        <w:rPr>
          <w:spacing w:val="-4"/>
          <w:w w:val="105"/>
          <w:sz w:val="19"/>
        </w:rPr>
        <w:t> </w:t>
      </w:r>
      <w:r>
        <w:rPr>
          <w:w w:val="105"/>
          <w:sz w:val="19"/>
        </w:rPr>
        <w:t>los</w:t>
      </w:r>
      <w:r>
        <w:rPr>
          <w:spacing w:val="-11"/>
          <w:w w:val="105"/>
          <w:sz w:val="19"/>
        </w:rPr>
        <w:t> </w:t>
      </w:r>
      <w:r>
        <w:rPr>
          <w:w w:val="105"/>
          <w:sz w:val="19"/>
        </w:rPr>
        <w:t>que</w:t>
      </w:r>
      <w:r>
        <w:rPr>
          <w:spacing w:val="-5"/>
          <w:w w:val="105"/>
          <w:sz w:val="19"/>
        </w:rPr>
        <w:t> </w:t>
      </w:r>
      <w:r>
        <w:rPr>
          <w:spacing w:val="-3"/>
          <w:w w:val="105"/>
          <w:sz w:val="19"/>
        </w:rPr>
        <w:t>son</w:t>
      </w:r>
      <w:r>
        <w:rPr>
          <w:spacing w:val="-7"/>
          <w:w w:val="105"/>
          <w:sz w:val="19"/>
        </w:rPr>
        <w:t> </w:t>
      </w:r>
      <w:r>
        <w:rPr>
          <w:w w:val="105"/>
          <w:sz w:val="19"/>
        </w:rPr>
        <w:t>de</w:t>
      </w:r>
      <w:r>
        <w:rPr>
          <w:spacing w:val="-7"/>
          <w:w w:val="105"/>
          <w:sz w:val="19"/>
        </w:rPr>
        <w:t> </w:t>
      </w:r>
      <w:r>
        <w:rPr>
          <w:w w:val="105"/>
          <w:sz w:val="19"/>
        </w:rPr>
        <w:t>naturaleza</w:t>
      </w:r>
      <w:r>
        <w:rPr>
          <w:spacing w:val="-5"/>
          <w:w w:val="105"/>
          <w:sz w:val="19"/>
        </w:rPr>
        <w:t> </w:t>
      </w:r>
      <w:r>
        <w:rPr>
          <w:w w:val="105"/>
          <w:sz w:val="19"/>
        </w:rPr>
        <w:t>simplemente</w:t>
      </w:r>
      <w:r>
        <w:rPr>
          <w:spacing w:val="-7"/>
          <w:w w:val="105"/>
          <w:sz w:val="19"/>
        </w:rPr>
        <w:t> </w:t>
      </w:r>
      <w:r>
        <w:rPr>
          <w:w w:val="105"/>
          <w:sz w:val="19"/>
        </w:rPr>
        <w:t>memorística),</w:t>
      </w:r>
      <w:r>
        <w:rPr>
          <w:spacing w:val="-7"/>
          <w:w w:val="105"/>
          <w:sz w:val="19"/>
        </w:rPr>
        <w:t> </w:t>
      </w:r>
      <w:r>
        <w:rPr>
          <w:w w:val="105"/>
          <w:sz w:val="19"/>
        </w:rPr>
        <w:t>lo que habría que poner en tela de juicio serían los propios objetivos curriculares, y no los instrumentos</w:t>
      </w:r>
      <w:r>
        <w:rPr>
          <w:spacing w:val="-18"/>
          <w:w w:val="105"/>
          <w:sz w:val="19"/>
        </w:rPr>
        <w:t> </w:t>
      </w:r>
      <w:r>
        <w:rPr>
          <w:w w:val="105"/>
          <w:sz w:val="19"/>
        </w:rPr>
        <w:t>que</w:t>
      </w:r>
      <w:r>
        <w:rPr>
          <w:spacing w:val="-18"/>
          <w:w w:val="105"/>
          <w:sz w:val="19"/>
        </w:rPr>
        <w:t> </w:t>
      </w:r>
      <w:r>
        <w:rPr>
          <w:w w:val="105"/>
          <w:sz w:val="19"/>
        </w:rPr>
        <w:t>fueron</w:t>
      </w:r>
      <w:r>
        <w:rPr>
          <w:spacing w:val="-18"/>
          <w:w w:val="105"/>
          <w:sz w:val="19"/>
        </w:rPr>
        <w:t> </w:t>
      </w:r>
      <w:r>
        <w:rPr>
          <w:w w:val="105"/>
          <w:sz w:val="19"/>
        </w:rPr>
        <w:t>diseñados</w:t>
      </w:r>
      <w:r>
        <w:rPr>
          <w:spacing w:val="-18"/>
          <w:w w:val="105"/>
          <w:sz w:val="19"/>
        </w:rPr>
        <w:t> </w:t>
      </w:r>
      <w:r>
        <w:rPr>
          <w:w w:val="105"/>
          <w:sz w:val="19"/>
        </w:rPr>
        <w:t>para</w:t>
      </w:r>
      <w:r>
        <w:rPr>
          <w:spacing w:val="-18"/>
          <w:w w:val="105"/>
          <w:sz w:val="19"/>
        </w:rPr>
        <w:t> </w:t>
      </w:r>
      <w:r>
        <w:rPr>
          <w:w w:val="105"/>
          <w:sz w:val="19"/>
        </w:rPr>
        <w:t>valorar</w:t>
      </w:r>
      <w:r>
        <w:rPr>
          <w:spacing w:val="-18"/>
          <w:w w:val="105"/>
          <w:sz w:val="19"/>
        </w:rPr>
        <w:t> </w:t>
      </w:r>
      <w:r>
        <w:rPr>
          <w:w w:val="105"/>
          <w:sz w:val="19"/>
        </w:rPr>
        <w:t>el</w:t>
      </w:r>
      <w:r>
        <w:rPr>
          <w:spacing w:val="-18"/>
          <w:w w:val="105"/>
          <w:sz w:val="19"/>
        </w:rPr>
        <w:t> </w:t>
      </w:r>
      <w:r>
        <w:rPr>
          <w:spacing w:val="-3"/>
          <w:w w:val="105"/>
          <w:sz w:val="19"/>
        </w:rPr>
        <w:t>dominio</w:t>
      </w:r>
      <w:r>
        <w:rPr>
          <w:spacing w:val="-18"/>
          <w:w w:val="105"/>
          <w:sz w:val="19"/>
        </w:rPr>
        <w:t> </w:t>
      </w:r>
      <w:r>
        <w:rPr>
          <w:spacing w:val="4"/>
          <w:w w:val="105"/>
          <w:sz w:val="19"/>
        </w:rPr>
        <w:t>de</w:t>
      </w:r>
      <w:r>
        <w:rPr>
          <w:spacing w:val="-18"/>
          <w:w w:val="105"/>
          <w:sz w:val="19"/>
        </w:rPr>
        <w:t> </w:t>
      </w:r>
      <w:r>
        <w:rPr>
          <w:w w:val="105"/>
          <w:sz w:val="19"/>
        </w:rPr>
        <w:t>los</w:t>
      </w:r>
      <w:r>
        <w:rPr>
          <w:spacing w:val="-21"/>
          <w:w w:val="105"/>
          <w:sz w:val="19"/>
        </w:rPr>
        <w:t> </w:t>
      </w:r>
      <w:r>
        <w:rPr>
          <w:w w:val="105"/>
          <w:sz w:val="19"/>
        </w:rPr>
        <w:t>mismos.</w:t>
      </w:r>
    </w:p>
    <w:p>
      <w:pPr>
        <w:spacing w:after="0" w:line="244" w:lineRule="auto"/>
        <w:jc w:val="both"/>
        <w:rPr>
          <w:sz w:val="19"/>
        </w:rPr>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50" w:lineRule="auto" w:before="74"/>
        <w:ind w:left="116" w:right="109" w:firstLine="686"/>
        <w:jc w:val="both"/>
      </w:pPr>
      <w:r>
        <w:rPr/>
        <w:t>Por esta razón, es erróneo utilizar esas pruebas como únicos instrumentos, para evaluar a </w:t>
      </w:r>
      <w:r>
        <w:rPr>
          <w:spacing w:val="-3"/>
        </w:rPr>
        <w:t>los </w:t>
      </w:r>
      <w:r>
        <w:rPr/>
        <w:t>maestros, sobre todo cuando las evaluaciones son realizadas para otorgar </w:t>
      </w:r>
      <w:r>
        <w:rPr>
          <w:spacing w:val="-4"/>
        </w:rPr>
        <w:t>(o </w:t>
      </w:r>
      <w:r>
        <w:rPr/>
        <w:t>negar) algún incentivo a los propios docentes.</w:t>
      </w:r>
      <w:r>
        <w:rPr>
          <w:position w:val="11"/>
          <w:sz w:val="15"/>
        </w:rPr>
        <w:t>58  </w:t>
      </w:r>
      <w:r>
        <w:rPr/>
        <w:t>A esto cabe </w:t>
      </w:r>
      <w:r>
        <w:rPr>
          <w:spacing w:val="58"/>
        </w:rPr>
        <w:t> </w:t>
      </w:r>
      <w:r>
        <w:rPr/>
        <w:t>añadir</w:t>
      </w:r>
    </w:p>
    <w:p>
      <w:pPr>
        <w:pStyle w:val="BodyText"/>
        <w:spacing w:line="364" w:lineRule="auto" w:before="3"/>
        <w:ind w:left="116" w:right="111"/>
        <w:jc w:val="both"/>
      </w:pPr>
      <w:r>
        <w:rPr/>
        <w:t>que tampoco </w:t>
      </w:r>
      <w:r>
        <w:rPr>
          <w:spacing w:val="-3"/>
        </w:rPr>
        <w:t>es </w:t>
      </w:r>
      <w:r>
        <w:rPr/>
        <w:t>correcta la utilización de los resultados de las pruebas para elaborar con ellos listas </w:t>
      </w:r>
      <w:r>
        <w:rPr>
          <w:spacing w:val="-3"/>
        </w:rPr>
        <w:t>de </w:t>
      </w:r>
      <w:r>
        <w:rPr/>
        <w:t>escuelas, ordenadas en forma decreciente, en función de sus niveles promedio de aprovechamiento, sin considerar </w:t>
      </w:r>
      <w:r>
        <w:rPr>
          <w:spacing w:val="-4"/>
        </w:rPr>
        <w:t>los </w:t>
      </w:r>
      <w:r>
        <w:rPr/>
        <w:t>contextos en </w:t>
      </w:r>
      <w:r>
        <w:rPr>
          <w:spacing w:val="-2"/>
        </w:rPr>
        <w:t>los </w:t>
      </w:r>
      <w:r>
        <w:rPr/>
        <w:t>que se encuentra cada centro escolar (Muñoz Izquierdo et. al., </w:t>
      </w:r>
      <w:r>
        <w:rPr>
          <w:spacing w:val="3"/>
        </w:rPr>
        <w:t> </w:t>
      </w:r>
      <w:r>
        <w:rPr/>
        <w:t>2010).</w:t>
      </w:r>
    </w:p>
    <w:p>
      <w:pPr>
        <w:pStyle w:val="BodyText"/>
        <w:spacing w:line="364" w:lineRule="auto" w:before="5"/>
        <w:ind w:left="116" w:right="108" w:firstLine="686"/>
        <w:jc w:val="both"/>
      </w:pPr>
      <w:r>
        <w:rPr/>
        <w:t>Otro cuestionamiento </w:t>
      </w:r>
      <w:r>
        <w:rPr>
          <w:spacing w:val="2"/>
        </w:rPr>
        <w:t>se </w:t>
      </w:r>
      <w:r>
        <w:rPr/>
        <w:t>refiere a que, por </w:t>
      </w:r>
      <w:r>
        <w:rPr>
          <w:spacing w:val="3"/>
        </w:rPr>
        <w:t>su </w:t>
      </w:r>
      <w:r>
        <w:rPr/>
        <w:t>cuantía, </w:t>
      </w:r>
      <w:r>
        <w:rPr>
          <w:spacing w:val="-3"/>
        </w:rPr>
        <w:t>los  </w:t>
      </w:r>
      <w:r>
        <w:rPr/>
        <w:t>recursos destinados a elaborar y aplicar las pruebas -así como a procesar los datos recabados y publicar </w:t>
      </w:r>
      <w:r>
        <w:rPr>
          <w:spacing w:val="2"/>
        </w:rPr>
        <w:t>sus </w:t>
      </w:r>
      <w:r>
        <w:rPr/>
        <w:t>resultados- estas evaluaciones pueden obstaculizar el financiamiento de otras acciones que podrían estar directamente destinadas al mejoramiento de la calidad de </w:t>
      </w:r>
      <w:r>
        <w:rPr>
          <w:spacing w:val="-3"/>
        </w:rPr>
        <w:t>la </w:t>
      </w:r>
      <w:r>
        <w:rPr/>
        <w:t>educación. Entre éstas se encuentra el fortalecimiento financiero y sobre  todo, académico- de algunos programas  (como  el PEC); así como el aseguramiento de una distribución racional </w:t>
      </w:r>
      <w:r>
        <w:rPr>
          <w:spacing w:val="-5"/>
        </w:rPr>
        <w:t>y, </w:t>
      </w:r>
      <w:r>
        <w:rPr/>
        <w:t>en consecuencia, menos accidental de dichos</w:t>
      </w:r>
      <w:r>
        <w:rPr>
          <w:spacing w:val="52"/>
        </w:rPr>
        <w:t> </w:t>
      </w:r>
      <w:r>
        <w:rPr/>
        <w:t>programas.</w:t>
      </w:r>
    </w:p>
    <w:p>
      <w:pPr>
        <w:pStyle w:val="BodyText"/>
        <w:spacing w:line="364" w:lineRule="auto"/>
        <w:ind w:left="115" w:right="108" w:firstLine="686"/>
        <w:jc w:val="both"/>
      </w:pPr>
      <w:r>
        <w:rPr/>
        <w:t>Ciertamente, puede existir un </w:t>
      </w:r>
      <w:r>
        <w:rPr>
          <w:i/>
        </w:rPr>
        <w:t>trade off </w:t>
      </w:r>
      <w:r>
        <w:rPr/>
        <w:t>entre los propósitos de </w:t>
      </w:r>
      <w:r>
        <w:rPr>
          <w:spacing w:val="-3"/>
        </w:rPr>
        <w:t>las </w:t>
      </w:r>
      <w:r>
        <w:rPr/>
        <w:t>evaluaciones y </w:t>
      </w:r>
      <w:r>
        <w:rPr>
          <w:spacing w:val="-3"/>
        </w:rPr>
        <w:t>los </w:t>
      </w:r>
      <w:r>
        <w:rPr/>
        <w:t>de otros programas, porque los recursos disponibles no son infinitos. Sin embargo, es necesario señalar que el costo de </w:t>
      </w:r>
      <w:r>
        <w:rPr>
          <w:spacing w:val="-3"/>
        </w:rPr>
        <w:t>las </w:t>
      </w:r>
      <w:r>
        <w:rPr/>
        <w:t>pruebas no es </w:t>
      </w:r>
      <w:r>
        <w:rPr>
          <w:spacing w:val="-4"/>
        </w:rPr>
        <w:t>lo</w:t>
      </w:r>
      <w:r>
        <w:rPr>
          <w:spacing w:val="55"/>
        </w:rPr>
        <w:t> </w:t>
      </w:r>
      <w:r>
        <w:rPr/>
        <w:t>más importante; sino </w:t>
      </w:r>
      <w:r>
        <w:rPr>
          <w:spacing w:val="-4"/>
        </w:rPr>
        <w:t>la </w:t>
      </w:r>
      <w:r>
        <w:rPr/>
        <w:t>relación que finalmente exista entre los beneficios que se generen como resultado de las mismas, y el monto de </w:t>
      </w:r>
      <w:r>
        <w:rPr>
          <w:spacing w:val="-3"/>
        </w:rPr>
        <w:t>los </w:t>
      </w:r>
      <w:r>
        <w:rPr/>
        <w:t>recursos </w:t>
      </w:r>
      <w:r>
        <w:rPr>
          <w:spacing w:val="-3"/>
        </w:rPr>
        <w:t>que </w:t>
      </w:r>
      <w:r>
        <w:rPr/>
        <w:t>hayan sido necesarios para obtenerlos. Éste es el criterio que aplican los economistas, para valorar </w:t>
      </w:r>
      <w:r>
        <w:rPr>
          <w:spacing w:val="-3"/>
        </w:rPr>
        <w:t>la </w:t>
      </w:r>
      <w:r>
        <w:rPr/>
        <w:t>eficiencia con la que los recursos son utilizados. Por tanto, según ellos,  no </w:t>
      </w:r>
      <w:r>
        <w:rPr>
          <w:spacing w:val="2"/>
        </w:rPr>
        <w:t>se </w:t>
      </w:r>
      <w:r>
        <w:rPr/>
        <w:t>puede considerar que determinado bien o servicio sea costoso en </w:t>
      </w:r>
      <w:r>
        <w:rPr>
          <w:spacing w:val="2"/>
        </w:rPr>
        <w:t>sí </w:t>
      </w:r>
      <w:r>
        <w:rPr/>
        <w:t>mismo, pero </w:t>
      </w:r>
      <w:r>
        <w:rPr>
          <w:spacing w:val="3"/>
        </w:rPr>
        <w:t>sí </w:t>
      </w:r>
      <w:r>
        <w:rPr/>
        <w:t>que algunos recursos </w:t>
      </w:r>
      <w:r>
        <w:rPr>
          <w:spacing w:val="3"/>
        </w:rPr>
        <w:t>no </w:t>
      </w:r>
      <w:r>
        <w:rPr/>
        <w:t>hayan sido eficientemente utilizados (Muñoz Izquierdo et. </w:t>
      </w:r>
      <w:r>
        <w:rPr>
          <w:spacing w:val="-3"/>
        </w:rPr>
        <w:t>al.,</w:t>
      </w:r>
      <w:r>
        <w:rPr>
          <w:spacing w:val="30"/>
        </w:rPr>
        <w:t> </w:t>
      </w:r>
      <w:r>
        <w:rPr/>
        <w:t>2010).</w:t>
      </w:r>
    </w:p>
    <w:p>
      <w:pPr>
        <w:pStyle w:val="BodyText"/>
        <w:rPr>
          <w:sz w:val="20"/>
        </w:rPr>
      </w:pPr>
    </w:p>
    <w:p>
      <w:pPr>
        <w:pStyle w:val="BodyText"/>
        <w:rPr>
          <w:sz w:val="20"/>
        </w:rPr>
      </w:pPr>
    </w:p>
    <w:p>
      <w:pPr>
        <w:pStyle w:val="BodyText"/>
        <w:spacing w:before="10"/>
        <w:rPr>
          <w:sz w:val="15"/>
        </w:rPr>
      </w:pPr>
      <w:r>
        <w:rPr/>
        <w:pict>
          <v:line style="position:absolute;mso-position-horizontal-relative:page;mso-position-vertical-relative:paragraph;z-index:3304;mso-wrap-distance-left:0;mso-wrap-distance-right:0" from="82.799004pt,11.449153pt" to="222.958004pt,11.449153pt" stroked="true" strokeweight=".72pt" strokecolor="#000000">
            <w10:wrap type="topAndBottom"/>
          </v:line>
        </w:pict>
      </w:r>
    </w:p>
    <w:p>
      <w:pPr>
        <w:spacing w:line="247" w:lineRule="auto" w:before="52"/>
        <w:ind w:left="115" w:right="103" w:firstLine="0"/>
        <w:jc w:val="both"/>
        <w:rPr>
          <w:sz w:val="19"/>
        </w:rPr>
      </w:pPr>
      <w:r>
        <w:rPr>
          <w:rFonts w:ascii="Times New Roman" w:hAnsi="Times New Roman"/>
          <w:spacing w:val="-3"/>
          <w:w w:val="105"/>
          <w:position w:val="9"/>
          <w:sz w:val="12"/>
        </w:rPr>
        <w:t>58 </w:t>
      </w:r>
      <w:r>
        <w:rPr>
          <w:w w:val="105"/>
          <w:sz w:val="19"/>
        </w:rPr>
        <w:t>Esta observación sería válida, aún cuando la medición de los aprendizajes fuese realizada en forma</w:t>
      </w:r>
      <w:r>
        <w:rPr>
          <w:spacing w:val="-5"/>
          <w:w w:val="105"/>
          <w:sz w:val="19"/>
        </w:rPr>
        <w:t> </w:t>
      </w:r>
      <w:r>
        <w:rPr>
          <w:w w:val="105"/>
          <w:sz w:val="19"/>
        </w:rPr>
        <w:t>dinámica</w:t>
      </w:r>
      <w:r>
        <w:rPr>
          <w:spacing w:val="1"/>
          <w:w w:val="105"/>
          <w:sz w:val="19"/>
        </w:rPr>
        <w:t> </w:t>
      </w:r>
      <w:r>
        <w:rPr>
          <w:w w:val="105"/>
          <w:sz w:val="19"/>
        </w:rPr>
        <w:t>(es</w:t>
      </w:r>
      <w:r>
        <w:rPr>
          <w:spacing w:val="-5"/>
          <w:w w:val="105"/>
          <w:sz w:val="19"/>
        </w:rPr>
        <w:t> </w:t>
      </w:r>
      <w:r>
        <w:rPr>
          <w:w w:val="105"/>
          <w:sz w:val="19"/>
        </w:rPr>
        <w:t>decir,</w:t>
      </w:r>
      <w:r>
        <w:rPr>
          <w:spacing w:val="-5"/>
          <w:w w:val="105"/>
          <w:sz w:val="19"/>
        </w:rPr>
        <w:t> </w:t>
      </w:r>
      <w:r>
        <w:rPr>
          <w:w w:val="105"/>
          <w:sz w:val="19"/>
        </w:rPr>
        <w:t>si</w:t>
      </w:r>
      <w:r>
        <w:rPr>
          <w:spacing w:val="-10"/>
          <w:w w:val="105"/>
          <w:sz w:val="19"/>
        </w:rPr>
        <w:t> </w:t>
      </w:r>
      <w:r>
        <w:rPr>
          <w:w w:val="105"/>
          <w:sz w:val="19"/>
        </w:rPr>
        <w:t>estuviese</w:t>
      </w:r>
      <w:r>
        <w:rPr>
          <w:spacing w:val="-5"/>
          <w:w w:val="105"/>
          <w:sz w:val="19"/>
        </w:rPr>
        <w:t> </w:t>
      </w:r>
      <w:r>
        <w:rPr>
          <w:w w:val="105"/>
          <w:sz w:val="19"/>
        </w:rPr>
        <w:t>orientada</w:t>
      </w:r>
      <w:r>
        <w:rPr>
          <w:spacing w:val="-5"/>
          <w:w w:val="105"/>
          <w:sz w:val="19"/>
        </w:rPr>
        <w:t> </w:t>
      </w:r>
      <w:r>
        <w:rPr>
          <w:w w:val="105"/>
          <w:sz w:val="19"/>
        </w:rPr>
        <w:t>a</w:t>
      </w:r>
      <w:r>
        <w:rPr>
          <w:spacing w:val="-5"/>
          <w:w w:val="105"/>
          <w:sz w:val="19"/>
        </w:rPr>
        <w:t> </w:t>
      </w:r>
      <w:r>
        <w:rPr>
          <w:w w:val="105"/>
          <w:sz w:val="19"/>
        </w:rPr>
        <w:t>medir</w:t>
      </w:r>
      <w:r>
        <w:rPr>
          <w:spacing w:val="-5"/>
          <w:w w:val="105"/>
          <w:sz w:val="19"/>
        </w:rPr>
        <w:t> </w:t>
      </w:r>
      <w:r>
        <w:rPr>
          <w:spacing w:val="3"/>
          <w:w w:val="105"/>
          <w:sz w:val="19"/>
        </w:rPr>
        <w:t>el</w:t>
      </w:r>
      <w:r>
        <w:rPr>
          <w:spacing w:val="-5"/>
          <w:w w:val="105"/>
          <w:sz w:val="19"/>
        </w:rPr>
        <w:t> </w:t>
      </w:r>
      <w:r>
        <w:rPr>
          <w:w w:val="105"/>
          <w:sz w:val="19"/>
        </w:rPr>
        <w:t>llamado</w:t>
      </w:r>
      <w:r>
        <w:rPr>
          <w:spacing w:val="-5"/>
          <w:w w:val="105"/>
          <w:sz w:val="19"/>
        </w:rPr>
        <w:t> </w:t>
      </w:r>
      <w:r>
        <w:rPr>
          <w:w w:val="105"/>
          <w:sz w:val="19"/>
        </w:rPr>
        <w:t>valor</w:t>
      </w:r>
      <w:r>
        <w:rPr>
          <w:spacing w:val="-8"/>
          <w:w w:val="105"/>
          <w:sz w:val="19"/>
        </w:rPr>
        <w:t> </w:t>
      </w:r>
      <w:r>
        <w:rPr>
          <w:w w:val="105"/>
          <w:sz w:val="19"/>
        </w:rPr>
        <w:t>agregado</w:t>
      </w:r>
      <w:r>
        <w:rPr>
          <w:spacing w:val="-5"/>
          <w:w w:val="105"/>
          <w:sz w:val="19"/>
        </w:rPr>
        <w:t> </w:t>
      </w:r>
      <w:r>
        <w:rPr>
          <w:w w:val="105"/>
          <w:sz w:val="19"/>
        </w:rPr>
        <w:t>que</w:t>
      </w:r>
      <w:r>
        <w:rPr>
          <w:spacing w:val="-5"/>
          <w:w w:val="105"/>
          <w:sz w:val="19"/>
        </w:rPr>
        <w:t> </w:t>
      </w:r>
      <w:r>
        <w:rPr>
          <w:w w:val="105"/>
          <w:sz w:val="19"/>
        </w:rPr>
        <w:t>se</w:t>
      </w:r>
      <w:r>
        <w:rPr>
          <w:spacing w:val="-5"/>
          <w:w w:val="105"/>
          <w:sz w:val="19"/>
        </w:rPr>
        <w:t> </w:t>
      </w:r>
      <w:r>
        <w:rPr>
          <w:w w:val="105"/>
          <w:sz w:val="19"/>
        </w:rPr>
        <w:t>genera mediante los aprendizajes de los alumnos durante un determinado periodo de tiempo). </w:t>
      </w:r>
      <w:r>
        <w:rPr>
          <w:spacing w:val="-3"/>
          <w:w w:val="105"/>
          <w:sz w:val="19"/>
        </w:rPr>
        <w:t>Este </w:t>
      </w:r>
      <w:r>
        <w:rPr>
          <w:w w:val="105"/>
          <w:sz w:val="19"/>
        </w:rPr>
        <w:t>comentario </w:t>
      </w:r>
      <w:r>
        <w:rPr>
          <w:spacing w:val="-4"/>
          <w:w w:val="105"/>
          <w:sz w:val="19"/>
        </w:rPr>
        <w:t>se </w:t>
      </w:r>
      <w:r>
        <w:rPr>
          <w:w w:val="105"/>
          <w:sz w:val="19"/>
        </w:rPr>
        <w:t>basa </w:t>
      </w:r>
      <w:r>
        <w:rPr>
          <w:spacing w:val="2"/>
          <w:w w:val="105"/>
          <w:sz w:val="19"/>
        </w:rPr>
        <w:t>en </w:t>
      </w:r>
      <w:r>
        <w:rPr>
          <w:w w:val="105"/>
          <w:sz w:val="19"/>
        </w:rPr>
        <w:t>que, de todos modos, las actividades de los docentes no son los únicos factores que determinan la adquisición de dichos aprendizajes. Por esto conviene mencionar que,para</w:t>
      </w:r>
      <w:r>
        <w:rPr>
          <w:spacing w:val="-8"/>
          <w:w w:val="105"/>
          <w:sz w:val="19"/>
        </w:rPr>
        <w:t> </w:t>
      </w:r>
      <w:r>
        <w:rPr>
          <w:w w:val="105"/>
          <w:sz w:val="19"/>
        </w:rPr>
        <w:t>evaluar</w:t>
      </w:r>
      <w:r>
        <w:rPr>
          <w:spacing w:val="-11"/>
          <w:w w:val="105"/>
          <w:sz w:val="19"/>
        </w:rPr>
        <w:t> </w:t>
      </w:r>
      <w:r>
        <w:rPr>
          <w:w w:val="105"/>
          <w:sz w:val="19"/>
        </w:rPr>
        <w:t>integralmente</w:t>
      </w:r>
      <w:r>
        <w:rPr>
          <w:spacing w:val="-11"/>
          <w:w w:val="105"/>
          <w:sz w:val="19"/>
        </w:rPr>
        <w:t> </w:t>
      </w:r>
      <w:r>
        <w:rPr>
          <w:w w:val="105"/>
          <w:sz w:val="19"/>
        </w:rPr>
        <w:t>a</w:t>
      </w:r>
      <w:r>
        <w:rPr>
          <w:spacing w:val="-8"/>
          <w:w w:val="105"/>
          <w:sz w:val="19"/>
        </w:rPr>
        <w:t> </w:t>
      </w:r>
      <w:r>
        <w:rPr>
          <w:w w:val="105"/>
          <w:sz w:val="19"/>
        </w:rPr>
        <w:t>los</w:t>
      </w:r>
      <w:r>
        <w:rPr>
          <w:spacing w:val="-16"/>
          <w:w w:val="105"/>
          <w:sz w:val="19"/>
        </w:rPr>
        <w:t> </w:t>
      </w:r>
      <w:r>
        <w:rPr>
          <w:w w:val="105"/>
          <w:sz w:val="19"/>
        </w:rPr>
        <w:t>maestros,</w:t>
      </w:r>
      <w:r>
        <w:rPr>
          <w:spacing w:val="-12"/>
          <w:w w:val="105"/>
          <w:sz w:val="19"/>
        </w:rPr>
        <w:t> </w:t>
      </w:r>
      <w:r>
        <w:rPr>
          <w:w w:val="105"/>
          <w:sz w:val="19"/>
        </w:rPr>
        <w:t>la</w:t>
      </w:r>
      <w:r>
        <w:rPr>
          <w:spacing w:val="-8"/>
          <w:w w:val="105"/>
          <w:sz w:val="19"/>
        </w:rPr>
        <w:t> </w:t>
      </w:r>
      <w:r>
        <w:rPr>
          <w:spacing w:val="-3"/>
          <w:w w:val="105"/>
          <w:sz w:val="19"/>
        </w:rPr>
        <w:t>OECD</w:t>
      </w:r>
      <w:r>
        <w:rPr>
          <w:spacing w:val="-8"/>
          <w:w w:val="105"/>
          <w:sz w:val="19"/>
        </w:rPr>
        <w:t> </w:t>
      </w:r>
      <w:r>
        <w:rPr>
          <w:w w:val="105"/>
          <w:sz w:val="19"/>
        </w:rPr>
        <w:t>ha</w:t>
      </w:r>
      <w:r>
        <w:rPr>
          <w:spacing w:val="-8"/>
          <w:w w:val="105"/>
          <w:sz w:val="19"/>
        </w:rPr>
        <w:t> </w:t>
      </w:r>
      <w:r>
        <w:rPr>
          <w:w w:val="105"/>
          <w:sz w:val="19"/>
        </w:rPr>
        <w:t>propuesto</w:t>
      </w:r>
      <w:r>
        <w:rPr>
          <w:spacing w:val="-8"/>
          <w:w w:val="105"/>
          <w:sz w:val="19"/>
        </w:rPr>
        <w:t> </w:t>
      </w:r>
      <w:r>
        <w:rPr>
          <w:w w:val="105"/>
          <w:sz w:val="19"/>
        </w:rPr>
        <w:t>utilizar</w:t>
      </w:r>
      <w:r>
        <w:rPr>
          <w:spacing w:val="-11"/>
          <w:w w:val="105"/>
          <w:sz w:val="19"/>
        </w:rPr>
        <w:t> </w:t>
      </w:r>
      <w:r>
        <w:rPr>
          <w:w w:val="105"/>
          <w:sz w:val="19"/>
        </w:rPr>
        <w:t>procedimientos</w:t>
      </w:r>
      <w:r>
        <w:rPr>
          <w:spacing w:val="-11"/>
          <w:w w:val="105"/>
          <w:sz w:val="19"/>
        </w:rPr>
        <w:t> </w:t>
      </w:r>
      <w:r>
        <w:rPr>
          <w:w w:val="105"/>
          <w:sz w:val="19"/>
        </w:rPr>
        <w:t>más complejos, </w:t>
      </w:r>
      <w:r>
        <w:rPr>
          <w:spacing w:val="-3"/>
          <w:w w:val="105"/>
          <w:sz w:val="19"/>
        </w:rPr>
        <w:t>que </w:t>
      </w:r>
      <w:r>
        <w:rPr>
          <w:w w:val="105"/>
          <w:sz w:val="19"/>
        </w:rPr>
        <w:t>incluyen la realización de observaciones en las aulas </w:t>
      </w:r>
      <w:r>
        <w:rPr>
          <w:spacing w:val="-3"/>
          <w:w w:val="105"/>
          <w:sz w:val="19"/>
        </w:rPr>
        <w:t>(Schmelkes </w:t>
      </w:r>
      <w:r>
        <w:rPr>
          <w:w w:val="105"/>
          <w:sz w:val="19"/>
        </w:rPr>
        <w:t>y Mancera, 2010).</w:t>
      </w:r>
    </w:p>
    <w:p>
      <w:pPr>
        <w:spacing w:after="0" w:line="247" w:lineRule="auto"/>
        <w:jc w:val="both"/>
        <w:rPr>
          <w:sz w:val="19"/>
        </w:rPr>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6" w:right="108" w:firstLine="686"/>
        <w:jc w:val="both"/>
      </w:pPr>
      <w:r>
        <w:rPr/>
        <w:t>Por tanto, lo que debe ser puesto en duda no es, propiamente, </w:t>
      </w:r>
      <w:r>
        <w:rPr>
          <w:spacing w:val="-5"/>
        </w:rPr>
        <w:t>la </w:t>
      </w:r>
      <w:r>
        <w:rPr/>
        <w:t>conveniencia de aplicar las pruebas o dejar de hacerlo; (ya  que  esta  práctica puede abonar a </w:t>
      </w:r>
      <w:r>
        <w:rPr>
          <w:spacing w:val="-4"/>
        </w:rPr>
        <w:t>la </w:t>
      </w:r>
      <w:r>
        <w:rPr/>
        <w:t>transparencia de las actividades de las escuelas </w:t>
      </w:r>
      <w:r>
        <w:rPr>
          <w:spacing w:val="-4"/>
        </w:rPr>
        <w:t>y, </w:t>
      </w:r>
      <w:r>
        <w:rPr/>
        <w:t>en última instancia, a la llamada rendición de cuentas de los docentes y directivos, cuando  los resultados de las pruebas son adecuadamente interpretados y </w:t>
      </w:r>
      <w:r>
        <w:rPr>
          <w:spacing w:val="13"/>
        </w:rPr>
        <w:t> </w:t>
      </w:r>
      <w:r>
        <w:rPr/>
        <w:t>utilizados).</w:t>
      </w:r>
    </w:p>
    <w:p>
      <w:pPr>
        <w:pStyle w:val="BodyText"/>
        <w:spacing w:line="364" w:lineRule="auto" w:before="5"/>
        <w:ind w:left="116" w:right="108" w:firstLine="686"/>
        <w:jc w:val="both"/>
      </w:pPr>
      <w:r>
        <w:rPr/>
        <w:t>Los beneficios de las pruebas dependen, pues, del grado en el que </w:t>
      </w:r>
      <w:r>
        <w:rPr>
          <w:spacing w:val="2"/>
        </w:rPr>
        <w:t>se </w:t>
      </w:r>
      <w:r>
        <w:rPr/>
        <w:t>aprovechen sus resultados; </w:t>
      </w:r>
      <w:r>
        <w:rPr>
          <w:spacing w:val="-4"/>
        </w:rPr>
        <w:t>lo </w:t>
      </w:r>
      <w:r>
        <w:rPr/>
        <w:t>que, a su vez,  exige  una  adecuada retroalimentación a los alumnos y a los diversos actores que hayan intervenido en   </w:t>
      </w:r>
      <w:r>
        <w:rPr>
          <w:spacing w:val="-5"/>
        </w:rPr>
        <w:t>la </w:t>
      </w:r>
      <w:r>
        <w:rPr/>
        <w:t>adquisición de los aprendizajes evaluados. Por tanto, en </w:t>
      </w:r>
      <w:r>
        <w:rPr>
          <w:spacing w:val="-3"/>
        </w:rPr>
        <w:t>última </w:t>
      </w:r>
      <w:r>
        <w:rPr/>
        <w:t>instancia, </w:t>
      </w:r>
      <w:r>
        <w:rPr>
          <w:spacing w:val="-4"/>
        </w:rPr>
        <w:t>la </w:t>
      </w:r>
      <w:r>
        <w:rPr/>
        <w:t>eficiencia de las pruebas depende de la pertinencia de las acciones que </w:t>
      </w:r>
      <w:r>
        <w:rPr>
          <w:spacing w:val="-2"/>
        </w:rPr>
        <w:t>los </w:t>
      </w:r>
      <w:r>
        <w:rPr/>
        <w:t>alumnos, padres de familia, docentes y directores de las escuelas (es decir, todos los integrantes de las comunidades educativas) lleven a cabo para mejorar el aprovechamiento de sus</w:t>
      </w:r>
      <w:r>
        <w:rPr>
          <w:spacing w:val="31"/>
        </w:rPr>
        <w:t> </w:t>
      </w:r>
      <w:r>
        <w:rPr/>
        <w:t>escuelas.</w:t>
      </w:r>
    </w:p>
    <w:p>
      <w:pPr>
        <w:pStyle w:val="BodyText"/>
        <w:spacing w:before="2"/>
        <w:rPr>
          <w:sz w:val="24"/>
        </w:rPr>
      </w:pPr>
    </w:p>
    <w:p>
      <w:pPr>
        <w:pStyle w:val="Heading3"/>
        <w:numPr>
          <w:ilvl w:val="2"/>
          <w:numId w:val="17"/>
        </w:numPr>
        <w:tabs>
          <w:tab w:pos="702" w:val="left" w:leader="none"/>
        </w:tabs>
        <w:spacing w:line="240" w:lineRule="auto" w:before="0" w:after="0"/>
        <w:ind w:left="701" w:right="0" w:hanging="585"/>
        <w:jc w:val="both"/>
      </w:pPr>
      <w:r>
        <w:rPr/>
        <w:t>Interpretaciones </w:t>
      </w:r>
      <w:r>
        <w:rPr>
          <w:spacing w:val="2"/>
        </w:rPr>
        <w:t>de </w:t>
      </w:r>
      <w:r>
        <w:rPr/>
        <w:t>las pruebas Enlace entre 2006 y</w:t>
      </w:r>
      <w:r>
        <w:rPr>
          <w:spacing w:val="57"/>
        </w:rPr>
        <w:t> </w:t>
      </w:r>
      <w:r>
        <w:rPr/>
        <w:t>2010</w:t>
      </w:r>
    </w:p>
    <w:p>
      <w:pPr>
        <w:pStyle w:val="BodyText"/>
        <w:spacing w:line="364" w:lineRule="auto" w:before="138"/>
        <w:ind w:left="116" w:right="109"/>
        <w:jc w:val="both"/>
      </w:pPr>
      <w:r>
        <w:rPr/>
        <w:t>A continuación se presentan algunas conclusiones que se obtuvieron al comparar los resultados de las pruebas que fueron aplicadas en 2010, con los que fueron</w:t>
      </w:r>
    </w:p>
    <w:p>
      <w:pPr>
        <w:pStyle w:val="BodyText"/>
        <w:spacing w:line="348" w:lineRule="auto" w:before="10"/>
        <w:ind w:left="116" w:right="109"/>
        <w:jc w:val="both"/>
      </w:pPr>
      <w:r>
        <w:rPr/>
        <w:t>reportados después de la aplicación de las mismas (que se llevó a cabo en el año 2006)</w:t>
      </w:r>
      <w:r>
        <w:rPr>
          <w:position w:val="11"/>
          <w:sz w:val="15"/>
        </w:rPr>
        <w:t>59</w:t>
      </w:r>
      <w:r>
        <w:rPr/>
        <w:t>. Se analizan los cambios que se registraron en el aprovechamiento académico (en español y matemáticas) que obtuvieron, en promedio, las   escuelas</w:t>
      </w:r>
    </w:p>
    <w:p>
      <w:pPr>
        <w:pStyle w:val="BodyText"/>
        <w:spacing w:before="23"/>
        <w:ind w:left="116"/>
        <w:jc w:val="both"/>
      </w:pPr>
      <w:r>
        <w:rPr/>
        <w:t>primarias y secundarias del país.</w:t>
      </w:r>
    </w:p>
    <w:p>
      <w:pPr>
        <w:pStyle w:val="BodyText"/>
        <w:spacing w:line="400" w:lineRule="atLeast" w:before="3"/>
        <w:ind w:left="116" w:right="107" w:firstLine="686"/>
        <w:jc w:val="both"/>
      </w:pPr>
      <w:r>
        <w:rPr/>
        <w:t>En primer término, </w:t>
      </w:r>
      <w:r>
        <w:rPr>
          <w:spacing w:val="3"/>
        </w:rPr>
        <w:t>se </w:t>
      </w:r>
      <w:r>
        <w:rPr/>
        <w:t>transcriben los resultados </w:t>
      </w:r>
      <w:r>
        <w:rPr>
          <w:spacing w:val="-3"/>
        </w:rPr>
        <w:t>que  </w:t>
      </w:r>
      <w:r>
        <w:rPr/>
        <w:t>fueron  obtenidos  a nivel nacional; y en segundo, </w:t>
      </w:r>
      <w:r>
        <w:rPr>
          <w:spacing w:val="-3"/>
        </w:rPr>
        <w:t>los </w:t>
      </w:r>
      <w:r>
        <w:rPr/>
        <w:t>que fueron detectados </w:t>
      </w:r>
      <w:r>
        <w:rPr>
          <w:spacing w:val="3"/>
        </w:rPr>
        <w:t>en </w:t>
      </w:r>
      <w:r>
        <w:rPr/>
        <w:t>las entidades  federativas a las que corresponden los más altos y más bajos niveles de marginación, respectivamente</w:t>
      </w:r>
      <w:r>
        <w:rPr>
          <w:position w:val="11"/>
          <w:sz w:val="15"/>
        </w:rPr>
        <w:t>60</w:t>
      </w:r>
      <w:r>
        <w:rPr/>
        <w:t>. (Esto </w:t>
      </w:r>
      <w:r>
        <w:rPr>
          <w:spacing w:val="2"/>
        </w:rPr>
        <w:t>se </w:t>
      </w:r>
      <w:r>
        <w:rPr/>
        <w:t>realizó </w:t>
      </w:r>
      <w:r>
        <w:rPr>
          <w:spacing w:val="3"/>
        </w:rPr>
        <w:t>con </w:t>
      </w:r>
      <w:r>
        <w:rPr>
          <w:spacing w:val="-3"/>
        </w:rPr>
        <w:t>la </w:t>
      </w:r>
      <w:r>
        <w:rPr/>
        <w:t>finalidad de determinar </w:t>
      </w:r>
      <w:r>
        <w:rPr>
          <w:spacing w:val="7"/>
        </w:rPr>
        <w:t>si </w:t>
      </w:r>
      <w:r>
        <w:rPr/>
        <w:t>las pruebas aludidas reflejan </w:t>
      </w:r>
      <w:r>
        <w:rPr>
          <w:spacing w:val="2"/>
        </w:rPr>
        <w:t>si </w:t>
      </w:r>
      <w:r>
        <w:rPr>
          <w:spacing w:val="-3"/>
        </w:rPr>
        <w:t>la </w:t>
      </w:r>
      <w:r>
        <w:rPr/>
        <w:t>distribución del aprovechamiento escolar está contribuyendo a generar una situación de menor desigualdad entre   </w:t>
      </w:r>
      <w:r>
        <w:rPr>
          <w:spacing w:val="51"/>
        </w:rPr>
        <w:t> </w:t>
      </w:r>
      <w:r>
        <w:rPr>
          <w:spacing w:val="-3"/>
        </w:rPr>
        <w:t>las  </w:t>
      </w:r>
      <w:r>
        <w:rPr/>
        <w:t>entidades</w:t>
      </w:r>
    </w:p>
    <w:p>
      <w:pPr>
        <w:pStyle w:val="BodyText"/>
        <w:spacing w:line="362" w:lineRule="auto" w:before="138"/>
        <w:ind w:left="116" w:right="111"/>
        <w:jc w:val="both"/>
      </w:pPr>
      <w:r>
        <w:rPr/>
        <w:pict>
          <v:line style="position:absolute;mso-position-horizontal-relative:page;mso-position-vertical-relative:paragraph;z-index:3328;mso-wrap-distance-left:0;mso-wrap-distance-right:0" from="82.799004pt,51.889858pt" to="222.958004pt,51.889858pt" stroked="true" strokeweight=".72pt" strokecolor="#000000">
            <w10:wrap type="topAndBottom"/>
          </v:line>
        </w:pict>
      </w:r>
      <w:r>
        <w:rPr/>
        <w:t>de la República cuyos pobladores tienen acceso, en promedio, a diferentes niveles de vida).</w:t>
      </w:r>
    </w:p>
    <w:p>
      <w:pPr>
        <w:spacing w:line="247" w:lineRule="auto" w:before="56"/>
        <w:ind w:left="115" w:right="191" w:firstLine="0"/>
        <w:jc w:val="left"/>
        <w:rPr>
          <w:sz w:val="19"/>
        </w:rPr>
      </w:pPr>
      <w:r>
        <w:rPr>
          <w:rFonts w:ascii="Times New Roman" w:hAnsi="Times New Roman"/>
          <w:w w:val="105"/>
          <w:position w:val="9"/>
          <w:sz w:val="12"/>
        </w:rPr>
        <w:t>59 </w:t>
      </w:r>
      <w:r>
        <w:rPr>
          <w:w w:val="105"/>
          <w:sz w:val="19"/>
        </w:rPr>
        <w:t>También nos referiremos a los resultados obtenidos en las pruebas de historia, mismas que, como dijimos, fueron aplicadas por primera vez en el año en curso.</w:t>
      </w:r>
    </w:p>
    <w:p>
      <w:pPr>
        <w:spacing w:line="214" w:lineRule="exact" w:before="0"/>
        <w:ind w:left="115" w:right="191" w:firstLine="0"/>
        <w:jc w:val="left"/>
        <w:rPr>
          <w:sz w:val="19"/>
        </w:rPr>
      </w:pPr>
      <w:r>
        <w:rPr>
          <w:rFonts w:ascii="Times New Roman" w:hAnsi="Times New Roman"/>
          <w:w w:val="105"/>
          <w:position w:val="9"/>
          <w:sz w:val="12"/>
        </w:rPr>
        <w:t>60   </w:t>
      </w:r>
      <w:r>
        <w:rPr>
          <w:w w:val="105"/>
          <w:sz w:val="19"/>
        </w:rPr>
        <w:t>Esos índices son construidos por el Consejo Nacional de Población CONAPO-, utilizando</w:t>
      </w:r>
    </w:p>
    <w:p>
      <w:pPr>
        <w:spacing w:before="7"/>
        <w:ind w:left="115" w:right="191" w:firstLine="0"/>
        <w:jc w:val="left"/>
        <w:rPr>
          <w:sz w:val="19"/>
        </w:rPr>
      </w:pPr>
      <w:r>
        <w:rPr>
          <w:w w:val="105"/>
          <w:sz w:val="19"/>
        </w:rPr>
        <w:t>diversos indicadores de la pobreza.</w:t>
      </w:r>
    </w:p>
    <w:p>
      <w:pPr>
        <w:spacing w:after="0"/>
        <w:jc w:val="left"/>
        <w:rPr>
          <w:sz w:val="19"/>
        </w:rPr>
        <w:sectPr>
          <w:pgSz w:w="11910" w:h="16840"/>
          <w:pgMar w:header="0" w:footer="1457" w:top="1580" w:bottom="1640" w:left="1540" w:right="1540"/>
        </w:sectPr>
      </w:pPr>
    </w:p>
    <w:p>
      <w:pPr>
        <w:pStyle w:val="BodyText"/>
        <w:rPr>
          <w:sz w:val="20"/>
        </w:rPr>
      </w:pPr>
    </w:p>
    <w:p>
      <w:pPr>
        <w:pStyle w:val="BodyText"/>
        <w:spacing w:before="9"/>
        <w:rPr>
          <w:sz w:val="15"/>
        </w:rPr>
      </w:pPr>
    </w:p>
    <w:p>
      <w:pPr>
        <w:spacing w:before="78"/>
        <w:ind w:left="59" w:right="51" w:firstLine="0"/>
        <w:jc w:val="center"/>
        <w:rPr>
          <w:b/>
          <w:sz w:val="21"/>
        </w:rPr>
      </w:pPr>
      <w:r>
        <w:rPr>
          <w:b/>
          <w:sz w:val="21"/>
        </w:rPr>
        <w:t>Tabla N°16</w:t>
      </w:r>
    </w:p>
    <w:p>
      <w:pPr>
        <w:pStyle w:val="BodyText"/>
        <w:spacing w:before="11"/>
        <w:rPr>
          <w:b/>
          <w:sz w:val="21"/>
        </w:rPr>
      </w:pPr>
    </w:p>
    <w:p>
      <w:pPr>
        <w:spacing w:line="252" w:lineRule="auto" w:before="0"/>
        <w:ind w:left="48" w:right="51" w:firstLine="0"/>
        <w:jc w:val="center"/>
        <w:rPr>
          <w:b/>
          <w:sz w:val="21"/>
        </w:rPr>
      </w:pPr>
      <w:r>
        <w:rPr>
          <w:b/>
          <w:sz w:val="21"/>
        </w:rPr>
        <w:t>Distribución porcentual de los estudiantes entre los diferentes niveles de logro por asignatura en educación primaria (2006 y  2010)</w:t>
      </w:r>
    </w:p>
    <w:p>
      <w:pPr>
        <w:pStyle w:val="BodyText"/>
        <w:spacing w:after="1"/>
        <w:rPr>
          <w:b/>
        </w:r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66"/>
        <w:gridCol w:w="1790"/>
        <w:gridCol w:w="1157"/>
        <w:gridCol w:w="1786"/>
        <w:gridCol w:w="1152"/>
        <w:gridCol w:w="1190"/>
      </w:tblGrid>
      <w:tr>
        <w:trPr>
          <w:trHeight w:val="245" w:hRule="exact"/>
        </w:trPr>
        <w:tc>
          <w:tcPr>
            <w:tcW w:w="4613" w:type="dxa"/>
            <w:gridSpan w:val="3"/>
            <w:tcBorders>
              <w:left w:val="single" w:sz="8" w:space="0" w:color="000000"/>
              <w:right w:val="single" w:sz="8" w:space="0" w:color="000000"/>
            </w:tcBorders>
          </w:tcPr>
          <w:p>
            <w:pPr>
              <w:pStyle w:val="TableParagraph"/>
              <w:spacing w:before="4"/>
              <w:ind w:left="62" w:right="197"/>
              <w:rPr>
                <w:sz w:val="19"/>
              </w:rPr>
            </w:pPr>
            <w:r>
              <w:rPr>
                <w:w w:val="105"/>
                <w:sz w:val="19"/>
              </w:rPr>
              <w:t>Resultados globales en primarias 2006</w:t>
            </w:r>
          </w:p>
        </w:tc>
        <w:tc>
          <w:tcPr>
            <w:tcW w:w="4128" w:type="dxa"/>
            <w:gridSpan w:val="3"/>
            <w:tcBorders>
              <w:left w:val="single" w:sz="8" w:space="0" w:color="000000"/>
              <w:right w:val="single" w:sz="8" w:space="0" w:color="000000"/>
            </w:tcBorders>
          </w:tcPr>
          <w:p>
            <w:pPr>
              <w:pStyle w:val="TableParagraph"/>
              <w:spacing w:before="4"/>
              <w:ind w:left="57"/>
              <w:rPr>
                <w:sz w:val="19"/>
              </w:rPr>
            </w:pPr>
            <w:r>
              <w:rPr>
                <w:w w:val="105"/>
                <w:sz w:val="19"/>
              </w:rPr>
              <w:t>Resultados globales en secundaria 2010</w:t>
            </w:r>
          </w:p>
        </w:tc>
      </w:tr>
      <w:tr>
        <w:trPr>
          <w:trHeight w:val="240" w:hRule="exact"/>
        </w:trPr>
        <w:tc>
          <w:tcPr>
            <w:tcW w:w="1666" w:type="dxa"/>
            <w:tcBorders>
              <w:left w:val="single" w:sz="8" w:space="0" w:color="000000"/>
            </w:tcBorders>
          </w:tcPr>
          <w:p>
            <w:pPr/>
          </w:p>
        </w:tc>
        <w:tc>
          <w:tcPr>
            <w:tcW w:w="1790" w:type="dxa"/>
          </w:tcPr>
          <w:p>
            <w:pPr>
              <w:pStyle w:val="TableParagraph"/>
              <w:spacing w:line="218" w:lineRule="exact"/>
              <w:ind w:left="67"/>
              <w:rPr>
                <w:sz w:val="19"/>
              </w:rPr>
            </w:pPr>
            <w:r>
              <w:rPr>
                <w:w w:val="105"/>
                <w:sz w:val="19"/>
              </w:rPr>
              <w:t>Matemáticas</w:t>
            </w:r>
          </w:p>
        </w:tc>
        <w:tc>
          <w:tcPr>
            <w:tcW w:w="1157" w:type="dxa"/>
            <w:tcBorders>
              <w:right w:val="single" w:sz="8" w:space="0" w:color="000000"/>
            </w:tcBorders>
          </w:tcPr>
          <w:p>
            <w:pPr>
              <w:pStyle w:val="TableParagraph"/>
              <w:spacing w:line="218" w:lineRule="exact"/>
              <w:ind w:left="67"/>
              <w:rPr>
                <w:sz w:val="19"/>
              </w:rPr>
            </w:pPr>
            <w:r>
              <w:rPr>
                <w:w w:val="105"/>
                <w:sz w:val="19"/>
              </w:rPr>
              <w:t>Español</w:t>
            </w:r>
          </w:p>
        </w:tc>
        <w:tc>
          <w:tcPr>
            <w:tcW w:w="1786" w:type="dxa"/>
            <w:tcBorders>
              <w:left w:val="single" w:sz="8" w:space="0" w:color="000000"/>
            </w:tcBorders>
          </w:tcPr>
          <w:p>
            <w:pPr>
              <w:pStyle w:val="TableParagraph"/>
              <w:spacing w:line="218" w:lineRule="exact"/>
              <w:ind w:left="57"/>
              <w:rPr>
                <w:sz w:val="19"/>
              </w:rPr>
            </w:pPr>
            <w:r>
              <w:rPr>
                <w:w w:val="105"/>
                <w:sz w:val="19"/>
              </w:rPr>
              <w:t>Matemáticas</w:t>
            </w:r>
          </w:p>
        </w:tc>
        <w:tc>
          <w:tcPr>
            <w:tcW w:w="1152" w:type="dxa"/>
          </w:tcPr>
          <w:p>
            <w:pPr>
              <w:pStyle w:val="TableParagraph"/>
              <w:spacing w:line="218" w:lineRule="exact"/>
              <w:ind w:left="67"/>
              <w:rPr>
                <w:sz w:val="19"/>
              </w:rPr>
            </w:pPr>
            <w:r>
              <w:rPr>
                <w:w w:val="105"/>
                <w:sz w:val="19"/>
              </w:rPr>
              <w:t>Español</w:t>
            </w:r>
          </w:p>
        </w:tc>
        <w:tc>
          <w:tcPr>
            <w:tcW w:w="1190" w:type="dxa"/>
            <w:tcBorders>
              <w:right w:val="single" w:sz="8" w:space="0" w:color="000000"/>
            </w:tcBorders>
          </w:tcPr>
          <w:p>
            <w:pPr>
              <w:pStyle w:val="TableParagraph"/>
              <w:spacing w:line="218" w:lineRule="exact"/>
              <w:ind w:left="62"/>
              <w:rPr>
                <w:sz w:val="19"/>
              </w:rPr>
            </w:pPr>
            <w:r>
              <w:rPr>
                <w:w w:val="105"/>
                <w:sz w:val="19"/>
              </w:rPr>
              <w:t>Historia</w:t>
            </w:r>
          </w:p>
        </w:tc>
      </w:tr>
      <w:tr>
        <w:trPr>
          <w:trHeight w:val="245" w:hRule="exact"/>
        </w:trPr>
        <w:tc>
          <w:tcPr>
            <w:tcW w:w="1666" w:type="dxa"/>
            <w:tcBorders>
              <w:left w:val="single" w:sz="8" w:space="0" w:color="000000"/>
            </w:tcBorders>
          </w:tcPr>
          <w:p>
            <w:pPr>
              <w:pStyle w:val="TableParagraph"/>
              <w:spacing w:before="4"/>
              <w:ind w:left="62"/>
              <w:rPr>
                <w:sz w:val="19"/>
              </w:rPr>
            </w:pPr>
            <w:r>
              <w:rPr>
                <w:w w:val="105"/>
                <w:sz w:val="19"/>
              </w:rPr>
              <w:t>Insuficiente</w:t>
            </w:r>
          </w:p>
        </w:tc>
        <w:tc>
          <w:tcPr>
            <w:tcW w:w="1790" w:type="dxa"/>
          </w:tcPr>
          <w:p>
            <w:pPr>
              <w:pStyle w:val="TableParagraph"/>
              <w:spacing w:before="9"/>
              <w:ind w:left="67"/>
              <w:rPr>
                <w:sz w:val="19"/>
              </w:rPr>
            </w:pPr>
            <w:r>
              <w:rPr>
                <w:w w:val="105"/>
                <w:sz w:val="19"/>
              </w:rPr>
              <w:t>21%</w:t>
            </w:r>
          </w:p>
        </w:tc>
        <w:tc>
          <w:tcPr>
            <w:tcW w:w="1157" w:type="dxa"/>
            <w:tcBorders>
              <w:right w:val="single" w:sz="8" w:space="0" w:color="000000"/>
            </w:tcBorders>
          </w:tcPr>
          <w:p>
            <w:pPr>
              <w:pStyle w:val="TableParagraph"/>
              <w:spacing w:before="9"/>
              <w:ind w:left="67"/>
              <w:rPr>
                <w:sz w:val="19"/>
              </w:rPr>
            </w:pPr>
            <w:r>
              <w:rPr>
                <w:w w:val="105"/>
                <w:sz w:val="19"/>
              </w:rPr>
              <w:t>20.7%</w:t>
            </w:r>
          </w:p>
        </w:tc>
        <w:tc>
          <w:tcPr>
            <w:tcW w:w="1786" w:type="dxa"/>
            <w:tcBorders>
              <w:left w:val="single" w:sz="8" w:space="0" w:color="000000"/>
            </w:tcBorders>
          </w:tcPr>
          <w:p>
            <w:pPr>
              <w:pStyle w:val="TableParagraph"/>
              <w:spacing w:before="9"/>
              <w:ind w:left="57"/>
              <w:rPr>
                <w:sz w:val="19"/>
              </w:rPr>
            </w:pPr>
            <w:r>
              <w:rPr>
                <w:w w:val="105"/>
                <w:sz w:val="19"/>
              </w:rPr>
              <w:t>19.7%</w:t>
            </w:r>
          </w:p>
        </w:tc>
        <w:tc>
          <w:tcPr>
            <w:tcW w:w="1152" w:type="dxa"/>
          </w:tcPr>
          <w:p>
            <w:pPr>
              <w:pStyle w:val="TableParagraph"/>
              <w:spacing w:before="9"/>
              <w:ind w:left="67"/>
              <w:rPr>
                <w:sz w:val="19"/>
              </w:rPr>
            </w:pPr>
            <w:r>
              <w:rPr>
                <w:w w:val="105"/>
                <w:sz w:val="19"/>
              </w:rPr>
              <w:t>17%</w:t>
            </w:r>
          </w:p>
        </w:tc>
        <w:tc>
          <w:tcPr>
            <w:tcW w:w="1190" w:type="dxa"/>
            <w:tcBorders>
              <w:right w:val="single" w:sz="8" w:space="0" w:color="000000"/>
            </w:tcBorders>
          </w:tcPr>
          <w:p>
            <w:pPr>
              <w:pStyle w:val="TableParagraph"/>
              <w:spacing w:before="9"/>
              <w:ind w:left="62"/>
              <w:rPr>
                <w:sz w:val="19"/>
              </w:rPr>
            </w:pPr>
            <w:r>
              <w:rPr>
                <w:w w:val="105"/>
                <w:sz w:val="19"/>
              </w:rPr>
              <w:t>16.2%</w:t>
            </w:r>
          </w:p>
        </w:tc>
      </w:tr>
      <w:tr>
        <w:trPr>
          <w:trHeight w:val="240" w:hRule="exact"/>
        </w:trPr>
        <w:tc>
          <w:tcPr>
            <w:tcW w:w="1666" w:type="dxa"/>
            <w:tcBorders>
              <w:left w:val="single" w:sz="8" w:space="0" w:color="000000"/>
            </w:tcBorders>
          </w:tcPr>
          <w:p>
            <w:pPr>
              <w:pStyle w:val="TableParagraph"/>
              <w:spacing w:before="4"/>
              <w:ind w:left="62"/>
              <w:rPr>
                <w:sz w:val="19"/>
              </w:rPr>
            </w:pPr>
            <w:r>
              <w:rPr>
                <w:w w:val="105"/>
                <w:sz w:val="19"/>
              </w:rPr>
              <w:t>Elemental</w:t>
            </w:r>
          </w:p>
        </w:tc>
        <w:tc>
          <w:tcPr>
            <w:tcW w:w="1790" w:type="dxa"/>
          </w:tcPr>
          <w:p>
            <w:pPr>
              <w:pStyle w:val="TableParagraph"/>
              <w:spacing w:before="9"/>
              <w:ind w:left="67"/>
              <w:rPr>
                <w:sz w:val="19"/>
              </w:rPr>
            </w:pPr>
            <w:r>
              <w:rPr>
                <w:w w:val="105"/>
                <w:sz w:val="19"/>
              </w:rPr>
              <w:t>61.4%</w:t>
            </w:r>
          </w:p>
        </w:tc>
        <w:tc>
          <w:tcPr>
            <w:tcW w:w="1157" w:type="dxa"/>
            <w:tcBorders>
              <w:right w:val="single" w:sz="8" w:space="0" w:color="000000"/>
            </w:tcBorders>
          </w:tcPr>
          <w:p>
            <w:pPr>
              <w:pStyle w:val="TableParagraph"/>
              <w:spacing w:before="9"/>
              <w:ind w:left="67"/>
              <w:rPr>
                <w:sz w:val="19"/>
              </w:rPr>
            </w:pPr>
            <w:r>
              <w:rPr>
                <w:w w:val="105"/>
                <w:sz w:val="19"/>
              </w:rPr>
              <w:t>58.1%</w:t>
            </w:r>
          </w:p>
        </w:tc>
        <w:tc>
          <w:tcPr>
            <w:tcW w:w="1786" w:type="dxa"/>
            <w:tcBorders>
              <w:left w:val="single" w:sz="8" w:space="0" w:color="000000"/>
            </w:tcBorders>
          </w:tcPr>
          <w:p>
            <w:pPr>
              <w:pStyle w:val="TableParagraph"/>
              <w:spacing w:before="9"/>
              <w:ind w:left="57"/>
              <w:rPr>
                <w:sz w:val="19"/>
              </w:rPr>
            </w:pPr>
            <w:r>
              <w:rPr>
                <w:w w:val="105"/>
                <w:sz w:val="19"/>
              </w:rPr>
              <w:t>46.4%</w:t>
            </w:r>
          </w:p>
        </w:tc>
        <w:tc>
          <w:tcPr>
            <w:tcW w:w="1152" w:type="dxa"/>
          </w:tcPr>
          <w:p>
            <w:pPr>
              <w:pStyle w:val="TableParagraph"/>
              <w:spacing w:before="9"/>
              <w:ind w:left="67"/>
              <w:rPr>
                <w:sz w:val="19"/>
              </w:rPr>
            </w:pPr>
            <w:r>
              <w:rPr>
                <w:w w:val="105"/>
                <w:sz w:val="19"/>
              </w:rPr>
              <w:t>46.1%</w:t>
            </w:r>
          </w:p>
        </w:tc>
        <w:tc>
          <w:tcPr>
            <w:tcW w:w="1190" w:type="dxa"/>
            <w:tcBorders>
              <w:right w:val="single" w:sz="8" w:space="0" w:color="000000"/>
            </w:tcBorders>
          </w:tcPr>
          <w:p>
            <w:pPr>
              <w:pStyle w:val="TableParagraph"/>
              <w:spacing w:before="9"/>
              <w:ind w:left="62"/>
              <w:rPr>
                <w:sz w:val="19"/>
              </w:rPr>
            </w:pPr>
            <w:r>
              <w:rPr>
                <w:w w:val="105"/>
                <w:sz w:val="19"/>
              </w:rPr>
              <w:t>62.9%</w:t>
            </w:r>
          </w:p>
        </w:tc>
      </w:tr>
      <w:tr>
        <w:trPr>
          <w:trHeight w:val="245" w:hRule="exact"/>
        </w:trPr>
        <w:tc>
          <w:tcPr>
            <w:tcW w:w="1666" w:type="dxa"/>
            <w:tcBorders>
              <w:left w:val="single" w:sz="8" w:space="0" w:color="000000"/>
            </w:tcBorders>
          </w:tcPr>
          <w:p>
            <w:pPr>
              <w:pStyle w:val="TableParagraph"/>
              <w:spacing w:before="4"/>
              <w:ind w:left="62"/>
              <w:rPr>
                <w:sz w:val="19"/>
              </w:rPr>
            </w:pPr>
            <w:r>
              <w:rPr>
                <w:w w:val="105"/>
                <w:sz w:val="19"/>
              </w:rPr>
              <w:t>Bueno</w:t>
            </w:r>
          </w:p>
        </w:tc>
        <w:tc>
          <w:tcPr>
            <w:tcW w:w="1790" w:type="dxa"/>
          </w:tcPr>
          <w:p>
            <w:pPr>
              <w:pStyle w:val="TableParagraph"/>
              <w:spacing w:before="9"/>
              <w:ind w:left="67"/>
              <w:rPr>
                <w:sz w:val="19"/>
              </w:rPr>
            </w:pPr>
            <w:r>
              <w:rPr>
                <w:w w:val="105"/>
                <w:sz w:val="19"/>
              </w:rPr>
              <w:t>16%</w:t>
            </w:r>
          </w:p>
        </w:tc>
        <w:tc>
          <w:tcPr>
            <w:tcW w:w="1157" w:type="dxa"/>
            <w:tcBorders>
              <w:right w:val="single" w:sz="8" w:space="0" w:color="000000"/>
            </w:tcBorders>
          </w:tcPr>
          <w:p>
            <w:pPr>
              <w:pStyle w:val="TableParagraph"/>
              <w:spacing w:before="9"/>
              <w:ind w:left="67"/>
              <w:rPr>
                <w:sz w:val="19"/>
              </w:rPr>
            </w:pPr>
            <w:r>
              <w:rPr>
                <w:w w:val="105"/>
                <w:sz w:val="19"/>
              </w:rPr>
              <w:t>19.6%</w:t>
            </w:r>
          </w:p>
        </w:tc>
        <w:tc>
          <w:tcPr>
            <w:tcW w:w="1786" w:type="dxa"/>
            <w:tcBorders>
              <w:left w:val="single" w:sz="8" w:space="0" w:color="000000"/>
            </w:tcBorders>
          </w:tcPr>
          <w:p>
            <w:pPr>
              <w:pStyle w:val="TableParagraph"/>
              <w:spacing w:before="9"/>
              <w:ind w:left="57"/>
              <w:rPr>
                <w:sz w:val="19"/>
              </w:rPr>
            </w:pPr>
            <w:r>
              <w:rPr>
                <w:w w:val="105"/>
                <w:sz w:val="19"/>
              </w:rPr>
              <w:t>25.8%</w:t>
            </w:r>
          </w:p>
        </w:tc>
        <w:tc>
          <w:tcPr>
            <w:tcW w:w="1152" w:type="dxa"/>
          </w:tcPr>
          <w:p>
            <w:pPr>
              <w:pStyle w:val="TableParagraph"/>
              <w:spacing w:before="9"/>
              <w:ind w:left="67"/>
              <w:rPr>
                <w:sz w:val="19"/>
              </w:rPr>
            </w:pPr>
            <w:r>
              <w:rPr>
                <w:w w:val="105"/>
                <w:sz w:val="19"/>
              </w:rPr>
              <w:t>30.2%</w:t>
            </w:r>
          </w:p>
        </w:tc>
        <w:tc>
          <w:tcPr>
            <w:tcW w:w="1190" w:type="dxa"/>
            <w:tcBorders>
              <w:right w:val="single" w:sz="8" w:space="0" w:color="000000"/>
            </w:tcBorders>
          </w:tcPr>
          <w:p>
            <w:pPr>
              <w:pStyle w:val="TableParagraph"/>
              <w:spacing w:before="9"/>
              <w:ind w:left="62"/>
              <w:rPr>
                <w:sz w:val="19"/>
              </w:rPr>
            </w:pPr>
            <w:r>
              <w:rPr>
                <w:w w:val="105"/>
                <w:sz w:val="19"/>
              </w:rPr>
              <w:t>18.4%</w:t>
            </w:r>
          </w:p>
        </w:tc>
      </w:tr>
      <w:tr>
        <w:trPr>
          <w:trHeight w:val="250" w:hRule="exact"/>
        </w:trPr>
        <w:tc>
          <w:tcPr>
            <w:tcW w:w="1666" w:type="dxa"/>
            <w:tcBorders>
              <w:left w:val="single" w:sz="8" w:space="0" w:color="000000"/>
              <w:bottom w:val="single" w:sz="8" w:space="0" w:color="000000"/>
            </w:tcBorders>
          </w:tcPr>
          <w:p>
            <w:pPr>
              <w:pStyle w:val="TableParagraph"/>
              <w:spacing w:before="4"/>
              <w:ind w:left="110"/>
              <w:rPr>
                <w:sz w:val="19"/>
              </w:rPr>
            </w:pPr>
            <w:r>
              <w:rPr>
                <w:w w:val="105"/>
                <w:sz w:val="19"/>
              </w:rPr>
              <w:t>Excelente</w:t>
            </w:r>
          </w:p>
        </w:tc>
        <w:tc>
          <w:tcPr>
            <w:tcW w:w="1790" w:type="dxa"/>
            <w:tcBorders>
              <w:bottom w:val="single" w:sz="8" w:space="0" w:color="000000"/>
            </w:tcBorders>
          </w:tcPr>
          <w:p>
            <w:pPr>
              <w:pStyle w:val="TableParagraph"/>
              <w:spacing w:before="9"/>
              <w:ind w:left="67"/>
              <w:rPr>
                <w:sz w:val="19"/>
              </w:rPr>
            </w:pPr>
            <w:r>
              <w:rPr>
                <w:w w:val="105"/>
                <w:sz w:val="19"/>
              </w:rPr>
              <w:t>1.6%</w:t>
            </w:r>
          </w:p>
        </w:tc>
        <w:tc>
          <w:tcPr>
            <w:tcW w:w="1157" w:type="dxa"/>
            <w:tcBorders>
              <w:bottom w:val="single" w:sz="8" w:space="0" w:color="000000"/>
              <w:right w:val="single" w:sz="8" w:space="0" w:color="000000"/>
            </w:tcBorders>
          </w:tcPr>
          <w:p>
            <w:pPr>
              <w:pStyle w:val="TableParagraph"/>
              <w:spacing w:before="9"/>
              <w:ind w:left="67"/>
              <w:rPr>
                <w:sz w:val="19"/>
              </w:rPr>
            </w:pPr>
            <w:r>
              <w:rPr>
                <w:w w:val="105"/>
                <w:sz w:val="19"/>
              </w:rPr>
              <w:t>1.7</w:t>
            </w:r>
          </w:p>
        </w:tc>
        <w:tc>
          <w:tcPr>
            <w:tcW w:w="1786" w:type="dxa"/>
            <w:tcBorders>
              <w:left w:val="single" w:sz="8" w:space="0" w:color="000000"/>
              <w:bottom w:val="single" w:sz="8" w:space="0" w:color="000000"/>
            </w:tcBorders>
          </w:tcPr>
          <w:p>
            <w:pPr>
              <w:pStyle w:val="TableParagraph"/>
              <w:spacing w:before="9"/>
              <w:ind w:left="57"/>
              <w:rPr>
                <w:sz w:val="19"/>
              </w:rPr>
            </w:pPr>
            <w:r>
              <w:rPr>
                <w:w w:val="105"/>
                <w:sz w:val="19"/>
              </w:rPr>
              <w:t>8.1%</w:t>
            </w:r>
          </w:p>
        </w:tc>
        <w:tc>
          <w:tcPr>
            <w:tcW w:w="1152" w:type="dxa"/>
            <w:tcBorders>
              <w:bottom w:val="single" w:sz="8" w:space="0" w:color="000000"/>
            </w:tcBorders>
          </w:tcPr>
          <w:p>
            <w:pPr>
              <w:pStyle w:val="TableParagraph"/>
              <w:spacing w:before="9"/>
              <w:ind w:left="67"/>
              <w:rPr>
                <w:sz w:val="19"/>
              </w:rPr>
            </w:pPr>
            <w:r>
              <w:rPr>
                <w:w w:val="105"/>
                <w:sz w:val="19"/>
              </w:rPr>
              <w:t>6.7%</w:t>
            </w:r>
          </w:p>
        </w:tc>
        <w:tc>
          <w:tcPr>
            <w:tcW w:w="1190" w:type="dxa"/>
            <w:tcBorders>
              <w:bottom w:val="single" w:sz="8" w:space="0" w:color="000000"/>
              <w:right w:val="single" w:sz="8" w:space="0" w:color="000000"/>
            </w:tcBorders>
          </w:tcPr>
          <w:p>
            <w:pPr>
              <w:pStyle w:val="TableParagraph"/>
              <w:spacing w:before="9"/>
              <w:ind w:left="62"/>
              <w:rPr>
                <w:sz w:val="19"/>
              </w:rPr>
            </w:pPr>
            <w:r>
              <w:rPr>
                <w:w w:val="105"/>
                <w:sz w:val="19"/>
              </w:rPr>
              <w:t>2.5%</w:t>
            </w:r>
          </w:p>
        </w:tc>
      </w:tr>
    </w:tbl>
    <w:p>
      <w:pPr>
        <w:pStyle w:val="BodyText"/>
        <w:rPr>
          <w:b/>
          <w:sz w:val="20"/>
        </w:rPr>
      </w:pPr>
    </w:p>
    <w:p>
      <w:pPr>
        <w:pStyle w:val="BodyText"/>
        <w:spacing w:before="10"/>
        <w:rPr>
          <w:b/>
          <w:sz w:val="15"/>
        </w:rPr>
      </w:pPr>
    </w:p>
    <w:p>
      <w:pPr>
        <w:spacing w:before="81"/>
        <w:ind w:left="195" w:right="162" w:firstLine="0"/>
        <w:jc w:val="left"/>
        <w:rPr>
          <w:sz w:val="19"/>
        </w:rPr>
      </w:pPr>
      <w:r>
        <w:rPr>
          <w:b/>
          <w:w w:val="105"/>
          <w:sz w:val="19"/>
        </w:rPr>
        <w:t>FUENTE: </w:t>
      </w:r>
      <w:r>
        <w:rPr>
          <w:w w:val="105"/>
          <w:sz w:val="19"/>
        </w:rPr>
        <w:t>SEP, 2010</w:t>
      </w:r>
    </w:p>
    <w:p>
      <w:pPr>
        <w:pStyle w:val="BodyText"/>
        <w:rPr>
          <w:sz w:val="20"/>
        </w:rPr>
      </w:pPr>
    </w:p>
    <w:p>
      <w:pPr>
        <w:pStyle w:val="BodyText"/>
        <w:spacing w:line="364" w:lineRule="auto" w:before="176"/>
        <w:ind w:left="195" w:right="188" w:firstLine="686"/>
        <w:jc w:val="both"/>
      </w:pPr>
      <w:r>
        <w:rPr/>
        <w:t>Como </w:t>
      </w:r>
      <w:r>
        <w:rPr>
          <w:spacing w:val="3"/>
        </w:rPr>
        <w:t>se </w:t>
      </w:r>
      <w:r>
        <w:rPr/>
        <w:t>puede observar en </w:t>
      </w:r>
      <w:r>
        <w:rPr>
          <w:spacing w:val="-3"/>
        </w:rPr>
        <w:t>la </w:t>
      </w:r>
      <w:r>
        <w:rPr/>
        <w:t>tabla, durante el periodo analizado hubo algunas mejoras en el aprovechamiento obtenido en las asignaturas que fueron evaluadas, tanto al principio como al final de dicho cuatrienio. Esto se desprende  del hecho de que algunos alumnos que en 2006 se encontraban en los niveles inferiores (“insuficiente” y “elemental”), se desplazaron hacia los niveles de mayor jerarquía (“bueno” y</w:t>
      </w:r>
      <w:r>
        <w:rPr>
          <w:spacing w:val="34"/>
        </w:rPr>
        <w:t> </w:t>
      </w:r>
      <w:r>
        <w:rPr/>
        <w:t>“excelente”).</w:t>
      </w:r>
    </w:p>
    <w:p>
      <w:pPr>
        <w:pStyle w:val="BodyText"/>
        <w:spacing w:line="364" w:lineRule="auto" w:before="5"/>
        <w:ind w:left="195" w:right="198" w:firstLine="686"/>
        <w:jc w:val="both"/>
      </w:pPr>
      <w:r>
        <w:rPr/>
        <w:t>Los resultados en educación secundaria, se pueden observar en la tabla siguiente:</w:t>
      </w:r>
    </w:p>
    <w:p>
      <w:pPr>
        <w:pStyle w:val="BodyText"/>
        <w:spacing w:before="2"/>
        <w:rPr>
          <w:sz w:val="24"/>
        </w:rPr>
      </w:pPr>
    </w:p>
    <w:p>
      <w:pPr>
        <w:spacing w:before="0"/>
        <w:ind w:left="51" w:right="51" w:firstLine="0"/>
        <w:jc w:val="center"/>
        <w:rPr>
          <w:b/>
          <w:sz w:val="21"/>
        </w:rPr>
      </w:pPr>
      <w:r>
        <w:rPr>
          <w:b/>
          <w:sz w:val="21"/>
        </w:rPr>
        <w:t>Tabla N° 17</w:t>
      </w:r>
    </w:p>
    <w:p>
      <w:pPr>
        <w:pStyle w:val="BodyText"/>
        <w:spacing w:before="6"/>
        <w:rPr>
          <w:b/>
          <w:sz w:val="21"/>
        </w:rPr>
      </w:pPr>
    </w:p>
    <w:p>
      <w:pPr>
        <w:spacing w:line="252" w:lineRule="auto" w:before="0"/>
        <w:ind w:left="325" w:right="320" w:firstLine="0"/>
        <w:jc w:val="center"/>
        <w:rPr>
          <w:b/>
          <w:sz w:val="21"/>
        </w:rPr>
      </w:pPr>
      <w:r>
        <w:rPr>
          <w:b/>
          <w:sz w:val="21"/>
        </w:rPr>
        <w:t>Distribución porcentual de los estudiantes de entre los diferentes niveles de logro en las asignaturas  en secundaria (2006 y  2010)</w:t>
      </w:r>
    </w:p>
    <w:p>
      <w:pPr>
        <w:pStyle w:val="BodyText"/>
        <w:spacing w:after="1"/>
        <w:rPr>
          <w:b/>
        </w:r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66"/>
        <w:gridCol w:w="1790"/>
        <w:gridCol w:w="1157"/>
        <w:gridCol w:w="1786"/>
        <w:gridCol w:w="1152"/>
        <w:gridCol w:w="1190"/>
      </w:tblGrid>
      <w:tr>
        <w:trPr>
          <w:trHeight w:val="456" w:hRule="exact"/>
        </w:trPr>
        <w:tc>
          <w:tcPr>
            <w:tcW w:w="4613" w:type="dxa"/>
            <w:gridSpan w:val="3"/>
            <w:tcBorders>
              <w:left w:val="single" w:sz="8" w:space="0" w:color="000000"/>
              <w:right w:val="single" w:sz="8" w:space="0" w:color="000000"/>
            </w:tcBorders>
          </w:tcPr>
          <w:p>
            <w:pPr>
              <w:pStyle w:val="TableParagraph"/>
              <w:spacing w:line="247" w:lineRule="auto"/>
              <w:ind w:left="62" w:right="197"/>
              <w:rPr>
                <w:sz w:val="19"/>
              </w:rPr>
            </w:pPr>
            <w:r>
              <w:rPr>
                <w:w w:val="105"/>
                <w:sz w:val="19"/>
              </w:rPr>
              <w:t>Resultados</w:t>
            </w:r>
            <w:r>
              <w:rPr>
                <w:spacing w:val="-24"/>
                <w:w w:val="105"/>
                <w:sz w:val="19"/>
              </w:rPr>
              <w:t> </w:t>
            </w:r>
            <w:r>
              <w:rPr>
                <w:w w:val="105"/>
                <w:sz w:val="19"/>
              </w:rPr>
              <w:t>globales</w:t>
            </w:r>
            <w:r>
              <w:rPr>
                <w:spacing w:val="-26"/>
                <w:w w:val="105"/>
                <w:sz w:val="19"/>
              </w:rPr>
              <w:t> </w:t>
            </w:r>
            <w:r>
              <w:rPr>
                <w:w w:val="105"/>
                <w:sz w:val="19"/>
              </w:rPr>
              <w:t>obtenidos</w:t>
            </w:r>
            <w:r>
              <w:rPr>
                <w:spacing w:val="-24"/>
                <w:w w:val="105"/>
                <w:sz w:val="19"/>
              </w:rPr>
              <w:t> </w:t>
            </w:r>
            <w:r>
              <w:rPr>
                <w:w w:val="105"/>
                <w:sz w:val="19"/>
              </w:rPr>
              <w:t>en</w:t>
            </w:r>
            <w:r>
              <w:rPr>
                <w:spacing w:val="-24"/>
                <w:w w:val="105"/>
                <w:sz w:val="19"/>
              </w:rPr>
              <w:t> </w:t>
            </w:r>
            <w:r>
              <w:rPr>
                <w:w w:val="105"/>
                <w:sz w:val="19"/>
              </w:rPr>
              <w:t>las</w:t>
            </w:r>
            <w:r>
              <w:rPr>
                <w:spacing w:val="-24"/>
                <w:w w:val="105"/>
                <w:sz w:val="19"/>
              </w:rPr>
              <w:t> </w:t>
            </w:r>
            <w:r>
              <w:rPr>
                <w:w w:val="105"/>
                <w:sz w:val="19"/>
              </w:rPr>
              <w:t>secundarias (2006)</w:t>
            </w:r>
          </w:p>
        </w:tc>
        <w:tc>
          <w:tcPr>
            <w:tcW w:w="4128" w:type="dxa"/>
            <w:gridSpan w:val="3"/>
            <w:tcBorders>
              <w:left w:val="single" w:sz="8" w:space="0" w:color="000000"/>
              <w:right w:val="single" w:sz="8" w:space="0" w:color="000000"/>
            </w:tcBorders>
          </w:tcPr>
          <w:p>
            <w:pPr>
              <w:pStyle w:val="TableParagraph"/>
              <w:spacing w:line="247" w:lineRule="auto"/>
              <w:ind w:left="57" w:right="726"/>
              <w:rPr>
                <w:sz w:val="19"/>
              </w:rPr>
            </w:pPr>
            <w:r>
              <w:rPr>
                <w:w w:val="105"/>
                <w:sz w:val="19"/>
              </w:rPr>
              <w:t>Resultados globales obtenidos en las </w:t>
            </w:r>
            <w:r>
              <w:rPr>
                <w:sz w:val="19"/>
              </w:rPr>
              <w:t>secundarias (2010)</w:t>
            </w:r>
          </w:p>
        </w:tc>
      </w:tr>
      <w:tr>
        <w:trPr>
          <w:trHeight w:val="264" w:hRule="exact"/>
        </w:trPr>
        <w:tc>
          <w:tcPr>
            <w:tcW w:w="1666" w:type="dxa"/>
            <w:tcBorders>
              <w:left w:val="single" w:sz="8" w:space="0" w:color="000000"/>
            </w:tcBorders>
          </w:tcPr>
          <w:p>
            <w:pPr/>
          </w:p>
        </w:tc>
        <w:tc>
          <w:tcPr>
            <w:tcW w:w="1790" w:type="dxa"/>
          </w:tcPr>
          <w:p>
            <w:pPr>
              <w:pStyle w:val="TableParagraph"/>
              <w:spacing w:before="13"/>
              <w:ind w:left="67"/>
              <w:rPr>
                <w:sz w:val="19"/>
              </w:rPr>
            </w:pPr>
            <w:r>
              <w:rPr>
                <w:w w:val="105"/>
                <w:sz w:val="19"/>
              </w:rPr>
              <w:t>Matemáticas</w:t>
            </w:r>
          </w:p>
        </w:tc>
        <w:tc>
          <w:tcPr>
            <w:tcW w:w="1157" w:type="dxa"/>
            <w:tcBorders>
              <w:right w:val="single" w:sz="8" w:space="0" w:color="000000"/>
            </w:tcBorders>
          </w:tcPr>
          <w:p>
            <w:pPr>
              <w:pStyle w:val="TableParagraph"/>
              <w:spacing w:before="13"/>
              <w:ind w:left="67"/>
              <w:rPr>
                <w:sz w:val="19"/>
              </w:rPr>
            </w:pPr>
            <w:r>
              <w:rPr>
                <w:w w:val="105"/>
                <w:sz w:val="19"/>
              </w:rPr>
              <w:t>Español</w:t>
            </w:r>
          </w:p>
        </w:tc>
        <w:tc>
          <w:tcPr>
            <w:tcW w:w="1786" w:type="dxa"/>
            <w:tcBorders>
              <w:left w:val="single" w:sz="8" w:space="0" w:color="000000"/>
            </w:tcBorders>
          </w:tcPr>
          <w:p>
            <w:pPr>
              <w:pStyle w:val="TableParagraph"/>
              <w:spacing w:before="13"/>
              <w:ind w:left="57"/>
              <w:rPr>
                <w:sz w:val="19"/>
              </w:rPr>
            </w:pPr>
            <w:r>
              <w:rPr>
                <w:w w:val="105"/>
                <w:sz w:val="19"/>
              </w:rPr>
              <w:t>Matemáticas</w:t>
            </w:r>
          </w:p>
        </w:tc>
        <w:tc>
          <w:tcPr>
            <w:tcW w:w="1152" w:type="dxa"/>
          </w:tcPr>
          <w:p>
            <w:pPr>
              <w:pStyle w:val="TableParagraph"/>
              <w:spacing w:before="13"/>
              <w:ind w:left="67"/>
              <w:rPr>
                <w:sz w:val="19"/>
              </w:rPr>
            </w:pPr>
            <w:r>
              <w:rPr>
                <w:w w:val="105"/>
                <w:sz w:val="19"/>
              </w:rPr>
              <w:t>Español</w:t>
            </w:r>
          </w:p>
        </w:tc>
        <w:tc>
          <w:tcPr>
            <w:tcW w:w="1190" w:type="dxa"/>
            <w:tcBorders>
              <w:right w:val="single" w:sz="8" w:space="0" w:color="000000"/>
            </w:tcBorders>
          </w:tcPr>
          <w:p>
            <w:pPr>
              <w:pStyle w:val="TableParagraph"/>
              <w:spacing w:before="13"/>
              <w:ind w:left="62"/>
              <w:rPr>
                <w:sz w:val="19"/>
              </w:rPr>
            </w:pPr>
            <w:r>
              <w:rPr>
                <w:w w:val="105"/>
                <w:sz w:val="19"/>
              </w:rPr>
              <w:t>Historia</w:t>
            </w:r>
          </w:p>
        </w:tc>
      </w:tr>
      <w:tr>
        <w:trPr>
          <w:trHeight w:val="259" w:hRule="exact"/>
        </w:trPr>
        <w:tc>
          <w:tcPr>
            <w:tcW w:w="1666" w:type="dxa"/>
            <w:tcBorders>
              <w:left w:val="single" w:sz="8" w:space="0" w:color="000000"/>
            </w:tcBorders>
          </w:tcPr>
          <w:p>
            <w:pPr>
              <w:pStyle w:val="TableParagraph"/>
              <w:spacing w:before="14"/>
              <w:ind w:left="62"/>
              <w:rPr>
                <w:sz w:val="19"/>
              </w:rPr>
            </w:pPr>
            <w:r>
              <w:rPr>
                <w:w w:val="105"/>
                <w:sz w:val="19"/>
              </w:rPr>
              <w:t>Insuficiente</w:t>
            </w:r>
          </w:p>
        </w:tc>
        <w:tc>
          <w:tcPr>
            <w:tcW w:w="1790" w:type="dxa"/>
          </w:tcPr>
          <w:p>
            <w:pPr>
              <w:pStyle w:val="TableParagraph"/>
              <w:spacing w:before="33"/>
              <w:ind w:left="67"/>
              <w:rPr>
                <w:sz w:val="19"/>
              </w:rPr>
            </w:pPr>
            <w:r>
              <w:rPr>
                <w:w w:val="105"/>
                <w:sz w:val="19"/>
              </w:rPr>
              <w:t>61.1%</w:t>
            </w:r>
          </w:p>
        </w:tc>
        <w:tc>
          <w:tcPr>
            <w:tcW w:w="1157" w:type="dxa"/>
            <w:tcBorders>
              <w:right w:val="single" w:sz="8" w:space="0" w:color="000000"/>
            </w:tcBorders>
          </w:tcPr>
          <w:p>
            <w:pPr>
              <w:pStyle w:val="TableParagraph"/>
              <w:spacing w:before="33"/>
              <w:ind w:left="67"/>
              <w:rPr>
                <w:sz w:val="19"/>
              </w:rPr>
            </w:pPr>
            <w:r>
              <w:rPr>
                <w:w w:val="105"/>
                <w:sz w:val="19"/>
              </w:rPr>
              <w:t>40.7%</w:t>
            </w:r>
          </w:p>
        </w:tc>
        <w:tc>
          <w:tcPr>
            <w:tcW w:w="1786" w:type="dxa"/>
            <w:tcBorders>
              <w:left w:val="single" w:sz="8" w:space="0" w:color="000000"/>
            </w:tcBorders>
          </w:tcPr>
          <w:p>
            <w:pPr>
              <w:pStyle w:val="TableParagraph"/>
              <w:spacing w:before="33"/>
              <w:ind w:left="57"/>
              <w:rPr>
                <w:sz w:val="19"/>
              </w:rPr>
            </w:pPr>
            <w:r>
              <w:rPr>
                <w:w w:val="105"/>
                <w:sz w:val="19"/>
              </w:rPr>
              <w:t>52.6%</w:t>
            </w:r>
          </w:p>
        </w:tc>
        <w:tc>
          <w:tcPr>
            <w:tcW w:w="1152" w:type="dxa"/>
          </w:tcPr>
          <w:p>
            <w:pPr>
              <w:pStyle w:val="TableParagraph"/>
              <w:spacing w:before="33"/>
              <w:ind w:left="67"/>
              <w:rPr>
                <w:sz w:val="19"/>
              </w:rPr>
            </w:pPr>
            <w:r>
              <w:rPr>
                <w:w w:val="105"/>
                <w:sz w:val="19"/>
              </w:rPr>
              <w:t>39.7%</w:t>
            </w:r>
          </w:p>
        </w:tc>
        <w:tc>
          <w:tcPr>
            <w:tcW w:w="1190" w:type="dxa"/>
            <w:tcBorders>
              <w:right w:val="single" w:sz="8" w:space="0" w:color="000000"/>
            </w:tcBorders>
          </w:tcPr>
          <w:p>
            <w:pPr>
              <w:pStyle w:val="TableParagraph"/>
              <w:spacing w:before="33"/>
              <w:ind w:left="62"/>
              <w:rPr>
                <w:sz w:val="19"/>
              </w:rPr>
            </w:pPr>
            <w:r>
              <w:rPr>
                <w:w w:val="105"/>
                <w:sz w:val="19"/>
              </w:rPr>
              <w:t>13.1%</w:t>
            </w:r>
          </w:p>
        </w:tc>
      </w:tr>
      <w:tr>
        <w:trPr>
          <w:trHeight w:val="288" w:hRule="exact"/>
        </w:trPr>
        <w:tc>
          <w:tcPr>
            <w:tcW w:w="1666" w:type="dxa"/>
            <w:tcBorders>
              <w:left w:val="single" w:sz="8" w:space="0" w:color="000000"/>
            </w:tcBorders>
          </w:tcPr>
          <w:p>
            <w:pPr>
              <w:pStyle w:val="TableParagraph"/>
              <w:spacing w:before="28"/>
              <w:ind w:left="62"/>
              <w:rPr>
                <w:sz w:val="19"/>
              </w:rPr>
            </w:pPr>
            <w:r>
              <w:rPr>
                <w:w w:val="105"/>
                <w:sz w:val="19"/>
              </w:rPr>
              <w:t>Elemental</w:t>
            </w:r>
          </w:p>
        </w:tc>
        <w:tc>
          <w:tcPr>
            <w:tcW w:w="1790" w:type="dxa"/>
          </w:tcPr>
          <w:p>
            <w:pPr>
              <w:pStyle w:val="TableParagraph"/>
              <w:spacing w:before="52"/>
              <w:ind w:left="67"/>
              <w:rPr>
                <w:sz w:val="19"/>
              </w:rPr>
            </w:pPr>
            <w:r>
              <w:rPr>
                <w:w w:val="105"/>
                <w:sz w:val="19"/>
              </w:rPr>
              <w:t>34.7%</w:t>
            </w:r>
          </w:p>
        </w:tc>
        <w:tc>
          <w:tcPr>
            <w:tcW w:w="1157" w:type="dxa"/>
            <w:tcBorders>
              <w:right w:val="single" w:sz="8" w:space="0" w:color="000000"/>
            </w:tcBorders>
          </w:tcPr>
          <w:p>
            <w:pPr>
              <w:pStyle w:val="TableParagraph"/>
              <w:spacing w:before="52"/>
              <w:ind w:left="67"/>
              <w:rPr>
                <w:sz w:val="19"/>
              </w:rPr>
            </w:pPr>
            <w:r>
              <w:rPr>
                <w:w w:val="105"/>
                <w:sz w:val="19"/>
              </w:rPr>
              <w:t>44.6%</w:t>
            </w:r>
          </w:p>
        </w:tc>
        <w:tc>
          <w:tcPr>
            <w:tcW w:w="1786" w:type="dxa"/>
            <w:tcBorders>
              <w:left w:val="single" w:sz="8" w:space="0" w:color="000000"/>
            </w:tcBorders>
          </w:tcPr>
          <w:p>
            <w:pPr>
              <w:pStyle w:val="TableParagraph"/>
              <w:spacing w:before="52"/>
              <w:ind w:left="57"/>
              <w:rPr>
                <w:sz w:val="19"/>
              </w:rPr>
            </w:pPr>
            <w:r>
              <w:rPr>
                <w:w w:val="105"/>
                <w:sz w:val="19"/>
              </w:rPr>
              <w:t>34.7%</w:t>
            </w:r>
          </w:p>
        </w:tc>
        <w:tc>
          <w:tcPr>
            <w:tcW w:w="1152" w:type="dxa"/>
          </w:tcPr>
          <w:p>
            <w:pPr>
              <w:pStyle w:val="TableParagraph"/>
              <w:spacing w:before="52"/>
              <w:ind w:left="67"/>
              <w:rPr>
                <w:sz w:val="19"/>
              </w:rPr>
            </w:pPr>
            <w:r>
              <w:rPr>
                <w:w w:val="105"/>
                <w:sz w:val="19"/>
              </w:rPr>
              <w:t>42.7%</w:t>
            </w:r>
          </w:p>
        </w:tc>
        <w:tc>
          <w:tcPr>
            <w:tcW w:w="1190" w:type="dxa"/>
            <w:tcBorders>
              <w:right w:val="single" w:sz="8" w:space="0" w:color="000000"/>
            </w:tcBorders>
          </w:tcPr>
          <w:p>
            <w:pPr>
              <w:pStyle w:val="TableParagraph"/>
              <w:spacing w:before="52"/>
              <w:ind w:left="62"/>
              <w:rPr>
                <w:sz w:val="19"/>
              </w:rPr>
            </w:pPr>
            <w:r>
              <w:rPr>
                <w:w w:val="105"/>
                <w:sz w:val="19"/>
              </w:rPr>
              <w:t>62.5%</w:t>
            </w:r>
          </w:p>
        </w:tc>
      </w:tr>
      <w:tr>
        <w:trPr>
          <w:trHeight w:val="278" w:hRule="exact"/>
        </w:trPr>
        <w:tc>
          <w:tcPr>
            <w:tcW w:w="1666" w:type="dxa"/>
            <w:tcBorders>
              <w:left w:val="single" w:sz="8" w:space="0" w:color="000000"/>
            </w:tcBorders>
          </w:tcPr>
          <w:p>
            <w:pPr>
              <w:pStyle w:val="TableParagraph"/>
              <w:spacing w:before="23"/>
              <w:ind w:left="62"/>
              <w:rPr>
                <w:sz w:val="19"/>
              </w:rPr>
            </w:pPr>
            <w:r>
              <w:rPr>
                <w:w w:val="105"/>
                <w:sz w:val="19"/>
              </w:rPr>
              <w:t>Bueno</w:t>
            </w:r>
          </w:p>
        </w:tc>
        <w:tc>
          <w:tcPr>
            <w:tcW w:w="1790" w:type="dxa"/>
          </w:tcPr>
          <w:p>
            <w:pPr>
              <w:pStyle w:val="TableParagraph"/>
              <w:spacing w:before="42"/>
              <w:ind w:left="67"/>
              <w:rPr>
                <w:sz w:val="19"/>
              </w:rPr>
            </w:pPr>
            <w:r>
              <w:rPr>
                <w:w w:val="105"/>
                <w:sz w:val="19"/>
              </w:rPr>
              <w:t>3.8%</w:t>
            </w:r>
          </w:p>
        </w:tc>
        <w:tc>
          <w:tcPr>
            <w:tcW w:w="1157" w:type="dxa"/>
            <w:tcBorders>
              <w:right w:val="single" w:sz="8" w:space="0" w:color="000000"/>
            </w:tcBorders>
          </w:tcPr>
          <w:p>
            <w:pPr>
              <w:pStyle w:val="TableParagraph"/>
              <w:spacing w:before="42"/>
              <w:ind w:left="67"/>
              <w:rPr>
                <w:sz w:val="19"/>
              </w:rPr>
            </w:pPr>
            <w:r>
              <w:rPr>
                <w:w w:val="105"/>
                <w:sz w:val="19"/>
              </w:rPr>
              <w:t>14%</w:t>
            </w:r>
          </w:p>
        </w:tc>
        <w:tc>
          <w:tcPr>
            <w:tcW w:w="1786" w:type="dxa"/>
            <w:tcBorders>
              <w:left w:val="single" w:sz="8" w:space="0" w:color="000000"/>
            </w:tcBorders>
          </w:tcPr>
          <w:p>
            <w:pPr>
              <w:pStyle w:val="TableParagraph"/>
              <w:spacing w:before="42"/>
              <w:ind w:left="57"/>
              <w:rPr>
                <w:sz w:val="19"/>
              </w:rPr>
            </w:pPr>
            <w:r>
              <w:rPr>
                <w:w w:val="105"/>
                <w:sz w:val="19"/>
              </w:rPr>
              <w:t>10.5%</w:t>
            </w:r>
          </w:p>
        </w:tc>
        <w:tc>
          <w:tcPr>
            <w:tcW w:w="1152" w:type="dxa"/>
          </w:tcPr>
          <w:p>
            <w:pPr>
              <w:pStyle w:val="TableParagraph"/>
              <w:spacing w:before="42"/>
              <w:ind w:left="67"/>
              <w:rPr>
                <w:sz w:val="19"/>
              </w:rPr>
            </w:pPr>
            <w:r>
              <w:rPr>
                <w:w w:val="105"/>
                <w:sz w:val="19"/>
              </w:rPr>
              <w:t>16.6%</w:t>
            </w:r>
          </w:p>
        </w:tc>
        <w:tc>
          <w:tcPr>
            <w:tcW w:w="1190" w:type="dxa"/>
            <w:tcBorders>
              <w:right w:val="single" w:sz="8" w:space="0" w:color="000000"/>
            </w:tcBorders>
          </w:tcPr>
          <w:p>
            <w:pPr>
              <w:pStyle w:val="TableParagraph"/>
              <w:spacing w:before="42"/>
              <w:ind w:left="62"/>
              <w:rPr>
                <w:sz w:val="19"/>
              </w:rPr>
            </w:pPr>
            <w:r>
              <w:rPr>
                <w:w w:val="105"/>
                <w:sz w:val="19"/>
              </w:rPr>
              <w:t>18.6%</w:t>
            </w:r>
          </w:p>
        </w:tc>
      </w:tr>
      <w:tr>
        <w:trPr>
          <w:trHeight w:val="290" w:hRule="exact"/>
        </w:trPr>
        <w:tc>
          <w:tcPr>
            <w:tcW w:w="1666" w:type="dxa"/>
            <w:tcBorders>
              <w:left w:val="single" w:sz="8" w:space="0" w:color="000000"/>
              <w:bottom w:val="single" w:sz="6" w:space="0" w:color="000000"/>
            </w:tcBorders>
          </w:tcPr>
          <w:p>
            <w:pPr>
              <w:pStyle w:val="TableParagraph"/>
              <w:spacing w:before="28"/>
              <w:ind w:left="110"/>
              <w:rPr>
                <w:sz w:val="19"/>
              </w:rPr>
            </w:pPr>
            <w:r>
              <w:rPr>
                <w:w w:val="105"/>
                <w:sz w:val="19"/>
              </w:rPr>
              <w:t>Excelente</w:t>
            </w:r>
          </w:p>
        </w:tc>
        <w:tc>
          <w:tcPr>
            <w:tcW w:w="1790" w:type="dxa"/>
            <w:tcBorders>
              <w:bottom w:val="single" w:sz="6" w:space="0" w:color="000000"/>
            </w:tcBorders>
          </w:tcPr>
          <w:p>
            <w:pPr>
              <w:pStyle w:val="TableParagraph"/>
              <w:spacing w:before="52"/>
              <w:ind w:left="67"/>
              <w:rPr>
                <w:sz w:val="19"/>
              </w:rPr>
            </w:pPr>
            <w:r>
              <w:rPr>
                <w:w w:val="105"/>
                <w:sz w:val="19"/>
              </w:rPr>
              <w:t>.4%</w:t>
            </w:r>
          </w:p>
        </w:tc>
        <w:tc>
          <w:tcPr>
            <w:tcW w:w="1157" w:type="dxa"/>
            <w:tcBorders>
              <w:bottom w:val="single" w:sz="6" w:space="0" w:color="000000"/>
              <w:right w:val="single" w:sz="8" w:space="0" w:color="000000"/>
            </w:tcBorders>
          </w:tcPr>
          <w:p>
            <w:pPr>
              <w:pStyle w:val="TableParagraph"/>
              <w:spacing w:before="52"/>
              <w:ind w:left="67"/>
              <w:rPr>
                <w:sz w:val="19"/>
              </w:rPr>
            </w:pPr>
            <w:r>
              <w:rPr>
                <w:w w:val="105"/>
                <w:sz w:val="19"/>
              </w:rPr>
              <w:t>.7%</w:t>
            </w:r>
          </w:p>
        </w:tc>
        <w:tc>
          <w:tcPr>
            <w:tcW w:w="1786" w:type="dxa"/>
            <w:tcBorders>
              <w:left w:val="single" w:sz="8" w:space="0" w:color="000000"/>
              <w:bottom w:val="single" w:sz="6" w:space="0" w:color="000000"/>
            </w:tcBorders>
          </w:tcPr>
          <w:p>
            <w:pPr>
              <w:pStyle w:val="TableParagraph"/>
              <w:spacing w:before="52"/>
              <w:ind w:left="57"/>
              <w:rPr>
                <w:sz w:val="19"/>
              </w:rPr>
            </w:pPr>
            <w:r>
              <w:rPr>
                <w:w w:val="105"/>
                <w:sz w:val="19"/>
              </w:rPr>
              <w:t>2.2%</w:t>
            </w:r>
          </w:p>
        </w:tc>
        <w:tc>
          <w:tcPr>
            <w:tcW w:w="1152" w:type="dxa"/>
            <w:tcBorders>
              <w:bottom w:val="single" w:sz="6" w:space="0" w:color="000000"/>
            </w:tcBorders>
          </w:tcPr>
          <w:p>
            <w:pPr>
              <w:pStyle w:val="TableParagraph"/>
              <w:spacing w:before="52"/>
              <w:ind w:left="67"/>
              <w:rPr>
                <w:sz w:val="19"/>
              </w:rPr>
            </w:pPr>
            <w:r>
              <w:rPr>
                <w:w w:val="105"/>
                <w:sz w:val="19"/>
              </w:rPr>
              <w:t>1%</w:t>
            </w:r>
          </w:p>
        </w:tc>
        <w:tc>
          <w:tcPr>
            <w:tcW w:w="1190" w:type="dxa"/>
            <w:tcBorders>
              <w:bottom w:val="single" w:sz="6" w:space="0" w:color="000000"/>
              <w:right w:val="single" w:sz="8" w:space="0" w:color="000000"/>
            </w:tcBorders>
          </w:tcPr>
          <w:p>
            <w:pPr>
              <w:pStyle w:val="TableParagraph"/>
              <w:spacing w:before="52"/>
              <w:ind w:left="62"/>
              <w:rPr>
                <w:sz w:val="19"/>
              </w:rPr>
            </w:pPr>
            <w:r>
              <w:rPr>
                <w:w w:val="105"/>
                <w:sz w:val="19"/>
              </w:rPr>
              <w:t>5.8%</w:t>
            </w:r>
          </w:p>
        </w:tc>
      </w:tr>
    </w:tbl>
    <w:p>
      <w:pPr>
        <w:pStyle w:val="BodyText"/>
        <w:spacing w:before="1"/>
        <w:rPr>
          <w:b/>
          <w:sz w:val="22"/>
        </w:rPr>
      </w:pPr>
    </w:p>
    <w:p>
      <w:pPr>
        <w:spacing w:before="81"/>
        <w:ind w:left="195" w:right="162" w:firstLine="0"/>
        <w:jc w:val="left"/>
        <w:rPr>
          <w:sz w:val="19"/>
        </w:rPr>
      </w:pPr>
      <w:r>
        <w:rPr>
          <w:b/>
          <w:w w:val="105"/>
          <w:sz w:val="19"/>
        </w:rPr>
        <w:t>FUENTE: </w:t>
      </w:r>
      <w:r>
        <w:rPr>
          <w:w w:val="105"/>
          <w:sz w:val="19"/>
        </w:rPr>
        <w:t>SEP, 2010</w:t>
      </w:r>
    </w:p>
    <w:p>
      <w:pPr>
        <w:pStyle w:val="BodyText"/>
        <w:rPr>
          <w:sz w:val="20"/>
        </w:rPr>
      </w:pPr>
    </w:p>
    <w:p>
      <w:pPr>
        <w:pStyle w:val="BodyText"/>
        <w:spacing w:before="10"/>
        <w:rPr>
          <w:sz w:val="24"/>
        </w:rPr>
      </w:pPr>
    </w:p>
    <w:p>
      <w:pPr>
        <w:pStyle w:val="BodyText"/>
        <w:spacing w:line="364" w:lineRule="auto" w:before="1"/>
        <w:ind w:left="195" w:right="187" w:firstLine="686"/>
        <w:jc w:val="both"/>
      </w:pPr>
      <w:r>
        <w:rPr/>
        <w:t>En este tipo educativo se observa una disminución en el porcentaje de alumnos que en el año 2006 se encontraban en el nivel “insuficiente” de la asignatura de matemáticas. Ellos se        desplazaron, principalmente, hacia el nivel</w:t>
      </w:r>
    </w:p>
    <w:p>
      <w:pPr>
        <w:spacing w:after="0" w:line="364" w:lineRule="auto"/>
        <w:jc w:val="both"/>
        <w:sectPr>
          <w:pgSz w:w="11910" w:h="16840"/>
          <w:pgMar w:header="0" w:footer="1457" w:top="1580" w:bottom="1640" w:left="1460" w:right="1460"/>
        </w:sectPr>
      </w:pPr>
    </w:p>
    <w:p>
      <w:pPr>
        <w:pStyle w:val="BodyText"/>
        <w:rPr>
          <w:sz w:val="20"/>
        </w:rPr>
      </w:pPr>
    </w:p>
    <w:p>
      <w:pPr>
        <w:pStyle w:val="BodyText"/>
        <w:spacing w:before="2"/>
        <w:rPr>
          <w:sz w:val="16"/>
        </w:rPr>
      </w:pPr>
    </w:p>
    <w:p>
      <w:pPr>
        <w:pStyle w:val="BodyText"/>
        <w:spacing w:line="364" w:lineRule="auto" w:before="74"/>
        <w:ind w:left="115" w:right="107"/>
        <w:jc w:val="both"/>
      </w:pPr>
      <w:r>
        <w:rPr/>
        <w:t>“bueno”. Las pruebas de español, en cambio, reportaron cambios de poca importancia. Sin embargo, es evidente que la distribución estadística de los resultados reportados en </w:t>
      </w:r>
      <w:r>
        <w:rPr>
          <w:spacing w:val="-3"/>
        </w:rPr>
        <w:t>las </w:t>
      </w:r>
      <w:r>
        <w:rPr/>
        <w:t>tablas </w:t>
      </w:r>
      <w:r>
        <w:rPr>
          <w:spacing w:val="2"/>
        </w:rPr>
        <w:t>se </w:t>
      </w:r>
      <w:r>
        <w:rPr/>
        <w:t>aleja considerablemente de una distribución “normal”, ya que está marcadamente sesgada hacia la izquierda (es decir, el aprovechamiento se concentra en los niveles inferiores del mismo) (Muñoz  Izquierdo et. </w:t>
      </w:r>
      <w:r>
        <w:rPr>
          <w:spacing w:val="-3"/>
        </w:rPr>
        <w:t>al.,</w:t>
      </w:r>
      <w:r>
        <w:rPr>
          <w:spacing w:val="30"/>
        </w:rPr>
        <w:t> </w:t>
      </w:r>
      <w:r>
        <w:rPr/>
        <w:t>2010).</w:t>
      </w:r>
    </w:p>
    <w:p>
      <w:pPr>
        <w:pStyle w:val="BodyText"/>
        <w:spacing w:line="364" w:lineRule="auto" w:before="5"/>
        <w:ind w:left="115" w:right="104" w:firstLine="686"/>
        <w:jc w:val="both"/>
      </w:pPr>
      <w:r>
        <w:rPr/>
        <w:t>Frente a esta distorsión, conviene hacer la siguiente pregunta: ¿Cómo evolucionó, entre los años 2006 y 2010, el aprovechamiento en español y matemáticas, en las entidades federativas que tienen distintos índices de marginación? La respuesta a este planteamiento </w:t>
      </w:r>
      <w:r>
        <w:rPr>
          <w:spacing w:val="2"/>
        </w:rPr>
        <w:t>se </w:t>
      </w:r>
      <w:r>
        <w:rPr/>
        <w:t>encuentra  en  </w:t>
      </w:r>
      <w:r>
        <w:rPr>
          <w:spacing w:val="-3"/>
        </w:rPr>
        <w:t>la  </w:t>
      </w:r>
      <w:r>
        <w:rPr/>
        <w:t>siguiente tabla. Para analizar estos datos, anotamos en </w:t>
      </w:r>
      <w:r>
        <w:rPr>
          <w:spacing w:val="-3"/>
        </w:rPr>
        <w:t>la </w:t>
      </w:r>
      <w:r>
        <w:rPr/>
        <w:t>tabla posterior las fechas </w:t>
      </w:r>
      <w:r>
        <w:rPr>
          <w:spacing w:val="-3"/>
        </w:rPr>
        <w:t>de </w:t>
      </w:r>
      <w:r>
        <w:rPr/>
        <w:t>aplicación de las pruebas, las asignaturas, </w:t>
      </w:r>
      <w:r>
        <w:rPr>
          <w:spacing w:val="-4"/>
        </w:rPr>
        <w:t>los </w:t>
      </w:r>
      <w:r>
        <w:rPr/>
        <w:t>tipos educativos y de entidades federativas en </w:t>
      </w:r>
      <w:r>
        <w:rPr>
          <w:spacing w:val="-4"/>
        </w:rPr>
        <w:t>los</w:t>
      </w:r>
      <w:r>
        <w:rPr>
          <w:spacing w:val="55"/>
        </w:rPr>
        <w:t> </w:t>
      </w:r>
      <w:r>
        <w:rPr/>
        <w:t>cuales </w:t>
      </w:r>
      <w:r>
        <w:rPr>
          <w:spacing w:val="3"/>
        </w:rPr>
        <w:t>se </w:t>
      </w:r>
      <w:r>
        <w:rPr/>
        <w:t>concentró más del 25% de estudiantes cuyo aprovechamiento fue  “insuficiente”.  En </w:t>
      </w:r>
      <w:r>
        <w:rPr>
          <w:spacing w:val="3"/>
        </w:rPr>
        <w:t>esa </w:t>
      </w:r>
      <w:r>
        <w:rPr/>
        <w:t>indeseable situación, se encuentran   los resultados de las siguientes</w:t>
      </w:r>
      <w:r>
        <w:rPr>
          <w:spacing w:val="47"/>
        </w:rPr>
        <w:t> </w:t>
      </w:r>
      <w:r>
        <w:rPr/>
        <w:t>pruebas:</w:t>
      </w:r>
    </w:p>
    <w:p>
      <w:pPr>
        <w:pStyle w:val="BodyText"/>
        <w:spacing w:before="2"/>
        <w:rPr>
          <w:sz w:val="24"/>
        </w:rPr>
      </w:pPr>
    </w:p>
    <w:p>
      <w:pPr>
        <w:spacing w:before="0"/>
        <w:ind w:left="2052" w:right="2052" w:firstLine="0"/>
        <w:jc w:val="center"/>
        <w:rPr>
          <w:b/>
          <w:sz w:val="21"/>
        </w:rPr>
      </w:pPr>
      <w:r>
        <w:rPr>
          <w:b/>
          <w:sz w:val="21"/>
        </w:rPr>
        <w:t>Tabla N° 18</w:t>
      </w:r>
    </w:p>
    <w:p>
      <w:pPr>
        <w:spacing w:line="244" w:lineRule="auto" w:before="123"/>
        <w:ind w:left="250" w:right="246" w:hanging="5"/>
        <w:jc w:val="center"/>
        <w:rPr>
          <w:b/>
          <w:sz w:val="23"/>
        </w:rPr>
      </w:pPr>
      <w:r>
        <w:rPr>
          <w:b/>
          <w:sz w:val="21"/>
        </w:rPr>
        <w:t>Pruebas que fueron aplicadas en el año 2010, cuyos resultados mostraron una concentración mayor del 25% de estudiantes con “aprovechamiento   insuficiente</w:t>
      </w:r>
      <w:r>
        <w:rPr>
          <w:b/>
          <w:sz w:val="23"/>
        </w:rPr>
        <w:t>”</w:t>
      </w:r>
    </w:p>
    <w:p>
      <w:pPr>
        <w:pStyle w:val="BodyText"/>
        <w:rPr>
          <w:b/>
          <w:sz w:val="20"/>
        </w:rPr>
      </w:pPr>
    </w:p>
    <w:p>
      <w:pPr>
        <w:pStyle w:val="BodyText"/>
        <w:spacing w:before="9"/>
        <w:rPr>
          <w:b/>
          <w:sz w:val="15"/>
        </w:rPr>
      </w:pPr>
    </w:p>
    <w:tbl>
      <w:tblPr>
        <w:tblW w:w="0" w:type="auto"/>
        <w:jc w:val="left"/>
        <w:tblInd w:w="17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37"/>
        <w:gridCol w:w="1800"/>
        <w:gridCol w:w="2290"/>
      </w:tblGrid>
      <w:tr>
        <w:trPr>
          <w:trHeight w:val="230" w:hRule="exact"/>
        </w:trPr>
        <w:tc>
          <w:tcPr>
            <w:tcW w:w="1337" w:type="dxa"/>
            <w:tcBorders>
              <w:left w:val="single" w:sz="2" w:space="0" w:color="000000"/>
            </w:tcBorders>
          </w:tcPr>
          <w:p>
            <w:pPr>
              <w:pStyle w:val="TableParagraph"/>
              <w:spacing w:line="218" w:lineRule="exact"/>
              <w:ind w:left="105"/>
              <w:rPr>
                <w:b/>
                <w:sz w:val="19"/>
              </w:rPr>
            </w:pPr>
            <w:r>
              <w:rPr>
                <w:b/>
                <w:w w:val="105"/>
                <w:sz w:val="19"/>
              </w:rPr>
              <w:t>Asignaturas</w:t>
            </w:r>
          </w:p>
        </w:tc>
        <w:tc>
          <w:tcPr>
            <w:tcW w:w="1800" w:type="dxa"/>
          </w:tcPr>
          <w:p>
            <w:pPr>
              <w:pStyle w:val="TableParagraph"/>
              <w:spacing w:line="218" w:lineRule="exact"/>
              <w:ind w:left="100"/>
              <w:rPr>
                <w:b/>
                <w:sz w:val="19"/>
              </w:rPr>
            </w:pPr>
            <w:r>
              <w:rPr>
                <w:b/>
                <w:sz w:val="19"/>
              </w:rPr>
              <w:t>Tipos educativos</w:t>
            </w:r>
          </w:p>
        </w:tc>
        <w:tc>
          <w:tcPr>
            <w:tcW w:w="2290" w:type="dxa"/>
          </w:tcPr>
          <w:p>
            <w:pPr>
              <w:pStyle w:val="TableParagraph"/>
              <w:spacing w:line="218" w:lineRule="exact"/>
              <w:ind w:left="100"/>
              <w:rPr>
                <w:b/>
                <w:sz w:val="19"/>
              </w:rPr>
            </w:pPr>
            <w:r>
              <w:rPr>
                <w:b/>
                <w:w w:val="105"/>
                <w:sz w:val="19"/>
              </w:rPr>
              <w:t>Tipos de entidades</w:t>
            </w:r>
          </w:p>
        </w:tc>
      </w:tr>
      <w:tr>
        <w:trPr>
          <w:trHeight w:val="235" w:hRule="exact"/>
        </w:trPr>
        <w:tc>
          <w:tcPr>
            <w:tcW w:w="1337" w:type="dxa"/>
            <w:tcBorders>
              <w:left w:val="single" w:sz="2" w:space="0" w:color="000000"/>
            </w:tcBorders>
          </w:tcPr>
          <w:p>
            <w:pPr>
              <w:pStyle w:val="TableParagraph"/>
              <w:spacing w:line="218" w:lineRule="exact"/>
              <w:ind w:left="105"/>
              <w:rPr>
                <w:sz w:val="19"/>
              </w:rPr>
            </w:pPr>
            <w:r>
              <w:rPr>
                <w:w w:val="105"/>
                <w:sz w:val="19"/>
              </w:rPr>
              <w:t>Español</w:t>
            </w:r>
          </w:p>
        </w:tc>
        <w:tc>
          <w:tcPr>
            <w:tcW w:w="1800" w:type="dxa"/>
          </w:tcPr>
          <w:p>
            <w:pPr>
              <w:pStyle w:val="TableParagraph"/>
              <w:spacing w:line="218" w:lineRule="exact"/>
              <w:ind w:left="100"/>
              <w:rPr>
                <w:sz w:val="19"/>
              </w:rPr>
            </w:pPr>
            <w:r>
              <w:rPr>
                <w:w w:val="105"/>
                <w:sz w:val="19"/>
              </w:rPr>
              <w:t>Secundaria</w:t>
            </w:r>
          </w:p>
        </w:tc>
        <w:tc>
          <w:tcPr>
            <w:tcW w:w="2290" w:type="dxa"/>
          </w:tcPr>
          <w:p>
            <w:pPr>
              <w:pStyle w:val="TableParagraph"/>
              <w:spacing w:line="218" w:lineRule="exact"/>
              <w:ind w:left="100"/>
              <w:rPr>
                <w:sz w:val="19"/>
              </w:rPr>
            </w:pPr>
            <w:r>
              <w:rPr>
                <w:w w:val="105"/>
                <w:sz w:val="19"/>
              </w:rPr>
              <w:t>Alta y baja marginalidad</w:t>
            </w:r>
          </w:p>
        </w:tc>
      </w:tr>
      <w:tr>
        <w:trPr>
          <w:trHeight w:val="235" w:hRule="exact"/>
        </w:trPr>
        <w:tc>
          <w:tcPr>
            <w:tcW w:w="1337" w:type="dxa"/>
            <w:tcBorders>
              <w:left w:val="single" w:sz="2" w:space="0" w:color="000000"/>
            </w:tcBorders>
          </w:tcPr>
          <w:p>
            <w:pPr>
              <w:pStyle w:val="TableParagraph"/>
              <w:spacing w:line="218" w:lineRule="exact"/>
              <w:ind w:left="105"/>
              <w:rPr>
                <w:sz w:val="19"/>
              </w:rPr>
            </w:pPr>
            <w:r>
              <w:rPr>
                <w:w w:val="105"/>
                <w:sz w:val="19"/>
              </w:rPr>
              <w:t>Matemáticas</w:t>
            </w:r>
          </w:p>
        </w:tc>
        <w:tc>
          <w:tcPr>
            <w:tcW w:w="1800" w:type="dxa"/>
          </w:tcPr>
          <w:p>
            <w:pPr>
              <w:pStyle w:val="TableParagraph"/>
              <w:spacing w:line="218" w:lineRule="exact"/>
              <w:ind w:left="100"/>
              <w:rPr>
                <w:sz w:val="19"/>
              </w:rPr>
            </w:pPr>
            <w:r>
              <w:rPr>
                <w:w w:val="105"/>
                <w:sz w:val="19"/>
              </w:rPr>
              <w:t>Primaria</w:t>
            </w:r>
          </w:p>
        </w:tc>
        <w:tc>
          <w:tcPr>
            <w:tcW w:w="2290" w:type="dxa"/>
          </w:tcPr>
          <w:p>
            <w:pPr>
              <w:pStyle w:val="TableParagraph"/>
              <w:spacing w:line="218" w:lineRule="exact"/>
              <w:ind w:left="100"/>
              <w:rPr>
                <w:sz w:val="19"/>
              </w:rPr>
            </w:pPr>
            <w:r>
              <w:rPr>
                <w:sz w:val="19"/>
              </w:rPr>
              <w:t>Alta marginalidad</w:t>
            </w:r>
          </w:p>
        </w:tc>
      </w:tr>
      <w:tr>
        <w:trPr>
          <w:trHeight w:val="230" w:hRule="exact"/>
        </w:trPr>
        <w:tc>
          <w:tcPr>
            <w:tcW w:w="1337" w:type="dxa"/>
            <w:tcBorders>
              <w:left w:val="single" w:sz="2" w:space="0" w:color="000000"/>
            </w:tcBorders>
          </w:tcPr>
          <w:p>
            <w:pPr>
              <w:pStyle w:val="TableParagraph"/>
              <w:spacing w:line="218" w:lineRule="exact"/>
              <w:ind w:left="105"/>
              <w:rPr>
                <w:sz w:val="19"/>
              </w:rPr>
            </w:pPr>
            <w:r>
              <w:rPr>
                <w:w w:val="105"/>
                <w:sz w:val="19"/>
              </w:rPr>
              <w:t>Matemáticas</w:t>
            </w:r>
          </w:p>
        </w:tc>
        <w:tc>
          <w:tcPr>
            <w:tcW w:w="1800" w:type="dxa"/>
          </w:tcPr>
          <w:p>
            <w:pPr>
              <w:pStyle w:val="TableParagraph"/>
              <w:spacing w:line="218" w:lineRule="exact"/>
              <w:ind w:left="100"/>
              <w:rPr>
                <w:sz w:val="19"/>
              </w:rPr>
            </w:pPr>
            <w:r>
              <w:rPr>
                <w:w w:val="105"/>
                <w:sz w:val="19"/>
              </w:rPr>
              <w:t>Secundaria</w:t>
            </w:r>
          </w:p>
        </w:tc>
        <w:tc>
          <w:tcPr>
            <w:tcW w:w="2290" w:type="dxa"/>
          </w:tcPr>
          <w:p>
            <w:pPr>
              <w:pStyle w:val="TableParagraph"/>
              <w:spacing w:line="218" w:lineRule="exact"/>
              <w:ind w:left="100"/>
              <w:rPr>
                <w:sz w:val="19"/>
              </w:rPr>
            </w:pPr>
            <w:r>
              <w:rPr>
                <w:w w:val="105"/>
                <w:sz w:val="19"/>
              </w:rPr>
              <w:t>Alta y baja marginalidad</w:t>
            </w:r>
          </w:p>
        </w:tc>
      </w:tr>
    </w:tbl>
    <w:p>
      <w:pPr>
        <w:pStyle w:val="BodyText"/>
        <w:spacing w:before="11"/>
        <w:rPr>
          <w:b/>
          <w:sz w:val="27"/>
        </w:rPr>
      </w:pPr>
    </w:p>
    <w:p>
      <w:pPr>
        <w:spacing w:before="81"/>
        <w:ind w:left="1551" w:right="191" w:firstLine="0"/>
        <w:jc w:val="left"/>
        <w:rPr>
          <w:sz w:val="19"/>
        </w:rPr>
      </w:pPr>
      <w:r>
        <w:rPr>
          <w:b/>
          <w:w w:val="105"/>
          <w:sz w:val="19"/>
        </w:rPr>
        <w:t>FUENTE: </w:t>
      </w:r>
      <w:r>
        <w:rPr>
          <w:w w:val="105"/>
          <w:sz w:val="19"/>
        </w:rPr>
        <w:t>Elaboración propia con base en resultados Enlace 2010</w:t>
      </w:r>
    </w:p>
    <w:p>
      <w:pPr>
        <w:pStyle w:val="BodyText"/>
        <w:rPr>
          <w:sz w:val="20"/>
        </w:rPr>
      </w:pPr>
    </w:p>
    <w:p>
      <w:pPr>
        <w:pStyle w:val="BodyText"/>
        <w:spacing w:before="10"/>
        <w:rPr>
          <w:sz w:val="24"/>
        </w:rPr>
      </w:pPr>
    </w:p>
    <w:p>
      <w:pPr>
        <w:pStyle w:val="BodyText"/>
        <w:spacing w:line="364" w:lineRule="auto" w:before="1"/>
        <w:ind w:left="115" w:right="106" w:firstLine="686"/>
        <w:jc w:val="both"/>
      </w:pPr>
      <w:r>
        <w:rPr/>
        <w:t>De </w:t>
      </w:r>
      <w:r>
        <w:rPr>
          <w:spacing w:val="-4"/>
        </w:rPr>
        <w:t>lo </w:t>
      </w:r>
      <w:r>
        <w:rPr/>
        <w:t>anterior </w:t>
      </w:r>
      <w:r>
        <w:rPr>
          <w:spacing w:val="2"/>
        </w:rPr>
        <w:t>se </w:t>
      </w:r>
      <w:r>
        <w:rPr/>
        <w:t>desprende que las políticas públicas que durante 2006 y 2010 han influido en la calidad de la educación, no han funcionado con la eficacia que era necesaria para reducir, como era deseable, el “aprovechamiento insuficiente”. (Este concepto refleja </w:t>
      </w:r>
      <w:r>
        <w:rPr>
          <w:spacing w:val="-5"/>
        </w:rPr>
        <w:t>la </w:t>
      </w:r>
      <w:r>
        <w:rPr/>
        <w:t>reprobación escolar evaluada mediante </w:t>
      </w:r>
      <w:r>
        <w:rPr>
          <w:spacing w:val="-5"/>
        </w:rPr>
        <w:t>la </w:t>
      </w:r>
      <w:r>
        <w:rPr/>
        <w:t>aplicación </w:t>
      </w:r>
      <w:r>
        <w:rPr>
          <w:spacing w:val="3"/>
        </w:rPr>
        <w:t>de </w:t>
      </w:r>
      <w:r>
        <w:rPr/>
        <w:t>pruebas estandarizadas, y no según </w:t>
      </w:r>
      <w:r>
        <w:rPr>
          <w:spacing w:val="-4"/>
        </w:rPr>
        <w:t>la </w:t>
      </w:r>
      <w:r>
        <w:rPr/>
        <w:t>apreciación de cada profesor, en  forma  independiente).  Las  repercusiones  que  este  problema  tendrá  en </w:t>
      </w:r>
      <w:r>
        <w:rPr>
          <w:spacing w:val="61"/>
        </w:rPr>
        <w:t> </w:t>
      </w:r>
      <w:r>
        <w:rPr>
          <w:spacing w:val="-3"/>
        </w:rPr>
        <w:t>las</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9" w:lineRule="auto" w:before="74"/>
        <w:ind w:left="215"/>
      </w:pPr>
      <w:r>
        <w:rPr/>
        <w:t>poblaciones afectadas por el mismo son, como se sabe, de magnitud considerable (Muñoz Izquierdo et. al., 2010).</w:t>
      </w:r>
    </w:p>
    <w:p>
      <w:pPr>
        <w:pStyle w:val="BodyText"/>
        <w:spacing w:line="364" w:lineRule="auto"/>
        <w:ind w:left="215" w:right="348" w:firstLine="686"/>
        <w:jc w:val="both"/>
      </w:pPr>
      <w:r>
        <w:rPr/>
        <w:t>Para que </w:t>
      </w:r>
      <w:r>
        <w:rPr>
          <w:spacing w:val="-6"/>
        </w:rPr>
        <w:t>la </w:t>
      </w:r>
      <w:r>
        <w:rPr/>
        <w:t>expansión del sistema escolar contribuya a reducir </w:t>
      </w:r>
      <w:r>
        <w:rPr>
          <w:spacing w:val="-7"/>
        </w:rPr>
        <w:t>la </w:t>
      </w:r>
      <w:r>
        <w:rPr/>
        <w:t>inequidad con la que </w:t>
      </w:r>
      <w:r>
        <w:rPr>
          <w:spacing w:val="2"/>
        </w:rPr>
        <w:t>se </w:t>
      </w:r>
      <w:r>
        <w:rPr/>
        <w:t>distribuye </w:t>
      </w:r>
      <w:r>
        <w:rPr>
          <w:spacing w:val="2"/>
        </w:rPr>
        <w:t>el </w:t>
      </w:r>
      <w:r>
        <w:rPr/>
        <w:t>aprovechamiento escolar entre las entidades que tienen distintos índices de marginalidad, sería deseable que los  mejoramientos  registrados en el aprovechamiento </w:t>
      </w:r>
      <w:r>
        <w:rPr>
          <w:spacing w:val="2"/>
        </w:rPr>
        <w:t>se </w:t>
      </w:r>
      <w:r>
        <w:rPr/>
        <w:t>hubiesen concentrado en el nivel de “aprovechamiento insuficiente”. </w:t>
      </w:r>
      <w:r>
        <w:rPr>
          <w:spacing w:val="-2"/>
        </w:rPr>
        <w:t>Sin </w:t>
      </w:r>
      <w:r>
        <w:rPr/>
        <w:t>embargo, el análisis que aparece en el cuadro siguiente detectó que </w:t>
      </w:r>
      <w:r>
        <w:rPr>
          <w:spacing w:val="-4"/>
        </w:rPr>
        <w:t>en </w:t>
      </w:r>
      <w:r>
        <w:rPr/>
        <w:t>realidad, esos cambios se concentraron en los niveles “bueno” y “excelente”. Es muy probable que este resultado pueda ser atribuido, principalmente, a que la evolución de los aprovechamientos  más  elevados  (“bueno” y “excelente”) suele estar determinada, en </w:t>
      </w:r>
      <w:r>
        <w:rPr>
          <w:spacing w:val="-3"/>
        </w:rPr>
        <w:t>mayor </w:t>
      </w:r>
      <w:r>
        <w:rPr/>
        <w:t>grado, por inercias que no requieren ser controladas por </w:t>
      </w:r>
      <w:r>
        <w:rPr>
          <w:spacing w:val="-5"/>
        </w:rPr>
        <w:t>la </w:t>
      </w:r>
      <w:r>
        <w:rPr/>
        <w:t>SEP. En cambio, el abatimiento </w:t>
      </w:r>
      <w:r>
        <w:rPr>
          <w:spacing w:val="3"/>
        </w:rPr>
        <w:t>del </w:t>
      </w:r>
      <w:r>
        <w:rPr/>
        <w:t>“aprovechamiento insuficiente” se encuentra en la situación contraria, porque, </w:t>
      </w:r>
      <w:r>
        <w:rPr>
          <w:spacing w:val="3"/>
        </w:rPr>
        <w:t>al </w:t>
      </w:r>
      <w:r>
        <w:rPr/>
        <w:t>contrario de los niveles anteriormente mencionados, la reducción  de  </w:t>
      </w:r>
      <w:r>
        <w:rPr>
          <w:spacing w:val="-4"/>
        </w:rPr>
        <w:t>la</w:t>
      </w:r>
      <w:r>
        <w:rPr>
          <w:spacing w:val="55"/>
        </w:rPr>
        <w:t> </w:t>
      </w:r>
      <w:r>
        <w:rPr/>
        <w:t>reprobación depende en mayor grado de factores que obstaculizan el efecto de las inercias mencionadas (Muñoz Izquierdo et. al.,</w:t>
      </w:r>
      <w:r>
        <w:rPr>
          <w:spacing w:val="53"/>
        </w:rPr>
        <w:t> </w:t>
      </w:r>
      <w:r>
        <w:rPr/>
        <w:t>2010).</w:t>
      </w:r>
    </w:p>
    <w:p>
      <w:pPr>
        <w:pStyle w:val="BodyText"/>
        <w:rPr>
          <w:sz w:val="22"/>
        </w:rPr>
      </w:pPr>
    </w:p>
    <w:p>
      <w:pPr>
        <w:spacing w:before="159"/>
        <w:ind w:left="3928" w:right="4066" w:firstLine="0"/>
        <w:jc w:val="center"/>
        <w:rPr>
          <w:b/>
          <w:sz w:val="21"/>
        </w:rPr>
      </w:pPr>
      <w:r>
        <w:rPr>
          <w:b/>
          <w:sz w:val="21"/>
        </w:rPr>
        <w:t>Tabla N° 19</w:t>
      </w:r>
    </w:p>
    <w:p>
      <w:pPr>
        <w:spacing w:line="247" w:lineRule="auto" w:before="3"/>
        <w:ind w:left="307" w:right="440" w:hanging="10"/>
        <w:jc w:val="center"/>
        <w:rPr>
          <w:b/>
          <w:sz w:val="21"/>
        </w:rPr>
      </w:pPr>
      <w:r>
        <w:rPr>
          <w:b/>
          <w:sz w:val="21"/>
        </w:rPr>
        <w:t>Porcentajes </w:t>
      </w:r>
      <w:r>
        <w:rPr>
          <w:b/>
          <w:spacing w:val="-4"/>
          <w:sz w:val="21"/>
        </w:rPr>
        <w:t>de </w:t>
      </w:r>
      <w:r>
        <w:rPr>
          <w:b/>
          <w:sz w:val="21"/>
        </w:rPr>
        <w:t>alumnos </w:t>
      </w:r>
      <w:r>
        <w:rPr>
          <w:b/>
          <w:spacing w:val="-3"/>
          <w:sz w:val="21"/>
        </w:rPr>
        <w:t>que </w:t>
      </w:r>
      <w:r>
        <w:rPr>
          <w:b/>
          <w:sz w:val="21"/>
        </w:rPr>
        <w:t>obtuvieron en las pruebas ENLACE los niveles </w:t>
      </w:r>
      <w:r>
        <w:rPr>
          <w:b/>
          <w:spacing w:val="-4"/>
          <w:sz w:val="21"/>
        </w:rPr>
        <w:t>de</w:t>
      </w:r>
      <w:r>
        <w:rPr>
          <w:b/>
          <w:spacing w:val="50"/>
          <w:sz w:val="21"/>
        </w:rPr>
        <w:t> </w:t>
      </w:r>
      <w:r>
        <w:rPr>
          <w:b/>
          <w:sz w:val="21"/>
        </w:rPr>
        <w:t>aprovechamiento que </w:t>
      </w:r>
      <w:r>
        <w:rPr>
          <w:b/>
          <w:spacing w:val="-3"/>
          <w:sz w:val="21"/>
        </w:rPr>
        <w:t>se </w:t>
      </w:r>
      <w:r>
        <w:rPr>
          <w:b/>
          <w:sz w:val="21"/>
        </w:rPr>
        <w:t>indican, </w:t>
      </w:r>
      <w:r>
        <w:rPr>
          <w:b/>
          <w:spacing w:val="2"/>
          <w:sz w:val="21"/>
        </w:rPr>
        <w:t>en </w:t>
      </w:r>
      <w:r>
        <w:rPr>
          <w:b/>
          <w:sz w:val="21"/>
        </w:rPr>
        <w:t>escuelas localizadas </w:t>
      </w:r>
      <w:r>
        <w:rPr>
          <w:b/>
          <w:spacing w:val="2"/>
          <w:sz w:val="21"/>
        </w:rPr>
        <w:t>en </w:t>
      </w:r>
      <w:r>
        <w:rPr>
          <w:b/>
          <w:sz w:val="21"/>
        </w:rPr>
        <w:t>entidades federativas de diferentes índices de</w:t>
      </w:r>
      <w:r>
        <w:rPr>
          <w:b/>
          <w:spacing w:val="56"/>
          <w:sz w:val="21"/>
        </w:rPr>
        <w:t> </w:t>
      </w:r>
      <w:r>
        <w:rPr>
          <w:b/>
          <w:sz w:val="21"/>
        </w:rPr>
        <w:t>marginalidad</w:t>
      </w:r>
    </w:p>
    <w:p>
      <w:pPr>
        <w:pStyle w:val="BodyText"/>
        <w:spacing w:before="5"/>
        <w:rPr>
          <w:b/>
        </w:rPr>
      </w:pPr>
    </w:p>
    <w:p>
      <w:pPr>
        <w:pStyle w:val="ListParagraph"/>
        <w:numPr>
          <w:ilvl w:val="3"/>
          <w:numId w:val="17"/>
        </w:numPr>
        <w:tabs>
          <w:tab w:pos="495" w:val="left" w:leader="none"/>
        </w:tabs>
        <w:spacing w:line="240" w:lineRule="auto" w:before="0" w:after="0"/>
        <w:ind w:left="494" w:right="0" w:hanging="279"/>
        <w:jc w:val="left"/>
        <w:rPr>
          <w:b/>
          <w:sz w:val="21"/>
        </w:rPr>
      </w:pPr>
      <w:r>
        <w:rPr>
          <w:b/>
          <w:sz w:val="21"/>
        </w:rPr>
        <w:t>Escuelas primarias – pruebas de </w:t>
      </w:r>
      <w:r>
        <w:rPr>
          <w:b/>
          <w:spacing w:val="15"/>
          <w:sz w:val="21"/>
        </w:rPr>
        <w:t> </w:t>
      </w:r>
      <w:r>
        <w:rPr>
          <w:b/>
          <w:sz w:val="21"/>
        </w:rPr>
        <w:t>español</w:t>
      </w:r>
    </w:p>
    <w:p>
      <w:pPr>
        <w:pStyle w:val="BodyText"/>
        <w:spacing w:before="1"/>
        <w:rPr>
          <w:b/>
          <w:sz w:val="24"/>
        </w:r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91"/>
        <w:gridCol w:w="1987"/>
        <w:gridCol w:w="2280"/>
        <w:gridCol w:w="1579"/>
      </w:tblGrid>
      <w:tr>
        <w:trPr>
          <w:trHeight w:val="1123" w:hRule="exact"/>
        </w:trPr>
        <w:tc>
          <w:tcPr>
            <w:tcW w:w="3091" w:type="dxa"/>
          </w:tcPr>
          <w:p>
            <w:pPr>
              <w:pStyle w:val="TableParagraph"/>
              <w:spacing w:line="244" w:lineRule="auto"/>
              <w:ind w:left="134" w:right="141" w:firstLine="2"/>
              <w:jc w:val="center"/>
              <w:rPr>
                <w:b/>
                <w:sz w:val="19"/>
              </w:rPr>
            </w:pPr>
            <w:r>
              <w:rPr>
                <w:b/>
                <w:w w:val="105"/>
                <w:sz w:val="19"/>
              </w:rPr>
              <w:t>Niveles </w:t>
            </w:r>
            <w:r>
              <w:rPr>
                <w:b/>
                <w:spacing w:val="-3"/>
                <w:w w:val="105"/>
                <w:sz w:val="19"/>
              </w:rPr>
              <w:t>de </w:t>
            </w:r>
            <w:r>
              <w:rPr>
                <w:b/>
                <w:w w:val="105"/>
                <w:sz w:val="19"/>
              </w:rPr>
              <w:t>aprovechamiento/años</w:t>
            </w:r>
            <w:r>
              <w:rPr>
                <w:b/>
                <w:spacing w:val="-35"/>
                <w:w w:val="105"/>
                <w:sz w:val="19"/>
              </w:rPr>
              <w:t> </w:t>
            </w:r>
            <w:r>
              <w:rPr>
                <w:b/>
                <w:w w:val="105"/>
                <w:sz w:val="19"/>
              </w:rPr>
              <w:t>en</w:t>
            </w:r>
            <w:r>
              <w:rPr>
                <w:b/>
                <w:spacing w:val="-37"/>
                <w:w w:val="105"/>
                <w:sz w:val="19"/>
              </w:rPr>
              <w:t> </w:t>
            </w:r>
            <w:r>
              <w:rPr>
                <w:b/>
                <w:w w:val="105"/>
                <w:sz w:val="19"/>
              </w:rPr>
              <w:t>que</w:t>
            </w:r>
            <w:r>
              <w:rPr>
                <w:b/>
                <w:w w:val="103"/>
                <w:sz w:val="19"/>
              </w:rPr>
              <w:t> </w:t>
            </w:r>
            <w:r>
              <w:rPr>
                <w:b/>
                <w:w w:val="105"/>
                <w:sz w:val="19"/>
              </w:rPr>
              <w:t>se</w:t>
            </w:r>
            <w:r>
              <w:rPr>
                <w:b/>
                <w:spacing w:val="-20"/>
                <w:w w:val="105"/>
                <w:sz w:val="19"/>
              </w:rPr>
              <w:t> </w:t>
            </w:r>
            <w:r>
              <w:rPr>
                <w:b/>
                <w:w w:val="105"/>
                <w:sz w:val="19"/>
              </w:rPr>
              <w:t>aplicaron</w:t>
            </w:r>
            <w:r>
              <w:rPr>
                <w:b/>
                <w:spacing w:val="-22"/>
                <w:w w:val="105"/>
                <w:sz w:val="19"/>
              </w:rPr>
              <w:t> </w:t>
            </w:r>
            <w:r>
              <w:rPr>
                <w:b/>
                <w:w w:val="105"/>
                <w:sz w:val="19"/>
              </w:rPr>
              <w:t>las</w:t>
            </w:r>
            <w:r>
              <w:rPr>
                <w:b/>
                <w:spacing w:val="-22"/>
                <w:w w:val="105"/>
                <w:sz w:val="19"/>
              </w:rPr>
              <w:t> </w:t>
            </w:r>
            <w:r>
              <w:rPr>
                <w:b/>
                <w:w w:val="105"/>
                <w:sz w:val="19"/>
              </w:rPr>
              <w:t>pruebas</w:t>
            </w:r>
          </w:p>
        </w:tc>
        <w:tc>
          <w:tcPr>
            <w:tcW w:w="1987" w:type="dxa"/>
          </w:tcPr>
          <w:p>
            <w:pPr>
              <w:pStyle w:val="TableParagraph"/>
              <w:spacing w:line="244" w:lineRule="auto"/>
              <w:ind w:left="177" w:right="152" w:hanging="20"/>
              <w:jc w:val="both"/>
              <w:rPr>
                <w:b/>
                <w:sz w:val="19"/>
              </w:rPr>
            </w:pPr>
            <w:r>
              <w:rPr>
                <w:b/>
                <w:w w:val="105"/>
                <w:sz w:val="19"/>
              </w:rPr>
              <w:t>Entidades con</w:t>
            </w:r>
            <w:r>
              <w:rPr>
                <w:b/>
                <w:spacing w:val="-36"/>
                <w:w w:val="105"/>
                <w:sz w:val="19"/>
              </w:rPr>
              <w:t> </w:t>
            </w:r>
            <w:r>
              <w:rPr>
                <w:b/>
                <w:spacing w:val="-3"/>
                <w:w w:val="105"/>
                <w:sz w:val="19"/>
              </w:rPr>
              <w:t>los </w:t>
            </w:r>
            <w:r>
              <w:rPr>
                <w:b/>
                <w:w w:val="105"/>
                <w:sz w:val="19"/>
              </w:rPr>
              <w:t>más altos</w:t>
            </w:r>
            <w:r>
              <w:rPr>
                <w:b/>
                <w:spacing w:val="-38"/>
                <w:w w:val="105"/>
                <w:sz w:val="19"/>
              </w:rPr>
              <w:t> </w:t>
            </w:r>
            <w:r>
              <w:rPr>
                <w:b/>
                <w:w w:val="105"/>
                <w:sz w:val="19"/>
              </w:rPr>
              <w:t>índices de</w:t>
            </w:r>
            <w:r>
              <w:rPr>
                <w:b/>
                <w:spacing w:val="13"/>
                <w:w w:val="105"/>
                <w:sz w:val="19"/>
              </w:rPr>
              <w:t> </w:t>
            </w:r>
            <w:r>
              <w:rPr>
                <w:b/>
                <w:w w:val="105"/>
                <w:sz w:val="19"/>
              </w:rPr>
              <w:t>marginalidad</w:t>
            </w:r>
          </w:p>
        </w:tc>
        <w:tc>
          <w:tcPr>
            <w:tcW w:w="2280" w:type="dxa"/>
          </w:tcPr>
          <w:p>
            <w:pPr>
              <w:pStyle w:val="TableParagraph"/>
              <w:spacing w:line="244" w:lineRule="auto"/>
              <w:ind w:left="297" w:right="297" w:firstLine="4"/>
              <w:jc w:val="both"/>
              <w:rPr>
                <w:b/>
                <w:sz w:val="19"/>
              </w:rPr>
            </w:pPr>
            <w:r>
              <w:rPr>
                <w:b/>
                <w:w w:val="105"/>
                <w:sz w:val="19"/>
              </w:rPr>
              <w:t>Entidades con</w:t>
            </w:r>
            <w:r>
              <w:rPr>
                <w:b/>
                <w:spacing w:val="-31"/>
                <w:w w:val="105"/>
                <w:sz w:val="19"/>
              </w:rPr>
              <w:t> </w:t>
            </w:r>
            <w:r>
              <w:rPr>
                <w:b/>
                <w:spacing w:val="-3"/>
                <w:w w:val="105"/>
                <w:sz w:val="19"/>
              </w:rPr>
              <w:t>los </w:t>
            </w:r>
            <w:r>
              <w:rPr>
                <w:b/>
                <w:w w:val="105"/>
                <w:sz w:val="19"/>
              </w:rPr>
              <w:t>Más bajos</w:t>
            </w:r>
            <w:r>
              <w:rPr>
                <w:b/>
                <w:spacing w:val="-38"/>
                <w:w w:val="105"/>
                <w:sz w:val="19"/>
              </w:rPr>
              <w:t> </w:t>
            </w:r>
            <w:r>
              <w:rPr>
                <w:b/>
                <w:w w:val="105"/>
                <w:sz w:val="19"/>
              </w:rPr>
              <w:t>índices </w:t>
            </w:r>
            <w:r>
              <w:rPr>
                <w:b/>
                <w:sz w:val="19"/>
              </w:rPr>
              <w:t>De</w:t>
            </w:r>
            <w:r>
              <w:rPr>
                <w:b/>
                <w:spacing w:val="30"/>
                <w:sz w:val="19"/>
              </w:rPr>
              <w:t> </w:t>
            </w:r>
            <w:r>
              <w:rPr>
                <w:b/>
                <w:sz w:val="19"/>
              </w:rPr>
              <w:t>marginalidad</w:t>
            </w:r>
          </w:p>
        </w:tc>
        <w:tc>
          <w:tcPr>
            <w:tcW w:w="1579" w:type="dxa"/>
          </w:tcPr>
          <w:p>
            <w:pPr>
              <w:pStyle w:val="TableParagraph"/>
              <w:spacing w:line="244" w:lineRule="auto"/>
              <w:ind w:left="187" w:right="177" w:hanging="11"/>
              <w:jc w:val="center"/>
              <w:rPr>
                <w:b/>
                <w:sz w:val="19"/>
              </w:rPr>
            </w:pPr>
            <w:r>
              <w:rPr>
                <w:b/>
                <w:w w:val="105"/>
                <w:sz w:val="19"/>
              </w:rPr>
              <w:t>Cociente de Disparidad (relación Alta/baja </w:t>
            </w:r>
            <w:r>
              <w:rPr>
                <w:b/>
                <w:sz w:val="19"/>
              </w:rPr>
              <w:t>Marginalidad</w:t>
            </w:r>
          </w:p>
        </w:tc>
      </w:tr>
      <w:tr>
        <w:trPr>
          <w:trHeight w:val="235" w:hRule="exact"/>
        </w:trPr>
        <w:tc>
          <w:tcPr>
            <w:tcW w:w="3091" w:type="dxa"/>
          </w:tcPr>
          <w:p>
            <w:pPr>
              <w:pStyle w:val="TableParagraph"/>
              <w:spacing w:line="218" w:lineRule="exact"/>
              <w:ind w:right="800"/>
              <w:jc w:val="right"/>
              <w:rPr>
                <w:sz w:val="19"/>
              </w:rPr>
            </w:pPr>
            <w:r>
              <w:rPr>
                <w:sz w:val="19"/>
              </w:rPr>
              <w:t>Insuficiente/2006</w:t>
            </w:r>
          </w:p>
        </w:tc>
        <w:tc>
          <w:tcPr>
            <w:tcW w:w="1987" w:type="dxa"/>
          </w:tcPr>
          <w:p>
            <w:pPr>
              <w:pStyle w:val="TableParagraph"/>
              <w:spacing w:line="218" w:lineRule="exact"/>
              <w:ind w:left="801"/>
              <w:rPr>
                <w:sz w:val="19"/>
              </w:rPr>
            </w:pPr>
            <w:r>
              <w:rPr>
                <w:w w:val="105"/>
                <w:sz w:val="19"/>
              </w:rPr>
              <w:t>26.8</w:t>
            </w:r>
          </w:p>
        </w:tc>
        <w:tc>
          <w:tcPr>
            <w:tcW w:w="2280" w:type="dxa"/>
          </w:tcPr>
          <w:p>
            <w:pPr>
              <w:pStyle w:val="TableParagraph"/>
              <w:spacing w:line="218" w:lineRule="exact"/>
              <w:ind w:left="918" w:right="924"/>
              <w:jc w:val="center"/>
              <w:rPr>
                <w:sz w:val="19"/>
              </w:rPr>
            </w:pPr>
            <w:r>
              <w:rPr>
                <w:w w:val="105"/>
                <w:sz w:val="19"/>
              </w:rPr>
              <w:t>18.5</w:t>
            </w:r>
          </w:p>
        </w:tc>
        <w:tc>
          <w:tcPr>
            <w:tcW w:w="1579" w:type="dxa"/>
          </w:tcPr>
          <w:p>
            <w:pPr>
              <w:pStyle w:val="TableParagraph"/>
              <w:spacing w:line="218" w:lineRule="exact"/>
              <w:ind w:right="595"/>
              <w:jc w:val="right"/>
              <w:rPr>
                <w:sz w:val="19"/>
              </w:rPr>
            </w:pPr>
            <w:r>
              <w:rPr>
                <w:sz w:val="19"/>
              </w:rPr>
              <w:t>1.45</w:t>
            </w:r>
          </w:p>
        </w:tc>
      </w:tr>
      <w:tr>
        <w:trPr>
          <w:trHeight w:val="235" w:hRule="exact"/>
        </w:trPr>
        <w:tc>
          <w:tcPr>
            <w:tcW w:w="3091" w:type="dxa"/>
          </w:tcPr>
          <w:p>
            <w:pPr>
              <w:pStyle w:val="TableParagraph"/>
              <w:spacing w:line="218" w:lineRule="exact"/>
              <w:ind w:right="800"/>
              <w:jc w:val="right"/>
              <w:rPr>
                <w:sz w:val="19"/>
              </w:rPr>
            </w:pPr>
            <w:r>
              <w:rPr>
                <w:sz w:val="19"/>
              </w:rPr>
              <w:t>Insuficiente/2010</w:t>
            </w:r>
          </w:p>
        </w:tc>
        <w:tc>
          <w:tcPr>
            <w:tcW w:w="1987" w:type="dxa"/>
          </w:tcPr>
          <w:p>
            <w:pPr>
              <w:pStyle w:val="TableParagraph"/>
              <w:spacing w:line="218" w:lineRule="exact"/>
              <w:ind w:left="801"/>
              <w:rPr>
                <w:sz w:val="19"/>
              </w:rPr>
            </w:pPr>
            <w:r>
              <w:rPr>
                <w:w w:val="105"/>
                <w:sz w:val="19"/>
              </w:rPr>
              <w:t>21.4</w:t>
            </w:r>
          </w:p>
        </w:tc>
        <w:tc>
          <w:tcPr>
            <w:tcW w:w="2280" w:type="dxa"/>
          </w:tcPr>
          <w:p>
            <w:pPr>
              <w:pStyle w:val="TableParagraph"/>
              <w:spacing w:line="218" w:lineRule="exact"/>
              <w:ind w:left="918" w:right="924"/>
              <w:jc w:val="center"/>
              <w:rPr>
                <w:sz w:val="19"/>
              </w:rPr>
            </w:pPr>
            <w:r>
              <w:rPr>
                <w:w w:val="105"/>
                <w:sz w:val="19"/>
              </w:rPr>
              <w:t>15.1</w:t>
            </w:r>
          </w:p>
        </w:tc>
        <w:tc>
          <w:tcPr>
            <w:tcW w:w="1579" w:type="dxa"/>
          </w:tcPr>
          <w:p>
            <w:pPr>
              <w:pStyle w:val="TableParagraph"/>
              <w:spacing w:line="218" w:lineRule="exact"/>
              <w:ind w:right="595"/>
              <w:jc w:val="right"/>
              <w:rPr>
                <w:sz w:val="19"/>
              </w:rPr>
            </w:pPr>
            <w:r>
              <w:rPr>
                <w:sz w:val="19"/>
              </w:rPr>
              <w:t>1.42</w:t>
            </w:r>
          </w:p>
        </w:tc>
      </w:tr>
      <w:tr>
        <w:trPr>
          <w:trHeight w:val="230" w:hRule="exact"/>
        </w:trPr>
        <w:tc>
          <w:tcPr>
            <w:tcW w:w="3091" w:type="dxa"/>
          </w:tcPr>
          <w:p>
            <w:pPr/>
          </w:p>
        </w:tc>
        <w:tc>
          <w:tcPr>
            <w:tcW w:w="1987" w:type="dxa"/>
          </w:tcPr>
          <w:p>
            <w:pPr/>
          </w:p>
        </w:tc>
        <w:tc>
          <w:tcPr>
            <w:tcW w:w="2280" w:type="dxa"/>
          </w:tcPr>
          <w:p>
            <w:pPr/>
          </w:p>
        </w:tc>
        <w:tc>
          <w:tcPr>
            <w:tcW w:w="1579" w:type="dxa"/>
          </w:tcPr>
          <w:p>
            <w:pPr/>
          </w:p>
        </w:tc>
      </w:tr>
      <w:tr>
        <w:trPr>
          <w:trHeight w:val="235" w:hRule="exact"/>
        </w:trPr>
        <w:tc>
          <w:tcPr>
            <w:tcW w:w="3091" w:type="dxa"/>
          </w:tcPr>
          <w:p>
            <w:pPr>
              <w:pStyle w:val="TableParagraph"/>
              <w:spacing w:line="218" w:lineRule="exact"/>
              <w:ind w:right="861"/>
              <w:jc w:val="right"/>
              <w:rPr>
                <w:sz w:val="19"/>
              </w:rPr>
            </w:pPr>
            <w:r>
              <w:rPr>
                <w:sz w:val="19"/>
              </w:rPr>
              <w:t>Elemental/2006</w:t>
            </w:r>
          </w:p>
        </w:tc>
        <w:tc>
          <w:tcPr>
            <w:tcW w:w="1987" w:type="dxa"/>
          </w:tcPr>
          <w:p>
            <w:pPr>
              <w:pStyle w:val="TableParagraph"/>
              <w:spacing w:line="218" w:lineRule="exact"/>
              <w:ind w:left="801"/>
              <w:rPr>
                <w:sz w:val="19"/>
              </w:rPr>
            </w:pPr>
            <w:r>
              <w:rPr>
                <w:w w:val="105"/>
                <w:sz w:val="19"/>
              </w:rPr>
              <w:t>57.1</w:t>
            </w:r>
          </w:p>
        </w:tc>
        <w:tc>
          <w:tcPr>
            <w:tcW w:w="2280" w:type="dxa"/>
          </w:tcPr>
          <w:p>
            <w:pPr>
              <w:pStyle w:val="TableParagraph"/>
              <w:spacing w:line="218" w:lineRule="exact"/>
              <w:ind w:left="918" w:right="924"/>
              <w:jc w:val="center"/>
              <w:rPr>
                <w:sz w:val="19"/>
              </w:rPr>
            </w:pPr>
            <w:r>
              <w:rPr>
                <w:w w:val="105"/>
                <w:sz w:val="19"/>
              </w:rPr>
              <w:t>57.6</w:t>
            </w:r>
          </w:p>
        </w:tc>
        <w:tc>
          <w:tcPr>
            <w:tcW w:w="1579" w:type="dxa"/>
          </w:tcPr>
          <w:p>
            <w:pPr>
              <w:pStyle w:val="TableParagraph"/>
              <w:spacing w:line="218" w:lineRule="exact"/>
              <w:ind w:right="595"/>
              <w:jc w:val="right"/>
              <w:rPr>
                <w:sz w:val="19"/>
              </w:rPr>
            </w:pPr>
            <w:r>
              <w:rPr>
                <w:sz w:val="19"/>
              </w:rPr>
              <w:t>0.99</w:t>
            </w:r>
          </w:p>
        </w:tc>
      </w:tr>
      <w:tr>
        <w:trPr>
          <w:trHeight w:val="235" w:hRule="exact"/>
        </w:trPr>
        <w:tc>
          <w:tcPr>
            <w:tcW w:w="3091" w:type="dxa"/>
          </w:tcPr>
          <w:p>
            <w:pPr>
              <w:pStyle w:val="TableParagraph"/>
              <w:spacing w:line="218" w:lineRule="exact"/>
              <w:ind w:right="863"/>
              <w:jc w:val="right"/>
              <w:rPr>
                <w:sz w:val="19"/>
              </w:rPr>
            </w:pPr>
            <w:r>
              <w:rPr>
                <w:sz w:val="19"/>
              </w:rPr>
              <w:t>Elemental/2010</w:t>
            </w:r>
          </w:p>
        </w:tc>
        <w:tc>
          <w:tcPr>
            <w:tcW w:w="1987" w:type="dxa"/>
          </w:tcPr>
          <w:p>
            <w:pPr>
              <w:pStyle w:val="TableParagraph"/>
              <w:spacing w:line="218" w:lineRule="exact"/>
              <w:ind w:left="801"/>
              <w:rPr>
                <w:sz w:val="19"/>
              </w:rPr>
            </w:pPr>
            <w:r>
              <w:rPr>
                <w:w w:val="105"/>
                <w:sz w:val="19"/>
              </w:rPr>
              <w:t>46.9</w:t>
            </w:r>
          </w:p>
        </w:tc>
        <w:tc>
          <w:tcPr>
            <w:tcW w:w="2280" w:type="dxa"/>
          </w:tcPr>
          <w:p>
            <w:pPr>
              <w:pStyle w:val="TableParagraph"/>
              <w:spacing w:line="218" w:lineRule="exact"/>
              <w:ind w:left="918" w:right="924"/>
              <w:jc w:val="center"/>
              <w:rPr>
                <w:sz w:val="19"/>
              </w:rPr>
            </w:pPr>
            <w:r>
              <w:rPr>
                <w:w w:val="105"/>
                <w:sz w:val="19"/>
              </w:rPr>
              <w:t>45.1</w:t>
            </w:r>
          </w:p>
        </w:tc>
        <w:tc>
          <w:tcPr>
            <w:tcW w:w="1579" w:type="dxa"/>
          </w:tcPr>
          <w:p>
            <w:pPr>
              <w:pStyle w:val="TableParagraph"/>
              <w:spacing w:line="218" w:lineRule="exact"/>
              <w:ind w:right="595"/>
              <w:jc w:val="right"/>
              <w:rPr>
                <w:sz w:val="19"/>
              </w:rPr>
            </w:pPr>
            <w:r>
              <w:rPr>
                <w:sz w:val="19"/>
              </w:rPr>
              <w:t>1.04</w:t>
            </w:r>
          </w:p>
        </w:tc>
      </w:tr>
      <w:tr>
        <w:trPr>
          <w:trHeight w:val="230" w:hRule="exact"/>
        </w:trPr>
        <w:tc>
          <w:tcPr>
            <w:tcW w:w="3091" w:type="dxa"/>
          </w:tcPr>
          <w:p>
            <w:pPr/>
          </w:p>
        </w:tc>
        <w:tc>
          <w:tcPr>
            <w:tcW w:w="1987" w:type="dxa"/>
          </w:tcPr>
          <w:p>
            <w:pPr/>
          </w:p>
        </w:tc>
        <w:tc>
          <w:tcPr>
            <w:tcW w:w="2280" w:type="dxa"/>
          </w:tcPr>
          <w:p>
            <w:pPr/>
          </w:p>
        </w:tc>
        <w:tc>
          <w:tcPr>
            <w:tcW w:w="1579" w:type="dxa"/>
          </w:tcPr>
          <w:p>
            <w:pPr/>
          </w:p>
        </w:tc>
      </w:tr>
      <w:tr>
        <w:trPr>
          <w:trHeight w:val="235" w:hRule="exact"/>
        </w:trPr>
        <w:tc>
          <w:tcPr>
            <w:tcW w:w="3091" w:type="dxa"/>
          </w:tcPr>
          <w:p>
            <w:pPr>
              <w:pStyle w:val="TableParagraph"/>
              <w:spacing w:line="218" w:lineRule="exact"/>
              <w:ind w:left="1012"/>
              <w:rPr>
                <w:sz w:val="19"/>
              </w:rPr>
            </w:pPr>
            <w:r>
              <w:rPr>
                <w:w w:val="105"/>
                <w:sz w:val="19"/>
              </w:rPr>
              <w:t>Bueno/2006</w:t>
            </w:r>
          </w:p>
        </w:tc>
        <w:tc>
          <w:tcPr>
            <w:tcW w:w="1987" w:type="dxa"/>
          </w:tcPr>
          <w:p>
            <w:pPr>
              <w:pStyle w:val="TableParagraph"/>
              <w:spacing w:line="218" w:lineRule="exact"/>
              <w:ind w:left="801"/>
              <w:rPr>
                <w:sz w:val="19"/>
              </w:rPr>
            </w:pPr>
            <w:r>
              <w:rPr>
                <w:w w:val="105"/>
                <w:sz w:val="19"/>
              </w:rPr>
              <w:t>15.1</w:t>
            </w:r>
          </w:p>
        </w:tc>
        <w:tc>
          <w:tcPr>
            <w:tcW w:w="2280" w:type="dxa"/>
          </w:tcPr>
          <w:p>
            <w:pPr>
              <w:pStyle w:val="TableParagraph"/>
              <w:spacing w:line="218" w:lineRule="exact"/>
              <w:ind w:left="918" w:right="924"/>
              <w:jc w:val="center"/>
              <w:rPr>
                <w:sz w:val="19"/>
              </w:rPr>
            </w:pPr>
            <w:r>
              <w:rPr>
                <w:w w:val="105"/>
                <w:sz w:val="19"/>
              </w:rPr>
              <w:t>21.8</w:t>
            </w:r>
          </w:p>
        </w:tc>
        <w:tc>
          <w:tcPr>
            <w:tcW w:w="1579" w:type="dxa"/>
          </w:tcPr>
          <w:p>
            <w:pPr>
              <w:pStyle w:val="TableParagraph"/>
              <w:spacing w:line="218" w:lineRule="exact"/>
              <w:ind w:right="595"/>
              <w:jc w:val="right"/>
              <w:rPr>
                <w:sz w:val="19"/>
              </w:rPr>
            </w:pPr>
            <w:r>
              <w:rPr>
                <w:sz w:val="19"/>
              </w:rPr>
              <w:t>0.69</w:t>
            </w:r>
          </w:p>
        </w:tc>
      </w:tr>
      <w:tr>
        <w:trPr>
          <w:trHeight w:val="235" w:hRule="exact"/>
        </w:trPr>
        <w:tc>
          <w:tcPr>
            <w:tcW w:w="3091" w:type="dxa"/>
          </w:tcPr>
          <w:p>
            <w:pPr>
              <w:pStyle w:val="TableParagraph"/>
              <w:spacing w:line="218" w:lineRule="exact"/>
              <w:ind w:left="1012"/>
              <w:rPr>
                <w:sz w:val="19"/>
              </w:rPr>
            </w:pPr>
            <w:r>
              <w:rPr>
                <w:w w:val="105"/>
                <w:sz w:val="19"/>
              </w:rPr>
              <w:t>Bueno/2010</w:t>
            </w:r>
          </w:p>
        </w:tc>
        <w:tc>
          <w:tcPr>
            <w:tcW w:w="1987" w:type="dxa"/>
          </w:tcPr>
          <w:p>
            <w:pPr>
              <w:pStyle w:val="TableParagraph"/>
              <w:spacing w:line="218" w:lineRule="exact"/>
              <w:ind w:left="801"/>
              <w:rPr>
                <w:sz w:val="19"/>
              </w:rPr>
            </w:pPr>
            <w:r>
              <w:rPr>
                <w:w w:val="105"/>
                <w:sz w:val="19"/>
              </w:rPr>
              <w:t>26.1</w:t>
            </w:r>
          </w:p>
        </w:tc>
        <w:tc>
          <w:tcPr>
            <w:tcW w:w="2280" w:type="dxa"/>
          </w:tcPr>
          <w:p>
            <w:pPr>
              <w:pStyle w:val="TableParagraph"/>
              <w:spacing w:line="218" w:lineRule="exact"/>
              <w:ind w:left="918" w:right="924"/>
              <w:jc w:val="center"/>
              <w:rPr>
                <w:sz w:val="19"/>
              </w:rPr>
            </w:pPr>
            <w:r>
              <w:rPr>
                <w:w w:val="105"/>
                <w:sz w:val="19"/>
              </w:rPr>
              <w:t>32.2</w:t>
            </w:r>
          </w:p>
        </w:tc>
        <w:tc>
          <w:tcPr>
            <w:tcW w:w="1579" w:type="dxa"/>
          </w:tcPr>
          <w:p>
            <w:pPr>
              <w:pStyle w:val="TableParagraph"/>
              <w:spacing w:line="218" w:lineRule="exact"/>
              <w:ind w:right="595"/>
              <w:jc w:val="right"/>
              <w:rPr>
                <w:sz w:val="19"/>
              </w:rPr>
            </w:pPr>
            <w:r>
              <w:rPr>
                <w:sz w:val="19"/>
              </w:rPr>
              <w:t>0.81</w:t>
            </w:r>
          </w:p>
        </w:tc>
      </w:tr>
      <w:tr>
        <w:trPr>
          <w:trHeight w:val="230" w:hRule="exact"/>
        </w:trPr>
        <w:tc>
          <w:tcPr>
            <w:tcW w:w="3091" w:type="dxa"/>
          </w:tcPr>
          <w:p>
            <w:pPr/>
          </w:p>
        </w:tc>
        <w:tc>
          <w:tcPr>
            <w:tcW w:w="1987" w:type="dxa"/>
          </w:tcPr>
          <w:p>
            <w:pPr/>
          </w:p>
        </w:tc>
        <w:tc>
          <w:tcPr>
            <w:tcW w:w="2280" w:type="dxa"/>
          </w:tcPr>
          <w:p>
            <w:pPr/>
          </w:p>
        </w:tc>
        <w:tc>
          <w:tcPr>
            <w:tcW w:w="1579" w:type="dxa"/>
          </w:tcPr>
          <w:p>
            <w:pPr/>
          </w:p>
        </w:tc>
      </w:tr>
      <w:tr>
        <w:trPr>
          <w:trHeight w:val="235" w:hRule="exact"/>
        </w:trPr>
        <w:tc>
          <w:tcPr>
            <w:tcW w:w="3091" w:type="dxa"/>
          </w:tcPr>
          <w:p>
            <w:pPr>
              <w:pStyle w:val="TableParagraph"/>
              <w:spacing w:line="218" w:lineRule="exact"/>
              <w:ind w:right="868"/>
              <w:jc w:val="right"/>
              <w:rPr>
                <w:sz w:val="19"/>
              </w:rPr>
            </w:pPr>
            <w:r>
              <w:rPr>
                <w:sz w:val="19"/>
              </w:rPr>
              <w:t>Excelente/2006</w:t>
            </w:r>
          </w:p>
        </w:tc>
        <w:tc>
          <w:tcPr>
            <w:tcW w:w="1987" w:type="dxa"/>
          </w:tcPr>
          <w:p>
            <w:pPr>
              <w:pStyle w:val="TableParagraph"/>
              <w:spacing w:line="218" w:lineRule="exact"/>
              <w:ind w:left="854"/>
              <w:rPr>
                <w:sz w:val="19"/>
              </w:rPr>
            </w:pPr>
            <w:r>
              <w:rPr>
                <w:w w:val="105"/>
                <w:sz w:val="19"/>
              </w:rPr>
              <w:t>1.0</w:t>
            </w:r>
          </w:p>
        </w:tc>
        <w:tc>
          <w:tcPr>
            <w:tcW w:w="2280" w:type="dxa"/>
          </w:tcPr>
          <w:p>
            <w:pPr>
              <w:pStyle w:val="TableParagraph"/>
              <w:spacing w:line="218" w:lineRule="exact"/>
              <w:ind w:left="918" w:right="917"/>
              <w:jc w:val="center"/>
              <w:rPr>
                <w:sz w:val="19"/>
              </w:rPr>
            </w:pPr>
            <w:r>
              <w:rPr>
                <w:w w:val="105"/>
                <w:sz w:val="19"/>
              </w:rPr>
              <w:t>2.0</w:t>
            </w:r>
          </w:p>
        </w:tc>
        <w:tc>
          <w:tcPr>
            <w:tcW w:w="1579" w:type="dxa"/>
          </w:tcPr>
          <w:p>
            <w:pPr>
              <w:pStyle w:val="TableParagraph"/>
              <w:spacing w:line="218" w:lineRule="exact"/>
              <w:ind w:right="595"/>
              <w:jc w:val="right"/>
              <w:rPr>
                <w:sz w:val="19"/>
              </w:rPr>
            </w:pPr>
            <w:r>
              <w:rPr>
                <w:sz w:val="19"/>
              </w:rPr>
              <w:t>0.50</w:t>
            </w:r>
          </w:p>
        </w:tc>
      </w:tr>
      <w:tr>
        <w:trPr>
          <w:trHeight w:val="235" w:hRule="exact"/>
        </w:trPr>
        <w:tc>
          <w:tcPr>
            <w:tcW w:w="3091" w:type="dxa"/>
          </w:tcPr>
          <w:p>
            <w:pPr>
              <w:pStyle w:val="TableParagraph"/>
              <w:spacing w:line="218" w:lineRule="exact"/>
              <w:ind w:right="868"/>
              <w:jc w:val="right"/>
              <w:rPr>
                <w:sz w:val="19"/>
              </w:rPr>
            </w:pPr>
            <w:r>
              <w:rPr>
                <w:sz w:val="19"/>
              </w:rPr>
              <w:t>Excelente/2010</w:t>
            </w:r>
          </w:p>
        </w:tc>
        <w:tc>
          <w:tcPr>
            <w:tcW w:w="1987" w:type="dxa"/>
          </w:tcPr>
          <w:p>
            <w:pPr>
              <w:pStyle w:val="TableParagraph"/>
              <w:spacing w:line="218" w:lineRule="exact"/>
              <w:ind w:left="854"/>
              <w:rPr>
                <w:sz w:val="19"/>
              </w:rPr>
            </w:pPr>
            <w:r>
              <w:rPr>
                <w:w w:val="105"/>
                <w:sz w:val="19"/>
              </w:rPr>
              <w:t>5.6</w:t>
            </w:r>
          </w:p>
        </w:tc>
        <w:tc>
          <w:tcPr>
            <w:tcW w:w="2280" w:type="dxa"/>
          </w:tcPr>
          <w:p>
            <w:pPr>
              <w:pStyle w:val="TableParagraph"/>
              <w:spacing w:line="218" w:lineRule="exact"/>
              <w:ind w:left="918" w:right="917"/>
              <w:jc w:val="center"/>
              <w:rPr>
                <w:sz w:val="19"/>
              </w:rPr>
            </w:pPr>
            <w:r>
              <w:rPr>
                <w:w w:val="105"/>
                <w:sz w:val="19"/>
              </w:rPr>
              <w:t>7.6</w:t>
            </w:r>
          </w:p>
        </w:tc>
        <w:tc>
          <w:tcPr>
            <w:tcW w:w="1579" w:type="dxa"/>
          </w:tcPr>
          <w:p>
            <w:pPr>
              <w:pStyle w:val="TableParagraph"/>
              <w:spacing w:line="218" w:lineRule="exact"/>
              <w:ind w:right="595"/>
              <w:jc w:val="right"/>
              <w:rPr>
                <w:sz w:val="19"/>
              </w:rPr>
            </w:pPr>
            <w:r>
              <w:rPr>
                <w:sz w:val="19"/>
              </w:rPr>
              <w:t>0.74</w:t>
            </w:r>
          </w:p>
        </w:tc>
      </w:tr>
    </w:tbl>
    <w:p>
      <w:pPr>
        <w:spacing w:after="0" w:line="218" w:lineRule="exact"/>
        <w:jc w:val="right"/>
        <w:rPr>
          <w:sz w:val="19"/>
        </w:rPr>
        <w:sectPr>
          <w:pgSz w:w="11910" w:h="16840"/>
          <w:pgMar w:header="0" w:footer="1457" w:top="1580" w:bottom="1640" w:left="1440" w:right="1300"/>
        </w:sectPr>
      </w:pPr>
    </w:p>
    <w:p>
      <w:pPr>
        <w:pStyle w:val="BodyText"/>
        <w:rPr>
          <w:b/>
          <w:sz w:val="20"/>
        </w:rPr>
      </w:pPr>
    </w:p>
    <w:p>
      <w:pPr>
        <w:pStyle w:val="BodyText"/>
        <w:spacing w:before="3"/>
        <w:rPr>
          <w:b/>
          <w:sz w:val="16"/>
        </w:rPr>
      </w:pPr>
    </w:p>
    <w:p>
      <w:pPr>
        <w:pStyle w:val="ListParagraph"/>
        <w:numPr>
          <w:ilvl w:val="3"/>
          <w:numId w:val="17"/>
        </w:numPr>
        <w:tabs>
          <w:tab w:pos="520" w:val="left" w:leader="none"/>
        </w:tabs>
        <w:spacing w:line="240" w:lineRule="auto" w:before="77" w:after="0"/>
        <w:ind w:left="519" w:right="0" w:hanging="283"/>
        <w:jc w:val="left"/>
        <w:rPr>
          <w:b/>
          <w:sz w:val="21"/>
        </w:rPr>
      </w:pPr>
      <w:r>
        <w:rPr>
          <w:b/>
          <w:sz w:val="21"/>
        </w:rPr>
        <w:t>Escuelas secundarias – pruebas </w:t>
      </w:r>
      <w:r>
        <w:rPr>
          <w:b/>
          <w:spacing w:val="-4"/>
          <w:sz w:val="21"/>
        </w:rPr>
        <w:t>de </w:t>
      </w:r>
      <w:r>
        <w:rPr>
          <w:b/>
          <w:spacing w:val="31"/>
          <w:sz w:val="21"/>
        </w:rPr>
        <w:t> </w:t>
      </w:r>
      <w:r>
        <w:rPr>
          <w:b/>
          <w:sz w:val="21"/>
        </w:rPr>
        <w:t>español</w:t>
      </w:r>
    </w:p>
    <w:p>
      <w:pPr>
        <w:pStyle w:val="BodyText"/>
        <w:rPr>
          <w:b/>
          <w:sz w:val="20"/>
        </w:rPr>
      </w:pPr>
    </w:p>
    <w:p>
      <w:pPr>
        <w:pStyle w:val="BodyText"/>
        <w:spacing w:before="10" w:after="1"/>
        <w:rPr>
          <w:b/>
          <w:sz w:val="14"/>
        </w:rPr>
      </w:pPr>
    </w:p>
    <w:tbl>
      <w:tblPr>
        <w:tblW w:w="0" w:type="auto"/>
        <w:jc w:val="left"/>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86"/>
        <w:gridCol w:w="1997"/>
        <w:gridCol w:w="2016"/>
        <w:gridCol w:w="1843"/>
      </w:tblGrid>
      <w:tr>
        <w:trPr>
          <w:trHeight w:val="1128" w:hRule="exact"/>
        </w:trPr>
        <w:tc>
          <w:tcPr>
            <w:tcW w:w="3086" w:type="dxa"/>
          </w:tcPr>
          <w:p>
            <w:pPr>
              <w:pStyle w:val="TableParagraph"/>
              <w:spacing w:line="247" w:lineRule="auto"/>
              <w:ind w:left="134" w:right="136" w:firstLine="2"/>
              <w:jc w:val="center"/>
              <w:rPr>
                <w:b/>
                <w:sz w:val="19"/>
              </w:rPr>
            </w:pPr>
            <w:r>
              <w:rPr>
                <w:b/>
                <w:w w:val="105"/>
                <w:sz w:val="19"/>
              </w:rPr>
              <w:t>Niveles </w:t>
            </w:r>
            <w:r>
              <w:rPr>
                <w:b/>
                <w:spacing w:val="-3"/>
                <w:w w:val="105"/>
                <w:sz w:val="19"/>
              </w:rPr>
              <w:t>de </w:t>
            </w:r>
            <w:r>
              <w:rPr>
                <w:b/>
                <w:w w:val="105"/>
                <w:sz w:val="19"/>
              </w:rPr>
              <w:t>aprovechamiento/años</w:t>
            </w:r>
            <w:r>
              <w:rPr>
                <w:b/>
                <w:spacing w:val="-35"/>
                <w:w w:val="105"/>
                <w:sz w:val="19"/>
              </w:rPr>
              <w:t> </w:t>
            </w:r>
            <w:r>
              <w:rPr>
                <w:b/>
                <w:w w:val="105"/>
                <w:sz w:val="19"/>
              </w:rPr>
              <w:t>en</w:t>
            </w:r>
            <w:r>
              <w:rPr>
                <w:b/>
                <w:spacing w:val="-37"/>
                <w:w w:val="105"/>
                <w:sz w:val="19"/>
              </w:rPr>
              <w:t> </w:t>
            </w:r>
            <w:r>
              <w:rPr>
                <w:b/>
                <w:w w:val="105"/>
                <w:sz w:val="19"/>
              </w:rPr>
              <w:t>que</w:t>
            </w:r>
            <w:r>
              <w:rPr>
                <w:b/>
                <w:w w:val="103"/>
                <w:sz w:val="19"/>
              </w:rPr>
              <w:t> </w:t>
            </w:r>
            <w:r>
              <w:rPr>
                <w:b/>
                <w:w w:val="105"/>
                <w:sz w:val="19"/>
              </w:rPr>
              <w:t>se</w:t>
            </w:r>
            <w:r>
              <w:rPr>
                <w:b/>
                <w:spacing w:val="-20"/>
                <w:w w:val="105"/>
                <w:sz w:val="19"/>
              </w:rPr>
              <w:t> </w:t>
            </w:r>
            <w:r>
              <w:rPr>
                <w:b/>
                <w:w w:val="105"/>
                <w:sz w:val="19"/>
              </w:rPr>
              <w:t>aplicaron</w:t>
            </w:r>
            <w:r>
              <w:rPr>
                <w:b/>
                <w:spacing w:val="-22"/>
                <w:w w:val="105"/>
                <w:sz w:val="19"/>
              </w:rPr>
              <w:t> </w:t>
            </w:r>
            <w:r>
              <w:rPr>
                <w:b/>
                <w:w w:val="105"/>
                <w:sz w:val="19"/>
              </w:rPr>
              <w:t>las</w:t>
            </w:r>
            <w:r>
              <w:rPr>
                <w:b/>
                <w:spacing w:val="-22"/>
                <w:w w:val="105"/>
                <w:sz w:val="19"/>
              </w:rPr>
              <w:t> </w:t>
            </w:r>
            <w:r>
              <w:rPr>
                <w:b/>
                <w:w w:val="105"/>
                <w:sz w:val="19"/>
              </w:rPr>
              <w:t>pruebas</w:t>
            </w:r>
          </w:p>
        </w:tc>
        <w:tc>
          <w:tcPr>
            <w:tcW w:w="1997" w:type="dxa"/>
          </w:tcPr>
          <w:p>
            <w:pPr>
              <w:pStyle w:val="TableParagraph"/>
              <w:spacing w:line="247" w:lineRule="auto"/>
              <w:ind w:left="187" w:right="157" w:hanging="25"/>
              <w:jc w:val="both"/>
              <w:rPr>
                <w:b/>
                <w:sz w:val="19"/>
              </w:rPr>
            </w:pPr>
            <w:r>
              <w:rPr>
                <w:b/>
                <w:w w:val="105"/>
                <w:sz w:val="19"/>
              </w:rPr>
              <w:t>Entidades con</w:t>
            </w:r>
            <w:r>
              <w:rPr>
                <w:b/>
                <w:spacing w:val="-36"/>
                <w:w w:val="105"/>
                <w:sz w:val="19"/>
              </w:rPr>
              <w:t> </w:t>
            </w:r>
            <w:r>
              <w:rPr>
                <w:b/>
                <w:spacing w:val="-3"/>
                <w:w w:val="105"/>
                <w:sz w:val="19"/>
              </w:rPr>
              <w:t>los </w:t>
            </w:r>
            <w:r>
              <w:rPr>
                <w:b/>
                <w:w w:val="105"/>
                <w:sz w:val="19"/>
              </w:rPr>
              <w:t>más altos</w:t>
            </w:r>
            <w:r>
              <w:rPr>
                <w:b/>
                <w:spacing w:val="-40"/>
                <w:w w:val="105"/>
                <w:sz w:val="19"/>
              </w:rPr>
              <w:t> </w:t>
            </w:r>
            <w:r>
              <w:rPr>
                <w:b/>
                <w:w w:val="105"/>
                <w:sz w:val="19"/>
              </w:rPr>
              <w:t>índices De</w:t>
            </w:r>
            <w:r>
              <w:rPr>
                <w:b/>
                <w:spacing w:val="18"/>
                <w:w w:val="105"/>
                <w:sz w:val="19"/>
              </w:rPr>
              <w:t> </w:t>
            </w:r>
            <w:r>
              <w:rPr>
                <w:b/>
                <w:w w:val="105"/>
                <w:sz w:val="19"/>
              </w:rPr>
              <w:t>marginalidad</w:t>
            </w:r>
          </w:p>
        </w:tc>
        <w:tc>
          <w:tcPr>
            <w:tcW w:w="2016" w:type="dxa"/>
          </w:tcPr>
          <w:p>
            <w:pPr>
              <w:pStyle w:val="TableParagraph"/>
              <w:spacing w:line="247" w:lineRule="auto"/>
              <w:ind w:left="163" w:right="163" w:firstLine="4"/>
              <w:jc w:val="both"/>
              <w:rPr>
                <w:b/>
                <w:sz w:val="19"/>
              </w:rPr>
            </w:pPr>
            <w:r>
              <w:rPr>
                <w:b/>
                <w:w w:val="105"/>
                <w:sz w:val="19"/>
              </w:rPr>
              <w:t>Entidades con</w:t>
            </w:r>
            <w:r>
              <w:rPr>
                <w:b/>
                <w:spacing w:val="-37"/>
                <w:w w:val="105"/>
                <w:sz w:val="19"/>
              </w:rPr>
              <w:t> </w:t>
            </w:r>
            <w:r>
              <w:rPr>
                <w:b/>
                <w:spacing w:val="-4"/>
                <w:w w:val="105"/>
                <w:sz w:val="19"/>
              </w:rPr>
              <w:t>los </w:t>
            </w:r>
            <w:r>
              <w:rPr>
                <w:b/>
                <w:w w:val="105"/>
                <w:sz w:val="19"/>
              </w:rPr>
              <w:t>más bajos</w:t>
            </w:r>
            <w:r>
              <w:rPr>
                <w:b/>
                <w:spacing w:val="-43"/>
                <w:w w:val="105"/>
                <w:sz w:val="19"/>
              </w:rPr>
              <w:t> </w:t>
            </w:r>
            <w:r>
              <w:rPr>
                <w:b/>
                <w:w w:val="105"/>
                <w:sz w:val="19"/>
              </w:rPr>
              <w:t>índices </w:t>
            </w:r>
            <w:r>
              <w:rPr>
                <w:b/>
                <w:sz w:val="19"/>
              </w:rPr>
              <w:t>De</w:t>
            </w:r>
            <w:r>
              <w:rPr>
                <w:b/>
                <w:spacing w:val="33"/>
                <w:sz w:val="19"/>
              </w:rPr>
              <w:t> </w:t>
            </w:r>
            <w:r>
              <w:rPr>
                <w:b/>
                <w:sz w:val="19"/>
              </w:rPr>
              <w:t>marginalidad</w:t>
            </w:r>
          </w:p>
        </w:tc>
        <w:tc>
          <w:tcPr>
            <w:tcW w:w="1843" w:type="dxa"/>
          </w:tcPr>
          <w:p>
            <w:pPr>
              <w:pStyle w:val="TableParagraph"/>
              <w:spacing w:line="247" w:lineRule="auto"/>
              <w:ind w:left="283" w:right="279" w:hanging="9"/>
              <w:jc w:val="center"/>
              <w:rPr>
                <w:b/>
                <w:sz w:val="19"/>
              </w:rPr>
            </w:pPr>
            <w:r>
              <w:rPr>
                <w:b/>
                <w:w w:val="105"/>
                <w:sz w:val="19"/>
              </w:rPr>
              <w:t>Cociente de disparidad (relación Alta/baja </w:t>
            </w:r>
            <w:r>
              <w:rPr>
                <w:b/>
                <w:sz w:val="19"/>
              </w:rPr>
              <w:t>Marginalidad)</w:t>
            </w:r>
          </w:p>
        </w:tc>
      </w:tr>
      <w:tr>
        <w:trPr>
          <w:trHeight w:val="235" w:hRule="exact"/>
        </w:trPr>
        <w:tc>
          <w:tcPr>
            <w:tcW w:w="3086" w:type="dxa"/>
          </w:tcPr>
          <w:p>
            <w:pPr>
              <w:pStyle w:val="TableParagraph"/>
              <w:spacing w:before="4"/>
              <w:ind w:right="795"/>
              <w:jc w:val="right"/>
              <w:rPr>
                <w:sz w:val="19"/>
              </w:rPr>
            </w:pPr>
            <w:r>
              <w:rPr>
                <w:sz w:val="19"/>
              </w:rPr>
              <w:t>Insuficiente/2006</w:t>
            </w:r>
          </w:p>
        </w:tc>
        <w:tc>
          <w:tcPr>
            <w:tcW w:w="1997" w:type="dxa"/>
          </w:tcPr>
          <w:p>
            <w:pPr>
              <w:pStyle w:val="TableParagraph"/>
              <w:spacing w:before="4"/>
              <w:ind w:right="807"/>
              <w:jc w:val="right"/>
              <w:rPr>
                <w:sz w:val="19"/>
              </w:rPr>
            </w:pPr>
            <w:r>
              <w:rPr>
                <w:sz w:val="19"/>
              </w:rPr>
              <w:t>47.6</w:t>
            </w:r>
          </w:p>
        </w:tc>
        <w:tc>
          <w:tcPr>
            <w:tcW w:w="2016" w:type="dxa"/>
          </w:tcPr>
          <w:p>
            <w:pPr>
              <w:pStyle w:val="TableParagraph"/>
              <w:spacing w:before="4"/>
              <w:ind w:left="816"/>
              <w:rPr>
                <w:sz w:val="19"/>
              </w:rPr>
            </w:pPr>
            <w:r>
              <w:rPr>
                <w:w w:val="105"/>
                <w:sz w:val="19"/>
              </w:rPr>
              <w:t>41.0</w:t>
            </w:r>
          </w:p>
        </w:tc>
        <w:tc>
          <w:tcPr>
            <w:tcW w:w="1843" w:type="dxa"/>
          </w:tcPr>
          <w:p>
            <w:pPr>
              <w:pStyle w:val="TableParagraph"/>
              <w:spacing w:before="4"/>
              <w:ind w:left="702" w:right="702"/>
              <w:jc w:val="center"/>
              <w:rPr>
                <w:sz w:val="19"/>
              </w:rPr>
            </w:pPr>
            <w:r>
              <w:rPr>
                <w:w w:val="105"/>
                <w:sz w:val="19"/>
              </w:rPr>
              <w:t>1.16</w:t>
            </w:r>
          </w:p>
        </w:tc>
      </w:tr>
      <w:tr>
        <w:trPr>
          <w:trHeight w:val="230" w:hRule="exact"/>
        </w:trPr>
        <w:tc>
          <w:tcPr>
            <w:tcW w:w="3086" w:type="dxa"/>
          </w:tcPr>
          <w:p>
            <w:pPr>
              <w:pStyle w:val="TableParagraph"/>
              <w:spacing w:before="4"/>
              <w:ind w:right="795"/>
              <w:jc w:val="right"/>
              <w:rPr>
                <w:sz w:val="19"/>
              </w:rPr>
            </w:pPr>
            <w:r>
              <w:rPr>
                <w:sz w:val="19"/>
              </w:rPr>
              <w:t>Insuficiente/2010</w:t>
            </w:r>
          </w:p>
        </w:tc>
        <w:tc>
          <w:tcPr>
            <w:tcW w:w="1997" w:type="dxa"/>
          </w:tcPr>
          <w:p>
            <w:pPr>
              <w:pStyle w:val="TableParagraph"/>
              <w:spacing w:before="4"/>
              <w:ind w:right="807"/>
              <w:jc w:val="right"/>
              <w:rPr>
                <w:sz w:val="19"/>
              </w:rPr>
            </w:pPr>
            <w:r>
              <w:rPr>
                <w:sz w:val="19"/>
              </w:rPr>
              <w:t>45.1</w:t>
            </w:r>
          </w:p>
        </w:tc>
        <w:tc>
          <w:tcPr>
            <w:tcW w:w="2016" w:type="dxa"/>
          </w:tcPr>
          <w:p>
            <w:pPr>
              <w:pStyle w:val="TableParagraph"/>
              <w:spacing w:before="4"/>
              <w:ind w:left="816"/>
              <w:rPr>
                <w:sz w:val="19"/>
              </w:rPr>
            </w:pPr>
            <w:r>
              <w:rPr>
                <w:w w:val="105"/>
                <w:sz w:val="19"/>
              </w:rPr>
              <w:t>38.5</w:t>
            </w:r>
          </w:p>
        </w:tc>
        <w:tc>
          <w:tcPr>
            <w:tcW w:w="1843" w:type="dxa"/>
          </w:tcPr>
          <w:p>
            <w:pPr>
              <w:pStyle w:val="TableParagraph"/>
              <w:spacing w:before="4"/>
              <w:ind w:left="702" w:right="702"/>
              <w:jc w:val="center"/>
              <w:rPr>
                <w:sz w:val="19"/>
              </w:rPr>
            </w:pPr>
            <w:r>
              <w:rPr>
                <w:w w:val="105"/>
                <w:sz w:val="19"/>
              </w:rPr>
              <w:t>1.17</w:t>
            </w:r>
          </w:p>
        </w:tc>
      </w:tr>
      <w:tr>
        <w:trPr>
          <w:trHeight w:val="235" w:hRule="exact"/>
        </w:trPr>
        <w:tc>
          <w:tcPr>
            <w:tcW w:w="3086" w:type="dxa"/>
          </w:tcPr>
          <w:p>
            <w:pPr/>
          </w:p>
        </w:tc>
        <w:tc>
          <w:tcPr>
            <w:tcW w:w="1997" w:type="dxa"/>
          </w:tcPr>
          <w:p>
            <w:pPr/>
          </w:p>
        </w:tc>
        <w:tc>
          <w:tcPr>
            <w:tcW w:w="2016" w:type="dxa"/>
          </w:tcPr>
          <w:p>
            <w:pPr/>
          </w:p>
        </w:tc>
        <w:tc>
          <w:tcPr>
            <w:tcW w:w="1843" w:type="dxa"/>
          </w:tcPr>
          <w:p>
            <w:pPr/>
          </w:p>
        </w:tc>
      </w:tr>
      <w:tr>
        <w:trPr>
          <w:trHeight w:val="235" w:hRule="exact"/>
        </w:trPr>
        <w:tc>
          <w:tcPr>
            <w:tcW w:w="3086" w:type="dxa"/>
          </w:tcPr>
          <w:p>
            <w:pPr>
              <w:pStyle w:val="TableParagraph"/>
              <w:spacing w:before="4"/>
              <w:ind w:right="857"/>
              <w:jc w:val="right"/>
              <w:rPr>
                <w:sz w:val="19"/>
              </w:rPr>
            </w:pPr>
            <w:r>
              <w:rPr>
                <w:sz w:val="19"/>
              </w:rPr>
              <w:t>Elemental/2006</w:t>
            </w:r>
          </w:p>
        </w:tc>
        <w:tc>
          <w:tcPr>
            <w:tcW w:w="1997" w:type="dxa"/>
          </w:tcPr>
          <w:p>
            <w:pPr>
              <w:pStyle w:val="TableParagraph"/>
              <w:spacing w:before="4"/>
              <w:ind w:right="807"/>
              <w:jc w:val="right"/>
              <w:rPr>
                <w:sz w:val="19"/>
              </w:rPr>
            </w:pPr>
            <w:r>
              <w:rPr>
                <w:sz w:val="19"/>
              </w:rPr>
              <w:t>41.6</w:t>
            </w:r>
          </w:p>
        </w:tc>
        <w:tc>
          <w:tcPr>
            <w:tcW w:w="2016" w:type="dxa"/>
          </w:tcPr>
          <w:p>
            <w:pPr>
              <w:pStyle w:val="TableParagraph"/>
              <w:spacing w:before="4"/>
              <w:ind w:left="816"/>
              <w:rPr>
                <w:sz w:val="19"/>
              </w:rPr>
            </w:pPr>
            <w:r>
              <w:rPr>
                <w:w w:val="105"/>
                <w:sz w:val="19"/>
              </w:rPr>
              <w:t>43.5</w:t>
            </w:r>
          </w:p>
        </w:tc>
        <w:tc>
          <w:tcPr>
            <w:tcW w:w="1843" w:type="dxa"/>
          </w:tcPr>
          <w:p>
            <w:pPr>
              <w:pStyle w:val="TableParagraph"/>
              <w:spacing w:before="4"/>
              <w:ind w:left="702" w:right="702"/>
              <w:jc w:val="center"/>
              <w:rPr>
                <w:sz w:val="19"/>
              </w:rPr>
            </w:pPr>
            <w:r>
              <w:rPr>
                <w:w w:val="105"/>
                <w:sz w:val="19"/>
              </w:rPr>
              <w:t>0.96</w:t>
            </w:r>
          </w:p>
        </w:tc>
      </w:tr>
      <w:tr>
        <w:trPr>
          <w:trHeight w:val="230" w:hRule="exact"/>
        </w:trPr>
        <w:tc>
          <w:tcPr>
            <w:tcW w:w="3086" w:type="dxa"/>
          </w:tcPr>
          <w:p>
            <w:pPr>
              <w:pStyle w:val="TableParagraph"/>
              <w:spacing w:before="4"/>
              <w:ind w:right="857"/>
              <w:jc w:val="right"/>
              <w:rPr>
                <w:sz w:val="19"/>
              </w:rPr>
            </w:pPr>
            <w:r>
              <w:rPr>
                <w:sz w:val="19"/>
              </w:rPr>
              <w:t>Elemental/2010</w:t>
            </w:r>
          </w:p>
        </w:tc>
        <w:tc>
          <w:tcPr>
            <w:tcW w:w="1997" w:type="dxa"/>
          </w:tcPr>
          <w:p>
            <w:pPr>
              <w:pStyle w:val="TableParagraph"/>
              <w:spacing w:before="4"/>
              <w:ind w:right="807"/>
              <w:jc w:val="right"/>
              <w:rPr>
                <w:sz w:val="19"/>
              </w:rPr>
            </w:pPr>
            <w:r>
              <w:rPr>
                <w:sz w:val="19"/>
              </w:rPr>
              <w:t>40.7</w:t>
            </w:r>
          </w:p>
        </w:tc>
        <w:tc>
          <w:tcPr>
            <w:tcW w:w="2016" w:type="dxa"/>
          </w:tcPr>
          <w:p>
            <w:pPr>
              <w:pStyle w:val="TableParagraph"/>
              <w:spacing w:before="4"/>
              <w:ind w:left="816"/>
              <w:rPr>
                <w:sz w:val="19"/>
              </w:rPr>
            </w:pPr>
            <w:r>
              <w:rPr>
                <w:w w:val="105"/>
                <w:sz w:val="19"/>
              </w:rPr>
              <w:t>42.7</w:t>
            </w:r>
          </w:p>
        </w:tc>
        <w:tc>
          <w:tcPr>
            <w:tcW w:w="1843" w:type="dxa"/>
          </w:tcPr>
          <w:p>
            <w:pPr>
              <w:pStyle w:val="TableParagraph"/>
              <w:spacing w:before="4"/>
              <w:ind w:left="702" w:right="702"/>
              <w:jc w:val="center"/>
              <w:rPr>
                <w:sz w:val="19"/>
              </w:rPr>
            </w:pPr>
            <w:r>
              <w:rPr>
                <w:w w:val="105"/>
                <w:sz w:val="19"/>
              </w:rPr>
              <w:t>0.95</w:t>
            </w:r>
          </w:p>
        </w:tc>
      </w:tr>
      <w:tr>
        <w:trPr>
          <w:trHeight w:val="235" w:hRule="exact"/>
        </w:trPr>
        <w:tc>
          <w:tcPr>
            <w:tcW w:w="3086" w:type="dxa"/>
          </w:tcPr>
          <w:p>
            <w:pPr/>
          </w:p>
        </w:tc>
        <w:tc>
          <w:tcPr>
            <w:tcW w:w="1997" w:type="dxa"/>
          </w:tcPr>
          <w:p>
            <w:pPr/>
          </w:p>
        </w:tc>
        <w:tc>
          <w:tcPr>
            <w:tcW w:w="2016" w:type="dxa"/>
          </w:tcPr>
          <w:p>
            <w:pPr/>
          </w:p>
        </w:tc>
        <w:tc>
          <w:tcPr>
            <w:tcW w:w="1843" w:type="dxa"/>
          </w:tcPr>
          <w:p>
            <w:pPr/>
          </w:p>
        </w:tc>
      </w:tr>
      <w:tr>
        <w:trPr>
          <w:trHeight w:val="235" w:hRule="exact"/>
        </w:trPr>
        <w:tc>
          <w:tcPr>
            <w:tcW w:w="3086" w:type="dxa"/>
          </w:tcPr>
          <w:p>
            <w:pPr>
              <w:pStyle w:val="TableParagraph"/>
              <w:spacing w:before="4"/>
              <w:ind w:left="1012"/>
              <w:rPr>
                <w:sz w:val="19"/>
              </w:rPr>
            </w:pPr>
            <w:r>
              <w:rPr>
                <w:w w:val="105"/>
                <w:sz w:val="19"/>
              </w:rPr>
              <w:t>Bueno/2006</w:t>
            </w:r>
          </w:p>
        </w:tc>
        <w:tc>
          <w:tcPr>
            <w:tcW w:w="1997" w:type="dxa"/>
          </w:tcPr>
          <w:p>
            <w:pPr>
              <w:pStyle w:val="TableParagraph"/>
              <w:spacing w:before="4"/>
              <w:ind w:right="807"/>
              <w:jc w:val="right"/>
              <w:rPr>
                <w:sz w:val="19"/>
              </w:rPr>
            </w:pPr>
            <w:r>
              <w:rPr>
                <w:sz w:val="19"/>
              </w:rPr>
              <w:t>10.4</w:t>
            </w:r>
          </w:p>
        </w:tc>
        <w:tc>
          <w:tcPr>
            <w:tcW w:w="2016" w:type="dxa"/>
          </w:tcPr>
          <w:p>
            <w:pPr>
              <w:pStyle w:val="TableParagraph"/>
              <w:spacing w:before="4"/>
              <w:ind w:left="816"/>
              <w:rPr>
                <w:sz w:val="19"/>
              </w:rPr>
            </w:pPr>
            <w:r>
              <w:rPr>
                <w:w w:val="105"/>
                <w:sz w:val="19"/>
              </w:rPr>
              <w:t>14.7</w:t>
            </w:r>
          </w:p>
        </w:tc>
        <w:tc>
          <w:tcPr>
            <w:tcW w:w="1843" w:type="dxa"/>
          </w:tcPr>
          <w:p>
            <w:pPr>
              <w:pStyle w:val="TableParagraph"/>
              <w:spacing w:before="4"/>
              <w:ind w:left="702" w:right="702"/>
              <w:jc w:val="center"/>
              <w:rPr>
                <w:sz w:val="19"/>
              </w:rPr>
            </w:pPr>
            <w:r>
              <w:rPr>
                <w:w w:val="105"/>
                <w:sz w:val="19"/>
              </w:rPr>
              <w:t>0.71</w:t>
            </w:r>
          </w:p>
        </w:tc>
      </w:tr>
      <w:tr>
        <w:trPr>
          <w:trHeight w:val="230" w:hRule="exact"/>
        </w:trPr>
        <w:tc>
          <w:tcPr>
            <w:tcW w:w="3086" w:type="dxa"/>
          </w:tcPr>
          <w:p>
            <w:pPr>
              <w:pStyle w:val="TableParagraph"/>
              <w:spacing w:before="4"/>
              <w:ind w:left="1012"/>
              <w:rPr>
                <w:sz w:val="19"/>
              </w:rPr>
            </w:pPr>
            <w:r>
              <w:rPr>
                <w:w w:val="105"/>
                <w:sz w:val="19"/>
              </w:rPr>
              <w:t>Bueno/2010</w:t>
            </w:r>
          </w:p>
        </w:tc>
        <w:tc>
          <w:tcPr>
            <w:tcW w:w="1997" w:type="dxa"/>
          </w:tcPr>
          <w:p>
            <w:pPr>
              <w:pStyle w:val="TableParagraph"/>
              <w:spacing w:before="4"/>
              <w:ind w:right="807"/>
              <w:jc w:val="right"/>
              <w:rPr>
                <w:sz w:val="19"/>
              </w:rPr>
            </w:pPr>
            <w:r>
              <w:rPr>
                <w:sz w:val="19"/>
              </w:rPr>
              <w:t>13.4</w:t>
            </w:r>
          </w:p>
        </w:tc>
        <w:tc>
          <w:tcPr>
            <w:tcW w:w="2016" w:type="dxa"/>
          </w:tcPr>
          <w:p>
            <w:pPr>
              <w:pStyle w:val="TableParagraph"/>
              <w:spacing w:before="4"/>
              <w:ind w:left="816"/>
              <w:rPr>
                <w:sz w:val="19"/>
              </w:rPr>
            </w:pPr>
            <w:r>
              <w:rPr>
                <w:w w:val="105"/>
                <w:sz w:val="19"/>
              </w:rPr>
              <w:t>17.8</w:t>
            </w:r>
          </w:p>
        </w:tc>
        <w:tc>
          <w:tcPr>
            <w:tcW w:w="1843" w:type="dxa"/>
          </w:tcPr>
          <w:p>
            <w:pPr>
              <w:pStyle w:val="TableParagraph"/>
              <w:spacing w:before="4"/>
              <w:ind w:left="702" w:right="702"/>
              <w:jc w:val="center"/>
              <w:rPr>
                <w:sz w:val="19"/>
              </w:rPr>
            </w:pPr>
            <w:r>
              <w:rPr>
                <w:w w:val="105"/>
                <w:sz w:val="19"/>
              </w:rPr>
              <w:t>0.76</w:t>
            </w:r>
          </w:p>
        </w:tc>
      </w:tr>
      <w:tr>
        <w:trPr>
          <w:trHeight w:val="235" w:hRule="exact"/>
        </w:trPr>
        <w:tc>
          <w:tcPr>
            <w:tcW w:w="3086" w:type="dxa"/>
          </w:tcPr>
          <w:p>
            <w:pPr/>
          </w:p>
        </w:tc>
        <w:tc>
          <w:tcPr>
            <w:tcW w:w="1997" w:type="dxa"/>
          </w:tcPr>
          <w:p>
            <w:pPr/>
          </w:p>
        </w:tc>
        <w:tc>
          <w:tcPr>
            <w:tcW w:w="2016" w:type="dxa"/>
          </w:tcPr>
          <w:p>
            <w:pPr/>
          </w:p>
        </w:tc>
        <w:tc>
          <w:tcPr>
            <w:tcW w:w="1843" w:type="dxa"/>
          </w:tcPr>
          <w:p>
            <w:pPr/>
          </w:p>
        </w:tc>
      </w:tr>
      <w:tr>
        <w:trPr>
          <w:trHeight w:val="235" w:hRule="exact"/>
        </w:trPr>
        <w:tc>
          <w:tcPr>
            <w:tcW w:w="3086" w:type="dxa"/>
          </w:tcPr>
          <w:p>
            <w:pPr>
              <w:pStyle w:val="TableParagraph"/>
              <w:spacing w:line="218" w:lineRule="exact"/>
              <w:ind w:right="863"/>
              <w:jc w:val="right"/>
              <w:rPr>
                <w:sz w:val="19"/>
              </w:rPr>
            </w:pPr>
            <w:r>
              <w:rPr>
                <w:sz w:val="19"/>
              </w:rPr>
              <w:t>Excelente/2006</w:t>
            </w:r>
          </w:p>
        </w:tc>
        <w:tc>
          <w:tcPr>
            <w:tcW w:w="1997" w:type="dxa"/>
          </w:tcPr>
          <w:p>
            <w:pPr>
              <w:pStyle w:val="TableParagraph"/>
              <w:spacing w:line="218" w:lineRule="exact"/>
              <w:ind w:right="855"/>
              <w:jc w:val="right"/>
              <w:rPr>
                <w:sz w:val="19"/>
              </w:rPr>
            </w:pPr>
            <w:r>
              <w:rPr>
                <w:sz w:val="19"/>
              </w:rPr>
              <w:t>0.5</w:t>
            </w:r>
          </w:p>
        </w:tc>
        <w:tc>
          <w:tcPr>
            <w:tcW w:w="2016" w:type="dxa"/>
          </w:tcPr>
          <w:p>
            <w:pPr>
              <w:pStyle w:val="TableParagraph"/>
              <w:spacing w:line="218" w:lineRule="exact"/>
              <w:ind w:left="868"/>
              <w:rPr>
                <w:sz w:val="19"/>
              </w:rPr>
            </w:pPr>
            <w:r>
              <w:rPr>
                <w:w w:val="105"/>
                <w:sz w:val="19"/>
              </w:rPr>
              <w:t>0.9</w:t>
            </w:r>
          </w:p>
        </w:tc>
        <w:tc>
          <w:tcPr>
            <w:tcW w:w="1843" w:type="dxa"/>
          </w:tcPr>
          <w:p>
            <w:pPr>
              <w:pStyle w:val="TableParagraph"/>
              <w:spacing w:line="218" w:lineRule="exact"/>
              <w:ind w:left="702" w:right="702"/>
              <w:jc w:val="center"/>
              <w:rPr>
                <w:sz w:val="19"/>
              </w:rPr>
            </w:pPr>
            <w:r>
              <w:rPr>
                <w:w w:val="105"/>
                <w:sz w:val="19"/>
              </w:rPr>
              <w:t>0.58</w:t>
            </w:r>
          </w:p>
        </w:tc>
      </w:tr>
      <w:tr>
        <w:trPr>
          <w:trHeight w:val="230" w:hRule="exact"/>
        </w:trPr>
        <w:tc>
          <w:tcPr>
            <w:tcW w:w="3086" w:type="dxa"/>
          </w:tcPr>
          <w:p>
            <w:pPr>
              <w:pStyle w:val="TableParagraph"/>
              <w:spacing w:line="218" w:lineRule="exact"/>
              <w:ind w:right="863"/>
              <w:jc w:val="right"/>
              <w:rPr>
                <w:sz w:val="19"/>
              </w:rPr>
            </w:pPr>
            <w:r>
              <w:rPr>
                <w:sz w:val="19"/>
              </w:rPr>
              <w:t>Excelente/2010</w:t>
            </w:r>
          </w:p>
        </w:tc>
        <w:tc>
          <w:tcPr>
            <w:tcW w:w="1997" w:type="dxa"/>
          </w:tcPr>
          <w:p>
            <w:pPr>
              <w:pStyle w:val="TableParagraph"/>
              <w:spacing w:line="218" w:lineRule="exact"/>
              <w:ind w:right="855"/>
              <w:jc w:val="right"/>
              <w:rPr>
                <w:sz w:val="19"/>
              </w:rPr>
            </w:pPr>
            <w:r>
              <w:rPr>
                <w:sz w:val="19"/>
              </w:rPr>
              <w:t>0.7</w:t>
            </w:r>
          </w:p>
        </w:tc>
        <w:tc>
          <w:tcPr>
            <w:tcW w:w="2016" w:type="dxa"/>
          </w:tcPr>
          <w:p>
            <w:pPr>
              <w:pStyle w:val="TableParagraph"/>
              <w:spacing w:line="218" w:lineRule="exact"/>
              <w:ind w:left="868"/>
              <w:rPr>
                <w:sz w:val="19"/>
              </w:rPr>
            </w:pPr>
            <w:r>
              <w:rPr>
                <w:w w:val="105"/>
                <w:sz w:val="19"/>
              </w:rPr>
              <w:t>1.1</w:t>
            </w:r>
          </w:p>
        </w:tc>
        <w:tc>
          <w:tcPr>
            <w:tcW w:w="1843" w:type="dxa"/>
          </w:tcPr>
          <w:p>
            <w:pPr>
              <w:pStyle w:val="TableParagraph"/>
              <w:spacing w:line="218" w:lineRule="exact"/>
              <w:ind w:left="702" w:right="702"/>
              <w:jc w:val="center"/>
              <w:rPr>
                <w:sz w:val="19"/>
              </w:rPr>
            </w:pPr>
            <w:r>
              <w:rPr>
                <w:w w:val="105"/>
                <w:sz w:val="19"/>
              </w:rPr>
              <w:t>0.70</w:t>
            </w:r>
          </w:p>
        </w:tc>
      </w:tr>
    </w:tbl>
    <w:p>
      <w:pPr>
        <w:pStyle w:val="BodyText"/>
        <w:rPr>
          <w:b/>
          <w:sz w:val="17"/>
        </w:rPr>
      </w:pPr>
    </w:p>
    <w:p>
      <w:pPr>
        <w:pStyle w:val="ListParagraph"/>
        <w:numPr>
          <w:ilvl w:val="3"/>
          <w:numId w:val="17"/>
        </w:numPr>
        <w:tabs>
          <w:tab w:pos="520" w:val="left" w:leader="none"/>
        </w:tabs>
        <w:spacing w:line="240" w:lineRule="auto" w:before="78" w:after="0"/>
        <w:ind w:left="519" w:right="0" w:hanging="283"/>
        <w:jc w:val="left"/>
        <w:rPr>
          <w:b/>
          <w:sz w:val="21"/>
        </w:rPr>
      </w:pPr>
      <w:r>
        <w:rPr>
          <w:b/>
          <w:sz w:val="21"/>
        </w:rPr>
        <w:t>Escuelas primarias: pruebas </w:t>
      </w:r>
      <w:r>
        <w:rPr>
          <w:b/>
          <w:spacing w:val="-3"/>
          <w:sz w:val="21"/>
        </w:rPr>
        <w:t>de </w:t>
      </w:r>
      <w:r>
        <w:rPr>
          <w:b/>
          <w:spacing w:val="25"/>
          <w:sz w:val="21"/>
        </w:rPr>
        <w:t> </w:t>
      </w:r>
      <w:r>
        <w:rPr>
          <w:b/>
          <w:sz w:val="21"/>
        </w:rPr>
        <w:t>matemáticas</w:t>
      </w:r>
    </w:p>
    <w:p>
      <w:pPr>
        <w:pStyle w:val="BodyText"/>
        <w:rPr>
          <w:b/>
          <w:sz w:val="20"/>
        </w:rPr>
      </w:pPr>
    </w:p>
    <w:p>
      <w:pPr>
        <w:pStyle w:val="BodyText"/>
        <w:spacing w:before="10" w:after="1"/>
        <w:rPr>
          <w:b/>
          <w:sz w:val="14"/>
        </w:rPr>
      </w:pPr>
    </w:p>
    <w:tbl>
      <w:tblPr>
        <w:tblW w:w="0" w:type="auto"/>
        <w:jc w:val="left"/>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05"/>
        <w:gridCol w:w="2069"/>
        <w:gridCol w:w="2069"/>
        <w:gridCol w:w="1934"/>
      </w:tblGrid>
      <w:tr>
        <w:trPr>
          <w:trHeight w:val="1133" w:hRule="exact"/>
        </w:trPr>
        <w:tc>
          <w:tcPr>
            <w:tcW w:w="3005" w:type="dxa"/>
          </w:tcPr>
          <w:p>
            <w:pPr>
              <w:pStyle w:val="TableParagraph"/>
              <w:spacing w:line="244" w:lineRule="auto"/>
              <w:ind w:left="292" w:right="221" w:firstLine="720"/>
              <w:rPr>
                <w:b/>
                <w:sz w:val="19"/>
              </w:rPr>
            </w:pPr>
            <w:r>
              <w:rPr>
                <w:b/>
                <w:w w:val="105"/>
                <w:sz w:val="19"/>
              </w:rPr>
              <w:t>Niveles de </w:t>
            </w:r>
            <w:r>
              <w:rPr>
                <w:b/>
                <w:sz w:val="19"/>
              </w:rPr>
              <w:t>aprovechamiento/años en </w:t>
            </w:r>
            <w:r>
              <w:rPr>
                <w:b/>
                <w:w w:val="105"/>
                <w:sz w:val="19"/>
              </w:rPr>
              <w:t>que aplicaron las pruebas</w:t>
            </w:r>
          </w:p>
        </w:tc>
        <w:tc>
          <w:tcPr>
            <w:tcW w:w="2069" w:type="dxa"/>
          </w:tcPr>
          <w:p>
            <w:pPr>
              <w:pStyle w:val="TableParagraph"/>
              <w:spacing w:line="244" w:lineRule="auto"/>
              <w:ind w:left="552" w:hanging="356"/>
              <w:rPr>
                <w:b/>
                <w:sz w:val="19"/>
              </w:rPr>
            </w:pPr>
            <w:r>
              <w:rPr>
                <w:b/>
                <w:w w:val="105"/>
                <w:sz w:val="19"/>
              </w:rPr>
              <w:t>Entidades con los más altos Índices de</w:t>
            </w:r>
          </w:p>
          <w:p>
            <w:pPr>
              <w:pStyle w:val="TableParagraph"/>
              <w:spacing w:before="3"/>
              <w:ind w:left="427"/>
              <w:rPr>
                <w:b/>
                <w:sz w:val="19"/>
              </w:rPr>
            </w:pPr>
            <w:r>
              <w:rPr>
                <w:b/>
                <w:w w:val="105"/>
                <w:sz w:val="19"/>
              </w:rPr>
              <w:t>marginalidad</w:t>
            </w:r>
          </w:p>
        </w:tc>
        <w:tc>
          <w:tcPr>
            <w:tcW w:w="2069" w:type="dxa"/>
          </w:tcPr>
          <w:p>
            <w:pPr>
              <w:pStyle w:val="TableParagraph"/>
              <w:spacing w:line="247" w:lineRule="auto"/>
              <w:ind w:left="196" w:right="202"/>
              <w:jc w:val="center"/>
              <w:rPr>
                <w:b/>
                <w:sz w:val="19"/>
              </w:rPr>
            </w:pPr>
            <w:r>
              <w:rPr>
                <w:b/>
                <w:w w:val="105"/>
                <w:sz w:val="19"/>
              </w:rPr>
              <w:t>Entidades con</w:t>
            </w:r>
            <w:r>
              <w:rPr>
                <w:b/>
                <w:spacing w:val="-42"/>
                <w:w w:val="105"/>
                <w:sz w:val="19"/>
              </w:rPr>
              <w:t> </w:t>
            </w:r>
            <w:r>
              <w:rPr>
                <w:b/>
                <w:spacing w:val="-4"/>
                <w:w w:val="105"/>
                <w:sz w:val="19"/>
              </w:rPr>
              <w:t>los </w:t>
            </w:r>
            <w:r>
              <w:rPr>
                <w:b/>
                <w:w w:val="105"/>
                <w:sz w:val="19"/>
              </w:rPr>
              <w:t>más bajos Índices </w:t>
            </w:r>
            <w:r>
              <w:rPr>
                <w:b/>
                <w:spacing w:val="-3"/>
                <w:w w:val="105"/>
                <w:sz w:val="19"/>
              </w:rPr>
              <w:t>de </w:t>
            </w:r>
            <w:r>
              <w:rPr>
                <w:b/>
                <w:w w:val="105"/>
                <w:sz w:val="19"/>
              </w:rPr>
              <w:t>Marginalidad</w:t>
            </w:r>
          </w:p>
        </w:tc>
        <w:tc>
          <w:tcPr>
            <w:tcW w:w="1934" w:type="dxa"/>
          </w:tcPr>
          <w:p>
            <w:pPr>
              <w:pStyle w:val="TableParagraph"/>
              <w:spacing w:line="247" w:lineRule="auto"/>
              <w:ind w:left="331" w:right="321" w:hanging="14"/>
              <w:jc w:val="center"/>
              <w:rPr>
                <w:b/>
                <w:sz w:val="19"/>
              </w:rPr>
            </w:pPr>
            <w:r>
              <w:rPr>
                <w:b/>
                <w:w w:val="105"/>
                <w:sz w:val="19"/>
              </w:rPr>
              <w:t>Cociente de disparidad (relación Alta/baja </w:t>
            </w:r>
            <w:r>
              <w:rPr>
                <w:b/>
                <w:sz w:val="19"/>
              </w:rPr>
              <w:t>Marginalidad)</w:t>
            </w:r>
          </w:p>
        </w:tc>
      </w:tr>
      <w:tr>
        <w:trPr>
          <w:trHeight w:val="230" w:hRule="exact"/>
        </w:trPr>
        <w:tc>
          <w:tcPr>
            <w:tcW w:w="3005" w:type="dxa"/>
          </w:tcPr>
          <w:p>
            <w:pPr>
              <w:pStyle w:val="TableParagraph"/>
              <w:spacing w:line="218" w:lineRule="exact"/>
              <w:ind w:left="724" w:right="722"/>
              <w:jc w:val="center"/>
              <w:rPr>
                <w:sz w:val="19"/>
              </w:rPr>
            </w:pPr>
            <w:r>
              <w:rPr>
                <w:w w:val="105"/>
                <w:sz w:val="19"/>
              </w:rPr>
              <w:t>Insuficiente/2006</w:t>
            </w:r>
          </w:p>
        </w:tc>
        <w:tc>
          <w:tcPr>
            <w:tcW w:w="2069" w:type="dxa"/>
          </w:tcPr>
          <w:p>
            <w:pPr>
              <w:pStyle w:val="TableParagraph"/>
              <w:spacing w:line="218" w:lineRule="exact"/>
              <w:ind w:right="834"/>
              <w:jc w:val="right"/>
              <w:rPr>
                <w:sz w:val="19"/>
              </w:rPr>
            </w:pPr>
            <w:r>
              <w:rPr>
                <w:sz w:val="19"/>
              </w:rPr>
              <w:t>27.2</w:t>
            </w:r>
          </w:p>
        </w:tc>
        <w:tc>
          <w:tcPr>
            <w:tcW w:w="2069" w:type="dxa"/>
          </w:tcPr>
          <w:p>
            <w:pPr>
              <w:pStyle w:val="TableParagraph"/>
              <w:spacing w:line="218" w:lineRule="exact"/>
              <w:ind w:left="196" w:right="193"/>
              <w:jc w:val="center"/>
              <w:rPr>
                <w:sz w:val="19"/>
              </w:rPr>
            </w:pPr>
            <w:r>
              <w:rPr>
                <w:w w:val="105"/>
                <w:sz w:val="19"/>
              </w:rPr>
              <w:t>19.1</w:t>
            </w:r>
          </w:p>
        </w:tc>
        <w:tc>
          <w:tcPr>
            <w:tcW w:w="1934" w:type="dxa"/>
          </w:tcPr>
          <w:p>
            <w:pPr>
              <w:pStyle w:val="TableParagraph"/>
              <w:spacing w:line="218" w:lineRule="exact"/>
              <w:ind w:left="772"/>
              <w:rPr>
                <w:sz w:val="19"/>
              </w:rPr>
            </w:pPr>
            <w:r>
              <w:rPr>
                <w:w w:val="105"/>
                <w:sz w:val="19"/>
              </w:rPr>
              <w:t>1.43</w:t>
            </w:r>
          </w:p>
        </w:tc>
      </w:tr>
      <w:tr>
        <w:trPr>
          <w:trHeight w:val="235" w:hRule="exact"/>
        </w:trPr>
        <w:tc>
          <w:tcPr>
            <w:tcW w:w="3005" w:type="dxa"/>
          </w:tcPr>
          <w:p>
            <w:pPr>
              <w:pStyle w:val="TableParagraph"/>
              <w:spacing w:line="218" w:lineRule="exact"/>
              <w:ind w:left="724" w:right="722"/>
              <w:jc w:val="center"/>
              <w:rPr>
                <w:sz w:val="19"/>
              </w:rPr>
            </w:pPr>
            <w:r>
              <w:rPr>
                <w:w w:val="105"/>
                <w:sz w:val="19"/>
              </w:rPr>
              <w:t>Insuficiente/2010</w:t>
            </w:r>
          </w:p>
        </w:tc>
        <w:tc>
          <w:tcPr>
            <w:tcW w:w="2069" w:type="dxa"/>
          </w:tcPr>
          <w:p>
            <w:pPr>
              <w:pStyle w:val="TableParagraph"/>
              <w:spacing w:line="218" w:lineRule="exact"/>
              <w:ind w:right="834"/>
              <w:jc w:val="right"/>
              <w:rPr>
                <w:sz w:val="19"/>
              </w:rPr>
            </w:pPr>
            <w:r>
              <w:rPr>
                <w:sz w:val="19"/>
              </w:rPr>
              <w:t>24.9</w:t>
            </w:r>
          </w:p>
        </w:tc>
        <w:tc>
          <w:tcPr>
            <w:tcW w:w="2069" w:type="dxa"/>
          </w:tcPr>
          <w:p>
            <w:pPr>
              <w:pStyle w:val="TableParagraph"/>
              <w:spacing w:line="218" w:lineRule="exact"/>
              <w:ind w:left="196" w:right="193"/>
              <w:jc w:val="center"/>
              <w:rPr>
                <w:sz w:val="19"/>
              </w:rPr>
            </w:pPr>
            <w:r>
              <w:rPr>
                <w:w w:val="105"/>
                <w:sz w:val="19"/>
              </w:rPr>
              <w:t>17.8</w:t>
            </w:r>
          </w:p>
        </w:tc>
        <w:tc>
          <w:tcPr>
            <w:tcW w:w="1934" w:type="dxa"/>
          </w:tcPr>
          <w:p>
            <w:pPr>
              <w:pStyle w:val="TableParagraph"/>
              <w:spacing w:line="218" w:lineRule="exact"/>
              <w:ind w:left="772"/>
              <w:rPr>
                <w:sz w:val="19"/>
              </w:rPr>
            </w:pPr>
            <w:r>
              <w:rPr>
                <w:w w:val="105"/>
                <w:sz w:val="19"/>
              </w:rPr>
              <w:t>1.40</w:t>
            </w:r>
          </w:p>
        </w:tc>
      </w:tr>
      <w:tr>
        <w:trPr>
          <w:trHeight w:val="235" w:hRule="exact"/>
        </w:trPr>
        <w:tc>
          <w:tcPr>
            <w:tcW w:w="3005" w:type="dxa"/>
          </w:tcPr>
          <w:p>
            <w:pPr/>
          </w:p>
        </w:tc>
        <w:tc>
          <w:tcPr>
            <w:tcW w:w="2069" w:type="dxa"/>
          </w:tcPr>
          <w:p>
            <w:pPr/>
          </w:p>
        </w:tc>
        <w:tc>
          <w:tcPr>
            <w:tcW w:w="2069" w:type="dxa"/>
          </w:tcPr>
          <w:p>
            <w:pPr/>
          </w:p>
        </w:tc>
        <w:tc>
          <w:tcPr>
            <w:tcW w:w="1934" w:type="dxa"/>
          </w:tcPr>
          <w:p>
            <w:pPr/>
          </w:p>
        </w:tc>
      </w:tr>
      <w:tr>
        <w:trPr>
          <w:trHeight w:val="230" w:hRule="exact"/>
        </w:trPr>
        <w:tc>
          <w:tcPr>
            <w:tcW w:w="3005" w:type="dxa"/>
          </w:tcPr>
          <w:p>
            <w:pPr>
              <w:pStyle w:val="TableParagraph"/>
              <w:spacing w:line="218" w:lineRule="exact"/>
              <w:ind w:left="724" w:right="720"/>
              <w:jc w:val="center"/>
              <w:rPr>
                <w:sz w:val="19"/>
              </w:rPr>
            </w:pPr>
            <w:r>
              <w:rPr>
                <w:w w:val="105"/>
                <w:sz w:val="19"/>
              </w:rPr>
              <w:t>Elemental/2006</w:t>
            </w:r>
          </w:p>
        </w:tc>
        <w:tc>
          <w:tcPr>
            <w:tcW w:w="2069" w:type="dxa"/>
          </w:tcPr>
          <w:p>
            <w:pPr>
              <w:pStyle w:val="TableParagraph"/>
              <w:spacing w:line="218" w:lineRule="exact"/>
              <w:ind w:right="834"/>
              <w:jc w:val="right"/>
              <w:rPr>
                <w:sz w:val="19"/>
              </w:rPr>
            </w:pPr>
            <w:r>
              <w:rPr>
                <w:sz w:val="19"/>
              </w:rPr>
              <w:t>58.8</w:t>
            </w:r>
          </w:p>
        </w:tc>
        <w:tc>
          <w:tcPr>
            <w:tcW w:w="2069" w:type="dxa"/>
          </w:tcPr>
          <w:p>
            <w:pPr>
              <w:pStyle w:val="TableParagraph"/>
              <w:spacing w:line="218" w:lineRule="exact"/>
              <w:ind w:left="196" w:right="193"/>
              <w:jc w:val="center"/>
              <w:rPr>
                <w:sz w:val="19"/>
              </w:rPr>
            </w:pPr>
            <w:r>
              <w:rPr>
                <w:w w:val="105"/>
                <w:sz w:val="19"/>
              </w:rPr>
              <w:t>61.9</w:t>
            </w:r>
          </w:p>
        </w:tc>
        <w:tc>
          <w:tcPr>
            <w:tcW w:w="1934" w:type="dxa"/>
          </w:tcPr>
          <w:p>
            <w:pPr>
              <w:pStyle w:val="TableParagraph"/>
              <w:spacing w:line="218" w:lineRule="exact"/>
              <w:ind w:left="772"/>
              <w:rPr>
                <w:sz w:val="19"/>
              </w:rPr>
            </w:pPr>
            <w:r>
              <w:rPr>
                <w:w w:val="105"/>
                <w:sz w:val="19"/>
              </w:rPr>
              <w:t>0.95</w:t>
            </w:r>
          </w:p>
        </w:tc>
      </w:tr>
      <w:tr>
        <w:trPr>
          <w:trHeight w:val="235" w:hRule="exact"/>
        </w:trPr>
        <w:tc>
          <w:tcPr>
            <w:tcW w:w="3005" w:type="dxa"/>
          </w:tcPr>
          <w:p>
            <w:pPr>
              <w:pStyle w:val="TableParagraph"/>
              <w:spacing w:line="218" w:lineRule="exact"/>
              <w:ind w:left="724" w:right="720"/>
              <w:jc w:val="center"/>
              <w:rPr>
                <w:sz w:val="19"/>
              </w:rPr>
            </w:pPr>
            <w:r>
              <w:rPr>
                <w:w w:val="105"/>
                <w:sz w:val="19"/>
              </w:rPr>
              <w:t>Elemental/2010</w:t>
            </w:r>
          </w:p>
        </w:tc>
        <w:tc>
          <w:tcPr>
            <w:tcW w:w="2069" w:type="dxa"/>
          </w:tcPr>
          <w:p>
            <w:pPr>
              <w:pStyle w:val="TableParagraph"/>
              <w:spacing w:line="218" w:lineRule="exact"/>
              <w:ind w:right="834"/>
              <w:jc w:val="right"/>
              <w:rPr>
                <w:sz w:val="19"/>
              </w:rPr>
            </w:pPr>
            <w:r>
              <w:rPr>
                <w:sz w:val="19"/>
              </w:rPr>
              <w:t>44.9</w:t>
            </w:r>
          </w:p>
        </w:tc>
        <w:tc>
          <w:tcPr>
            <w:tcW w:w="2069" w:type="dxa"/>
          </w:tcPr>
          <w:p>
            <w:pPr>
              <w:pStyle w:val="TableParagraph"/>
              <w:spacing w:line="218" w:lineRule="exact"/>
              <w:ind w:left="196" w:right="193"/>
              <w:jc w:val="center"/>
              <w:rPr>
                <w:sz w:val="19"/>
              </w:rPr>
            </w:pPr>
            <w:r>
              <w:rPr>
                <w:w w:val="105"/>
                <w:sz w:val="19"/>
              </w:rPr>
              <w:t>46.6</w:t>
            </w:r>
          </w:p>
        </w:tc>
        <w:tc>
          <w:tcPr>
            <w:tcW w:w="1934" w:type="dxa"/>
          </w:tcPr>
          <w:p>
            <w:pPr>
              <w:pStyle w:val="TableParagraph"/>
              <w:spacing w:line="218" w:lineRule="exact"/>
              <w:ind w:left="772"/>
              <w:rPr>
                <w:sz w:val="19"/>
              </w:rPr>
            </w:pPr>
            <w:r>
              <w:rPr>
                <w:w w:val="105"/>
                <w:sz w:val="19"/>
              </w:rPr>
              <w:t>0.96</w:t>
            </w:r>
          </w:p>
        </w:tc>
      </w:tr>
      <w:tr>
        <w:trPr>
          <w:trHeight w:val="235" w:hRule="exact"/>
        </w:trPr>
        <w:tc>
          <w:tcPr>
            <w:tcW w:w="3005" w:type="dxa"/>
          </w:tcPr>
          <w:p>
            <w:pPr/>
          </w:p>
        </w:tc>
        <w:tc>
          <w:tcPr>
            <w:tcW w:w="2069" w:type="dxa"/>
          </w:tcPr>
          <w:p>
            <w:pPr/>
          </w:p>
        </w:tc>
        <w:tc>
          <w:tcPr>
            <w:tcW w:w="2069" w:type="dxa"/>
          </w:tcPr>
          <w:p>
            <w:pPr/>
          </w:p>
        </w:tc>
        <w:tc>
          <w:tcPr>
            <w:tcW w:w="1934" w:type="dxa"/>
          </w:tcPr>
          <w:p>
            <w:pPr/>
          </w:p>
        </w:tc>
      </w:tr>
      <w:tr>
        <w:trPr>
          <w:trHeight w:val="230" w:hRule="exact"/>
        </w:trPr>
        <w:tc>
          <w:tcPr>
            <w:tcW w:w="3005" w:type="dxa"/>
          </w:tcPr>
          <w:p>
            <w:pPr>
              <w:pStyle w:val="TableParagraph"/>
              <w:spacing w:line="218" w:lineRule="exact"/>
              <w:ind w:left="724" w:right="721"/>
              <w:jc w:val="center"/>
              <w:rPr>
                <w:sz w:val="19"/>
              </w:rPr>
            </w:pPr>
            <w:r>
              <w:rPr>
                <w:w w:val="105"/>
                <w:sz w:val="19"/>
              </w:rPr>
              <w:t>Bueno/2006</w:t>
            </w:r>
          </w:p>
        </w:tc>
        <w:tc>
          <w:tcPr>
            <w:tcW w:w="2069" w:type="dxa"/>
          </w:tcPr>
          <w:p>
            <w:pPr>
              <w:pStyle w:val="TableParagraph"/>
              <w:spacing w:line="218" w:lineRule="exact"/>
              <w:ind w:right="834"/>
              <w:jc w:val="right"/>
              <w:rPr>
                <w:sz w:val="19"/>
              </w:rPr>
            </w:pPr>
            <w:r>
              <w:rPr>
                <w:sz w:val="19"/>
              </w:rPr>
              <w:t>12.9</w:t>
            </w:r>
          </w:p>
        </w:tc>
        <w:tc>
          <w:tcPr>
            <w:tcW w:w="2069" w:type="dxa"/>
          </w:tcPr>
          <w:p>
            <w:pPr>
              <w:pStyle w:val="TableParagraph"/>
              <w:spacing w:line="218" w:lineRule="exact"/>
              <w:ind w:left="196" w:right="193"/>
              <w:jc w:val="center"/>
              <w:rPr>
                <w:sz w:val="19"/>
              </w:rPr>
            </w:pPr>
            <w:r>
              <w:rPr>
                <w:w w:val="105"/>
                <w:sz w:val="19"/>
              </w:rPr>
              <w:t>17.2</w:t>
            </w:r>
          </w:p>
        </w:tc>
        <w:tc>
          <w:tcPr>
            <w:tcW w:w="1934" w:type="dxa"/>
          </w:tcPr>
          <w:p>
            <w:pPr>
              <w:pStyle w:val="TableParagraph"/>
              <w:spacing w:line="218" w:lineRule="exact"/>
              <w:ind w:left="772"/>
              <w:rPr>
                <w:sz w:val="19"/>
              </w:rPr>
            </w:pPr>
            <w:r>
              <w:rPr>
                <w:w w:val="105"/>
                <w:sz w:val="19"/>
              </w:rPr>
              <w:t>0.75</w:t>
            </w:r>
          </w:p>
        </w:tc>
      </w:tr>
      <w:tr>
        <w:trPr>
          <w:trHeight w:val="235" w:hRule="exact"/>
        </w:trPr>
        <w:tc>
          <w:tcPr>
            <w:tcW w:w="3005" w:type="dxa"/>
          </w:tcPr>
          <w:p>
            <w:pPr>
              <w:pStyle w:val="TableParagraph"/>
              <w:spacing w:line="218" w:lineRule="exact"/>
              <w:ind w:left="724" w:right="721"/>
              <w:jc w:val="center"/>
              <w:rPr>
                <w:sz w:val="19"/>
              </w:rPr>
            </w:pPr>
            <w:r>
              <w:rPr>
                <w:w w:val="105"/>
                <w:sz w:val="19"/>
              </w:rPr>
              <w:t>Bueno/2010</w:t>
            </w:r>
          </w:p>
        </w:tc>
        <w:tc>
          <w:tcPr>
            <w:tcW w:w="2069" w:type="dxa"/>
          </w:tcPr>
          <w:p>
            <w:pPr>
              <w:pStyle w:val="TableParagraph"/>
              <w:spacing w:line="218" w:lineRule="exact"/>
              <w:ind w:right="834"/>
              <w:jc w:val="right"/>
              <w:rPr>
                <w:sz w:val="19"/>
              </w:rPr>
            </w:pPr>
            <w:r>
              <w:rPr>
                <w:sz w:val="19"/>
              </w:rPr>
              <w:t>22.8</w:t>
            </w:r>
          </w:p>
        </w:tc>
        <w:tc>
          <w:tcPr>
            <w:tcW w:w="2069" w:type="dxa"/>
          </w:tcPr>
          <w:p>
            <w:pPr>
              <w:pStyle w:val="TableParagraph"/>
              <w:spacing w:line="218" w:lineRule="exact"/>
              <w:ind w:left="196" w:right="193"/>
              <w:jc w:val="center"/>
              <w:rPr>
                <w:sz w:val="19"/>
              </w:rPr>
            </w:pPr>
            <w:r>
              <w:rPr>
                <w:w w:val="105"/>
                <w:sz w:val="19"/>
              </w:rPr>
              <w:t>26.8</w:t>
            </w:r>
          </w:p>
        </w:tc>
        <w:tc>
          <w:tcPr>
            <w:tcW w:w="1934" w:type="dxa"/>
          </w:tcPr>
          <w:p>
            <w:pPr>
              <w:pStyle w:val="TableParagraph"/>
              <w:spacing w:line="218" w:lineRule="exact"/>
              <w:ind w:left="772"/>
              <w:rPr>
                <w:sz w:val="19"/>
              </w:rPr>
            </w:pPr>
            <w:r>
              <w:rPr>
                <w:w w:val="105"/>
                <w:sz w:val="19"/>
              </w:rPr>
              <w:t>0.85</w:t>
            </w:r>
          </w:p>
        </w:tc>
      </w:tr>
      <w:tr>
        <w:trPr>
          <w:trHeight w:val="235" w:hRule="exact"/>
        </w:trPr>
        <w:tc>
          <w:tcPr>
            <w:tcW w:w="3005" w:type="dxa"/>
          </w:tcPr>
          <w:p>
            <w:pPr/>
          </w:p>
        </w:tc>
        <w:tc>
          <w:tcPr>
            <w:tcW w:w="2069" w:type="dxa"/>
          </w:tcPr>
          <w:p>
            <w:pPr/>
          </w:p>
        </w:tc>
        <w:tc>
          <w:tcPr>
            <w:tcW w:w="2069" w:type="dxa"/>
          </w:tcPr>
          <w:p>
            <w:pPr/>
          </w:p>
        </w:tc>
        <w:tc>
          <w:tcPr>
            <w:tcW w:w="1934" w:type="dxa"/>
          </w:tcPr>
          <w:p>
            <w:pPr/>
          </w:p>
        </w:tc>
      </w:tr>
      <w:tr>
        <w:trPr>
          <w:trHeight w:val="230" w:hRule="exact"/>
        </w:trPr>
        <w:tc>
          <w:tcPr>
            <w:tcW w:w="3005" w:type="dxa"/>
          </w:tcPr>
          <w:p>
            <w:pPr>
              <w:pStyle w:val="TableParagraph"/>
              <w:spacing w:line="218" w:lineRule="exact"/>
              <w:ind w:left="718" w:right="722"/>
              <w:jc w:val="center"/>
              <w:rPr>
                <w:sz w:val="19"/>
              </w:rPr>
            </w:pPr>
            <w:r>
              <w:rPr>
                <w:w w:val="105"/>
                <w:sz w:val="19"/>
              </w:rPr>
              <w:t>Excelente/2006</w:t>
            </w:r>
          </w:p>
        </w:tc>
        <w:tc>
          <w:tcPr>
            <w:tcW w:w="2069" w:type="dxa"/>
          </w:tcPr>
          <w:p>
            <w:pPr>
              <w:pStyle w:val="TableParagraph"/>
              <w:spacing w:line="218" w:lineRule="exact"/>
              <w:ind w:right="889"/>
              <w:jc w:val="right"/>
              <w:rPr>
                <w:sz w:val="19"/>
              </w:rPr>
            </w:pPr>
            <w:r>
              <w:rPr>
                <w:sz w:val="19"/>
              </w:rPr>
              <w:t>1.2</w:t>
            </w:r>
          </w:p>
        </w:tc>
        <w:tc>
          <w:tcPr>
            <w:tcW w:w="2069" w:type="dxa"/>
          </w:tcPr>
          <w:p>
            <w:pPr>
              <w:pStyle w:val="TableParagraph"/>
              <w:spacing w:line="218" w:lineRule="exact"/>
              <w:ind w:left="196" w:right="190"/>
              <w:jc w:val="center"/>
              <w:rPr>
                <w:sz w:val="19"/>
              </w:rPr>
            </w:pPr>
            <w:r>
              <w:rPr>
                <w:w w:val="105"/>
                <w:sz w:val="19"/>
              </w:rPr>
              <w:t>1.9</w:t>
            </w:r>
          </w:p>
        </w:tc>
        <w:tc>
          <w:tcPr>
            <w:tcW w:w="1934" w:type="dxa"/>
          </w:tcPr>
          <w:p>
            <w:pPr>
              <w:pStyle w:val="TableParagraph"/>
              <w:spacing w:line="218" w:lineRule="exact"/>
              <w:ind w:left="772"/>
              <w:rPr>
                <w:sz w:val="19"/>
              </w:rPr>
            </w:pPr>
            <w:r>
              <w:rPr>
                <w:w w:val="105"/>
                <w:sz w:val="19"/>
              </w:rPr>
              <w:t>0.63</w:t>
            </w:r>
          </w:p>
        </w:tc>
      </w:tr>
      <w:tr>
        <w:trPr>
          <w:trHeight w:val="235" w:hRule="exact"/>
        </w:trPr>
        <w:tc>
          <w:tcPr>
            <w:tcW w:w="3005" w:type="dxa"/>
          </w:tcPr>
          <w:p>
            <w:pPr>
              <w:pStyle w:val="TableParagraph"/>
              <w:spacing w:line="218" w:lineRule="exact"/>
              <w:ind w:left="718" w:right="722"/>
              <w:jc w:val="center"/>
              <w:rPr>
                <w:sz w:val="19"/>
              </w:rPr>
            </w:pPr>
            <w:r>
              <w:rPr>
                <w:w w:val="105"/>
                <w:sz w:val="19"/>
              </w:rPr>
              <w:t>Excelente/2010</w:t>
            </w:r>
          </w:p>
        </w:tc>
        <w:tc>
          <w:tcPr>
            <w:tcW w:w="2069" w:type="dxa"/>
          </w:tcPr>
          <w:p>
            <w:pPr>
              <w:pStyle w:val="TableParagraph"/>
              <w:spacing w:line="218" w:lineRule="exact"/>
              <w:ind w:right="889"/>
              <w:jc w:val="right"/>
              <w:rPr>
                <w:sz w:val="19"/>
              </w:rPr>
            </w:pPr>
            <w:r>
              <w:rPr>
                <w:sz w:val="19"/>
              </w:rPr>
              <w:t>7.4</w:t>
            </w:r>
          </w:p>
        </w:tc>
        <w:tc>
          <w:tcPr>
            <w:tcW w:w="2069" w:type="dxa"/>
          </w:tcPr>
          <w:p>
            <w:pPr>
              <w:pStyle w:val="TableParagraph"/>
              <w:spacing w:line="218" w:lineRule="exact"/>
              <w:ind w:left="196" w:right="190"/>
              <w:jc w:val="center"/>
              <w:rPr>
                <w:sz w:val="19"/>
              </w:rPr>
            </w:pPr>
            <w:r>
              <w:rPr>
                <w:w w:val="105"/>
                <w:sz w:val="19"/>
              </w:rPr>
              <w:t>8.7</w:t>
            </w:r>
          </w:p>
        </w:tc>
        <w:tc>
          <w:tcPr>
            <w:tcW w:w="1934" w:type="dxa"/>
          </w:tcPr>
          <w:p>
            <w:pPr>
              <w:pStyle w:val="TableParagraph"/>
              <w:spacing w:line="218" w:lineRule="exact"/>
              <w:ind w:left="772"/>
              <w:rPr>
                <w:sz w:val="19"/>
              </w:rPr>
            </w:pPr>
            <w:r>
              <w:rPr>
                <w:w w:val="105"/>
                <w:sz w:val="19"/>
              </w:rPr>
              <w:t>0.85</w:t>
            </w:r>
          </w:p>
        </w:tc>
      </w:tr>
    </w:tbl>
    <w:p>
      <w:pPr>
        <w:pStyle w:val="BodyText"/>
        <w:spacing w:before="3"/>
        <w:rPr>
          <w:b/>
          <w:sz w:val="28"/>
        </w:rPr>
      </w:pPr>
    </w:p>
    <w:p>
      <w:pPr>
        <w:pStyle w:val="ListParagraph"/>
        <w:numPr>
          <w:ilvl w:val="3"/>
          <w:numId w:val="17"/>
        </w:numPr>
        <w:tabs>
          <w:tab w:pos="523" w:val="left" w:leader="none"/>
        </w:tabs>
        <w:spacing w:line="240" w:lineRule="auto" w:before="78" w:after="0"/>
        <w:ind w:left="522" w:right="0" w:hanging="286"/>
        <w:jc w:val="left"/>
        <w:rPr>
          <w:b/>
          <w:sz w:val="21"/>
        </w:rPr>
      </w:pPr>
      <w:r>
        <w:rPr>
          <w:b/>
          <w:sz w:val="21"/>
        </w:rPr>
        <w:t>Escuelas secundarias- pruebas de </w:t>
      </w:r>
      <w:r>
        <w:rPr>
          <w:b/>
          <w:spacing w:val="16"/>
          <w:sz w:val="21"/>
        </w:rPr>
        <w:t> </w:t>
      </w:r>
      <w:r>
        <w:rPr>
          <w:b/>
          <w:sz w:val="21"/>
        </w:rPr>
        <w:t>matemáticas</w:t>
      </w:r>
    </w:p>
    <w:p>
      <w:pPr>
        <w:pStyle w:val="BodyText"/>
        <w:spacing w:before="1" w:after="1"/>
        <w:rPr>
          <w:b/>
          <w:sz w:val="11"/>
        </w:rPr>
      </w:pPr>
    </w:p>
    <w:tbl>
      <w:tblPr>
        <w:tblW w:w="0" w:type="auto"/>
        <w:jc w:val="left"/>
        <w:tblInd w:w="115"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3010"/>
        <w:gridCol w:w="2069"/>
        <w:gridCol w:w="2069"/>
        <w:gridCol w:w="1934"/>
      </w:tblGrid>
      <w:tr>
        <w:trPr>
          <w:trHeight w:val="1130" w:hRule="exact"/>
        </w:trPr>
        <w:tc>
          <w:tcPr>
            <w:tcW w:w="3010" w:type="dxa"/>
            <w:tcBorders>
              <w:left w:val="single" w:sz="4" w:space="0" w:color="000000"/>
              <w:bottom w:val="single" w:sz="4" w:space="0" w:color="000000"/>
              <w:right w:val="single" w:sz="4" w:space="0" w:color="000000"/>
            </w:tcBorders>
          </w:tcPr>
          <w:p>
            <w:pPr>
              <w:pStyle w:val="TableParagraph"/>
              <w:spacing w:line="247" w:lineRule="auto"/>
              <w:ind w:left="163" w:right="156" w:firstLine="1"/>
              <w:jc w:val="center"/>
              <w:rPr>
                <w:b/>
                <w:sz w:val="19"/>
              </w:rPr>
            </w:pPr>
            <w:r>
              <w:rPr>
                <w:b/>
                <w:w w:val="105"/>
                <w:sz w:val="19"/>
              </w:rPr>
              <w:t>Niveles de aprovechamiento/años en que</w:t>
            </w:r>
            <w:r>
              <w:rPr>
                <w:b/>
                <w:spacing w:val="-17"/>
                <w:w w:val="105"/>
                <w:sz w:val="19"/>
              </w:rPr>
              <w:t> </w:t>
            </w:r>
            <w:r>
              <w:rPr>
                <w:b/>
                <w:w w:val="105"/>
                <w:sz w:val="19"/>
              </w:rPr>
              <w:t>se</w:t>
            </w:r>
            <w:r>
              <w:rPr>
                <w:b/>
                <w:spacing w:val="-17"/>
                <w:w w:val="105"/>
                <w:sz w:val="19"/>
              </w:rPr>
              <w:t> </w:t>
            </w:r>
            <w:r>
              <w:rPr>
                <w:b/>
                <w:w w:val="105"/>
                <w:sz w:val="19"/>
              </w:rPr>
              <w:t>aplicaron</w:t>
            </w:r>
            <w:r>
              <w:rPr>
                <w:b/>
                <w:spacing w:val="-17"/>
                <w:w w:val="105"/>
                <w:sz w:val="19"/>
              </w:rPr>
              <w:t> </w:t>
            </w:r>
            <w:r>
              <w:rPr>
                <w:b/>
                <w:spacing w:val="-2"/>
                <w:w w:val="105"/>
                <w:sz w:val="19"/>
              </w:rPr>
              <w:t>las</w:t>
            </w:r>
            <w:r>
              <w:rPr>
                <w:b/>
                <w:spacing w:val="-17"/>
                <w:w w:val="105"/>
                <w:sz w:val="19"/>
              </w:rPr>
              <w:t> </w:t>
            </w:r>
            <w:r>
              <w:rPr>
                <w:b/>
                <w:w w:val="105"/>
                <w:sz w:val="19"/>
              </w:rPr>
              <w:t>pruebas</w:t>
            </w:r>
          </w:p>
        </w:tc>
        <w:tc>
          <w:tcPr>
            <w:tcW w:w="2069" w:type="dxa"/>
            <w:tcBorders>
              <w:left w:val="single" w:sz="4" w:space="0" w:color="000000"/>
              <w:bottom w:val="single" w:sz="4" w:space="0" w:color="000000"/>
              <w:right w:val="single" w:sz="4" w:space="0" w:color="000000"/>
            </w:tcBorders>
          </w:tcPr>
          <w:p>
            <w:pPr>
              <w:pStyle w:val="TableParagraph"/>
              <w:spacing w:line="247" w:lineRule="auto"/>
              <w:ind w:left="552" w:hanging="356"/>
              <w:rPr>
                <w:b/>
                <w:sz w:val="19"/>
              </w:rPr>
            </w:pPr>
            <w:r>
              <w:rPr>
                <w:b/>
                <w:w w:val="105"/>
                <w:sz w:val="19"/>
              </w:rPr>
              <w:t>Entidades con los más altos Índices de</w:t>
            </w:r>
          </w:p>
          <w:p>
            <w:pPr>
              <w:pStyle w:val="TableParagraph"/>
              <w:ind w:left="427"/>
              <w:rPr>
                <w:b/>
                <w:sz w:val="19"/>
              </w:rPr>
            </w:pPr>
            <w:r>
              <w:rPr>
                <w:b/>
                <w:w w:val="105"/>
                <w:sz w:val="19"/>
              </w:rPr>
              <w:t>marginalidad</w:t>
            </w:r>
          </w:p>
        </w:tc>
        <w:tc>
          <w:tcPr>
            <w:tcW w:w="2069" w:type="dxa"/>
            <w:tcBorders>
              <w:left w:val="single" w:sz="4" w:space="0" w:color="000000"/>
              <w:bottom w:val="single" w:sz="4" w:space="0" w:color="000000"/>
              <w:right w:val="single" w:sz="4" w:space="0" w:color="000000"/>
            </w:tcBorders>
          </w:tcPr>
          <w:p>
            <w:pPr>
              <w:pStyle w:val="TableParagraph"/>
              <w:spacing w:line="247" w:lineRule="auto"/>
              <w:ind w:left="196" w:right="202"/>
              <w:jc w:val="center"/>
              <w:rPr>
                <w:b/>
                <w:sz w:val="19"/>
              </w:rPr>
            </w:pPr>
            <w:r>
              <w:rPr>
                <w:b/>
                <w:w w:val="105"/>
                <w:sz w:val="19"/>
              </w:rPr>
              <w:t>Entidades con</w:t>
            </w:r>
            <w:r>
              <w:rPr>
                <w:b/>
                <w:spacing w:val="-42"/>
                <w:w w:val="105"/>
                <w:sz w:val="19"/>
              </w:rPr>
              <w:t> </w:t>
            </w:r>
            <w:r>
              <w:rPr>
                <w:b/>
                <w:spacing w:val="-4"/>
                <w:w w:val="105"/>
                <w:sz w:val="19"/>
              </w:rPr>
              <w:t>los </w:t>
            </w:r>
            <w:r>
              <w:rPr>
                <w:b/>
                <w:w w:val="105"/>
                <w:sz w:val="19"/>
              </w:rPr>
              <w:t>más bajos Índices </w:t>
            </w:r>
            <w:r>
              <w:rPr>
                <w:b/>
                <w:spacing w:val="-3"/>
                <w:w w:val="105"/>
                <w:sz w:val="19"/>
              </w:rPr>
              <w:t>de </w:t>
            </w:r>
            <w:r>
              <w:rPr>
                <w:b/>
                <w:w w:val="105"/>
                <w:sz w:val="19"/>
              </w:rPr>
              <w:t>marginalidad</w:t>
            </w:r>
          </w:p>
        </w:tc>
        <w:tc>
          <w:tcPr>
            <w:tcW w:w="1934" w:type="dxa"/>
            <w:tcBorders>
              <w:left w:val="single" w:sz="4" w:space="0" w:color="000000"/>
              <w:bottom w:val="single" w:sz="4" w:space="0" w:color="000000"/>
              <w:right w:val="single" w:sz="4" w:space="0" w:color="000000"/>
            </w:tcBorders>
          </w:tcPr>
          <w:p>
            <w:pPr>
              <w:pStyle w:val="TableParagraph"/>
              <w:spacing w:line="247" w:lineRule="auto"/>
              <w:ind w:left="331" w:right="321" w:hanging="14"/>
              <w:jc w:val="center"/>
              <w:rPr>
                <w:b/>
                <w:sz w:val="19"/>
              </w:rPr>
            </w:pPr>
            <w:r>
              <w:rPr>
                <w:b/>
                <w:w w:val="105"/>
                <w:sz w:val="19"/>
              </w:rPr>
              <w:t>Cociente de disparidad (relación Alta/baja </w:t>
            </w:r>
            <w:r>
              <w:rPr>
                <w:b/>
                <w:sz w:val="19"/>
              </w:rPr>
              <w:t>Marginalidad)</w:t>
            </w:r>
          </w:p>
        </w:tc>
      </w:tr>
      <w:tr>
        <w:trPr>
          <w:trHeight w:val="235" w:hRule="exact"/>
        </w:trPr>
        <w:tc>
          <w:tcPr>
            <w:tcW w:w="3010"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729" w:right="722"/>
              <w:jc w:val="center"/>
              <w:rPr>
                <w:sz w:val="19"/>
              </w:rPr>
            </w:pPr>
            <w:r>
              <w:rPr>
                <w:w w:val="105"/>
                <w:sz w:val="19"/>
              </w:rPr>
              <w:t>Insuficiente/2006</w:t>
            </w:r>
          </w:p>
        </w:tc>
        <w:tc>
          <w:tcPr>
            <w:tcW w:w="2069"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right="834"/>
              <w:jc w:val="right"/>
              <w:rPr>
                <w:sz w:val="19"/>
              </w:rPr>
            </w:pPr>
            <w:r>
              <w:rPr>
                <w:sz w:val="19"/>
              </w:rPr>
              <w:t>66.7</w:t>
            </w:r>
          </w:p>
        </w:tc>
        <w:tc>
          <w:tcPr>
            <w:tcW w:w="2069"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196" w:right="193"/>
              <w:jc w:val="center"/>
              <w:rPr>
                <w:sz w:val="19"/>
              </w:rPr>
            </w:pPr>
            <w:r>
              <w:rPr>
                <w:w w:val="105"/>
                <w:sz w:val="19"/>
              </w:rPr>
              <w:t>61.0</w:t>
            </w:r>
          </w:p>
        </w:tc>
        <w:tc>
          <w:tcPr>
            <w:tcW w:w="1934"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772"/>
              <w:rPr>
                <w:sz w:val="19"/>
              </w:rPr>
            </w:pPr>
            <w:r>
              <w:rPr>
                <w:w w:val="105"/>
                <w:sz w:val="19"/>
              </w:rPr>
              <w:t>1.09</w:t>
            </w:r>
          </w:p>
        </w:tc>
      </w:tr>
      <w:tr>
        <w:trPr>
          <w:trHeight w:val="230" w:hRule="exact"/>
        </w:trPr>
        <w:tc>
          <w:tcPr>
            <w:tcW w:w="3010"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729" w:right="722"/>
              <w:jc w:val="center"/>
              <w:rPr>
                <w:sz w:val="19"/>
              </w:rPr>
            </w:pPr>
            <w:r>
              <w:rPr>
                <w:w w:val="105"/>
                <w:sz w:val="19"/>
              </w:rPr>
              <w:t>Insuficiente/2010</w:t>
            </w:r>
          </w:p>
        </w:tc>
        <w:tc>
          <w:tcPr>
            <w:tcW w:w="2069"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right="834"/>
              <w:jc w:val="right"/>
              <w:rPr>
                <w:sz w:val="19"/>
              </w:rPr>
            </w:pPr>
            <w:r>
              <w:rPr>
                <w:sz w:val="19"/>
              </w:rPr>
              <w:t>56.2</w:t>
            </w:r>
          </w:p>
        </w:tc>
        <w:tc>
          <w:tcPr>
            <w:tcW w:w="2069"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196" w:right="193"/>
              <w:jc w:val="center"/>
              <w:rPr>
                <w:sz w:val="19"/>
              </w:rPr>
            </w:pPr>
            <w:r>
              <w:rPr>
                <w:w w:val="105"/>
                <w:sz w:val="19"/>
              </w:rPr>
              <w:t>52.4</w:t>
            </w:r>
          </w:p>
        </w:tc>
        <w:tc>
          <w:tcPr>
            <w:tcW w:w="1934"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772"/>
              <w:rPr>
                <w:sz w:val="19"/>
              </w:rPr>
            </w:pPr>
            <w:r>
              <w:rPr>
                <w:w w:val="105"/>
                <w:sz w:val="19"/>
              </w:rPr>
              <w:t>1.07</w:t>
            </w:r>
          </w:p>
        </w:tc>
      </w:tr>
      <w:tr>
        <w:trPr>
          <w:trHeight w:val="235" w:hRule="exact"/>
        </w:trPr>
        <w:tc>
          <w:tcPr>
            <w:tcW w:w="3010" w:type="dxa"/>
            <w:tcBorders>
              <w:top w:val="single" w:sz="4" w:space="0" w:color="000000"/>
              <w:left w:val="single" w:sz="4" w:space="0" w:color="000000"/>
              <w:bottom w:val="single" w:sz="4" w:space="0" w:color="000000"/>
              <w:right w:val="single" w:sz="4" w:space="0" w:color="000000"/>
            </w:tcBorders>
          </w:tcPr>
          <w:p>
            <w:pPr/>
          </w:p>
        </w:tc>
        <w:tc>
          <w:tcPr>
            <w:tcW w:w="2069" w:type="dxa"/>
            <w:tcBorders>
              <w:top w:val="single" w:sz="4" w:space="0" w:color="000000"/>
              <w:left w:val="single" w:sz="4" w:space="0" w:color="000000"/>
              <w:bottom w:val="single" w:sz="4" w:space="0" w:color="000000"/>
              <w:right w:val="single" w:sz="4" w:space="0" w:color="000000"/>
            </w:tcBorders>
          </w:tcPr>
          <w:p>
            <w:pPr/>
          </w:p>
        </w:tc>
        <w:tc>
          <w:tcPr>
            <w:tcW w:w="2069" w:type="dxa"/>
            <w:tcBorders>
              <w:top w:val="single" w:sz="4" w:space="0" w:color="000000"/>
              <w:left w:val="single" w:sz="4" w:space="0" w:color="000000"/>
              <w:bottom w:val="single" w:sz="4" w:space="0" w:color="000000"/>
              <w:right w:val="single" w:sz="4" w:space="0" w:color="000000"/>
            </w:tcBorders>
          </w:tcPr>
          <w:p>
            <w:pPr/>
          </w:p>
        </w:tc>
        <w:tc>
          <w:tcPr>
            <w:tcW w:w="1934" w:type="dxa"/>
            <w:tcBorders>
              <w:top w:val="single" w:sz="4" w:space="0" w:color="000000"/>
              <w:left w:val="single" w:sz="4" w:space="0" w:color="000000"/>
              <w:bottom w:val="single" w:sz="4" w:space="0" w:color="000000"/>
              <w:right w:val="single" w:sz="4" w:space="0" w:color="000000"/>
            </w:tcBorders>
          </w:tcPr>
          <w:p>
            <w:pPr/>
          </w:p>
        </w:tc>
      </w:tr>
      <w:tr>
        <w:trPr>
          <w:trHeight w:val="235" w:hRule="exact"/>
        </w:trPr>
        <w:tc>
          <w:tcPr>
            <w:tcW w:w="3010"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726" w:right="722"/>
              <w:jc w:val="center"/>
              <w:rPr>
                <w:sz w:val="19"/>
              </w:rPr>
            </w:pPr>
            <w:r>
              <w:rPr>
                <w:w w:val="105"/>
                <w:sz w:val="19"/>
              </w:rPr>
              <w:t>Elemental/2006</w:t>
            </w:r>
          </w:p>
        </w:tc>
        <w:tc>
          <w:tcPr>
            <w:tcW w:w="2069"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right="834"/>
              <w:jc w:val="right"/>
              <w:rPr>
                <w:sz w:val="19"/>
              </w:rPr>
            </w:pPr>
            <w:r>
              <w:rPr>
                <w:sz w:val="19"/>
              </w:rPr>
              <w:t>30.1</w:t>
            </w:r>
          </w:p>
        </w:tc>
        <w:tc>
          <w:tcPr>
            <w:tcW w:w="2069"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196" w:right="193"/>
              <w:jc w:val="center"/>
              <w:rPr>
                <w:sz w:val="19"/>
              </w:rPr>
            </w:pPr>
            <w:r>
              <w:rPr>
                <w:w w:val="105"/>
                <w:sz w:val="19"/>
              </w:rPr>
              <w:t>34.2</w:t>
            </w:r>
          </w:p>
        </w:tc>
        <w:tc>
          <w:tcPr>
            <w:tcW w:w="1934"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772"/>
              <w:rPr>
                <w:sz w:val="19"/>
              </w:rPr>
            </w:pPr>
            <w:r>
              <w:rPr>
                <w:w w:val="105"/>
                <w:sz w:val="19"/>
              </w:rPr>
              <w:t>0.88</w:t>
            </w:r>
          </w:p>
        </w:tc>
      </w:tr>
      <w:tr>
        <w:trPr>
          <w:trHeight w:val="230" w:hRule="exact"/>
        </w:trPr>
        <w:tc>
          <w:tcPr>
            <w:tcW w:w="3010"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726" w:right="722"/>
              <w:jc w:val="center"/>
              <w:rPr>
                <w:sz w:val="19"/>
              </w:rPr>
            </w:pPr>
            <w:r>
              <w:rPr>
                <w:w w:val="105"/>
                <w:sz w:val="19"/>
              </w:rPr>
              <w:t>Elemental/2010</w:t>
            </w:r>
          </w:p>
        </w:tc>
        <w:tc>
          <w:tcPr>
            <w:tcW w:w="2069"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right="834"/>
              <w:jc w:val="right"/>
              <w:rPr>
                <w:sz w:val="19"/>
              </w:rPr>
            </w:pPr>
            <w:r>
              <w:rPr>
                <w:sz w:val="19"/>
              </w:rPr>
              <w:t>31.6</w:t>
            </w:r>
          </w:p>
        </w:tc>
        <w:tc>
          <w:tcPr>
            <w:tcW w:w="2069"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196" w:right="193"/>
              <w:jc w:val="center"/>
              <w:rPr>
                <w:sz w:val="19"/>
              </w:rPr>
            </w:pPr>
            <w:r>
              <w:rPr>
                <w:w w:val="105"/>
                <w:sz w:val="19"/>
              </w:rPr>
              <w:t>35.1</w:t>
            </w:r>
          </w:p>
        </w:tc>
        <w:tc>
          <w:tcPr>
            <w:tcW w:w="1934"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772"/>
              <w:rPr>
                <w:sz w:val="19"/>
              </w:rPr>
            </w:pPr>
            <w:r>
              <w:rPr>
                <w:w w:val="105"/>
                <w:sz w:val="19"/>
              </w:rPr>
              <w:t>0.90</w:t>
            </w:r>
          </w:p>
        </w:tc>
      </w:tr>
      <w:tr>
        <w:trPr>
          <w:trHeight w:val="235" w:hRule="exact"/>
        </w:trPr>
        <w:tc>
          <w:tcPr>
            <w:tcW w:w="3010" w:type="dxa"/>
            <w:tcBorders>
              <w:top w:val="single" w:sz="4" w:space="0" w:color="000000"/>
              <w:left w:val="single" w:sz="4" w:space="0" w:color="000000"/>
              <w:bottom w:val="single" w:sz="4" w:space="0" w:color="000000"/>
              <w:right w:val="single" w:sz="4" w:space="0" w:color="000000"/>
            </w:tcBorders>
          </w:tcPr>
          <w:p>
            <w:pPr/>
          </w:p>
        </w:tc>
        <w:tc>
          <w:tcPr>
            <w:tcW w:w="2069" w:type="dxa"/>
            <w:tcBorders>
              <w:top w:val="single" w:sz="4" w:space="0" w:color="000000"/>
              <w:left w:val="single" w:sz="4" w:space="0" w:color="000000"/>
              <w:bottom w:val="single" w:sz="4" w:space="0" w:color="000000"/>
              <w:right w:val="single" w:sz="4" w:space="0" w:color="000000"/>
            </w:tcBorders>
          </w:tcPr>
          <w:p>
            <w:pPr/>
          </w:p>
        </w:tc>
        <w:tc>
          <w:tcPr>
            <w:tcW w:w="2069" w:type="dxa"/>
            <w:tcBorders>
              <w:top w:val="single" w:sz="4" w:space="0" w:color="000000"/>
              <w:left w:val="single" w:sz="4" w:space="0" w:color="000000"/>
              <w:bottom w:val="single" w:sz="4" w:space="0" w:color="000000"/>
              <w:right w:val="single" w:sz="4" w:space="0" w:color="000000"/>
            </w:tcBorders>
          </w:tcPr>
          <w:p>
            <w:pPr/>
          </w:p>
        </w:tc>
        <w:tc>
          <w:tcPr>
            <w:tcW w:w="1934" w:type="dxa"/>
            <w:tcBorders>
              <w:top w:val="single" w:sz="4" w:space="0" w:color="000000"/>
              <w:left w:val="single" w:sz="4" w:space="0" w:color="000000"/>
              <w:bottom w:val="single" w:sz="4" w:space="0" w:color="000000"/>
              <w:right w:val="single" w:sz="4" w:space="0" w:color="000000"/>
            </w:tcBorders>
          </w:tcPr>
          <w:p>
            <w:pPr/>
          </w:p>
        </w:tc>
      </w:tr>
      <w:tr>
        <w:trPr>
          <w:trHeight w:val="235" w:hRule="exact"/>
        </w:trPr>
        <w:tc>
          <w:tcPr>
            <w:tcW w:w="3010"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729" w:right="721"/>
              <w:jc w:val="center"/>
              <w:rPr>
                <w:sz w:val="19"/>
              </w:rPr>
            </w:pPr>
            <w:r>
              <w:rPr>
                <w:w w:val="105"/>
                <w:sz w:val="19"/>
              </w:rPr>
              <w:t>Bueno/2006</w:t>
            </w:r>
          </w:p>
        </w:tc>
        <w:tc>
          <w:tcPr>
            <w:tcW w:w="2069"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right="889"/>
              <w:jc w:val="right"/>
              <w:rPr>
                <w:sz w:val="19"/>
              </w:rPr>
            </w:pPr>
            <w:r>
              <w:rPr>
                <w:sz w:val="19"/>
              </w:rPr>
              <w:t>3.1</w:t>
            </w:r>
          </w:p>
        </w:tc>
        <w:tc>
          <w:tcPr>
            <w:tcW w:w="2069"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196" w:right="190"/>
              <w:jc w:val="center"/>
              <w:rPr>
                <w:sz w:val="19"/>
              </w:rPr>
            </w:pPr>
            <w:r>
              <w:rPr>
                <w:w w:val="105"/>
                <w:sz w:val="19"/>
              </w:rPr>
              <w:t>4.3</w:t>
            </w:r>
          </w:p>
        </w:tc>
        <w:tc>
          <w:tcPr>
            <w:tcW w:w="1934"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772"/>
              <w:rPr>
                <w:sz w:val="19"/>
              </w:rPr>
            </w:pPr>
            <w:r>
              <w:rPr>
                <w:w w:val="105"/>
                <w:sz w:val="19"/>
              </w:rPr>
              <w:t>0.71</w:t>
            </w:r>
          </w:p>
        </w:tc>
      </w:tr>
    </w:tbl>
    <w:p>
      <w:pPr>
        <w:spacing w:after="0" w:line="218" w:lineRule="exact"/>
        <w:rPr>
          <w:sz w:val="19"/>
        </w:rPr>
        <w:sectPr>
          <w:pgSz w:w="11910" w:h="16840"/>
          <w:pgMar w:header="0" w:footer="1457" w:top="1580" w:bottom="1640" w:left="1420" w:right="1160"/>
        </w:sectPr>
      </w:pPr>
    </w:p>
    <w:p>
      <w:pPr>
        <w:pStyle w:val="BodyText"/>
        <w:rPr>
          <w:b/>
          <w:sz w:val="20"/>
        </w:rPr>
      </w:pPr>
    </w:p>
    <w:p>
      <w:pPr>
        <w:pStyle w:val="BodyText"/>
        <w:spacing w:before="11"/>
        <w:rPr>
          <w:b/>
          <w:sz w:val="22"/>
        </w:rPr>
      </w:pPr>
    </w:p>
    <w:tbl>
      <w:tblPr>
        <w:tblW w:w="0" w:type="auto"/>
        <w:jc w:val="left"/>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10"/>
        <w:gridCol w:w="2069"/>
        <w:gridCol w:w="2069"/>
        <w:gridCol w:w="1934"/>
      </w:tblGrid>
      <w:tr>
        <w:trPr>
          <w:trHeight w:val="235" w:hRule="exact"/>
        </w:trPr>
        <w:tc>
          <w:tcPr>
            <w:tcW w:w="3010" w:type="dxa"/>
          </w:tcPr>
          <w:p>
            <w:pPr>
              <w:pStyle w:val="TableParagraph"/>
              <w:spacing w:line="218" w:lineRule="exact"/>
              <w:ind w:left="729" w:right="721"/>
              <w:jc w:val="center"/>
              <w:rPr>
                <w:sz w:val="19"/>
              </w:rPr>
            </w:pPr>
            <w:r>
              <w:rPr>
                <w:w w:val="105"/>
                <w:sz w:val="19"/>
              </w:rPr>
              <w:t>Bueno/2010</w:t>
            </w:r>
          </w:p>
        </w:tc>
        <w:tc>
          <w:tcPr>
            <w:tcW w:w="2069" w:type="dxa"/>
          </w:tcPr>
          <w:p>
            <w:pPr>
              <w:pStyle w:val="TableParagraph"/>
              <w:spacing w:line="218" w:lineRule="exact"/>
              <w:ind w:right="889"/>
              <w:jc w:val="right"/>
              <w:rPr>
                <w:sz w:val="19"/>
              </w:rPr>
            </w:pPr>
            <w:r>
              <w:rPr>
                <w:sz w:val="19"/>
              </w:rPr>
              <w:t>9.8</w:t>
            </w:r>
          </w:p>
        </w:tc>
        <w:tc>
          <w:tcPr>
            <w:tcW w:w="2069" w:type="dxa"/>
          </w:tcPr>
          <w:p>
            <w:pPr>
              <w:pStyle w:val="TableParagraph"/>
              <w:spacing w:line="218" w:lineRule="exact"/>
              <w:ind w:left="196" w:right="193"/>
              <w:jc w:val="center"/>
              <w:rPr>
                <w:sz w:val="19"/>
              </w:rPr>
            </w:pPr>
            <w:r>
              <w:rPr>
                <w:w w:val="105"/>
                <w:sz w:val="19"/>
              </w:rPr>
              <w:t>10.4</w:t>
            </w:r>
          </w:p>
        </w:tc>
        <w:tc>
          <w:tcPr>
            <w:tcW w:w="1934" w:type="dxa"/>
          </w:tcPr>
          <w:p>
            <w:pPr>
              <w:pStyle w:val="TableParagraph"/>
              <w:spacing w:line="218" w:lineRule="exact"/>
              <w:ind w:left="772"/>
              <w:rPr>
                <w:sz w:val="19"/>
              </w:rPr>
            </w:pPr>
            <w:r>
              <w:rPr>
                <w:w w:val="105"/>
                <w:sz w:val="19"/>
              </w:rPr>
              <w:t>0.94</w:t>
            </w:r>
          </w:p>
        </w:tc>
      </w:tr>
      <w:tr>
        <w:trPr>
          <w:trHeight w:val="230" w:hRule="exact"/>
        </w:trPr>
        <w:tc>
          <w:tcPr>
            <w:tcW w:w="3010" w:type="dxa"/>
          </w:tcPr>
          <w:p>
            <w:pPr/>
          </w:p>
        </w:tc>
        <w:tc>
          <w:tcPr>
            <w:tcW w:w="2069" w:type="dxa"/>
          </w:tcPr>
          <w:p>
            <w:pPr/>
          </w:p>
        </w:tc>
        <w:tc>
          <w:tcPr>
            <w:tcW w:w="2069" w:type="dxa"/>
          </w:tcPr>
          <w:p>
            <w:pPr/>
          </w:p>
        </w:tc>
        <w:tc>
          <w:tcPr>
            <w:tcW w:w="1934" w:type="dxa"/>
          </w:tcPr>
          <w:p>
            <w:pPr/>
          </w:p>
        </w:tc>
      </w:tr>
      <w:tr>
        <w:trPr>
          <w:trHeight w:val="235" w:hRule="exact"/>
        </w:trPr>
        <w:tc>
          <w:tcPr>
            <w:tcW w:w="3010" w:type="dxa"/>
          </w:tcPr>
          <w:p>
            <w:pPr>
              <w:pStyle w:val="TableParagraph"/>
              <w:spacing w:line="218" w:lineRule="exact"/>
              <w:ind w:left="721" w:right="722"/>
              <w:jc w:val="center"/>
              <w:rPr>
                <w:sz w:val="19"/>
              </w:rPr>
            </w:pPr>
            <w:r>
              <w:rPr>
                <w:w w:val="105"/>
                <w:sz w:val="19"/>
              </w:rPr>
              <w:t>Excelente/2006</w:t>
            </w:r>
          </w:p>
        </w:tc>
        <w:tc>
          <w:tcPr>
            <w:tcW w:w="2069" w:type="dxa"/>
          </w:tcPr>
          <w:p>
            <w:pPr>
              <w:pStyle w:val="TableParagraph"/>
              <w:spacing w:line="218" w:lineRule="exact"/>
              <w:ind w:right="889"/>
              <w:jc w:val="right"/>
              <w:rPr>
                <w:sz w:val="19"/>
              </w:rPr>
            </w:pPr>
            <w:r>
              <w:rPr>
                <w:sz w:val="19"/>
              </w:rPr>
              <w:t>0.2</w:t>
            </w:r>
          </w:p>
        </w:tc>
        <w:tc>
          <w:tcPr>
            <w:tcW w:w="2069" w:type="dxa"/>
          </w:tcPr>
          <w:p>
            <w:pPr>
              <w:pStyle w:val="TableParagraph"/>
              <w:spacing w:line="218" w:lineRule="exact"/>
              <w:ind w:left="196" w:right="190"/>
              <w:jc w:val="center"/>
              <w:rPr>
                <w:sz w:val="19"/>
              </w:rPr>
            </w:pPr>
            <w:r>
              <w:rPr>
                <w:w w:val="105"/>
                <w:sz w:val="19"/>
              </w:rPr>
              <w:t>0.5</w:t>
            </w:r>
          </w:p>
        </w:tc>
        <w:tc>
          <w:tcPr>
            <w:tcW w:w="1934" w:type="dxa"/>
          </w:tcPr>
          <w:p>
            <w:pPr>
              <w:pStyle w:val="TableParagraph"/>
              <w:spacing w:line="218" w:lineRule="exact"/>
              <w:ind w:left="772"/>
              <w:rPr>
                <w:sz w:val="19"/>
              </w:rPr>
            </w:pPr>
            <w:r>
              <w:rPr>
                <w:w w:val="105"/>
                <w:sz w:val="19"/>
              </w:rPr>
              <w:t>0.50</w:t>
            </w:r>
          </w:p>
        </w:tc>
      </w:tr>
      <w:tr>
        <w:trPr>
          <w:trHeight w:val="235" w:hRule="exact"/>
        </w:trPr>
        <w:tc>
          <w:tcPr>
            <w:tcW w:w="3010" w:type="dxa"/>
          </w:tcPr>
          <w:p>
            <w:pPr>
              <w:pStyle w:val="TableParagraph"/>
              <w:spacing w:line="218" w:lineRule="exact"/>
              <w:ind w:left="721" w:right="722"/>
              <w:jc w:val="center"/>
              <w:rPr>
                <w:sz w:val="19"/>
              </w:rPr>
            </w:pPr>
            <w:r>
              <w:rPr>
                <w:w w:val="105"/>
                <w:sz w:val="19"/>
              </w:rPr>
              <w:t>Excelente/2010</w:t>
            </w:r>
          </w:p>
        </w:tc>
        <w:tc>
          <w:tcPr>
            <w:tcW w:w="2069" w:type="dxa"/>
          </w:tcPr>
          <w:p>
            <w:pPr>
              <w:pStyle w:val="TableParagraph"/>
              <w:spacing w:line="218" w:lineRule="exact"/>
              <w:ind w:right="889"/>
              <w:jc w:val="right"/>
              <w:rPr>
                <w:sz w:val="19"/>
              </w:rPr>
            </w:pPr>
            <w:r>
              <w:rPr>
                <w:sz w:val="19"/>
              </w:rPr>
              <w:t>2.5</w:t>
            </w:r>
          </w:p>
        </w:tc>
        <w:tc>
          <w:tcPr>
            <w:tcW w:w="2069" w:type="dxa"/>
          </w:tcPr>
          <w:p>
            <w:pPr>
              <w:pStyle w:val="TableParagraph"/>
              <w:spacing w:line="218" w:lineRule="exact"/>
              <w:ind w:left="196" w:right="190"/>
              <w:jc w:val="center"/>
              <w:rPr>
                <w:sz w:val="19"/>
              </w:rPr>
            </w:pPr>
            <w:r>
              <w:rPr>
                <w:w w:val="105"/>
                <w:sz w:val="19"/>
              </w:rPr>
              <w:t>2.0</w:t>
            </w:r>
          </w:p>
        </w:tc>
        <w:tc>
          <w:tcPr>
            <w:tcW w:w="1934" w:type="dxa"/>
          </w:tcPr>
          <w:p>
            <w:pPr>
              <w:pStyle w:val="TableParagraph"/>
              <w:spacing w:line="218" w:lineRule="exact"/>
              <w:ind w:left="772"/>
              <w:rPr>
                <w:sz w:val="19"/>
              </w:rPr>
            </w:pPr>
            <w:r>
              <w:rPr>
                <w:w w:val="105"/>
                <w:sz w:val="19"/>
              </w:rPr>
              <w:t>1.20</w:t>
            </w:r>
          </w:p>
        </w:tc>
      </w:tr>
      <w:tr>
        <w:trPr>
          <w:trHeight w:val="230" w:hRule="exact"/>
        </w:trPr>
        <w:tc>
          <w:tcPr>
            <w:tcW w:w="3010" w:type="dxa"/>
          </w:tcPr>
          <w:p>
            <w:pPr>
              <w:pStyle w:val="TableParagraph"/>
              <w:spacing w:line="218" w:lineRule="exact"/>
              <w:ind w:left="720" w:right="722"/>
              <w:jc w:val="center"/>
              <w:rPr>
                <w:sz w:val="19"/>
              </w:rPr>
            </w:pPr>
            <w:r>
              <w:rPr>
                <w:w w:val="105"/>
                <w:sz w:val="19"/>
              </w:rPr>
              <w:t>Insuficiente</w:t>
            </w:r>
          </w:p>
        </w:tc>
        <w:tc>
          <w:tcPr>
            <w:tcW w:w="2069" w:type="dxa"/>
          </w:tcPr>
          <w:p>
            <w:pPr>
              <w:pStyle w:val="TableParagraph"/>
              <w:spacing w:line="218" w:lineRule="exact"/>
              <w:ind w:right="834"/>
              <w:jc w:val="right"/>
              <w:rPr>
                <w:sz w:val="19"/>
              </w:rPr>
            </w:pPr>
            <w:r>
              <w:rPr>
                <w:sz w:val="19"/>
              </w:rPr>
              <w:t>18.2</w:t>
            </w:r>
          </w:p>
        </w:tc>
        <w:tc>
          <w:tcPr>
            <w:tcW w:w="2069" w:type="dxa"/>
          </w:tcPr>
          <w:p>
            <w:pPr>
              <w:pStyle w:val="TableParagraph"/>
              <w:spacing w:line="218" w:lineRule="exact"/>
              <w:ind w:left="196" w:right="193"/>
              <w:jc w:val="center"/>
              <w:rPr>
                <w:sz w:val="19"/>
              </w:rPr>
            </w:pPr>
            <w:r>
              <w:rPr>
                <w:w w:val="105"/>
                <w:sz w:val="19"/>
              </w:rPr>
              <w:t>15.2</w:t>
            </w:r>
          </w:p>
        </w:tc>
        <w:tc>
          <w:tcPr>
            <w:tcW w:w="1934" w:type="dxa"/>
          </w:tcPr>
          <w:p>
            <w:pPr>
              <w:pStyle w:val="TableParagraph"/>
              <w:spacing w:line="218" w:lineRule="exact"/>
              <w:ind w:left="772"/>
              <w:rPr>
                <w:sz w:val="19"/>
              </w:rPr>
            </w:pPr>
            <w:r>
              <w:rPr>
                <w:w w:val="105"/>
                <w:sz w:val="19"/>
              </w:rPr>
              <w:t>1.19</w:t>
            </w:r>
          </w:p>
        </w:tc>
      </w:tr>
    </w:tbl>
    <w:p>
      <w:pPr>
        <w:pStyle w:val="BodyText"/>
        <w:spacing w:before="1"/>
        <w:rPr>
          <w:b/>
          <w:sz w:val="17"/>
        </w:rPr>
      </w:pPr>
    </w:p>
    <w:p>
      <w:pPr>
        <w:spacing w:before="81"/>
        <w:ind w:left="235" w:right="0" w:firstLine="0"/>
        <w:jc w:val="left"/>
        <w:rPr>
          <w:sz w:val="19"/>
        </w:rPr>
      </w:pPr>
      <w:r>
        <w:rPr>
          <w:b/>
          <w:w w:val="105"/>
          <w:sz w:val="19"/>
        </w:rPr>
        <w:t>FUENTE: </w:t>
      </w:r>
      <w:r>
        <w:rPr>
          <w:w w:val="105"/>
          <w:sz w:val="19"/>
        </w:rPr>
        <w:t>Elaboración propia con base en los resultados de la prueba ENLACE 2010</w:t>
      </w:r>
    </w:p>
    <w:p>
      <w:pPr>
        <w:pStyle w:val="BodyText"/>
        <w:rPr>
          <w:sz w:val="20"/>
        </w:rPr>
      </w:pPr>
    </w:p>
    <w:p>
      <w:pPr>
        <w:pStyle w:val="BodyText"/>
        <w:spacing w:line="364" w:lineRule="auto" w:before="152"/>
        <w:ind w:left="235" w:right="487" w:firstLine="686"/>
        <w:jc w:val="both"/>
      </w:pPr>
      <w:r>
        <w:rPr/>
        <w:t>Según se puede apreciar, la centralización en el diseño, aplicación  y  análisis </w:t>
      </w:r>
      <w:r>
        <w:rPr>
          <w:spacing w:val="2"/>
        </w:rPr>
        <w:t>de </w:t>
      </w:r>
      <w:r>
        <w:rPr/>
        <w:t>la prueba Enlace por parte de </w:t>
      </w:r>
      <w:r>
        <w:rPr>
          <w:spacing w:val="-5"/>
        </w:rPr>
        <w:t>la </w:t>
      </w:r>
      <w:r>
        <w:rPr/>
        <w:t>SEP, no solamente implicó un  problema de “poder” sobre los demás actores institucionalizados y un problema de confianza (sin dejar de reconocer que existen elementos que justifican </w:t>
      </w:r>
      <w:r>
        <w:rPr>
          <w:spacing w:val="-5"/>
        </w:rPr>
        <w:t>la </w:t>
      </w:r>
      <w:r>
        <w:rPr/>
        <w:t>desconfianza de las autoridades centrales tanto en </w:t>
      </w:r>
      <w:r>
        <w:rPr>
          <w:spacing w:val="-4"/>
        </w:rPr>
        <w:t>los </w:t>
      </w:r>
      <w:r>
        <w:rPr/>
        <w:t>directivos de la escuela, autoridades estatales de educación y representantes del sindicato magisterial). Además, dio pie para que desde las oficinas centrales de la SEP se interpreten </w:t>
      </w:r>
      <w:r>
        <w:rPr>
          <w:spacing w:val="-2"/>
        </w:rPr>
        <w:t>los </w:t>
      </w:r>
      <w:r>
        <w:rPr/>
        <w:t>resultados. Pero lo más significativo no </w:t>
      </w:r>
      <w:r>
        <w:rPr>
          <w:spacing w:val="-3"/>
        </w:rPr>
        <w:t>es </w:t>
      </w:r>
      <w:r>
        <w:rPr>
          <w:spacing w:val="2"/>
        </w:rPr>
        <w:t>su </w:t>
      </w:r>
      <w:r>
        <w:rPr/>
        <w:t>interpretación, sino  fundamentalmente la forma en que se comunica al público en general (Muñoz Izquierdo et. </w:t>
      </w:r>
      <w:r>
        <w:rPr>
          <w:spacing w:val="-3"/>
        </w:rPr>
        <w:t>al.,</w:t>
      </w:r>
      <w:r>
        <w:rPr>
          <w:spacing w:val="30"/>
        </w:rPr>
        <w:t> </w:t>
      </w:r>
      <w:r>
        <w:rPr/>
        <w:t>2010).</w:t>
      </w:r>
    </w:p>
    <w:p>
      <w:pPr>
        <w:pStyle w:val="BodyText"/>
        <w:spacing w:line="364" w:lineRule="auto"/>
        <w:ind w:left="235" w:right="486" w:firstLine="686"/>
        <w:jc w:val="both"/>
      </w:pPr>
      <w:r>
        <w:rPr/>
        <w:t>En el ámbito de la comunicación particularizada (sobre todo para alumnos y centros escolares) no hay mucho que mesurar, pero a nivel nacional, como </w:t>
      </w:r>
      <w:r>
        <w:rPr>
          <w:spacing w:val="-2"/>
        </w:rPr>
        <w:t>los </w:t>
      </w:r>
      <w:r>
        <w:rPr/>
        <w:t>resultados no han avanzado considerablemente, casi nada, </w:t>
      </w:r>
      <w:r>
        <w:rPr>
          <w:spacing w:val="-3"/>
        </w:rPr>
        <w:t>las </w:t>
      </w:r>
      <w:r>
        <w:rPr/>
        <w:t>autoridades educativas, en </w:t>
      </w:r>
      <w:r>
        <w:rPr>
          <w:spacing w:val="-5"/>
        </w:rPr>
        <w:t>la </w:t>
      </w:r>
      <w:r>
        <w:rPr/>
        <w:t>medida que </w:t>
      </w:r>
      <w:r>
        <w:rPr>
          <w:spacing w:val="-3"/>
        </w:rPr>
        <w:t>no </w:t>
      </w:r>
      <w:r>
        <w:rPr/>
        <w:t>pueden corregir sus causas en el  corto  o  mediano plazos, al menos pueden divulgar los resultados de tal forma que </w:t>
      </w:r>
      <w:r>
        <w:rPr>
          <w:spacing w:val="3"/>
        </w:rPr>
        <w:t>no </w:t>
      </w:r>
      <w:r>
        <w:rPr/>
        <w:t>sean notorias las imperantes desigualdades en el país y la forma cómo ello </w:t>
      </w:r>
      <w:r>
        <w:rPr>
          <w:spacing w:val="2"/>
        </w:rPr>
        <w:t>se </w:t>
      </w:r>
      <w:r>
        <w:rPr/>
        <w:t>refleja en el logro de los aprendizajes. Esto </w:t>
      </w:r>
      <w:r>
        <w:rPr>
          <w:spacing w:val="-4"/>
        </w:rPr>
        <w:t>es </w:t>
      </w:r>
      <w:r>
        <w:rPr/>
        <w:t>significativo, si se considera que el concepto  de calidad actualmente, en </w:t>
      </w:r>
      <w:r>
        <w:rPr>
          <w:spacing w:val="3"/>
        </w:rPr>
        <w:t>el </w:t>
      </w:r>
      <w:r>
        <w:rPr/>
        <w:t>marco de la política  pública,  implica  una actualización del contrato social entre ciudadanía y gobierno y el reconocimiento    de derechos que se habían extraviado por </w:t>
      </w:r>
      <w:r>
        <w:rPr>
          <w:spacing w:val="-4"/>
        </w:rPr>
        <w:t>la </w:t>
      </w:r>
      <w:r>
        <w:rPr/>
        <w:t>ineficiencia de las burocracias gubernamentales.</w:t>
      </w:r>
    </w:p>
    <w:p>
      <w:pPr>
        <w:pStyle w:val="BodyText"/>
        <w:spacing w:line="364" w:lineRule="auto" w:before="5"/>
        <w:ind w:left="235" w:right="485" w:firstLine="686"/>
        <w:jc w:val="both"/>
      </w:pPr>
      <w:r>
        <w:rPr/>
        <w:t>Hasta cierto punto, las pruebas Enlace, son un instrumento que procuraría tratar a los alumnos del sistema educativo como clientes o incluso como  ciudadanos sujetos de derechos. Sobre todo, estas pruebas estandarizadas, se podría decir, que hacen un análisis o revisión del estado o situación del derecho a   </w:t>
      </w:r>
      <w:r>
        <w:rPr>
          <w:spacing w:val="-5"/>
        </w:rPr>
        <w:t>la  </w:t>
      </w:r>
      <w:r>
        <w:rPr/>
        <w:t>educación.  Su  principal  atributo  es  conocer  el  nivel  del  sistema   </w:t>
      </w:r>
      <w:r>
        <w:rPr>
          <w:spacing w:val="45"/>
        </w:rPr>
        <w:t> </w:t>
      </w:r>
      <w:r>
        <w:rPr/>
        <w:t>educativo</w:t>
      </w:r>
    </w:p>
    <w:p>
      <w:pPr>
        <w:spacing w:after="0" w:line="364" w:lineRule="auto"/>
        <w:jc w:val="both"/>
        <w:sectPr>
          <w:footerReference w:type="default" r:id="rId77"/>
          <w:pgSz w:w="11910" w:h="16840"/>
          <w:pgMar w:footer="1457" w:header="0" w:top="1580" w:bottom="1640" w:left="1420" w:right="1160"/>
        </w:sectPr>
      </w:pPr>
    </w:p>
    <w:p>
      <w:pPr>
        <w:pStyle w:val="BodyText"/>
        <w:rPr>
          <w:sz w:val="20"/>
        </w:rPr>
      </w:pPr>
    </w:p>
    <w:p>
      <w:pPr>
        <w:pStyle w:val="BodyText"/>
        <w:spacing w:before="2"/>
        <w:rPr>
          <w:sz w:val="16"/>
        </w:rPr>
      </w:pPr>
    </w:p>
    <w:p>
      <w:pPr>
        <w:pStyle w:val="BodyText"/>
        <w:spacing w:line="364" w:lineRule="auto" w:before="74"/>
        <w:ind w:left="115" w:right="106"/>
        <w:jc w:val="both"/>
      </w:pPr>
      <w:r>
        <w:rPr/>
        <w:t>escuela por escuela, alumno por alumno. Su principal debilidad es que no han servido para tomar acciones al gobierno y mucho menos para que los padres de familia sepan qué exigir a los directivos de las escuelas  públicas.</w:t>
      </w:r>
    </w:p>
    <w:p>
      <w:pPr>
        <w:pStyle w:val="BodyText"/>
        <w:spacing w:line="364" w:lineRule="auto" w:before="5"/>
        <w:ind w:left="115" w:right="105" w:firstLine="686"/>
        <w:jc w:val="both"/>
      </w:pPr>
      <w:r>
        <w:rPr/>
        <w:t>Ahora bien, desde la perspectiva </w:t>
      </w:r>
      <w:r>
        <w:rPr>
          <w:spacing w:val="-3"/>
        </w:rPr>
        <w:t>de </w:t>
      </w:r>
      <w:r>
        <w:rPr/>
        <w:t>los juegos de poder, el hecho de </w:t>
      </w:r>
      <w:r>
        <w:rPr>
          <w:spacing w:val="-3"/>
        </w:rPr>
        <w:t>que </w:t>
      </w:r>
      <w:r>
        <w:rPr/>
        <w:t>éste sea una política presidencial, hasta 2012, sus resultados no comprometían a nada a ningún actor institucional o social involucrado en </w:t>
      </w:r>
      <w:r>
        <w:rPr>
          <w:spacing w:val="-4"/>
        </w:rPr>
        <w:t>la </w:t>
      </w:r>
      <w:r>
        <w:rPr/>
        <w:t>problemática. Es decir,   </w:t>
      </w:r>
      <w:r>
        <w:rPr>
          <w:spacing w:val="-5"/>
        </w:rPr>
        <w:t>la </w:t>
      </w:r>
      <w:r>
        <w:rPr/>
        <w:t>desconfianza hacia las autoridades educativas estatales, </w:t>
      </w:r>
      <w:r>
        <w:rPr>
          <w:spacing w:val="-3"/>
        </w:rPr>
        <w:t>hacia  </w:t>
      </w:r>
      <w:r>
        <w:rPr>
          <w:spacing w:val="-2"/>
        </w:rPr>
        <w:t>los </w:t>
      </w:r>
      <w:r>
        <w:rPr/>
        <w:t>representantes del SNTE y los directivos de las escuelas, se tradujo en apatía y desinterés de su parte. En otras palabras, ninguno de los actores, incluida la SEP, tiene incentivos (premios o castigos) para mejorar los resultados de la prueba Enlace.</w:t>
      </w:r>
    </w:p>
    <w:p>
      <w:pPr>
        <w:pStyle w:val="BodyText"/>
        <w:rPr>
          <w:sz w:val="22"/>
        </w:rPr>
      </w:pPr>
    </w:p>
    <w:p>
      <w:pPr>
        <w:pStyle w:val="Heading3"/>
        <w:numPr>
          <w:ilvl w:val="2"/>
          <w:numId w:val="17"/>
        </w:numPr>
        <w:tabs>
          <w:tab w:pos="697" w:val="left" w:leader="none"/>
        </w:tabs>
        <w:spacing w:line="240" w:lineRule="auto" w:before="150" w:after="0"/>
        <w:ind w:left="697" w:right="0" w:hanging="581"/>
        <w:jc w:val="both"/>
      </w:pPr>
      <w:r>
        <w:rPr/>
        <w:t>Exámenes de la Calidad y el Logro Educativo </w:t>
      </w:r>
      <w:r>
        <w:rPr>
          <w:spacing w:val="3"/>
        </w:rPr>
        <w:t> </w:t>
      </w:r>
      <w:r>
        <w:rPr/>
        <w:t>(Excale)</w:t>
      </w:r>
    </w:p>
    <w:p>
      <w:pPr>
        <w:pStyle w:val="BodyText"/>
        <w:spacing w:line="364" w:lineRule="auto" w:before="143"/>
        <w:ind w:left="115" w:right="103"/>
        <w:jc w:val="both"/>
      </w:pPr>
      <w:r>
        <w:rPr/>
        <w:t>Otra prueba </w:t>
      </w:r>
      <w:r>
        <w:rPr>
          <w:spacing w:val="3"/>
        </w:rPr>
        <w:t>de </w:t>
      </w:r>
      <w:r>
        <w:rPr/>
        <w:t>medición creada, en el marco de las políticas de la calidad educativa, </w:t>
      </w:r>
      <w:r>
        <w:rPr>
          <w:spacing w:val="-3"/>
        </w:rPr>
        <w:t>es </w:t>
      </w:r>
      <w:r>
        <w:rPr/>
        <w:t>la prueba Excale, </w:t>
      </w:r>
      <w:r>
        <w:rPr>
          <w:spacing w:val="-5"/>
        </w:rPr>
        <w:t>la </w:t>
      </w:r>
      <w:r>
        <w:rPr/>
        <w:t>cual aplica el INEE. </w:t>
      </w:r>
      <w:r>
        <w:rPr>
          <w:spacing w:val="5"/>
        </w:rPr>
        <w:t>El </w:t>
      </w:r>
      <w:r>
        <w:rPr/>
        <w:t>antecedente de estas pruebas de medición </w:t>
      </w:r>
      <w:r>
        <w:rPr>
          <w:spacing w:val="3"/>
        </w:rPr>
        <w:t>se </w:t>
      </w:r>
      <w:r>
        <w:rPr/>
        <w:t>pueden ubicar a partir de 1998 cuando la  Dirección General de Evaluación de </w:t>
      </w:r>
      <w:r>
        <w:rPr>
          <w:spacing w:val="-4"/>
        </w:rPr>
        <w:t>la </w:t>
      </w:r>
      <w:r>
        <w:rPr/>
        <w:t>SEP lanzó el programa de las pruebas denominadas “estándares nacionales”; estos fueron los primeros instrumentos diseñados para evaluar la educación nacional con muestras representativas de la población estudiantil de todo el país. Con estos instrumentos, que después fueron denominados Pruebas Nacionales, </w:t>
      </w:r>
      <w:r>
        <w:rPr>
          <w:spacing w:val="2"/>
        </w:rPr>
        <w:t>se </w:t>
      </w:r>
      <w:r>
        <w:rPr/>
        <w:t>dio inicio a la evaluación del sistema educativo nacional. En 2004, las Pruebas Nacionales fueron transferidas al INEE y posteriormente eliminadas al establecerse el gran programa de evaluación del sistema educativo nacional: el de los Exámenes de </w:t>
      </w:r>
      <w:r>
        <w:rPr>
          <w:spacing w:val="-5"/>
        </w:rPr>
        <w:t>la </w:t>
      </w:r>
      <w:r>
        <w:rPr/>
        <w:t>Calidad y el  Logro  Educativos</w:t>
      </w:r>
      <w:r>
        <w:rPr>
          <w:spacing w:val="16"/>
        </w:rPr>
        <w:t> </w:t>
      </w:r>
      <w:r>
        <w:rPr/>
        <w:t>(Excale).</w:t>
      </w:r>
    </w:p>
    <w:p>
      <w:pPr>
        <w:pStyle w:val="BodyText"/>
        <w:spacing w:line="364" w:lineRule="auto"/>
        <w:ind w:left="115" w:right="106" w:firstLine="686"/>
        <w:jc w:val="both"/>
      </w:pPr>
      <w:r>
        <w:rPr/>
        <w:t>Probablemente </w:t>
      </w:r>
      <w:r>
        <w:rPr>
          <w:spacing w:val="2"/>
        </w:rPr>
        <w:t>con </w:t>
      </w:r>
      <w:r>
        <w:rPr/>
        <w:t>el propósito de despolitizar estas pruebas de medición y </w:t>
      </w:r>
      <w:r>
        <w:rPr>
          <w:spacing w:val="-3"/>
        </w:rPr>
        <w:t>darle </w:t>
      </w:r>
      <w:r>
        <w:rPr/>
        <w:t>al INEE un estatus fundamentalmente de carácter técnico,  las  pruebas  Excale no evalúan escuelas o alumnos; cuando mucho entidades federativas, pero fundamentalmente el alcance del currículo y </w:t>
      </w:r>
      <w:r>
        <w:rPr>
          <w:spacing w:val="3"/>
        </w:rPr>
        <w:t>el </w:t>
      </w:r>
      <w:r>
        <w:rPr/>
        <w:t>nivel del sistema  educativo, tanto  en forma agregada como </w:t>
      </w:r>
      <w:r>
        <w:rPr>
          <w:spacing w:val="3"/>
        </w:rPr>
        <w:t>en </w:t>
      </w:r>
      <w:r>
        <w:rPr/>
        <w:t>forma desagregada (INEE,  2011).</w:t>
      </w:r>
    </w:p>
    <w:p>
      <w:pPr>
        <w:spacing w:after="0" w:line="364" w:lineRule="auto"/>
        <w:jc w:val="both"/>
        <w:sectPr>
          <w:footerReference w:type="default" r:id="rId78"/>
          <w:pgSz w:w="11910" w:h="16840"/>
          <w:pgMar w:footer="1457" w:header="0" w:top="1580" w:bottom="1640" w:left="1540" w:right="1540"/>
          <w:pgNumType w:start="221"/>
        </w:sectPr>
      </w:pPr>
    </w:p>
    <w:p>
      <w:pPr>
        <w:pStyle w:val="BodyText"/>
        <w:rPr>
          <w:sz w:val="20"/>
        </w:rPr>
      </w:pPr>
    </w:p>
    <w:p>
      <w:pPr>
        <w:pStyle w:val="BodyText"/>
        <w:spacing w:before="2"/>
        <w:rPr>
          <w:sz w:val="16"/>
        </w:rPr>
      </w:pPr>
    </w:p>
    <w:p>
      <w:pPr>
        <w:pStyle w:val="BodyText"/>
        <w:spacing w:line="364" w:lineRule="auto" w:before="74"/>
        <w:ind w:left="116" w:right="106" w:firstLine="686"/>
        <w:jc w:val="both"/>
      </w:pPr>
      <w:r>
        <w:rPr/>
        <w:t>De este modo, las pruebas Excale son pruebas de aprendizaje de gran escala que miden el logro escolar de los estudiantes </w:t>
      </w:r>
      <w:r>
        <w:rPr>
          <w:spacing w:val="2"/>
        </w:rPr>
        <w:t>de </w:t>
      </w:r>
      <w:r>
        <w:rPr/>
        <w:t>educación básica en distintas asignaturas y grados. Estos exámenes tienen tres  características distintivas: son criteriales, están alineados </w:t>
      </w:r>
      <w:r>
        <w:rPr>
          <w:spacing w:val="2"/>
        </w:rPr>
        <w:t>al </w:t>
      </w:r>
      <w:r>
        <w:rPr/>
        <w:t>currículo y son matriciales. Son criteriales porque se diseñan para evaluar </w:t>
      </w:r>
      <w:r>
        <w:rPr>
          <w:spacing w:val="4"/>
        </w:rPr>
        <w:t>el </w:t>
      </w:r>
      <w:r>
        <w:rPr/>
        <w:t>dominio que tienen los estudiantes de una disciplina en particular. Su interés central es conocer el nivel de logro que alcanzan los estudiantes como resultado de </w:t>
      </w:r>
      <w:r>
        <w:rPr>
          <w:spacing w:val="2"/>
        </w:rPr>
        <w:t>su </w:t>
      </w:r>
      <w:r>
        <w:rPr/>
        <w:t>escolarización formal. Cada contenido temático se evalúa a profundidad, procurando incluir todos </w:t>
      </w:r>
      <w:r>
        <w:rPr>
          <w:spacing w:val="-2"/>
        </w:rPr>
        <w:t>los </w:t>
      </w:r>
      <w:r>
        <w:rPr/>
        <w:t>conocimientos y habilidades </w:t>
      </w:r>
      <w:r>
        <w:rPr>
          <w:spacing w:val="3"/>
        </w:rPr>
        <w:t>de </w:t>
      </w:r>
      <w:r>
        <w:rPr/>
        <w:t>importancia para </w:t>
      </w:r>
      <w:r>
        <w:rPr>
          <w:spacing w:val="-4"/>
        </w:rPr>
        <w:t>la </w:t>
      </w:r>
      <w:r>
        <w:rPr/>
        <w:t>disciplina y grado  escolar (INEE,</w:t>
      </w:r>
      <w:r>
        <w:rPr>
          <w:spacing w:val="12"/>
        </w:rPr>
        <w:t> </w:t>
      </w:r>
      <w:r>
        <w:rPr/>
        <w:t>2011).</w:t>
      </w:r>
    </w:p>
    <w:p>
      <w:pPr>
        <w:pStyle w:val="BodyText"/>
        <w:spacing w:line="364" w:lineRule="auto" w:before="5"/>
        <w:ind w:left="116" w:right="110" w:firstLine="686"/>
        <w:jc w:val="both"/>
      </w:pPr>
      <w:r>
        <w:rPr/>
        <w:t>Están alineados al currículo porque su propósito es evaluar los aprendizajes pretendidos por los planes y programas de estudio nacionales. El hecho de contar en México con un currículo nacional para la educación básica, libros de textos gratuitos y una formación magisterial bastante uniforme, facilita identificar lo que aprenden los estudiantes en relación con lo que se espera de  ellos.</w:t>
      </w:r>
    </w:p>
    <w:p>
      <w:pPr>
        <w:pStyle w:val="BodyText"/>
        <w:spacing w:line="364" w:lineRule="auto"/>
        <w:ind w:left="116" w:right="107" w:firstLine="686"/>
        <w:jc w:val="both"/>
      </w:pPr>
      <w:r>
        <w:rPr/>
        <w:t>Puesto que los Excale pretenden evaluar todos los contenidos curriculares importantes, tienen un diseño matricial en </w:t>
      </w:r>
      <w:r>
        <w:rPr>
          <w:spacing w:val="3"/>
        </w:rPr>
        <w:t>el </w:t>
      </w:r>
      <w:r>
        <w:rPr/>
        <w:t>cual los reactivos que conforman una prueba se agrupan en bloques para ser distribuidos entre los alumnos; </w:t>
      </w:r>
      <w:r>
        <w:rPr>
          <w:spacing w:val="-3"/>
        </w:rPr>
        <w:t>no </w:t>
      </w:r>
      <w:r>
        <w:rPr/>
        <w:t>todos contestan las mismas preguntas, pero con </w:t>
      </w:r>
      <w:r>
        <w:rPr>
          <w:spacing w:val="-3"/>
        </w:rPr>
        <w:t>las </w:t>
      </w:r>
      <w:r>
        <w:rPr/>
        <w:t>repuestas de todos se obtienen resultados del examen en su conjunto. En este tipo de pruebas, </w:t>
      </w:r>
      <w:r>
        <w:rPr>
          <w:spacing w:val="-5"/>
        </w:rPr>
        <w:t>la </w:t>
      </w:r>
      <w:r>
        <w:rPr/>
        <w:t>calificación individual </w:t>
      </w:r>
      <w:r>
        <w:rPr>
          <w:spacing w:val="2"/>
        </w:rPr>
        <w:t>del </w:t>
      </w:r>
      <w:r>
        <w:rPr/>
        <w:t>estudiante no es tan importante como los resultados agregados a  nivel de entidad federativa y modalidad educativa, dado que </w:t>
      </w:r>
      <w:r>
        <w:rPr>
          <w:spacing w:val="-3"/>
        </w:rPr>
        <w:t>lo </w:t>
      </w:r>
      <w:r>
        <w:rPr/>
        <w:t>que se busca </w:t>
      </w:r>
      <w:r>
        <w:rPr>
          <w:spacing w:val="-3"/>
        </w:rPr>
        <w:t>es </w:t>
      </w:r>
      <w:r>
        <w:rPr/>
        <w:t>evaluar al sistema educativo </w:t>
      </w:r>
      <w:r>
        <w:rPr>
          <w:spacing w:val="3"/>
        </w:rPr>
        <w:t>en </w:t>
      </w:r>
      <w:r>
        <w:rPr/>
        <w:t>su conjunto (INEE,</w:t>
      </w:r>
      <w:r>
        <w:rPr>
          <w:spacing w:val="50"/>
        </w:rPr>
        <w:t> </w:t>
      </w:r>
      <w:r>
        <w:rPr/>
        <w:t>2011).</w:t>
      </w:r>
    </w:p>
    <w:p>
      <w:pPr>
        <w:pStyle w:val="BodyText"/>
        <w:spacing w:line="364" w:lineRule="auto" w:before="5"/>
        <w:ind w:left="116" w:right="108" w:firstLine="686"/>
        <w:jc w:val="both"/>
      </w:pPr>
      <w:r>
        <w:rPr/>
        <w:t>Las asignaturas propiamente instrumentales, tales como Matemáticas y Español, además de aquellas que cubren grandes áreas curriculares relacionadas con Ciencias Naturales y Ciencias Sociales, realizando en </w:t>
      </w:r>
      <w:r>
        <w:rPr>
          <w:spacing w:val="2"/>
        </w:rPr>
        <w:t>cada </w:t>
      </w:r>
      <w:r>
        <w:rPr/>
        <w:t>caso </w:t>
      </w:r>
      <w:r>
        <w:rPr>
          <w:spacing w:val="-3"/>
        </w:rPr>
        <w:t>la </w:t>
      </w:r>
      <w:r>
        <w:rPr/>
        <w:t>selección de contenidos conforme el currículo nacional y el grado escolar a evaluar. Los grados a evaluar son </w:t>
      </w:r>
      <w:r>
        <w:rPr>
          <w:spacing w:val="-3"/>
        </w:rPr>
        <w:t>los </w:t>
      </w:r>
      <w:r>
        <w:rPr/>
        <w:t>terminales de cada </w:t>
      </w:r>
      <w:r>
        <w:rPr>
          <w:spacing w:val="-3"/>
        </w:rPr>
        <w:t>nivel </w:t>
      </w:r>
      <w:r>
        <w:rPr/>
        <w:t>escolar: 3º de preescolar, 6º de primaria y 3º de secundaria. Adicionalmente, se añade 3º de primaria con el fin de evaluar</w:t>
      </w:r>
      <w:r>
        <w:rPr>
          <w:spacing w:val="20"/>
        </w:rPr>
        <w:t> </w:t>
      </w:r>
      <w:r>
        <w:rPr/>
        <w:t>segmentos</w:t>
      </w:r>
      <w:r>
        <w:rPr>
          <w:spacing w:val="24"/>
        </w:rPr>
        <w:t> </w:t>
      </w:r>
      <w:r>
        <w:rPr/>
        <w:t>de</w:t>
      </w:r>
      <w:r>
        <w:rPr>
          <w:spacing w:val="20"/>
        </w:rPr>
        <w:t> </w:t>
      </w:r>
      <w:r>
        <w:rPr/>
        <w:t>tres</w:t>
      </w:r>
      <w:r>
        <w:rPr>
          <w:spacing w:val="26"/>
        </w:rPr>
        <w:t> </w:t>
      </w:r>
      <w:r>
        <w:rPr/>
        <w:t>años</w:t>
      </w:r>
      <w:r>
        <w:rPr>
          <w:spacing w:val="26"/>
        </w:rPr>
        <w:t> </w:t>
      </w:r>
      <w:r>
        <w:rPr/>
        <w:t>escolares.</w:t>
      </w:r>
      <w:r>
        <w:rPr>
          <w:spacing w:val="23"/>
        </w:rPr>
        <w:t> </w:t>
      </w:r>
      <w:r>
        <w:rPr>
          <w:spacing w:val="-3"/>
        </w:rPr>
        <w:t>De</w:t>
      </w:r>
      <w:r>
        <w:rPr>
          <w:spacing w:val="20"/>
        </w:rPr>
        <w:t> </w:t>
      </w:r>
      <w:r>
        <w:rPr/>
        <w:t>este</w:t>
      </w:r>
      <w:r>
        <w:rPr>
          <w:spacing w:val="20"/>
        </w:rPr>
        <w:t> </w:t>
      </w:r>
      <w:r>
        <w:rPr/>
        <w:t>modo,</w:t>
      </w:r>
      <w:r>
        <w:rPr>
          <w:spacing w:val="20"/>
        </w:rPr>
        <w:t> </w:t>
      </w:r>
      <w:r>
        <w:rPr/>
        <w:t>se</w:t>
      </w:r>
      <w:r>
        <w:rPr>
          <w:spacing w:val="26"/>
        </w:rPr>
        <w:t> </w:t>
      </w:r>
      <w:r>
        <w:rPr/>
        <w:t>han</w:t>
      </w:r>
      <w:r>
        <w:rPr>
          <w:spacing w:val="20"/>
        </w:rPr>
        <w:t> </w:t>
      </w:r>
      <w:r>
        <w:rPr/>
        <w:t>establecido</w:t>
      </w:r>
      <w:r>
        <w:rPr>
          <w:spacing w:val="20"/>
        </w:rPr>
        <w:t> </w:t>
      </w:r>
      <w:r>
        <w:rPr/>
        <w:t>las</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9" w:lineRule="auto" w:before="74"/>
        <w:ind w:left="115" w:right="191"/>
      </w:pPr>
      <w:r>
        <w:rPr/>
        <w:t>siguientes asignaturas para cada nivel y grado desde el preescolar hasta la secundaria</w:t>
      </w:r>
    </w:p>
    <w:p>
      <w:pPr>
        <w:pStyle w:val="BodyText"/>
        <w:spacing w:before="3"/>
      </w:pPr>
    </w:p>
    <w:p>
      <w:pPr>
        <w:spacing w:before="1"/>
        <w:ind w:left="2052" w:right="2052" w:firstLine="0"/>
        <w:jc w:val="center"/>
        <w:rPr>
          <w:b/>
          <w:sz w:val="21"/>
        </w:rPr>
      </w:pPr>
      <w:r>
        <w:rPr>
          <w:b/>
          <w:sz w:val="21"/>
        </w:rPr>
        <w:t>Tabla N° 20</w:t>
      </w:r>
    </w:p>
    <w:p>
      <w:pPr>
        <w:spacing w:before="8"/>
        <w:ind w:left="1" w:right="0" w:firstLine="0"/>
        <w:jc w:val="center"/>
        <w:rPr>
          <w:b/>
          <w:sz w:val="21"/>
        </w:rPr>
      </w:pPr>
      <w:r>
        <w:rPr>
          <w:b/>
          <w:sz w:val="21"/>
        </w:rPr>
        <w:t>Niveles, grados y asignaturas que evalúa  Excale</w:t>
      </w:r>
    </w:p>
    <w:p>
      <w:pPr>
        <w:pStyle w:val="BodyText"/>
        <w:spacing w:before="6"/>
        <w:rPr>
          <w:b/>
          <w:sz w:val="21"/>
        </w:rPr>
      </w:pPr>
      <w:r>
        <w:rPr/>
        <w:drawing>
          <wp:anchor distT="0" distB="0" distL="0" distR="0" allowOverlap="1" layoutInCell="1" locked="0" behindDoc="0" simplePos="0" relativeHeight="3352">
            <wp:simplePos x="0" y="0"/>
            <wp:positionH relativeFrom="page">
              <wp:posOffset>2267711</wp:posOffset>
            </wp:positionH>
            <wp:positionV relativeFrom="paragraph">
              <wp:posOffset>182078</wp:posOffset>
            </wp:positionV>
            <wp:extent cx="3017507" cy="1965960"/>
            <wp:effectExtent l="0" t="0" r="0" b="0"/>
            <wp:wrapTopAndBottom/>
            <wp:docPr id="21" name="image26.png" descr=""/>
            <wp:cNvGraphicFramePr>
              <a:graphicFrameLocks noChangeAspect="1"/>
            </wp:cNvGraphicFramePr>
            <a:graphic>
              <a:graphicData uri="http://schemas.openxmlformats.org/drawingml/2006/picture">
                <pic:pic>
                  <pic:nvPicPr>
                    <pic:cNvPr id="22" name="image26.png"/>
                    <pic:cNvPicPr/>
                  </pic:nvPicPr>
                  <pic:blipFill>
                    <a:blip r:embed="rId79" cstate="print"/>
                    <a:stretch>
                      <a:fillRect/>
                    </a:stretch>
                  </pic:blipFill>
                  <pic:spPr>
                    <a:xfrm>
                      <a:off x="0" y="0"/>
                      <a:ext cx="3017507" cy="1965960"/>
                    </a:xfrm>
                    <a:prstGeom prst="rect">
                      <a:avLst/>
                    </a:prstGeom>
                  </pic:spPr>
                </pic:pic>
              </a:graphicData>
            </a:graphic>
          </wp:anchor>
        </w:drawing>
      </w:r>
    </w:p>
    <w:p>
      <w:pPr>
        <w:pStyle w:val="BodyText"/>
        <w:rPr>
          <w:b/>
          <w:sz w:val="20"/>
        </w:rPr>
      </w:pPr>
    </w:p>
    <w:p>
      <w:pPr>
        <w:pStyle w:val="BodyText"/>
        <w:spacing w:line="364" w:lineRule="auto" w:before="144"/>
        <w:ind w:left="116" w:right="104" w:firstLine="686"/>
        <w:jc w:val="both"/>
      </w:pPr>
      <w:r>
        <w:rPr/>
        <w:t>Se aplican a muestras representativas de estudiantes </w:t>
      </w:r>
      <w:r>
        <w:rPr>
          <w:spacing w:val="-3"/>
        </w:rPr>
        <w:t>de </w:t>
      </w:r>
      <w:r>
        <w:rPr/>
        <w:t>escuelas públicas    y privadas, </w:t>
      </w:r>
      <w:r>
        <w:rPr>
          <w:spacing w:val="3"/>
        </w:rPr>
        <w:t>de </w:t>
      </w:r>
      <w:r>
        <w:rPr/>
        <w:t>educación básica de  todo el país. </w:t>
      </w:r>
      <w:r>
        <w:rPr>
          <w:spacing w:val="5"/>
        </w:rPr>
        <w:t>El </w:t>
      </w:r>
      <w:r>
        <w:rPr/>
        <w:t>número de estudiantes varía  de acuerdo con el estado, el grado a evaluar y la modalidad educativa de que se trate. En 2005 se aplicaron más </w:t>
      </w:r>
      <w:r>
        <w:rPr>
          <w:spacing w:val="-3"/>
        </w:rPr>
        <w:t>de </w:t>
      </w:r>
      <w:r>
        <w:rPr/>
        <w:t>47 </w:t>
      </w:r>
      <w:r>
        <w:rPr>
          <w:spacing w:val="-3"/>
        </w:rPr>
        <w:t>mil </w:t>
      </w:r>
      <w:r>
        <w:rPr/>
        <w:t>pruebas a estudiantes </w:t>
      </w:r>
      <w:r>
        <w:rPr>
          <w:spacing w:val="-3"/>
        </w:rPr>
        <w:t>de </w:t>
      </w:r>
      <w:r>
        <w:rPr/>
        <w:t>sexto de primaria en 2  mil 770 escuelas y a 52 mil 251 alumnos  de tercero de secundaria  en 2 mil 397 escuelas. En 2006, </w:t>
      </w:r>
      <w:r>
        <w:rPr>
          <w:spacing w:val="-4"/>
        </w:rPr>
        <w:t>la </w:t>
      </w:r>
      <w:r>
        <w:rPr/>
        <w:t>prueba </w:t>
      </w:r>
      <w:r>
        <w:rPr>
          <w:spacing w:val="3"/>
        </w:rPr>
        <w:t>se </w:t>
      </w:r>
      <w:r>
        <w:rPr/>
        <w:t>aplicó a casi 55 mil alumnos de  tercero de primaria en un poco </w:t>
      </w:r>
      <w:r>
        <w:rPr>
          <w:spacing w:val="-4"/>
        </w:rPr>
        <w:t>más </w:t>
      </w:r>
      <w:r>
        <w:rPr/>
        <w:t>3 mil escuelas mientras que en 2007 se aplicaron a más </w:t>
      </w:r>
      <w:r>
        <w:rPr>
          <w:spacing w:val="3"/>
        </w:rPr>
        <w:t>de </w:t>
      </w:r>
      <w:r>
        <w:rPr/>
        <w:t>10 mil pruebas a estudiantes de tercer año de preescolar en aproximadamente mil 100 escuelas y a alrededor de 13 mil estudiantes  de sexto  de primaria en más de 700 planteles educativos. En 2008, la evaluación de tercer grado de secundaria abarcó a más de 100 mil estudiantes </w:t>
      </w:r>
      <w:r>
        <w:rPr>
          <w:spacing w:val="3"/>
        </w:rPr>
        <w:t>de </w:t>
      </w:r>
      <w:r>
        <w:rPr/>
        <w:t>aproximadamente 4 mil escuelas (INEE,</w:t>
      </w:r>
      <w:r>
        <w:rPr>
          <w:spacing w:val="26"/>
        </w:rPr>
        <w:t> </w:t>
      </w:r>
      <w:r>
        <w:rPr/>
        <w:t>2011).</w:t>
      </w:r>
    </w:p>
    <w:p>
      <w:pPr>
        <w:pStyle w:val="BodyText"/>
        <w:spacing w:line="364" w:lineRule="auto" w:before="10"/>
        <w:ind w:left="116" w:right="107" w:firstLine="686"/>
        <w:jc w:val="both"/>
      </w:pPr>
      <w:r>
        <w:rPr/>
        <w:t>Aunque el porcentaje de estudiantes evaluados en cada grado </w:t>
      </w:r>
      <w:r>
        <w:rPr>
          <w:spacing w:val="-3"/>
        </w:rPr>
        <w:t>es </w:t>
      </w:r>
      <w:r>
        <w:rPr/>
        <w:t>pequeño, las estimaciones que hace el INEE son bastante precisas y confiables. Cada escuela tiene la misma probabilidad de ser seleccionada en </w:t>
      </w:r>
      <w:r>
        <w:rPr>
          <w:spacing w:val="-3"/>
        </w:rPr>
        <w:t>la </w:t>
      </w:r>
      <w:r>
        <w:rPr/>
        <w:t>muestra; asimismo,  al interior de cada escuela y grado escolar, todos los estudiantes tienen la misma probabilidad de </w:t>
      </w:r>
      <w:r>
        <w:rPr>
          <w:spacing w:val="2"/>
        </w:rPr>
        <w:t>ser </w:t>
      </w:r>
      <w:r>
        <w:rPr/>
        <w:t>seleccionados para responder </w:t>
      </w:r>
      <w:r>
        <w:rPr>
          <w:spacing w:val="-4"/>
        </w:rPr>
        <w:t>la </w:t>
      </w:r>
      <w:r>
        <w:rPr>
          <w:spacing w:val="-2"/>
        </w:rPr>
        <w:t> </w:t>
      </w:r>
      <w:r>
        <w:rPr/>
        <w:t>prueba.</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6" w:right="804" w:firstLine="686"/>
        <w:jc w:val="both"/>
      </w:pPr>
      <w:r>
        <w:rPr/>
        <w:t>Las evaluaciones que realiza el INEE no </w:t>
      </w:r>
      <w:r>
        <w:rPr>
          <w:spacing w:val="2"/>
        </w:rPr>
        <w:t>son </w:t>
      </w:r>
      <w:r>
        <w:rPr/>
        <w:t>voluntarias: todas las escuelas  y alumnos del país tienen </w:t>
      </w:r>
      <w:r>
        <w:rPr>
          <w:spacing w:val="-4"/>
        </w:rPr>
        <w:t>la </w:t>
      </w:r>
      <w:r>
        <w:rPr/>
        <w:t>obligación de participar en las evaluaciones de gran escala que se realizan año con año. El plan de evaluación de los Excale </w:t>
      </w:r>
      <w:r>
        <w:rPr>
          <w:spacing w:val="4"/>
        </w:rPr>
        <w:t>se </w:t>
      </w:r>
      <w:r>
        <w:rPr/>
        <w:t>basa  en un programa cuatrianual; es decir, un mismo grado se evaluará cada cuatro  años, tal como se muestra en </w:t>
      </w:r>
      <w:r>
        <w:rPr>
          <w:spacing w:val="-5"/>
        </w:rPr>
        <w:t>la </w:t>
      </w:r>
      <w:r>
        <w:rPr/>
        <w:t>siguiente  tabla.</w:t>
      </w:r>
    </w:p>
    <w:p>
      <w:pPr>
        <w:pStyle w:val="BodyText"/>
        <w:spacing w:before="2"/>
        <w:rPr>
          <w:sz w:val="24"/>
        </w:rPr>
      </w:pPr>
    </w:p>
    <w:p>
      <w:pPr>
        <w:spacing w:before="0"/>
        <w:ind w:left="1609" w:right="2307" w:firstLine="0"/>
        <w:jc w:val="center"/>
        <w:rPr>
          <w:b/>
          <w:sz w:val="21"/>
        </w:rPr>
      </w:pPr>
      <w:r>
        <w:rPr>
          <w:b/>
          <w:sz w:val="21"/>
        </w:rPr>
        <w:t>Tabla N° 21</w:t>
      </w:r>
    </w:p>
    <w:p>
      <w:pPr>
        <w:spacing w:before="13"/>
        <w:ind w:left="1615" w:right="2307" w:firstLine="0"/>
        <w:jc w:val="center"/>
        <w:rPr>
          <w:b/>
          <w:sz w:val="21"/>
        </w:rPr>
      </w:pPr>
      <w:r>
        <w:rPr>
          <w:b/>
          <w:sz w:val="21"/>
        </w:rPr>
        <w:t>Plan de Evaluación por grados y asignaturas  escolares</w:t>
      </w:r>
    </w:p>
    <w:p>
      <w:pPr>
        <w:pStyle w:val="BodyText"/>
        <w:spacing w:before="1"/>
        <w:rPr>
          <w:b/>
          <w:sz w:val="21"/>
        </w:rPr>
      </w:pPr>
      <w:r>
        <w:rPr/>
        <w:drawing>
          <wp:anchor distT="0" distB="0" distL="0" distR="0" allowOverlap="1" layoutInCell="1" locked="0" behindDoc="0" simplePos="0" relativeHeight="3376">
            <wp:simplePos x="0" y="0"/>
            <wp:positionH relativeFrom="page">
              <wp:posOffset>1051547</wp:posOffset>
            </wp:positionH>
            <wp:positionV relativeFrom="paragraph">
              <wp:posOffset>179043</wp:posOffset>
            </wp:positionV>
            <wp:extent cx="5904002" cy="1901952"/>
            <wp:effectExtent l="0" t="0" r="0" b="0"/>
            <wp:wrapTopAndBottom/>
            <wp:docPr id="23" name="image27.png" descr=""/>
            <wp:cNvGraphicFramePr>
              <a:graphicFrameLocks noChangeAspect="1"/>
            </wp:cNvGraphicFramePr>
            <a:graphic>
              <a:graphicData uri="http://schemas.openxmlformats.org/drawingml/2006/picture">
                <pic:pic>
                  <pic:nvPicPr>
                    <pic:cNvPr id="24" name="image27.png"/>
                    <pic:cNvPicPr/>
                  </pic:nvPicPr>
                  <pic:blipFill>
                    <a:blip r:embed="rId80" cstate="print"/>
                    <a:stretch>
                      <a:fillRect/>
                    </a:stretch>
                  </pic:blipFill>
                  <pic:spPr>
                    <a:xfrm>
                      <a:off x="0" y="0"/>
                      <a:ext cx="5904002" cy="1901952"/>
                    </a:xfrm>
                    <a:prstGeom prst="rect">
                      <a:avLst/>
                    </a:prstGeom>
                  </pic:spPr>
                </pic:pic>
              </a:graphicData>
            </a:graphic>
          </wp:anchor>
        </w:drawing>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2"/>
        <w:rPr>
          <w:b/>
          <w:sz w:val="25"/>
        </w:rPr>
      </w:pPr>
    </w:p>
    <w:p>
      <w:pPr>
        <w:pStyle w:val="BodyText"/>
        <w:spacing w:line="367" w:lineRule="auto"/>
        <w:ind w:left="116" w:right="812" w:firstLine="350"/>
        <w:jc w:val="both"/>
      </w:pPr>
      <w:r>
        <w:rPr/>
        <w:pict>
          <v:group style="position:absolute;margin-left:442.799988pt;margin-top:-65.532127pt;width:46.8pt;height:6.5pt;mso-position-horizontal-relative:page;mso-position-vertical-relative:paragraph;z-index:3400" coordorigin="8856,-1311" coordsize="936,130">
            <v:shape style="position:absolute;left:8856;top:-1311;width:86;height:130" type="#_x0000_t75" stroked="false">
              <v:imagedata r:id="rId81" o:title=""/>
            </v:shape>
            <v:shape style="position:absolute;left:8957;top:-1282;width:245;height:101" type="#_x0000_t75" stroked="false">
              <v:imagedata r:id="rId82" o:title=""/>
            </v:shape>
            <v:shape style="position:absolute;left:9216;top:-1282;width:101;height:101" type="#_x0000_t75" stroked="false">
              <v:imagedata r:id="rId83" o:title=""/>
            </v:shape>
            <v:shape style="position:absolute;left:9547;top:-1311;width:245;height:130" type="#_x0000_t75" stroked="false">
              <v:imagedata r:id="rId84" o:title=""/>
            </v:shape>
            <v:shape style="position:absolute;left:9331;top:-1282;width:158;height:101" type="#_x0000_t75" stroked="false">
              <v:imagedata r:id="rId85" o:title=""/>
            </v:shape>
            <w10:wrap type="none"/>
          </v:group>
        </w:pict>
      </w:r>
      <w:r>
        <w:rPr/>
        <w:pict>
          <v:group style="position:absolute;margin-left:493.199005pt;margin-top:-65.532127pt;width:25.2pt;height:6.5pt;mso-position-horizontal-relative:page;mso-position-vertical-relative:paragraph;z-index:3424" coordorigin="9864,-1311" coordsize="504,130">
            <v:shape style="position:absolute;left:9864;top:-1311;width:360;height:130" type="#_x0000_t75" stroked="false">
              <v:imagedata r:id="rId86" o:title=""/>
            </v:shape>
            <v:shape style="position:absolute;left:10238;top:-1311;width:130;height:130" type="#_x0000_t75" stroked="false">
              <v:imagedata r:id="rId87" o:title=""/>
            </v:shape>
            <w10:wrap type="none"/>
          </v:group>
        </w:pict>
      </w:r>
      <w:r>
        <w:rPr/>
        <w:pict>
          <v:group style="position:absolute;margin-left:87.839996pt;margin-top:-67.691132pt;width:106.6pt;height:40.35pt;mso-position-horizontal-relative:page;mso-position-vertical-relative:paragraph;z-index:3448" coordorigin="1757,-1354" coordsize="2132,807">
            <v:shape style="position:absolute;left:1757;top:-1354;width:418;height:288" type="#_x0000_t75" stroked="false">
              <v:imagedata r:id="rId88" o:title=""/>
            </v:shape>
            <v:shape style="position:absolute;left:2002;top:-1181;width:302;height:115" type="#_x0000_t75" stroked="false">
              <v:imagedata r:id="rId89" o:title=""/>
            </v:shape>
            <v:shape style="position:absolute;left:2318;top:-1181;width:115;height:115" type="#_x0000_t75" stroked="false">
              <v:imagedata r:id="rId90" o:title=""/>
            </v:shape>
            <v:shape style="position:absolute;left:2477;top:-1181;width:158;height:115" type="#_x0000_t75" stroked="false">
              <v:imagedata r:id="rId91" o:title=""/>
            </v:shape>
            <v:shape style="position:absolute;left:2678;top:-1181;width:130;height:115" type="#_x0000_t75" stroked="false">
              <v:imagedata r:id="rId92" o:title=""/>
            </v:shape>
            <v:shape style="position:absolute;left:2822;top:-1181;width:346;height:144" type="#_x0000_t75" stroked="false">
              <v:imagedata r:id="rId93" o:title=""/>
            </v:shape>
            <v:shape style="position:absolute;left:1886;top:-1138;width:58;height:43" type="#_x0000_t75" stroked="false">
              <v:imagedata r:id="rId94" o:title=""/>
            </v:shape>
            <v:shape style="position:absolute;left:2045;top:-1008;width:403;height:115" type="#_x0000_t75" stroked="false">
              <v:imagedata r:id="rId95" o:title=""/>
            </v:shape>
            <v:shape style="position:absolute;left:2491;top:-1008;width:158;height:115" type="#_x0000_t75" stroked="false">
              <v:imagedata r:id="rId96" o:title=""/>
            </v:shape>
            <v:shape style="position:absolute;left:2693;top:-1023;width:835;height:130" type="#_x0000_t75" stroked="false">
              <v:imagedata r:id="rId97" o:title=""/>
            </v:shape>
            <v:shape style="position:absolute;left:2016;top:-835;width:302;height:115" type="#_x0000_t75" stroked="false">
              <v:imagedata r:id="rId98" o:title=""/>
            </v:shape>
            <v:shape style="position:absolute;left:2693;top:-835;width:533;height:115" type="#_x0000_t75" stroked="false">
              <v:imagedata r:id="rId99" o:title=""/>
            </v:shape>
            <v:shape style="position:absolute;left:3283;top:-835;width:288;height:115" type="#_x0000_t75" stroked="false">
              <v:imagedata r:id="rId100" o:title=""/>
            </v:shape>
            <v:shape style="position:absolute;left:3586;top:-835;width:302;height:115" type="#_x0000_t75" stroked="false">
              <v:imagedata r:id="rId101" o:title=""/>
            </v:shape>
            <v:shape style="position:absolute;left:1757;top:-1008;width:216;height:461" type="#_x0000_t75" stroked="false">
              <v:imagedata r:id="rId102" o:title=""/>
            </v:shape>
            <v:shape style="position:absolute;left:2002;top:-663;width:216;height:115" type="#_x0000_t75" stroked="false">
              <v:imagedata r:id="rId103" o:title=""/>
            </v:shape>
            <v:shape style="position:absolute;left:2232;top:-835;width:418;height:288" type="#_x0000_t75" stroked="false">
              <v:imagedata r:id="rId104" o:title=""/>
            </v:shape>
            <v:shape style="position:absolute;left:2664;top:-663;width:202;height:115" type="#_x0000_t75" stroked="false">
              <v:imagedata r:id="rId105" o:title=""/>
            </v:shape>
            <v:shape style="position:absolute;left:2880;top:-663;width:317;height:115" type="#_x0000_t75" stroked="false">
              <v:imagedata r:id="rId106" o:title=""/>
            </v:shape>
            <v:shape style="position:absolute;left:3254;top:-663;width:331;height:115" type="#_x0000_t75" stroked="false">
              <v:imagedata r:id="rId107" o:title=""/>
            </v:shape>
            <v:shape style="position:absolute;left:3600;top:-663;width:173;height:115" type="#_x0000_t75" stroked="false">
              <v:imagedata r:id="rId108" o:title=""/>
            </v:shape>
            <v:shape style="position:absolute;left:2549;top:-634;width:72;height:86" type="#_x0000_t75" stroked="false">
              <v:imagedata r:id="rId109" o:title=""/>
            </v:shape>
            <v:shape style="position:absolute;left:1872;top:-619;width:72;height:43" type="#_x0000_t75" stroked="false">
              <v:imagedata r:id="rId110" o:title=""/>
            </v:shape>
            <w10:wrap type="none"/>
          </v:group>
        </w:pict>
      </w:r>
      <w:r>
        <w:rPr/>
        <w:pict>
          <v:group style="position:absolute;margin-left:423.359009pt;margin-top:-54.012131pt;width:114.5pt;height:23.8pt;mso-position-horizontal-relative:page;mso-position-vertical-relative:paragraph;z-index:3472" coordorigin="8467,-1080" coordsize="2290,476">
            <v:shape style="position:absolute;left:8467;top:-1080;width:2290;height:317" type="#_x0000_t75" stroked="false">
              <v:imagedata r:id="rId111" o:title=""/>
            </v:shape>
            <v:shape style="position:absolute;left:8582;top:-749;width:778;height:115" type="#_x0000_t75" stroked="false">
              <v:imagedata r:id="rId112" o:title=""/>
            </v:shape>
            <v:shape style="position:absolute;left:9432;top:-749;width:605;height:144" type="#_x0000_t75" stroked="false">
              <v:imagedata r:id="rId113" o:title=""/>
            </v:shape>
            <v:shape style="position:absolute;left:10195;top:-749;width:446;height:115" type="#_x0000_t75" stroked="false">
              <v:imagedata r:id="rId114" o:title=""/>
            </v:shape>
            <w10:wrap type="none"/>
          </v:group>
        </w:pict>
      </w:r>
      <w:r>
        <w:rPr/>
        <w:t>Si </w:t>
      </w:r>
      <w:r>
        <w:rPr>
          <w:spacing w:val="-3"/>
        </w:rPr>
        <w:t>bien </w:t>
      </w:r>
      <w:r>
        <w:rPr/>
        <w:t>no es posible conocer los resultados obtenidos </w:t>
      </w:r>
      <w:r>
        <w:rPr>
          <w:spacing w:val="-3"/>
        </w:rPr>
        <w:t>en </w:t>
      </w:r>
      <w:r>
        <w:rPr/>
        <w:t>los Excale por </w:t>
      </w:r>
      <w:r>
        <w:rPr>
          <w:spacing w:val="-3"/>
        </w:rPr>
        <w:t>algún </w:t>
      </w:r>
      <w:r>
        <w:rPr/>
        <w:t>estudiante en particular, el INEE publica las cifras obtenidas por todos los alumnos a nivel nacional, estatal y/o por modalidad educativa. Desde el punto de vista de </w:t>
      </w:r>
      <w:r>
        <w:rPr>
          <w:spacing w:val="-3"/>
        </w:rPr>
        <w:t>la </w:t>
      </w:r>
      <w:r>
        <w:rPr/>
        <w:t>relación enseñanza-aprendizaje, </w:t>
      </w:r>
      <w:r>
        <w:rPr>
          <w:spacing w:val="-4"/>
        </w:rPr>
        <w:t>la</w:t>
      </w:r>
      <w:r>
        <w:rPr>
          <w:spacing w:val="55"/>
        </w:rPr>
        <w:t> </w:t>
      </w:r>
      <w:r>
        <w:rPr/>
        <w:t>aplicación de los  Excale  permite  cubrir diversos objetivos, de acuerdo </w:t>
      </w:r>
      <w:r>
        <w:rPr>
          <w:spacing w:val="2"/>
        </w:rPr>
        <w:t>con </w:t>
      </w:r>
      <w:r>
        <w:rPr/>
        <w:t>el</w:t>
      </w:r>
      <w:r>
        <w:rPr>
          <w:spacing w:val="33"/>
        </w:rPr>
        <w:t> </w:t>
      </w:r>
      <w:r>
        <w:rPr/>
        <w:t>INEE:</w:t>
      </w:r>
    </w:p>
    <w:p>
      <w:pPr>
        <w:pStyle w:val="ListParagraph"/>
        <w:numPr>
          <w:ilvl w:val="0"/>
          <w:numId w:val="18"/>
        </w:numPr>
        <w:tabs>
          <w:tab w:pos="817" w:val="left" w:leader="none"/>
        </w:tabs>
        <w:spacing w:line="364" w:lineRule="auto" w:before="0" w:after="0"/>
        <w:ind w:left="816" w:right="809" w:hanging="350"/>
        <w:jc w:val="both"/>
        <w:rPr>
          <w:sz w:val="23"/>
        </w:rPr>
      </w:pPr>
      <w:r>
        <w:rPr>
          <w:sz w:val="23"/>
        </w:rPr>
        <w:t>proporcionar un conocimiento general del rendimiento académico de </w:t>
      </w:r>
      <w:r>
        <w:rPr>
          <w:spacing w:val="-2"/>
          <w:sz w:val="23"/>
        </w:rPr>
        <w:t>los </w:t>
      </w:r>
      <w:r>
        <w:rPr>
          <w:sz w:val="23"/>
        </w:rPr>
        <w:t>estudiantes como resultado de su escolarización formal,  con  distintos grados de desagregación, entre </w:t>
      </w:r>
      <w:r>
        <w:rPr>
          <w:spacing w:val="-3"/>
          <w:sz w:val="23"/>
        </w:rPr>
        <w:t>los </w:t>
      </w:r>
      <w:r>
        <w:rPr>
          <w:sz w:val="23"/>
        </w:rPr>
        <w:t>que se encuentran los  estratos  escolares </w:t>
      </w:r>
      <w:r>
        <w:rPr>
          <w:spacing w:val="3"/>
          <w:sz w:val="23"/>
        </w:rPr>
        <w:t>de </w:t>
      </w:r>
      <w:r>
        <w:rPr>
          <w:sz w:val="23"/>
        </w:rPr>
        <w:t>primaria (escuelas urbanas públicas, rurales públicas, cursos comunitarios, educación indígena, y escuelas privadas) y las modalidades educativas </w:t>
      </w:r>
      <w:r>
        <w:rPr>
          <w:spacing w:val="-3"/>
          <w:sz w:val="23"/>
        </w:rPr>
        <w:t>de </w:t>
      </w:r>
      <w:r>
        <w:rPr>
          <w:sz w:val="23"/>
        </w:rPr>
        <w:t>secundaria (escuelas generales, técnicas, telesecundarias y escuelas</w:t>
      </w:r>
      <w:r>
        <w:rPr>
          <w:spacing w:val="16"/>
          <w:sz w:val="23"/>
        </w:rPr>
        <w:t> </w:t>
      </w:r>
      <w:r>
        <w:rPr>
          <w:sz w:val="23"/>
        </w:rPr>
        <w:t>privadas);</w:t>
      </w:r>
    </w:p>
    <w:p>
      <w:pPr>
        <w:spacing w:after="0" w:line="364" w:lineRule="auto"/>
        <w:jc w:val="both"/>
        <w:rPr>
          <w:sz w:val="23"/>
        </w:rPr>
        <w:sectPr>
          <w:pgSz w:w="11910" w:h="16840"/>
          <w:pgMar w:header="0" w:footer="1457" w:top="1580" w:bottom="1640" w:left="1540" w:right="840"/>
        </w:sectPr>
      </w:pPr>
    </w:p>
    <w:p>
      <w:pPr>
        <w:pStyle w:val="BodyText"/>
        <w:rPr>
          <w:sz w:val="20"/>
        </w:rPr>
      </w:pPr>
    </w:p>
    <w:p>
      <w:pPr>
        <w:pStyle w:val="BodyText"/>
        <w:spacing w:before="2"/>
        <w:rPr>
          <w:sz w:val="16"/>
        </w:rPr>
      </w:pPr>
    </w:p>
    <w:p>
      <w:pPr>
        <w:pStyle w:val="ListParagraph"/>
        <w:numPr>
          <w:ilvl w:val="0"/>
          <w:numId w:val="18"/>
        </w:numPr>
        <w:tabs>
          <w:tab w:pos="817" w:val="left" w:leader="none"/>
        </w:tabs>
        <w:spacing w:line="369" w:lineRule="auto" w:before="74" w:after="0"/>
        <w:ind w:left="816" w:right="112" w:hanging="350"/>
        <w:jc w:val="left"/>
        <w:rPr>
          <w:sz w:val="23"/>
        </w:rPr>
      </w:pPr>
      <w:r>
        <w:rPr>
          <w:sz w:val="23"/>
        </w:rPr>
        <w:t>permitir comparaciones del rendimiento escolar entre diversas regiones geográficas, así como entre distintas modalidades</w:t>
      </w:r>
      <w:r>
        <w:rPr>
          <w:spacing w:val="54"/>
          <w:sz w:val="23"/>
        </w:rPr>
        <w:t> </w:t>
      </w:r>
      <w:r>
        <w:rPr>
          <w:sz w:val="23"/>
        </w:rPr>
        <w:t>educativas;</w:t>
      </w:r>
    </w:p>
    <w:p>
      <w:pPr>
        <w:pStyle w:val="ListParagraph"/>
        <w:numPr>
          <w:ilvl w:val="0"/>
          <w:numId w:val="18"/>
        </w:numPr>
        <w:tabs>
          <w:tab w:pos="817" w:val="left" w:leader="none"/>
        </w:tabs>
        <w:spacing w:line="364" w:lineRule="auto" w:before="0" w:after="0"/>
        <w:ind w:left="816" w:right="106" w:hanging="350"/>
        <w:jc w:val="left"/>
        <w:rPr>
          <w:sz w:val="23"/>
        </w:rPr>
      </w:pPr>
      <w:r>
        <w:rPr>
          <w:sz w:val="23"/>
        </w:rPr>
        <w:t>conocer los puntos fuertes y débiles del aprendizaje de los estudiantes en distintos grados y áreas temáticas del</w:t>
      </w:r>
      <w:r>
        <w:rPr>
          <w:spacing w:val="48"/>
          <w:sz w:val="23"/>
        </w:rPr>
        <w:t> </w:t>
      </w:r>
      <w:r>
        <w:rPr>
          <w:sz w:val="23"/>
        </w:rPr>
        <w:t>currículum;</w:t>
      </w:r>
    </w:p>
    <w:p>
      <w:pPr>
        <w:pStyle w:val="ListParagraph"/>
        <w:numPr>
          <w:ilvl w:val="0"/>
          <w:numId w:val="18"/>
        </w:numPr>
        <w:tabs>
          <w:tab w:pos="816" w:val="left" w:leader="none"/>
        </w:tabs>
        <w:spacing w:line="364" w:lineRule="auto" w:before="5" w:after="0"/>
        <w:ind w:left="816" w:right="115" w:hanging="350"/>
        <w:jc w:val="left"/>
        <w:rPr>
          <w:sz w:val="23"/>
        </w:rPr>
      </w:pPr>
      <w:r>
        <w:rPr>
          <w:sz w:val="23"/>
        </w:rPr>
        <w:t>conocer las tendencias a lo largo del tiempo del aprendizaje de </w:t>
      </w:r>
      <w:r>
        <w:rPr>
          <w:spacing w:val="-2"/>
          <w:sz w:val="23"/>
        </w:rPr>
        <w:t>las </w:t>
      </w:r>
      <w:r>
        <w:rPr>
          <w:sz w:val="23"/>
        </w:rPr>
        <w:t>Matemáticas, el Español, las Ciencias Naturales y las Ciencias </w:t>
      </w:r>
      <w:r>
        <w:rPr>
          <w:spacing w:val="5"/>
          <w:sz w:val="23"/>
        </w:rPr>
        <w:t> </w:t>
      </w:r>
      <w:r>
        <w:rPr>
          <w:sz w:val="23"/>
        </w:rPr>
        <w:t>Sociales;</w:t>
      </w:r>
    </w:p>
    <w:p>
      <w:pPr>
        <w:pStyle w:val="ListParagraph"/>
        <w:numPr>
          <w:ilvl w:val="0"/>
          <w:numId w:val="18"/>
        </w:numPr>
        <w:tabs>
          <w:tab w:pos="817" w:val="left" w:leader="none"/>
        </w:tabs>
        <w:spacing w:line="364" w:lineRule="auto" w:before="5" w:after="0"/>
        <w:ind w:left="816" w:right="109" w:hanging="350"/>
        <w:jc w:val="left"/>
        <w:rPr>
          <w:sz w:val="23"/>
        </w:rPr>
      </w:pPr>
      <w:r>
        <w:rPr>
          <w:sz w:val="23"/>
        </w:rPr>
        <w:t>analizar algunas variables de contexto que influyen  de manera importante  en el logro escolar;</w:t>
      </w:r>
      <w:r>
        <w:rPr>
          <w:spacing w:val="19"/>
          <w:sz w:val="23"/>
        </w:rPr>
        <w:t> </w:t>
      </w:r>
      <w:r>
        <w:rPr>
          <w:sz w:val="23"/>
        </w:rPr>
        <w:t>e,</w:t>
      </w:r>
    </w:p>
    <w:p>
      <w:pPr>
        <w:pStyle w:val="ListParagraph"/>
        <w:numPr>
          <w:ilvl w:val="0"/>
          <w:numId w:val="18"/>
        </w:numPr>
        <w:tabs>
          <w:tab w:pos="816" w:val="left" w:leader="none"/>
          <w:tab w:pos="817" w:val="left" w:leader="none"/>
        </w:tabs>
        <w:spacing w:line="364" w:lineRule="auto" w:before="5" w:after="0"/>
        <w:ind w:left="816" w:right="110" w:hanging="350"/>
        <w:jc w:val="left"/>
        <w:rPr>
          <w:sz w:val="23"/>
        </w:rPr>
      </w:pPr>
      <w:r>
        <w:rPr>
          <w:sz w:val="23"/>
        </w:rPr>
        <w:t>identificar el crecimiento o estancamiento de </w:t>
      </w:r>
      <w:r>
        <w:rPr>
          <w:spacing w:val="-3"/>
          <w:sz w:val="23"/>
        </w:rPr>
        <w:t>los </w:t>
      </w:r>
      <w:r>
        <w:rPr>
          <w:sz w:val="23"/>
        </w:rPr>
        <w:t>aprendizajes en </w:t>
      </w:r>
      <w:r>
        <w:rPr>
          <w:spacing w:val="-2"/>
          <w:sz w:val="23"/>
        </w:rPr>
        <w:t>las </w:t>
      </w:r>
      <w:r>
        <w:rPr>
          <w:sz w:val="23"/>
        </w:rPr>
        <w:t>disciplinas evaluadas (INEE,</w:t>
      </w:r>
      <w:r>
        <w:rPr>
          <w:spacing w:val="36"/>
          <w:sz w:val="23"/>
        </w:rPr>
        <w:t> </w:t>
      </w:r>
      <w:r>
        <w:rPr>
          <w:sz w:val="23"/>
        </w:rPr>
        <w:t>2011).</w:t>
      </w:r>
    </w:p>
    <w:p>
      <w:pPr>
        <w:pStyle w:val="BodyText"/>
        <w:spacing w:before="9"/>
      </w:pPr>
    </w:p>
    <w:p>
      <w:pPr>
        <w:pStyle w:val="BodyText"/>
        <w:spacing w:line="364" w:lineRule="auto"/>
        <w:ind w:left="115" w:right="107" w:firstLine="350"/>
        <w:jc w:val="both"/>
      </w:pPr>
      <w:r>
        <w:rPr/>
        <w:t>Cada prueba Excale </w:t>
      </w:r>
      <w:r>
        <w:rPr>
          <w:spacing w:val="3"/>
        </w:rPr>
        <w:t>se </w:t>
      </w:r>
      <w:r>
        <w:rPr/>
        <w:t>elabora con mucho tiempo de anticipación; </w:t>
      </w:r>
      <w:r>
        <w:rPr>
          <w:spacing w:val="2"/>
        </w:rPr>
        <w:t>su </w:t>
      </w:r>
      <w:r>
        <w:rPr/>
        <w:t>realización abarca diferentes etapas, en cada una de las cuales participa no sólo    el personal técnico del INEE, sino grupos de profesionales, expertos </w:t>
      </w:r>
      <w:r>
        <w:rPr>
          <w:spacing w:val="-3"/>
        </w:rPr>
        <w:t>en </w:t>
      </w:r>
      <w:r>
        <w:rPr/>
        <w:t>currículo, profesores </w:t>
      </w:r>
      <w:r>
        <w:rPr>
          <w:spacing w:val="-3"/>
        </w:rPr>
        <w:t>en </w:t>
      </w:r>
      <w:r>
        <w:rPr/>
        <w:t>servicio, autores de </w:t>
      </w:r>
      <w:r>
        <w:rPr>
          <w:spacing w:val="-3"/>
        </w:rPr>
        <w:t>libros, </w:t>
      </w:r>
      <w:r>
        <w:rPr/>
        <w:t>entre otros, quienes conforman distintos comités. </w:t>
      </w:r>
      <w:r>
        <w:rPr>
          <w:spacing w:val="-3"/>
        </w:rPr>
        <w:t>Las </w:t>
      </w:r>
      <w:r>
        <w:rPr/>
        <w:t>labores de estos comités abarcan diversas tareas:  analizar  el currículo y seleccionar los contenidos que se evaluarán; definir las características  de los reactivos que conformarán la prueba; formular, revisar y pilotear </w:t>
      </w:r>
      <w:r>
        <w:rPr>
          <w:spacing w:val="-2"/>
        </w:rPr>
        <w:t>las </w:t>
      </w:r>
      <w:r>
        <w:rPr/>
        <w:t>preguntas así como ensayar las condiciones reales de aplicación de los </w:t>
      </w:r>
      <w:r>
        <w:rPr>
          <w:spacing w:val="18"/>
        </w:rPr>
        <w:t> </w:t>
      </w:r>
      <w:r>
        <w:rPr/>
        <w:t>Excale.</w:t>
      </w:r>
    </w:p>
    <w:p>
      <w:pPr>
        <w:pStyle w:val="BodyText"/>
        <w:spacing w:line="364" w:lineRule="auto" w:before="5"/>
        <w:ind w:left="115" w:right="109" w:firstLine="350"/>
        <w:jc w:val="both"/>
      </w:pPr>
      <w:r>
        <w:rPr/>
        <w:t>La prueba se aplica a una muestra nacional de estudiantes. El equipo de personas que </w:t>
      </w:r>
      <w:r>
        <w:rPr>
          <w:spacing w:val="-2"/>
        </w:rPr>
        <w:t>aplica </w:t>
      </w:r>
      <w:r>
        <w:rPr>
          <w:spacing w:val="-5"/>
        </w:rPr>
        <w:t>la </w:t>
      </w:r>
      <w:r>
        <w:rPr/>
        <w:t>prueba se compone por personal del INEE  y  por  aplicadores contratados y capacitados especialmente para llevar a  cabo  </w:t>
      </w:r>
      <w:r>
        <w:rPr>
          <w:spacing w:val="-3"/>
        </w:rPr>
        <w:t>esta  </w:t>
      </w:r>
      <w:r>
        <w:rPr/>
        <w:t>tarea. La información se recaba a través </w:t>
      </w:r>
      <w:r>
        <w:rPr>
          <w:spacing w:val="-3"/>
        </w:rPr>
        <w:t>de </w:t>
      </w:r>
      <w:r>
        <w:rPr/>
        <w:t>procedimientos estandarizados y una supervisión eficaz. Todo el proceso está diseñado para asegurar que la prueba arroje resultados confiables. Las evaluaciones se realizan </w:t>
      </w:r>
      <w:r>
        <w:rPr>
          <w:spacing w:val="2"/>
        </w:rPr>
        <w:t>al  </w:t>
      </w:r>
      <w:r>
        <w:rPr/>
        <w:t>mismo  tiempo  en todas las escuelas</w:t>
      </w:r>
      <w:r>
        <w:rPr>
          <w:spacing w:val="38"/>
        </w:rPr>
        <w:t> </w:t>
      </w:r>
      <w:r>
        <w:rPr/>
        <w:t>participantes.</w:t>
      </w:r>
    </w:p>
    <w:p>
      <w:pPr>
        <w:pStyle w:val="BodyText"/>
        <w:spacing w:line="364" w:lineRule="auto" w:before="5"/>
        <w:ind w:left="115" w:right="105" w:firstLine="350"/>
        <w:jc w:val="both"/>
      </w:pPr>
      <w:r>
        <w:rPr/>
        <w:t>La información que </w:t>
      </w:r>
      <w:r>
        <w:rPr>
          <w:spacing w:val="2"/>
        </w:rPr>
        <w:t>se </w:t>
      </w:r>
      <w:r>
        <w:rPr/>
        <w:t>recaba individualmente de los directores y </w:t>
      </w:r>
      <w:r>
        <w:rPr>
          <w:spacing w:val="-3"/>
        </w:rPr>
        <w:t>sus </w:t>
      </w:r>
      <w:r>
        <w:rPr/>
        <w:t>escuelas, de los docentes y sus aulas, así como de los estudiantes y sus familias, es confidencial. Después </w:t>
      </w:r>
      <w:r>
        <w:rPr>
          <w:spacing w:val="-3"/>
        </w:rPr>
        <w:t>de </w:t>
      </w:r>
      <w:r>
        <w:rPr/>
        <w:t>que se reportan </w:t>
      </w:r>
      <w:r>
        <w:rPr>
          <w:spacing w:val="-3"/>
        </w:rPr>
        <w:t>los </w:t>
      </w:r>
      <w:r>
        <w:rPr/>
        <w:t>resultados de </w:t>
      </w:r>
      <w:r>
        <w:rPr>
          <w:spacing w:val="-3"/>
        </w:rPr>
        <w:t>las </w:t>
      </w:r>
      <w:r>
        <w:rPr/>
        <w:t>evaluaciones, el INEE pone a disposición de todos </w:t>
      </w:r>
      <w:r>
        <w:rPr>
          <w:spacing w:val="-3"/>
        </w:rPr>
        <w:t>los </w:t>
      </w:r>
      <w:r>
        <w:rPr/>
        <w:t>interesados las bases </w:t>
      </w:r>
      <w:r>
        <w:rPr>
          <w:spacing w:val="-3"/>
        </w:rPr>
        <w:t>de datos </w:t>
      </w:r>
      <w:r>
        <w:rPr/>
        <w:t>sin </w:t>
      </w:r>
      <w:r>
        <w:rPr>
          <w:spacing w:val="-3"/>
        </w:rPr>
        <w:t>los </w:t>
      </w:r>
      <w:r>
        <w:rPr/>
        <w:t>nombres de los estudiantes </w:t>
      </w:r>
      <w:r>
        <w:rPr>
          <w:spacing w:val="2"/>
        </w:rPr>
        <w:t>ni </w:t>
      </w:r>
      <w:r>
        <w:rPr/>
        <w:t>de los planteles, para asegurar que éstos  no  puedan ser</w:t>
      </w:r>
      <w:r>
        <w:rPr>
          <w:spacing w:val="22"/>
        </w:rPr>
        <w:t> </w:t>
      </w:r>
      <w:r>
        <w:rPr/>
        <w:t>identificados.</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6" w:right="106" w:firstLine="350"/>
        <w:jc w:val="both"/>
      </w:pPr>
      <w:r>
        <w:rPr/>
        <w:t>Los resultados de los Excale, según el INEE, permiten conocer lo que los estudiantes aprenden del currículo; sin embargo, esta información no es suficiente para entender las diferencias que logran en el aprendizaje. Por eso el INEE recaba información de diversas variables de contexto sobre los alumnos y sus familias, los docentes y el aula, y el director y la escuela. Es de especial interés conocer las oportunidades  de aprendizaje a las que están expuestos los  estudiantes, a fin    de</w:t>
      </w:r>
    </w:p>
    <w:p>
      <w:pPr>
        <w:pStyle w:val="BodyText"/>
        <w:spacing w:line="333" w:lineRule="auto" w:before="5"/>
        <w:ind w:left="116" w:right="191"/>
        <w:rPr>
          <w:sz w:val="15"/>
        </w:rPr>
      </w:pPr>
      <w:r>
        <w:rPr/>
        <w:t>explicar las diferencias en el logro educativo de los distintos tipos de centros escolares.</w:t>
      </w:r>
      <w:r>
        <w:rPr>
          <w:position w:val="11"/>
          <w:sz w:val="15"/>
        </w:rPr>
        <w:t>61</w:t>
      </w:r>
    </w:p>
    <w:p>
      <w:pPr>
        <w:pStyle w:val="BodyText"/>
        <w:spacing w:line="364" w:lineRule="auto" w:before="24"/>
        <w:ind w:left="116" w:right="108" w:firstLine="350"/>
        <w:jc w:val="both"/>
      </w:pPr>
      <w:r>
        <w:rPr/>
        <w:t>Esta fase se inicia con un análisis de los resultados con el fin de establecer los niveles de logro de los estudiantes; se realizan los primeros análisis estadísticos poniendo especial énfasis en el comportamiento psicométrico de las pruebas aplicadas. Los niveles de logro que han sido utilizados por el INEE  son:</w:t>
      </w:r>
    </w:p>
    <w:p>
      <w:pPr>
        <w:pStyle w:val="BodyText"/>
        <w:spacing w:before="2"/>
        <w:rPr>
          <w:sz w:val="24"/>
        </w:rPr>
      </w:pPr>
    </w:p>
    <w:p>
      <w:pPr>
        <w:spacing w:line="242" w:lineRule="auto" w:before="0"/>
        <w:ind w:left="3221" w:right="2585" w:firstLine="787"/>
        <w:jc w:val="left"/>
        <w:rPr>
          <w:b/>
          <w:sz w:val="21"/>
        </w:rPr>
      </w:pPr>
      <w:r>
        <w:rPr>
          <w:b/>
          <w:sz w:val="21"/>
        </w:rPr>
        <w:t>Tabla N° 22 Competencias académicas</w:t>
      </w:r>
    </w:p>
    <w:p>
      <w:pPr>
        <w:pStyle w:val="BodyText"/>
        <w:spacing w:before="5"/>
        <w:rPr>
          <w:b/>
          <w:sz w:val="20"/>
        </w:rPr>
      </w:pPr>
      <w:r>
        <w:rPr/>
        <w:drawing>
          <wp:anchor distT="0" distB="0" distL="0" distR="0" allowOverlap="1" layoutInCell="1" locked="0" behindDoc="0" simplePos="0" relativeHeight="3496">
            <wp:simplePos x="0" y="0"/>
            <wp:positionH relativeFrom="page">
              <wp:posOffset>1051547</wp:posOffset>
            </wp:positionH>
            <wp:positionV relativeFrom="paragraph">
              <wp:posOffset>174492</wp:posOffset>
            </wp:positionV>
            <wp:extent cx="5452403" cy="1731264"/>
            <wp:effectExtent l="0" t="0" r="0" b="0"/>
            <wp:wrapTopAndBottom/>
            <wp:docPr id="25" name="image62.png" descr=""/>
            <wp:cNvGraphicFramePr>
              <a:graphicFrameLocks noChangeAspect="1"/>
            </wp:cNvGraphicFramePr>
            <a:graphic>
              <a:graphicData uri="http://schemas.openxmlformats.org/drawingml/2006/picture">
                <pic:pic>
                  <pic:nvPicPr>
                    <pic:cNvPr id="26" name="image62.png"/>
                    <pic:cNvPicPr/>
                  </pic:nvPicPr>
                  <pic:blipFill>
                    <a:blip r:embed="rId115" cstate="print"/>
                    <a:stretch>
                      <a:fillRect/>
                    </a:stretch>
                  </pic:blipFill>
                  <pic:spPr>
                    <a:xfrm>
                      <a:off x="0" y="0"/>
                      <a:ext cx="5452403" cy="1731264"/>
                    </a:xfrm>
                    <a:prstGeom prst="rect">
                      <a:avLst/>
                    </a:prstGeom>
                  </pic:spPr>
                </pic:pic>
              </a:graphicData>
            </a:graphic>
          </wp:anchor>
        </w:drawing>
      </w:r>
    </w:p>
    <w:p>
      <w:pPr>
        <w:pStyle w:val="BodyText"/>
        <w:rPr>
          <w:b/>
          <w:sz w:val="20"/>
        </w:rPr>
      </w:pPr>
    </w:p>
    <w:p>
      <w:pPr>
        <w:pStyle w:val="BodyText"/>
        <w:spacing w:line="364" w:lineRule="auto" w:before="154"/>
        <w:ind w:left="116" w:right="104" w:firstLine="686"/>
        <w:jc w:val="both"/>
      </w:pPr>
      <w:r>
        <w:rPr/>
        <w:t>Estos niveles se definen de acuerdo con la asignatura y grado de que se trate. Finalmente, se realizan los informes sobre los resultados de aprendizaje de  los estudiantes evaluados, considerando las variables de contexto y de oportunidades de aprendizaje aportadas en </w:t>
      </w:r>
      <w:r>
        <w:rPr>
          <w:spacing w:val="-3"/>
        </w:rPr>
        <w:t>los </w:t>
      </w:r>
      <w:r>
        <w:rPr/>
        <w:t>cuestionarios aplicados a alumnos, docentes y directores. Asimismo, es muy importante para el INEE conocer el  </w:t>
      </w:r>
      <w:r>
        <w:rPr>
          <w:spacing w:val="20"/>
        </w:rPr>
        <w:t> </w:t>
      </w:r>
      <w:r>
        <w:rPr/>
        <w:t>logro</w:t>
      </w:r>
    </w:p>
    <w:p>
      <w:pPr>
        <w:pStyle w:val="BodyText"/>
        <w:spacing w:before="7"/>
        <w:rPr>
          <w:sz w:val="11"/>
        </w:rPr>
      </w:pPr>
      <w:r>
        <w:rPr/>
        <w:pict>
          <v:line style="position:absolute;mso-position-horizontal-relative:page;mso-position-vertical-relative:paragraph;z-index:3520;mso-wrap-distance-left:0;mso-wrap-distance-right:0" from="82.799004pt,9.003205pt" to="222.958004pt,9.003205pt" stroked="true" strokeweight=".72pt" strokecolor="#000000">
            <w10:wrap type="topAndBottom"/>
          </v:line>
        </w:pict>
      </w:r>
    </w:p>
    <w:p>
      <w:pPr>
        <w:spacing w:line="244" w:lineRule="auto" w:before="61"/>
        <w:ind w:left="115" w:right="102" w:firstLine="0"/>
        <w:jc w:val="both"/>
        <w:rPr>
          <w:sz w:val="19"/>
        </w:rPr>
      </w:pPr>
      <w:r>
        <w:rPr>
          <w:rFonts w:ascii="Times New Roman" w:hAnsi="Times New Roman"/>
          <w:spacing w:val="-3"/>
          <w:w w:val="105"/>
          <w:position w:val="9"/>
          <w:sz w:val="12"/>
        </w:rPr>
        <w:t>61</w:t>
      </w:r>
      <w:r>
        <w:rPr>
          <w:rFonts w:ascii="Times New Roman" w:hAnsi="Times New Roman"/>
          <w:spacing w:val="19"/>
          <w:w w:val="105"/>
          <w:position w:val="9"/>
          <w:sz w:val="12"/>
        </w:rPr>
        <w:t> </w:t>
      </w:r>
      <w:r>
        <w:rPr>
          <w:w w:val="105"/>
          <w:sz w:val="19"/>
        </w:rPr>
        <w:t>En</w:t>
      </w:r>
      <w:r>
        <w:rPr>
          <w:spacing w:val="-13"/>
          <w:w w:val="105"/>
          <w:sz w:val="19"/>
        </w:rPr>
        <w:t> </w:t>
      </w:r>
      <w:r>
        <w:rPr>
          <w:w w:val="105"/>
          <w:sz w:val="19"/>
        </w:rPr>
        <w:t>este</w:t>
      </w:r>
      <w:r>
        <w:rPr>
          <w:spacing w:val="-7"/>
          <w:w w:val="105"/>
          <w:sz w:val="19"/>
        </w:rPr>
        <w:t> </w:t>
      </w:r>
      <w:r>
        <w:rPr>
          <w:w w:val="105"/>
          <w:sz w:val="19"/>
        </w:rPr>
        <w:t>sentido,</w:t>
      </w:r>
      <w:r>
        <w:rPr>
          <w:spacing w:val="-14"/>
          <w:w w:val="105"/>
          <w:sz w:val="19"/>
        </w:rPr>
        <w:t> </w:t>
      </w:r>
      <w:r>
        <w:rPr>
          <w:w w:val="105"/>
          <w:sz w:val="19"/>
        </w:rPr>
        <w:t>los</w:t>
      </w:r>
      <w:r>
        <w:rPr>
          <w:spacing w:val="-11"/>
          <w:w w:val="105"/>
          <w:sz w:val="19"/>
        </w:rPr>
        <w:t> </w:t>
      </w:r>
      <w:r>
        <w:rPr>
          <w:w w:val="105"/>
          <w:sz w:val="19"/>
        </w:rPr>
        <w:t>cuestionarios</w:t>
      </w:r>
      <w:r>
        <w:rPr>
          <w:spacing w:val="-7"/>
          <w:w w:val="105"/>
          <w:sz w:val="19"/>
        </w:rPr>
        <w:t> </w:t>
      </w:r>
      <w:r>
        <w:rPr>
          <w:w w:val="105"/>
          <w:sz w:val="19"/>
        </w:rPr>
        <w:t>tienen</w:t>
      </w:r>
      <w:r>
        <w:rPr>
          <w:spacing w:val="-7"/>
          <w:w w:val="105"/>
          <w:sz w:val="19"/>
        </w:rPr>
        <w:t> </w:t>
      </w:r>
      <w:r>
        <w:rPr>
          <w:spacing w:val="-3"/>
          <w:w w:val="105"/>
          <w:sz w:val="19"/>
        </w:rPr>
        <w:t>el</w:t>
      </w:r>
      <w:r>
        <w:rPr>
          <w:spacing w:val="-7"/>
          <w:w w:val="105"/>
          <w:sz w:val="19"/>
        </w:rPr>
        <w:t> </w:t>
      </w:r>
      <w:r>
        <w:rPr>
          <w:w w:val="105"/>
          <w:sz w:val="19"/>
        </w:rPr>
        <w:t>propósito</w:t>
      </w:r>
      <w:r>
        <w:rPr>
          <w:spacing w:val="-4"/>
          <w:w w:val="105"/>
          <w:sz w:val="19"/>
        </w:rPr>
        <w:t> </w:t>
      </w:r>
      <w:r>
        <w:rPr>
          <w:w w:val="105"/>
          <w:sz w:val="19"/>
        </w:rPr>
        <w:t>de</w:t>
      </w:r>
      <w:r>
        <w:rPr>
          <w:spacing w:val="-4"/>
          <w:w w:val="105"/>
          <w:sz w:val="19"/>
        </w:rPr>
        <w:t> </w:t>
      </w:r>
      <w:r>
        <w:rPr>
          <w:w w:val="105"/>
          <w:sz w:val="19"/>
        </w:rPr>
        <w:t>recabar</w:t>
      </w:r>
      <w:r>
        <w:rPr>
          <w:spacing w:val="-7"/>
          <w:w w:val="105"/>
          <w:sz w:val="19"/>
        </w:rPr>
        <w:t> </w:t>
      </w:r>
      <w:r>
        <w:rPr>
          <w:w w:val="105"/>
          <w:sz w:val="19"/>
        </w:rPr>
        <w:t>información</w:t>
      </w:r>
      <w:r>
        <w:rPr>
          <w:spacing w:val="-4"/>
          <w:w w:val="105"/>
          <w:sz w:val="19"/>
        </w:rPr>
        <w:t> </w:t>
      </w:r>
      <w:r>
        <w:rPr>
          <w:w w:val="105"/>
          <w:sz w:val="19"/>
        </w:rPr>
        <w:t>sobre</w:t>
      </w:r>
      <w:r>
        <w:rPr>
          <w:spacing w:val="-7"/>
          <w:w w:val="105"/>
          <w:sz w:val="19"/>
        </w:rPr>
        <w:t> </w:t>
      </w:r>
      <w:r>
        <w:rPr>
          <w:spacing w:val="-3"/>
          <w:w w:val="105"/>
          <w:sz w:val="19"/>
        </w:rPr>
        <w:t>el</w:t>
      </w:r>
      <w:r>
        <w:rPr>
          <w:spacing w:val="-7"/>
          <w:w w:val="105"/>
          <w:sz w:val="19"/>
        </w:rPr>
        <w:t> </w:t>
      </w:r>
      <w:r>
        <w:rPr>
          <w:w w:val="105"/>
          <w:sz w:val="19"/>
        </w:rPr>
        <w:t>estudiante y su familia, los docentes, y el director, sobre aspectos relacionados con características personales,</w:t>
      </w:r>
      <w:r>
        <w:rPr>
          <w:spacing w:val="-2"/>
          <w:w w:val="105"/>
          <w:sz w:val="19"/>
        </w:rPr>
        <w:t> </w:t>
      </w:r>
      <w:r>
        <w:rPr>
          <w:w w:val="105"/>
          <w:sz w:val="19"/>
        </w:rPr>
        <w:t>familiares</w:t>
      </w:r>
      <w:r>
        <w:rPr>
          <w:spacing w:val="-2"/>
          <w:w w:val="105"/>
          <w:sz w:val="19"/>
        </w:rPr>
        <w:t> </w:t>
      </w:r>
      <w:r>
        <w:rPr>
          <w:w w:val="105"/>
          <w:sz w:val="19"/>
        </w:rPr>
        <w:t>y</w:t>
      </w:r>
      <w:r>
        <w:rPr>
          <w:spacing w:val="-2"/>
          <w:w w:val="105"/>
          <w:sz w:val="19"/>
        </w:rPr>
        <w:t> </w:t>
      </w:r>
      <w:r>
        <w:rPr>
          <w:w w:val="105"/>
          <w:sz w:val="19"/>
        </w:rPr>
        <w:t>escolares;</w:t>
      </w:r>
      <w:r>
        <w:rPr>
          <w:spacing w:val="-6"/>
          <w:w w:val="105"/>
          <w:sz w:val="19"/>
        </w:rPr>
        <w:t> </w:t>
      </w:r>
      <w:r>
        <w:rPr>
          <w:w w:val="105"/>
          <w:sz w:val="19"/>
        </w:rPr>
        <w:t>así</w:t>
      </w:r>
      <w:r>
        <w:rPr>
          <w:spacing w:val="-6"/>
          <w:w w:val="105"/>
          <w:sz w:val="19"/>
        </w:rPr>
        <w:t> </w:t>
      </w:r>
      <w:r>
        <w:rPr>
          <w:w w:val="105"/>
          <w:sz w:val="19"/>
        </w:rPr>
        <w:t>mismo,</w:t>
      </w:r>
      <w:r>
        <w:rPr>
          <w:spacing w:val="-8"/>
          <w:w w:val="105"/>
          <w:sz w:val="19"/>
        </w:rPr>
        <w:t> </w:t>
      </w:r>
      <w:r>
        <w:rPr>
          <w:w w:val="105"/>
          <w:sz w:val="19"/>
        </w:rPr>
        <w:t>se</w:t>
      </w:r>
      <w:r>
        <w:rPr>
          <w:spacing w:val="-2"/>
          <w:w w:val="105"/>
          <w:sz w:val="19"/>
        </w:rPr>
        <w:t> </w:t>
      </w:r>
      <w:r>
        <w:rPr>
          <w:w w:val="105"/>
          <w:sz w:val="19"/>
        </w:rPr>
        <w:t>obtiene</w:t>
      </w:r>
      <w:r>
        <w:rPr>
          <w:spacing w:val="-2"/>
          <w:w w:val="105"/>
          <w:sz w:val="19"/>
        </w:rPr>
        <w:t> </w:t>
      </w:r>
      <w:r>
        <w:rPr>
          <w:w w:val="105"/>
          <w:sz w:val="19"/>
        </w:rPr>
        <w:t>información</w:t>
      </w:r>
      <w:r>
        <w:rPr>
          <w:spacing w:val="-2"/>
          <w:w w:val="105"/>
          <w:sz w:val="19"/>
        </w:rPr>
        <w:t> </w:t>
      </w:r>
      <w:r>
        <w:rPr>
          <w:w w:val="105"/>
          <w:sz w:val="19"/>
        </w:rPr>
        <w:t>sobre</w:t>
      </w:r>
      <w:r>
        <w:rPr>
          <w:spacing w:val="-6"/>
          <w:w w:val="105"/>
          <w:sz w:val="19"/>
        </w:rPr>
        <w:t> </w:t>
      </w:r>
      <w:r>
        <w:rPr>
          <w:spacing w:val="2"/>
          <w:w w:val="105"/>
          <w:sz w:val="19"/>
        </w:rPr>
        <w:t>el</w:t>
      </w:r>
      <w:r>
        <w:rPr>
          <w:spacing w:val="-2"/>
          <w:w w:val="105"/>
          <w:sz w:val="19"/>
        </w:rPr>
        <w:t> </w:t>
      </w:r>
      <w:r>
        <w:rPr>
          <w:w w:val="105"/>
          <w:sz w:val="19"/>
        </w:rPr>
        <w:t>salón</w:t>
      </w:r>
      <w:r>
        <w:rPr>
          <w:spacing w:val="-2"/>
          <w:w w:val="105"/>
          <w:sz w:val="19"/>
        </w:rPr>
        <w:t> </w:t>
      </w:r>
      <w:r>
        <w:rPr>
          <w:w w:val="105"/>
          <w:sz w:val="19"/>
        </w:rPr>
        <w:t>de</w:t>
      </w:r>
      <w:r>
        <w:rPr>
          <w:spacing w:val="-2"/>
          <w:w w:val="105"/>
          <w:sz w:val="19"/>
        </w:rPr>
        <w:t> </w:t>
      </w:r>
      <w:r>
        <w:rPr>
          <w:w w:val="105"/>
          <w:sz w:val="19"/>
        </w:rPr>
        <w:t>clases,</w:t>
      </w:r>
      <w:r>
        <w:rPr>
          <w:spacing w:val="-8"/>
          <w:w w:val="105"/>
          <w:sz w:val="19"/>
        </w:rPr>
        <w:t> </w:t>
      </w:r>
      <w:r>
        <w:rPr>
          <w:spacing w:val="2"/>
          <w:w w:val="105"/>
          <w:sz w:val="19"/>
        </w:rPr>
        <w:t>el </w:t>
      </w:r>
      <w:r>
        <w:rPr>
          <w:w w:val="105"/>
          <w:sz w:val="19"/>
        </w:rPr>
        <w:t>ambiente del aula, </w:t>
      </w:r>
      <w:r>
        <w:rPr>
          <w:spacing w:val="-3"/>
          <w:w w:val="105"/>
          <w:sz w:val="19"/>
        </w:rPr>
        <w:t>la </w:t>
      </w:r>
      <w:r>
        <w:rPr>
          <w:w w:val="105"/>
          <w:sz w:val="19"/>
        </w:rPr>
        <w:t>interacción con los padres, la cobertura curricular y las prácticas pedagógicas;</w:t>
      </w:r>
      <w:r>
        <w:rPr>
          <w:spacing w:val="-6"/>
          <w:w w:val="105"/>
          <w:sz w:val="19"/>
        </w:rPr>
        <w:t> </w:t>
      </w:r>
      <w:r>
        <w:rPr>
          <w:w w:val="105"/>
          <w:sz w:val="19"/>
        </w:rPr>
        <w:t>la</w:t>
      </w:r>
      <w:r>
        <w:rPr>
          <w:spacing w:val="-6"/>
          <w:w w:val="105"/>
          <w:sz w:val="19"/>
        </w:rPr>
        <w:t> </w:t>
      </w:r>
      <w:r>
        <w:rPr>
          <w:w w:val="105"/>
          <w:sz w:val="19"/>
        </w:rPr>
        <w:t>infraestructura</w:t>
      </w:r>
      <w:r>
        <w:rPr>
          <w:spacing w:val="-6"/>
          <w:w w:val="105"/>
          <w:sz w:val="19"/>
        </w:rPr>
        <w:t> </w:t>
      </w:r>
      <w:r>
        <w:rPr>
          <w:w w:val="105"/>
          <w:sz w:val="19"/>
        </w:rPr>
        <w:t>y</w:t>
      </w:r>
      <w:r>
        <w:rPr>
          <w:spacing w:val="-10"/>
          <w:w w:val="105"/>
          <w:sz w:val="19"/>
        </w:rPr>
        <w:t> </w:t>
      </w:r>
      <w:r>
        <w:rPr>
          <w:w w:val="105"/>
          <w:sz w:val="19"/>
        </w:rPr>
        <w:t>la</w:t>
      </w:r>
      <w:r>
        <w:rPr>
          <w:spacing w:val="-9"/>
          <w:w w:val="105"/>
          <w:sz w:val="19"/>
        </w:rPr>
        <w:t> </w:t>
      </w:r>
      <w:r>
        <w:rPr>
          <w:w w:val="105"/>
          <w:sz w:val="19"/>
        </w:rPr>
        <w:t>organización</w:t>
      </w:r>
      <w:r>
        <w:rPr>
          <w:spacing w:val="-6"/>
          <w:w w:val="105"/>
          <w:sz w:val="19"/>
        </w:rPr>
        <w:t> </w:t>
      </w:r>
      <w:r>
        <w:rPr>
          <w:w w:val="105"/>
          <w:sz w:val="19"/>
        </w:rPr>
        <w:t>escolar.</w:t>
      </w:r>
      <w:r>
        <w:rPr>
          <w:spacing w:val="-6"/>
          <w:w w:val="105"/>
          <w:sz w:val="19"/>
        </w:rPr>
        <w:t> </w:t>
      </w:r>
      <w:r>
        <w:rPr>
          <w:w w:val="105"/>
          <w:sz w:val="19"/>
        </w:rPr>
        <w:t>Las</w:t>
      </w:r>
      <w:r>
        <w:rPr>
          <w:spacing w:val="-6"/>
          <w:w w:val="105"/>
          <w:sz w:val="19"/>
        </w:rPr>
        <w:t> </w:t>
      </w:r>
      <w:r>
        <w:rPr>
          <w:w w:val="105"/>
          <w:sz w:val="19"/>
        </w:rPr>
        <w:t>características</w:t>
      </w:r>
      <w:r>
        <w:rPr>
          <w:spacing w:val="-6"/>
          <w:w w:val="105"/>
          <w:sz w:val="19"/>
        </w:rPr>
        <w:t> </w:t>
      </w:r>
      <w:r>
        <w:rPr>
          <w:w w:val="105"/>
          <w:sz w:val="19"/>
        </w:rPr>
        <w:t>y</w:t>
      </w:r>
      <w:r>
        <w:rPr>
          <w:spacing w:val="-13"/>
          <w:w w:val="105"/>
          <w:sz w:val="19"/>
        </w:rPr>
        <w:t> </w:t>
      </w:r>
      <w:r>
        <w:rPr>
          <w:w w:val="105"/>
          <w:sz w:val="19"/>
        </w:rPr>
        <w:t>composición</w:t>
      </w:r>
      <w:r>
        <w:rPr>
          <w:spacing w:val="-9"/>
          <w:w w:val="105"/>
          <w:sz w:val="19"/>
        </w:rPr>
        <w:t> </w:t>
      </w:r>
      <w:r>
        <w:rPr>
          <w:w w:val="105"/>
          <w:sz w:val="19"/>
        </w:rPr>
        <w:t>de</w:t>
      </w:r>
      <w:r>
        <w:rPr>
          <w:spacing w:val="-6"/>
          <w:w w:val="105"/>
          <w:sz w:val="19"/>
        </w:rPr>
        <w:t> </w:t>
      </w:r>
      <w:r>
        <w:rPr>
          <w:w w:val="105"/>
          <w:sz w:val="19"/>
        </w:rPr>
        <w:t>los distintos</w:t>
      </w:r>
      <w:r>
        <w:rPr>
          <w:spacing w:val="-18"/>
          <w:w w:val="105"/>
          <w:sz w:val="19"/>
        </w:rPr>
        <w:t> </w:t>
      </w:r>
      <w:r>
        <w:rPr>
          <w:w w:val="105"/>
          <w:sz w:val="19"/>
        </w:rPr>
        <w:t>cuestionarios</w:t>
      </w:r>
      <w:r>
        <w:rPr>
          <w:spacing w:val="-18"/>
          <w:w w:val="105"/>
          <w:sz w:val="19"/>
        </w:rPr>
        <w:t> </w:t>
      </w:r>
      <w:r>
        <w:rPr>
          <w:w w:val="105"/>
          <w:sz w:val="19"/>
        </w:rPr>
        <w:t>varían</w:t>
      </w:r>
      <w:r>
        <w:rPr>
          <w:spacing w:val="-18"/>
          <w:w w:val="105"/>
          <w:sz w:val="19"/>
        </w:rPr>
        <w:t> </w:t>
      </w:r>
      <w:r>
        <w:rPr>
          <w:w w:val="105"/>
          <w:sz w:val="19"/>
        </w:rPr>
        <w:t>de</w:t>
      </w:r>
      <w:r>
        <w:rPr>
          <w:spacing w:val="-18"/>
          <w:w w:val="105"/>
          <w:sz w:val="19"/>
        </w:rPr>
        <w:t> </w:t>
      </w:r>
      <w:r>
        <w:rPr>
          <w:w w:val="105"/>
          <w:sz w:val="19"/>
        </w:rPr>
        <w:t>acuerdo</w:t>
      </w:r>
      <w:r>
        <w:rPr>
          <w:spacing w:val="-18"/>
          <w:w w:val="105"/>
          <w:sz w:val="19"/>
        </w:rPr>
        <w:t> </w:t>
      </w:r>
      <w:r>
        <w:rPr>
          <w:w w:val="105"/>
          <w:sz w:val="19"/>
        </w:rPr>
        <w:t>con</w:t>
      </w:r>
      <w:r>
        <w:rPr>
          <w:spacing w:val="-18"/>
          <w:w w:val="105"/>
          <w:sz w:val="19"/>
        </w:rPr>
        <w:t> </w:t>
      </w:r>
      <w:r>
        <w:rPr>
          <w:w w:val="105"/>
          <w:sz w:val="19"/>
        </w:rPr>
        <w:t>el</w:t>
      </w:r>
      <w:r>
        <w:rPr>
          <w:spacing w:val="-18"/>
          <w:w w:val="105"/>
          <w:sz w:val="19"/>
        </w:rPr>
        <w:t> </w:t>
      </w:r>
      <w:r>
        <w:rPr>
          <w:w w:val="105"/>
          <w:sz w:val="19"/>
        </w:rPr>
        <w:t>grado</w:t>
      </w:r>
      <w:r>
        <w:rPr>
          <w:spacing w:val="-18"/>
          <w:w w:val="105"/>
          <w:sz w:val="19"/>
        </w:rPr>
        <w:t> </w:t>
      </w:r>
      <w:r>
        <w:rPr>
          <w:w w:val="105"/>
          <w:sz w:val="19"/>
        </w:rPr>
        <w:t>escolar</w:t>
      </w:r>
      <w:r>
        <w:rPr>
          <w:spacing w:val="-18"/>
          <w:w w:val="105"/>
          <w:sz w:val="19"/>
        </w:rPr>
        <w:t> </w:t>
      </w:r>
      <w:r>
        <w:rPr>
          <w:w w:val="105"/>
          <w:sz w:val="19"/>
        </w:rPr>
        <w:t>al</w:t>
      </w:r>
      <w:r>
        <w:rPr>
          <w:spacing w:val="-14"/>
          <w:w w:val="105"/>
          <w:sz w:val="19"/>
        </w:rPr>
        <w:t> </w:t>
      </w:r>
      <w:r>
        <w:rPr>
          <w:spacing w:val="-3"/>
          <w:w w:val="105"/>
          <w:sz w:val="19"/>
        </w:rPr>
        <w:t>que</w:t>
      </w:r>
      <w:r>
        <w:rPr>
          <w:spacing w:val="-18"/>
          <w:w w:val="105"/>
          <w:sz w:val="19"/>
        </w:rPr>
        <w:t> </w:t>
      </w:r>
      <w:r>
        <w:rPr>
          <w:w w:val="105"/>
          <w:sz w:val="19"/>
        </w:rPr>
        <w:t>estén</w:t>
      </w:r>
      <w:r>
        <w:rPr>
          <w:spacing w:val="-18"/>
          <w:w w:val="105"/>
          <w:sz w:val="19"/>
        </w:rPr>
        <w:t> </w:t>
      </w:r>
      <w:r>
        <w:rPr>
          <w:w w:val="105"/>
          <w:sz w:val="19"/>
        </w:rPr>
        <w:t>destinados.</w:t>
      </w:r>
    </w:p>
    <w:p>
      <w:pPr>
        <w:spacing w:after="0" w:line="244" w:lineRule="auto"/>
        <w:jc w:val="both"/>
        <w:rPr>
          <w:sz w:val="19"/>
        </w:rPr>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5"/>
        <w:jc w:val="both"/>
      </w:pPr>
      <w:r>
        <w:rPr/>
        <w:t>de aprendizaje de las distintas poblaciones muestreadas (entidades federativas, estratos y modalidades educativas), así como los contenidos del currículo nacional que los estudiantes dominan.</w:t>
      </w:r>
    </w:p>
    <w:p>
      <w:pPr>
        <w:pStyle w:val="BodyText"/>
        <w:rPr>
          <w:sz w:val="22"/>
        </w:rPr>
      </w:pPr>
    </w:p>
    <w:p>
      <w:pPr>
        <w:pStyle w:val="BodyText"/>
        <w:spacing w:line="364" w:lineRule="auto" w:before="155"/>
        <w:ind w:left="115" w:right="235"/>
      </w:pPr>
      <w:r>
        <w:rPr>
          <w:b/>
        </w:rPr>
        <w:t>4.6.5.1Excale,  los alcances para </w:t>
      </w:r>
      <w:r>
        <w:rPr>
          <w:b/>
          <w:spacing w:val="-3"/>
        </w:rPr>
        <w:t>la </w:t>
      </w:r>
      <w:r>
        <w:rPr>
          <w:b/>
        </w:rPr>
        <w:t>calidad educativa y los juegos de poder   </w:t>
      </w:r>
      <w:r>
        <w:rPr/>
        <w:t>En el ámbito de las dimensiones de la calidad, las pruebas Excale tienen  los mismos objetivos que Enlace: medir y racionalizar recursos y en buena medida revisar también </w:t>
      </w:r>
      <w:r>
        <w:rPr>
          <w:spacing w:val="3"/>
        </w:rPr>
        <w:t>el </w:t>
      </w:r>
      <w:r>
        <w:rPr/>
        <w:t>nivel en que se encuentra el derecho a la educación. Pero a diferencia de </w:t>
      </w:r>
      <w:r>
        <w:rPr>
          <w:spacing w:val="-5"/>
        </w:rPr>
        <w:t>la </w:t>
      </w:r>
      <w:r>
        <w:rPr/>
        <w:t>prueba Enlace, no se advierte en Excale un propósito de interpretación política de </w:t>
      </w:r>
      <w:r>
        <w:rPr>
          <w:spacing w:val="-3"/>
        </w:rPr>
        <w:t>los </w:t>
      </w:r>
      <w:r>
        <w:rPr/>
        <w:t>resultados. En general, </w:t>
      </w:r>
      <w:r>
        <w:rPr>
          <w:spacing w:val="-5"/>
        </w:rPr>
        <w:t>lo </w:t>
      </w:r>
      <w:r>
        <w:rPr/>
        <w:t>que divulga  </w:t>
      </w:r>
      <w:r>
        <w:rPr>
          <w:spacing w:val="3"/>
        </w:rPr>
        <w:t>el  </w:t>
      </w:r>
      <w:r>
        <w:rPr/>
        <w:t>INEE,  aunque muchas veces tiene un carácter técnico, generalmente muestra mucha claridad en sus</w:t>
      </w:r>
      <w:r>
        <w:rPr>
          <w:spacing w:val="23"/>
        </w:rPr>
        <w:t> </w:t>
      </w:r>
      <w:r>
        <w:rPr/>
        <w:t>mediciones.</w:t>
      </w:r>
    </w:p>
    <w:p>
      <w:pPr>
        <w:pStyle w:val="BodyText"/>
        <w:spacing w:line="364" w:lineRule="auto"/>
        <w:ind w:left="115" w:right="109" w:firstLine="686"/>
        <w:jc w:val="both"/>
      </w:pPr>
      <w:r>
        <w:rPr/>
        <w:t>El problema de sus alcances es similar al </w:t>
      </w:r>
      <w:r>
        <w:rPr>
          <w:spacing w:val="3"/>
        </w:rPr>
        <w:t>de </w:t>
      </w:r>
      <w:r>
        <w:rPr>
          <w:spacing w:val="-3"/>
        </w:rPr>
        <w:t>la </w:t>
      </w:r>
      <w:r>
        <w:rPr/>
        <w:t>prueba Enlace. Entre los actores institucionales y sociales no existe ningún compromiso de trabajar en torno a resultados generados. Por ejemplo, el INEE publica en sus reportes correspondientes, los niveles educativos por entidad federativa y a nivel nacional. Se supone, de acuerdo con los objetivos y </w:t>
      </w:r>
      <w:r>
        <w:rPr>
          <w:spacing w:val="-5"/>
        </w:rPr>
        <w:t>la </w:t>
      </w:r>
      <w:r>
        <w:rPr/>
        <w:t>misión fundacional </w:t>
      </w:r>
      <w:r>
        <w:rPr>
          <w:spacing w:val="2"/>
        </w:rPr>
        <w:t>del </w:t>
      </w:r>
      <w:r>
        <w:rPr/>
        <w:t>INEE, que  dicha información </w:t>
      </w:r>
      <w:r>
        <w:rPr>
          <w:spacing w:val="2"/>
        </w:rPr>
        <w:t>se </w:t>
      </w:r>
      <w:r>
        <w:rPr/>
        <w:t>convertiría en insumo de los gobiernos, tanto del nacional como de los estatales, para mejorar la educación. Igualmente se </w:t>
      </w:r>
      <w:r>
        <w:rPr>
          <w:spacing w:val="-4"/>
        </w:rPr>
        <w:t>dijo </w:t>
      </w:r>
      <w:r>
        <w:rPr/>
        <w:t>que dichos indicadores serían el punto de partida para que “la sociedad” exija a las  autoridades las áreas donde habría de mejorar la oferta </w:t>
      </w:r>
      <w:r>
        <w:rPr>
          <w:spacing w:val="9"/>
        </w:rPr>
        <w:t> </w:t>
      </w:r>
      <w:r>
        <w:rPr/>
        <w:t>educativa.</w:t>
      </w:r>
    </w:p>
    <w:p>
      <w:pPr>
        <w:pStyle w:val="BodyText"/>
        <w:spacing w:line="364" w:lineRule="auto" w:before="10"/>
        <w:ind w:left="115" w:right="107" w:firstLine="686"/>
        <w:jc w:val="both"/>
      </w:pPr>
      <w:r>
        <w:rPr>
          <w:spacing w:val="-3"/>
        </w:rPr>
        <w:t>Sin </w:t>
      </w:r>
      <w:r>
        <w:rPr/>
        <w:t>embargo, hasta </w:t>
      </w:r>
      <w:r>
        <w:rPr>
          <w:spacing w:val="-4"/>
        </w:rPr>
        <w:t>la </w:t>
      </w:r>
      <w:r>
        <w:rPr/>
        <w:t>fecha </w:t>
      </w:r>
      <w:r>
        <w:rPr>
          <w:spacing w:val="2"/>
        </w:rPr>
        <w:t>no </w:t>
      </w:r>
      <w:r>
        <w:rPr/>
        <w:t>ha ocurrido tal cosa. Nuevamente, </w:t>
      </w:r>
      <w:r>
        <w:rPr>
          <w:spacing w:val="-3"/>
        </w:rPr>
        <w:t>como </w:t>
      </w:r>
      <w:r>
        <w:rPr/>
        <w:t>en   el caso </w:t>
      </w:r>
      <w:r>
        <w:rPr>
          <w:spacing w:val="-3"/>
        </w:rPr>
        <w:t>de </w:t>
      </w:r>
      <w:r>
        <w:rPr/>
        <w:t>Enlace, al no haber castigos </w:t>
      </w:r>
      <w:r>
        <w:rPr>
          <w:spacing w:val="-3"/>
        </w:rPr>
        <w:t>(ni </w:t>
      </w:r>
      <w:r>
        <w:rPr/>
        <w:t>siquiera electorales) para los gobernadores; al no haber promociones o despidos para los secretarios de educación a nivel estatal y federal y al no haber ningún premio o sanción para </w:t>
      </w:r>
      <w:r>
        <w:rPr>
          <w:spacing w:val="-2"/>
        </w:rPr>
        <w:t>los </w:t>
      </w:r>
      <w:r>
        <w:rPr/>
        <w:t>directivos y docentes de las escuelas, Excale no ha tenido impactos en </w:t>
      </w:r>
      <w:r>
        <w:rPr>
          <w:spacing w:val="-3"/>
        </w:rPr>
        <w:t>la </w:t>
      </w:r>
      <w:r>
        <w:rPr/>
        <w:t>generación de un plan de mejora para los actores señalados. </w:t>
      </w:r>
      <w:r>
        <w:rPr>
          <w:spacing w:val="-3"/>
        </w:rPr>
        <w:t>Más </w:t>
      </w:r>
      <w:r>
        <w:rPr/>
        <w:t>aún, los padres de familia, en su mayoría, no están organizados y cuando </w:t>
      </w:r>
      <w:r>
        <w:rPr>
          <w:spacing w:val="-3"/>
        </w:rPr>
        <w:t>es </w:t>
      </w:r>
      <w:r>
        <w:rPr/>
        <w:t>el caso, su preocupación en torno a la escuela no pasa por cuestiones pedagógicas o curriculares. Generalmente </w:t>
      </w:r>
      <w:r>
        <w:rPr>
          <w:spacing w:val="3"/>
        </w:rPr>
        <w:t>se </w:t>
      </w:r>
      <w:r>
        <w:rPr/>
        <w:t>preocupan de la parte organizativa de los centros escolares</w:t>
      </w:r>
      <w:r>
        <w:rPr>
          <w:spacing w:val="33"/>
        </w:rPr>
        <w:t> </w:t>
      </w:r>
      <w:r>
        <w:rPr/>
        <w:t>o</w:t>
      </w:r>
      <w:r>
        <w:rPr>
          <w:spacing w:val="33"/>
        </w:rPr>
        <w:t> </w:t>
      </w:r>
      <w:r>
        <w:rPr/>
        <w:t>de</w:t>
      </w:r>
      <w:r>
        <w:rPr>
          <w:spacing w:val="38"/>
        </w:rPr>
        <w:t> </w:t>
      </w:r>
      <w:r>
        <w:rPr/>
        <w:t>la</w:t>
      </w:r>
      <w:r>
        <w:rPr>
          <w:spacing w:val="33"/>
        </w:rPr>
        <w:t> </w:t>
      </w:r>
      <w:r>
        <w:rPr/>
        <w:t>forma</w:t>
      </w:r>
      <w:r>
        <w:rPr>
          <w:spacing w:val="33"/>
        </w:rPr>
        <w:t> </w:t>
      </w:r>
      <w:r>
        <w:rPr/>
        <w:t>en</w:t>
      </w:r>
      <w:r>
        <w:rPr>
          <w:spacing w:val="33"/>
        </w:rPr>
        <w:t> </w:t>
      </w:r>
      <w:r>
        <w:rPr/>
        <w:t>que</w:t>
      </w:r>
      <w:r>
        <w:rPr>
          <w:spacing w:val="37"/>
        </w:rPr>
        <w:t> </w:t>
      </w:r>
      <w:r>
        <w:rPr/>
        <w:t>los</w:t>
      </w:r>
      <w:r>
        <w:rPr>
          <w:spacing w:val="39"/>
        </w:rPr>
        <w:t> </w:t>
      </w:r>
      <w:r>
        <w:rPr/>
        <w:t>alumnos</w:t>
      </w:r>
      <w:r>
        <w:rPr>
          <w:spacing w:val="33"/>
        </w:rPr>
        <w:t> </w:t>
      </w:r>
      <w:r>
        <w:rPr>
          <w:spacing w:val="3"/>
        </w:rPr>
        <w:t>son</w:t>
      </w:r>
      <w:r>
        <w:rPr>
          <w:spacing w:val="33"/>
        </w:rPr>
        <w:t> </w:t>
      </w:r>
      <w:r>
        <w:rPr/>
        <w:t>tratados</w:t>
      </w:r>
      <w:r>
        <w:rPr>
          <w:spacing w:val="39"/>
        </w:rPr>
        <w:t> </w:t>
      </w:r>
      <w:r>
        <w:rPr/>
        <w:t>por</w:t>
      </w:r>
      <w:r>
        <w:rPr>
          <w:spacing w:val="33"/>
        </w:rPr>
        <w:t> </w:t>
      </w:r>
      <w:r>
        <w:rPr/>
        <w:t>el</w:t>
      </w:r>
      <w:r>
        <w:rPr>
          <w:spacing w:val="28"/>
        </w:rPr>
        <w:t> </w:t>
      </w:r>
      <w:r>
        <w:rPr/>
        <w:t>personal</w:t>
      </w:r>
      <w:r>
        <w:rPr>
          <w:spacing w:val="26"/>
        </w:rPr>
        <w:t> </w:t>
      </w:r>
      <w:r>
        <w:rPr/>
        <w:t>de</w:t>
      </w:r>
      <w:r>
        <w:rPr>
          <w:spacing w:val="33"/>
        </w:rPr>
        <w:t> </w:t>
      </w:r>
      <w:r>
        <w:rPr/>
        <w:t>las</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9" w:lineRule="auto" w:before="74"/>
        <w:ind w:left="115" w:right="117"/>
        <w:jc w:val="both"/>
      </w:pPr>
      <w:r>
        <w:rPr/>
        <w:t>escuelas. Incluso ocurre que algunos padres de familia consideran que la responsabilidad de los bajos resultados está diluida entre ellos y los  profesores.</w:t>
      </w:r>
    </w:p>
    <w:p>
      <w:pPr>
        <w:pStyle w:val="BodyText"/>
        <w:rPr>
          <w:sz w:val="22"/>
        </w:rPr>
      </w:pPr>
    </w:p>
    <w:p>
      <w:pPr>
        <w:pStyle w:val="Heading3"/>
        <w:spacing w:before="145"/>
      </w:pPr>
      <w:r>
        <w:rPr/>
        <w:t>4.7 Alianza para la Calidad de la Educación</w:t>
      </w:r>
      <w:r>
        <w:rPr>
          <w:spacing w:val="54"/>
        </w:rPr>
        <w:t> </w:t>
      </w:r>
      <w:r>
        <w:rPr/>
        <w:t>(ACE)</w:t>
      </w:r>
    </w:p>
    <w:p>
      <w:pPr>
        <w:pStyle w:val="BodyText"/>
        <w:spacing w:line="400" w:lineRule="atLeast" w:before="3"/>
        <w:ind w:left="115" w:right="103"/>
        <w:jc w:val="both"/>
      </w:pPr>
      <w:r>
        <w:rPr/>
        <w:pict>
          <v:line style="position:absolute;mso-position-horizontal-relative:page;mso-position-vertical-relative:paragraph;z-index:-208216" from="231.119995pt,160.395966pt" to="410.878995pt,160.395966pt" stroked="true" strokeweight=".72pt" strokecolor="#0000ff">
            <w10:wrap type="none"/>
          </v:line>
        </w:pict>
      </w:r>
      <w:r>
        <w:rPr/>
        <w:t>De acuerdo con la SEP, la ACE </w:t>
      </w:r>
      <w:r>
        <w:rPr>
          <w:spacing w:val="4"/>
        </w:rPr>
        <w:t>se </w:t>
      </w:r>
      <w:r>
        <w:rPr/>
        <w:t>planteó como propósito  fundamental  </w:t>
      </w:r>
      <w:r>
        <w:rPr>
          <w:i/>
        </w:rPr>
        <w:t>modernizar </w:t>
      </w:r>
      <w:r>
        <w:rPr/>
        <w:t>la educación dado que, el actual modelo </w:t>
      </w:r>
      <w:r>
        <w:rPr>
          <w:spacing w:val="-4"/>
        </w:rPr>
        <w:t>ya</w:t>
      </w:r>
      <w:r>
        <w:rPr>
          <w:spacing w:val="55"/>
        </w:rPr>
        <w:t> </w:t>
      </w:r>
      <w:r>
        <w:rPr/>
        <w:t>no responde a </w:t>
      </w:r>
      <w:r>
        <w:rPr>
          <w:spacing w:val="-3"/>
        </w:rPr>
        <w:t>las </w:t>
      </w:r>
      <w:r>
        <w:rPr>
          <w:i/>
        </w:rPr>
        <w:t>exigencias del mundo moderno</w:t>
      </w:r>
      <w:r>
        <w:rPr/>
        <w:t>, pues fue creado  el siglo pasado”; este proyecto  fue suscrito por el Gobierno Federal, representado por </w:t>
      </w:r>
      <w:r>
        <w:rPr>
          <w:spacing w:val="-3"/>
        </w:rPr>
        <w:t>la </w:t>
      </w:r>
      <w:r>
        <w:rPr/>
        <w:t>entonces Secretaria de Educación: Josefina Vázquez Mota y el SNTE, representado por su lideresa, Elba Esther Gordillo Morales. Según el gobierno, la ACE fue resultado de una amplia consulta social, así como de una discusión entre los maestros y  sus  representantes   gremiales   (</w:t>
      </w:r>
      <w:hyperlink r:id="rId116">
        <w:r>
          <w:rPr>
            <w:color w:val="0000FF"/>
          </w:rPr>
          <w:t>http://alianza.sep.gob.mx/i2.html)</w:t>
        </w:r>
        <w:r>
          <w:rPr>
            <w:color w:val="0000FF"/>
            <w:position w:val="11"/>
            <w:sz w:val="15"/>
          </w:rPr>
          <w:t>63</w:t>
        </w:r>
        <w:r>
          <w:rPr/>
          <w:t>.</w:t>
        </w:r>
      </w:hyperlink>
      <w:r>
        <w:rPr/>
        <w:t>   Nuestra </w:t>
      </w:r>
      <w:r>
        <w:rPr>
          <w:spacing w:val="8"/>
        </w:rPr>
        <w:t> </w:t>
      </w:r>
      <w:r>
        <w:rPr/>
        <w:t>Alianza,</w:t>
      </w:r>
    </w:p>
    <w:p>
      <w:pPr>
        <w:pStyle w:val="BodyText"/>
        <w:spacing w:line="367" w:lineRule="auto" w:before="134"/>
        <w:ind w:left="115" w:right="112"/>
        <w:jc w:val="both"/>
      </w:pPr>
      <w:r>
        <w:rPr/>
        <w:t>dijo la máxima autoridad del SNTE, “es el principio de una revolución educativa”, expresión que también han usado el presidente y la responsable del ramo para señalar su intención de emprender cambios sustanciales en la educación del  país.</w:t>
      </w:r>
    </w:p>
    <w:p>
      <w:pPr>
        <w:pStyle w:val="BodyText"/>
        <w:spacing w:line="364" w:lineRule="auto"/>
        <w:ind w:left="115" w:right="108" w:firstLine="686"/>
        <w:jc w:val="both"/>
      </w:pPr>
      <w:r>
        <w:rPr/>
        <w:t>Según </w:t>
      </w:r>
      <w:r>
        <w:rPr>
          <w:spacing w:val="-4"/>
        </w:rPr>
        <w:t>la </w:t>
      </w:r>
      <w:r>
        <w:rPr/>
        <w:t>información difundida por la SEP, para la firma de la ACE fueron convocados gobiernos estatales y municipales,  legisladores,  autoridades educativas estatales, padres de familia, estudiantes </w:t>
      </w:r>
      <w:r>
        <w:rPr>
          <w:spacing w:val="3"/>
        </w:rPr>
        <w:t>de </w:t>
      </w:r>
      <w:r>
        <w:rPr/>
        <w:t>todos los niveles, sociedad </w:t>
      </w:r>
      <w:r>
        <w:rPr>
          <w:spacing w:val="-3"/>
        </w:rPr>
        <w:t>civil, </w:t>
      </w:r>
      <w:r>
        <w:rPr/>
        <w:t>empresarios y academia. Asimismo, estuvieron presentes los titulares de las secretarías de Hacienda y Crédito Público (SHCP), de Desarrollo Social  (SEDESOL) y de Salud</w:t>
      </w:r>
      <w:r>
        <w:rPr>
          <w:spacing w:val="37"/>
        </w:rPr>
        <w:t> </w:t>
      </w:r>
      <w:r>
        <w:rPr/>
        <w:t>(SS).</w:t>
      </w:r>
    </w:p>
    <w:p>
      <w:pPr>
        <w:spacing w:line="364" w:lineRule="auto" w:before="10"/>
        <w:ind w:left="115" w:right="105" w:firstLine="686"/>
        <w:jc w:val="both"/>
        <w:rPr>
          <w:i/>
          <w:sz w:val="23"/>
        </w:rPr>
      </w:pPr>
      <w:r>
        <w:rPr>
          <w:sz w:val="23"/>
        </w:rPr>
        <w:t>La Alianza se dividió en 5 ejes y 10 procesos. En el eje 1, se ofrece la modernización de los centros escolares. Ello refiere la garantía de que los centros escolares sean </w:t>
      </w:r>
      <w:r>
        <w:rPr>
          <w:i/>
          <w:sz w:val="23"/>
        </w:rPr>
        <w:t>lugares dignos, libres de riesgos</w:t>
      </w:r>
      <w:r>
        <w:rPr>
          <w:sz w:val="23"/>
        </w:rPr>
        <w:t>, que sirvan a su comunidad, que cuenten  con  la  </w:t>
      </w:r>
      <w:r>
        <w:rPr>
          <w:i/>
          <w:sz w:val="23"/>
        </w:rPr>
        <w:t>infraestructura  </w:t>
      </w:r>
      <w:r>
        <w:rPr>
          <w:sz w:val="23"/>
        </w:rPr>
        <w:t>y  el  </w:t>
      </w:r>
      <w:r>
        <w:rPr>
          <w:i/>
          <w:sz w:val="23"/>
        </w:rPr>
        <w:t>equipamiento  </w:t>
      </w:r>
      <w:r>
        <w:rPr>
          <w:sz w:val="23"/>
        </w:rPr>
        <w:t>necesarios  y  la  </w:t>
      </w:r>
      <w:r>
        <w:rPr>
          <w:i/>
          <w:sz w:val="23"/>
        </w:rPr>
        <w:t>tecnología de</w:t>
      </w:r>
    </w:p>
    <w:p>
      <w:pPr>
        <w:pStyle w:val="BodyText"/>
        <w:rPr>
          <w:i/>
          <w:sz w:val="20"/>
        </w:rPr>
      </w:pPr>
    </w:p>
    <w:p>
      <w:pPr>
        <w:pStyle w:val="BodyText"/>
        <w:rPr>
          <w:i/>
          <w:sz w:val="20"/>
        </w:rPr>
      </w:pPr>
    </w:p>
    <w:p>
      <w:pPr>
        <w:pStyle w:val="BodyText"/>
        <w:spacing w:before="5"/>
        <w:rPr>
          <w:i/>
          <w:sz w:val="15"/>
        </w:rPr>
      </w:pPr>
      <w:r>
        <w:rPr/>
        <w:pict>
          <v:line style="position:absolute;mso-position-horizontal-relative:page;mso-position-vertical-relative:paragraph;z-index:3544;mso-wrap-distance-left:0;mso-wrap-distance-right:0" from="82.799004pt,11.208161pt" to="222.958004pt,11.208161pt" stroked="true" strokeweight=".72pt" strokecolor="#000000">
            <w10:wrap type="topAndBottom"/>
          </v:line>
        </w:pict>
      </w:r>
    </w:p>
    <w:p>
      <w:pPr>
        <w:spacing w:line="247" w:lineRule="auto" w:before="56"/>
        <w:ind w:left="115" w:right="104" w:firstLine="0"/>
        <w:jc w:val="both"/>
        <w:rPr>
          <w:sz w:val="19"/>
        </w:rPr>
      </w:pPr>
      <w:r>
        <w:rPr>
          <w:rFonts w:ascii="Times New Roman" w:hAnsi="Times New Roman"/>
          <w:spacing w:val="-3"/>
          <w:w w:val="105"/>
          <w:position w:val="9"/>
          <w:sz w:val="12"/>
        </w:rPr>
        <w:t>62</w:t>
      </w:r>
      <w:r>
        <w:rPr>
          <w:rFonts w:ascii="Times New Roman" w:hAnsi="Times New Roman"/>
          <w:spacing w:val="25"/>
          <w:w w:val="105"/>
          <w:position w:val="9"/>
          <w:sz w:val="12"/>
        </w:rPr>
        <w:t> </w:t>
      </w:r>
      <w:r>
        <w:rPr>
          <w:w w:val="105"/>
          <w:sz w:val="19"/>
        </w:rPr>
        <w:t>El respaldo normativo lo refiere </w:t>
      </w:r>
      <w:r>
        <w:rPr>
          <w:spacing w:val="3"/>
          <w:w w:val="105"/>
          <w:sz w:val="19"/>
        </w:rPr>
        <w:t>el </w:t>
      </w:r>
      <w:r>
        <w:rPr>
          <w:w w:val="105"/>
          <w:sz w:val="19"/>
        </w:rPr>
        <w:t>Plan Nacional de Desarrollo y el Programa Sectorial </w:t>
      </w:r>
      <w:r>
        <w:rPr>
          <w:spacing w:val="-4"/>
          <w:w w:val="105"/>
          <w:sz w:val="19"/>
        </w:rPr>
        <w:t>de </w:t>
      </w:r>
      <w:r>
        <w:rPr>
          <w:w w:val="105"/>
          <w:sz w:val="19"/>
        </w:rPr>
        <w:t>Educación; </w:t>
      </w:r>
      <w:r>
        <w:rPr>
          <w:spacing w:val="-3"/>
          <w:w w:val="105"/>
          <w:sz w:val="19"/>
        </w:rPr>
        <w:t>el </w:t>
      </w:r>
      <w:r>
        <w:rPr>
          <w:w w:val="105"/>
          <w:sz w:val="19"/>
        </w:rPr>
        <w:t>margo legítimo </w:t>
      </w:r>
      <w:r>
        <w:rPr>
          <w:spacing w:val="-3"/>
          <w:w w:val="105"/>
          <w:sz w:val="19"/>
        </w:rPr>
        <w:t>lo </w:t>
      </w:r>
      <w:r>
        <w:rPr>
          <w:w w:val="105"/>
          <w:sz w:val="19"/>
        </w:rPr>
        <w:t>otorgaron los acuerdos del Cuarto Congreso Nacional y Segundo Encuentro</w:t>
      </w:r>
      <w:r>
        <w:rPr>
          <w:spacing w:val="-11"/>
          <w:w w:val="105"/>
          <w:sz w:val="19"/>
        </w:rPr>
        <w:t> </w:t>
      </w:r>
      <w:r>
        <w:rPr>
          <w:w w:val="105"/>
          <w:sz w:val="19"/>
        </w:rPr>
        <w:t>Nacional</w:t>
      </w:r>
      <w:r>
        <w:rPr>
          <w:spacing w:val="-11"/>
          <w:w w:val="105"/>
          <w:sz w:val="19"/>
        </w:rPr>
        <w:t> </w:t>
      </w:r>
      <w:r>
        <w:rPr>
          <w:w w:val="105"/>
          <w:sz w:val="19"/>
        </w:rPr>
        <w:t>de</w:t>
      </w:r>
      <w:r>
        <w:rPr>
          <w:spacing w:val="-13"/>
          <w:w w:val="105"/>
          <w:sz w:val="19"/>
        </w:rPr>
        <w:t> </w:t>
      </w:r>
      <w:r>
        <w:rPr>
          <w:w w:val="105"/>
          <w:sz w:val="19"/>
        </w:rPr>
        <w:t>Padres</w:t>
      </w:r>
      <w:r>
        <w:rPr>
          <w:spacing w:val="-18"/>
          <w:w w:val="105"/>
          <w:sz w:val="19"/>
        </w:rPr>
        <w:t> </w:t>
      </w:r>
      <w:r>
        <w:rPr>
          <w:w w:val="105"/>
          <w:sz w:val="19"/>
        </w:rPr>
        <w:t>de</w:t>
      </w:r>
      <w:r>
        <w:rPr>
          <w:spacing w:val="-11"/>
          <w:w w:val="105"/>
          <w:sz w:val="19"/>
        </w:rPr>
        <w:t> </w:t>
      </w:r>
      <w:r>
        <w:rPr>
          <w:w w:val="105"/>
          <w:sz w:val="19"/>
        </w:rPr>
        <w:t>Familia</w:t>
      </w:r>
      <w:r>
        <w:rPr>
          <w:spacing w:val="-8"/>
          <w:w w:val="105"/>
          <w:sz w:val="19"/>
        </w:rPr>
        <w:t> </w:t>
      </w:r>
      <w:r>
        <w:rPr>
          <w:w w:val="105"/>
          <w:sz w:val="19"/>
        </w:rPr>
        <w:t>y</w:t>
      </w:r>
      <w:r>
        <w:rPr>
          <w:spacing w:val="-14"/>
          <w:w w:val="105"/>
          <w:sz w:val="19"/>
        </w:rPr>
        <w:t> </w:t>
      </w:r>
      <w:r>
        <w:rPr>
          <w:w w:val="105"/>
          <w:sz w:val="19"/>
        </w:rPr>
        <w:t>Maestros</w:t>
      </w:r>
      <w:r>
        <w:rPr>
          <w:spacing w:val="-14"/>
          <w:w w:val="105"/>
          <w:sz w:val="19"/>
        </w:rPr>
        <w:t> </w:t>
      </w:r>
      <w:r>
        <w:rPr>
          <w:w w:val="105"/>
          <w:sz w:val="19"/>
        </w:rPr>
        <w:t>del</w:t>
      </w:r>
      <w:r>
        <w:rPr>
          <w:spacing w:val="-11"/>
          <w:w w:val="105"/>
          <w:sz w:val="19"/>
        </w:rPr>
        <w:t> </w:t>
      </w:r>
      <w:r>
        <w:rPr>
          <w:w w:val="105"/>
          <w:sz w:val="19"/>
        </w:rPr>
        <w:t>Sindicato</w:t>
      </w:r>
      <w:r>
        <w:rPr>
          <w:spacing w:val="-11"/>
          <w:w w:val="105"/>
          <w:sz w:val="19"/>
        </w:rPr>
        <w:t> </w:t>
      </w:r>
      <w:r>
        <w:rPr>
          <w:w w:val="105"/>
          <w:sz w:val="19"/>
        </w:rPr>
        <w:t>Nacional</w:t>
      </w:r>
      <w:r>
        <w:rPr>
          <w:spacing w:val="-16"/>
          <w:w w:val="105"/>
          <w:sz w:val="19"/>
        </w:rPr>
        <w:t> </w:t>
      </w:r>
      <w:r>
        <w:rPr>
          <w:spacing w:val="2"/>
          <w:w w:val="105"/>
          <w:sz w:val="19"/>
        </w:rPr>
        <w:t>de</w:t>
      </w:r>
      <w:r>
        <w:rPr>
          <w:spacing w:val="-15"/>
          <w:w w:val="105"/>
          <w:sz w:val="19"/>
        </w:rPr>
        <w:t> </w:t>
      </w:r>
      <w:r>
        <w:rPr>
          <w:w w:val="105"/>
          <w:sz w:val="19"/>
        </w:rPr>
        <w:t>Trabajadores</w:t>
      </w:r>
      <w:r>
        <w:rPr>
          <w:spacing w:val="-14"/>
          <w:w w:val="105"/>
          <w:sz w:val="19"/>
        </w:rPr>
        <w:t> </w:t>
      </w:r>
      <w:r>
        <w:rPr>
          <w:w w:val="105"/>
          <w:sz w:val="19"/>
        </w:rPr>
        <w:t>de</w:t>
      </w:r>
      <w:r>
        <w:rPr>
          <w:spacing w:val="-11"/>
          <w:w w:val="105"/>
          <w:sz w:val="19"/>
        </w:rPr>
        <w:t> </w:t>
      </w:r>
      <w:r>
        <w:rPr>
          <w:w w:val="105"/>
          <w:sz w:val="19"/>
        </w:rPr>
        <w:t>la Educación.</w:t>
      </w:r>
    </w:p>
    <w:p>
      <w:pPr>
        <w:spacing w:line="219" w:lineRule="exact" w:before="0"/>
        <w:ind w:left="115" w:right="0" w:firstLine="0"/>
        <w:jc w:val="both"/>
        <w:rPr>
          <w:sz w:val="19"/>
        </w:rPr>
      </w:pPr>
      <w:r>
        <w:rPr>
          <w:rFonts w:ascii="Times New Roman"/>
          <w:w w:val="105"/>
          <w:position w:val="9"/>
          <w:sz w:val="12"/>
        </w:rPr>
        <w:t>63   </w:t>
      </w:r>
      <w:r>
        <w:rPr>
          <w:w w:val="105"/>
          <w:sz w:val="19"/>
        </w:rPr>
        <w:t>El respaldo normativo lo refiere el Plan Nacional de Desarrollo y el Programa Sectorial de</w:t>
      </w:r>
    </w:p>
    <w:p>
      <w:pPr>
        <w:spacing w:line="244" w:lineRule="auto" w:before="7"/>
        <w:ind w:left="115" w:right="104" w:firstLine="0"/>
        <w:jc w:val="both"/>
        <w:rPr>
          <w:sz w:val="19"/>
        </w:rPr>
      </w:pPr>
      <w:r>
        <w:rPr>
          <w:w w:val="105"/>
          <w:sz w:val="19"/>
        </w:rPr>
        <w:t>Educación; </w:t>
      </w:r>
      <w:r>
        <w:rPr>
          <w:spacing w:val="-3"/>
          <w:w w:val="105"/>
          <w:sz w:val="19"/>
        </w:rPr>
        <w:t>el </w:t>
      </w:r>
      <w:r>
        <w:rPr>
          <w:w w:val="105"/>
          <w:sz w:val="19"/>
        </w:rPr>
        <w:t>margo legítimo </w:t>
      </w:r>
      <w:r>
        <w:rPr>
          <w:spacing w:val="-3"/>
          <w:w w:val="105"/>
          <w:sz w:val="19"/>
        </w:rPr>
        <w:t>lo </w:t>
      </w:r>
      <w:r>
        <w:rPr>
          <w:w w:val="105"/>
          <w:sz w:val="19"/>
        </w:rPr>
        <w:t>otorgaron los acuerdos del Cuarto Congreso Nacional y Segundo Encuentro</w:t>
      </w:r>
      <w:r>
        <w:rPr>
          <w:spacing w:val="-10"/>
          <w:w w:val="105"/>
          <w:sz w:val="19"/>
        </w:rPr>
        <w:t> </w:t>
      </w:r>
      <w:r>
        <w:rPr>
          <w:w w:val="105"/>
          <w:sz w:val="19"/>
        </w:rPr>
        <w:t>Nacional</w:t>
      </w:r>
      <w:r>
        <w:rPr>
          <w:spacing w:val="-10"/>
          <w:w w:val="105"/>
          <w:sz w:val="19"/>
        </w:rPr>
        <w:t> </w:t>
      </w:r>
      <w:r>
        <w:rPr>
          <w:w w:val="105"/>
          <w:sz w:val="19"/>
        </w:rPr>
        <w:t>de</w:t>
      </w:r>
      <w:r>
        <w:rPr>
          <w:spacing w:val="-13"/>
          <w:w w:val="105"/>
          <w:sz w:val="19"/>
        </w:rPr>
        <w:t> </w:t>
      </w:r>
      <w:r>
        <w:rPr>
          <w:w w:val="105"/>
          <w:sz w:val="19"/>
        </w:rPr>
        <w:t>Padres</w:t>
      </w:r>
      <w:r>
        <w:rPr>
          <w:spacing w:val="-18"/>
          <w:w w:val="105"/>
          <w:sz w:val="19"/>
        </w:rPr>
        <w:t> </w:t>
      </w:r>
      <w:r>
        <w:rPr>
          <w:w w:val="105"/>
          <w:sz w:val="19"/>
        </w:rPr>
        <w:t>de</w:t>
      </w:r>
      <w:r>
        <w:rPr>
          <w:spacing w:val="-8"/>
          <w:w w:val="105"/>
          <w:sz w:val="19"/>
        </w:rPr>
        <w:t> </w:t>
      </w:r>
      <w:r>
        <w:rPr>
          <w:w w:val="105"/>
          <w:sz w:val="19"/>
        </w:rPr>
        <w:t>Familia</w:t>
      </w:r>
      <w:r>
        <w:rPr>
          <w:spacing w:val="-8"/>
          <w:w w:val="105"/>
          <w:sz w:val="19"/>
        </w:rPr>
        <w:t> </w:t>
      </w:r>
      <w:r>
        <w:rPr>
          <w:w w:val="105"/>
          <w:sz w:val="19"/>
        </w:rPr>
        <w:t>y</w:t>
      </w:r>
      <w:r>
        <w:rPr>
          <w:spacing w:val="-14"/>
          <w:w w:val="105"/>
          <w:sz w:val="19"/>
        </w:rPr>
        <w:t> </w:t>
      </w:r>
      <w:r>
        <w:rPr>
          <w:w w:val="105"/>
          <w:sz w:val="19"/>
        </w:rPr>
        <w:t>Maestros</w:t>
      </w:r>
      <w:r>
        <w:rPr>
          <w:spacing w:val="-14"/>
          <w:w w:val="105"/>
          <w:sz w:val="19"/>
        </w:rPr>
        <w:t> </w:t>
      </w:r>
      <w:r>
        <w:rPr>
          <w:w w:val="105"/>
          <w:sz w:val="19"/>
        </w:rPr>
        <w:t>del</w:t>
      </w:r>
      <w:r>
        <w:rPr>
          <w:spacing w:val="-10"/>
          <w:w w:val="105"/>
          <w:sz w:val="19"/>
        </w:rPr>
        <w:t> </w:t>
      </w:r>
      <w:r>
        <w:rPr>
          <w:w w:val="105"/>
          <w:sz w:val="19"/>
        </w:rPr>
        <w:t>Sindicato</w:t>
      </w:r>
      <w:r>
        <w:rPr>
          <w:spacing w:val="-10"/>
          <w:w w:val="105"/>
          <w:sz w:val="19"/>
        </w:rPr>
        <w:t> </w:t>
      </w:r>
      <w:r>
        <w:rPr>
          <w:w w:val="105"/>
          <w:sz w:val="19"/>
        </w:rPr>
        <w:t>Nacional</w:t>
      </w:r>
      <w:r>
        <w:rPr>
          <w:spacing w:val="-16"/>
          <w:w w:val="105"/>
          <w:sz w:val="19"/>
        </w:rPr>
        <w:t> </w:t>
      </w:r>
      <w:r>
        <w:rPr>
          <w:spacing w:val="2"/>
          <w:w w:val="105"/>
          <w:sz w:val="19"/>
        </w:rPr>
        <w:t>de</w:t>
      </w:r>
      <w:r>
        <w:rPr>
          <w:spacing w:val="-15"/>
          <w:w w:val="105"/>
          <w:sz w:val="19"/>
        </w:rPr>
        <w:t> </w:t>
      </w:r>
      <w:r>
        <w:rPr>
          <w:w w:val="105"/>
          <w:sz w:val="19"/>
        </w:rPr>
        <w:t>Trabajadores</w:t>
      </w:r>
      <w:r>
        <w:rPr>
          <w:spacing w:val="-14"/>
          <w:w w:val="105"/>
          <w:sz w:val="19"/>
        </w:rPr>
        <w:t> </w:t>
      </w:r>
      <w:r>
        <w:rPr>
          <w:w w:val="105"/>
          <w:sz w:val="19"/>
        </w:rPr>
        <w:t>de</w:t>
      </w:r>
      <w:r>
        <w:rPr>
          <w:spacing w:val="-10"/>
          <w:w w:val="105"/>
          <w:sz w:val="19"/>
        </w:rPr>
        <w:t> </w:t>
      </w:r>
      <w:r>
        <w:rPr>
          <w:w w:val="105"/>
          <w:sz w:val="19"/>
        </w:rPr>
        <w:t>la Educación.</w:t>
      </w:r>
    </w:p>
    <w:p>
      <w:pPr>
        <w:spacing w:after="0" w:line="244" w:lineRule="auto"/>
        <w:jc w:val="both"/>
        <w:rPr>
          <w:sz w:val="19"/>
        </w:rPr>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9" w:lineRule="auto" w:before="74"/>
        <w:ind w:left="115" w:right="191"/>
      </w:pPr>
      <w:r>
        <w:rPr>
          <w:i/>
        </w:rPr>
        <w:t>vanguardia</w:t>
      </w:r>
      <w:r>
        <w:rPr/>
        <w:t>, apropiados para enseñar y aprender, gestionado todo </w:t>
      </w:r>
      <w:r>
        <w:rPr>
          <w:spacing w:val="-4"/>
        </w:rPr>
        <w:t>ello </w:t>
      </w:r>
      <w:r>
        <w:rPr/>
        <w:t>a través de   </w:t>
      </w:r>
      <w:r>
        <w:rPr>
          <w:spacing w:val="-5"/>
        </w:rPr>
        <w:t>la </w:t>
      </w:r>
      <w:r>
        <w:rPr/>
        <w:t>participación social (SEP,</w:t>
      </w:r>
      <w:r>
        <w:rPr>
          <w:spacing w:val="55"/>
        </w:rPr>
        <w:t> </w:t>
      </w:r>
      <w:r>
        <w:rPr/>
        <w:t>2008)</w:t>
      </w:r>
    </w:p>
    <w:p>
      <w:pPr>
        <w:pStyle w:val="BodyText"/>
        <w:spacing w:line="364" w:lineRule="auto"/>
        <w:ind w:left="115" w:right="99" w:firstLine="686"/>
        <w:jc w:val="both"/>
      </w:pPr>
      <w:r>
        <w:rPr/>
        <w:t>El eje 2, clave en esta política pública, supuso la Profesionalización de </w:t>
      </w:r>
      <w:r>
        <w:rPr>
          <w:spacing w:val="-2"/>
        </w:rPr>
        <w:t>los </w:t>
      </w:r>
      <w:r>
        <w:rPr/>
        <w:t>maestros y las autoridades educativas. Según el documento oficial, ello </w:t>
      </w:r>
      <w:r>
        <w:rPr>
          <w:spacing w:val="5"/>
        </w:rPr>
        <w:t>se </w:t>
      </w:r>
      <w:r>
        <w:rPr/>
        <w:t>refería    a </w:t>
      </w:r>
      <w:r>
        <w:rPr>
          <w:spacing w:val="-3"/>
        </w:rPr>
        <w:t>la </w:t>
      </w:r>
      <w:r>
        <w:rPr/>
        <w:t>garantía de </w:t>
      </w:r>
      <w:r>
        <w:rPr>
          <w:spacing w:val="-5"/>
        </w:rPr>
        <w:t>la </w:t>
      </w:r>
      <w:r>
        <w:rPr/>
        <w:t>selección adecuada de que quienes </w:t>
      </w:r>
      <w:r>
        <w:rPr>
          <w:i/>
        </w:rPr>
        <w:t>dirigen </w:t>
      </w:r>
      <w:r>
        <w:rPr/>
        <w:t>(directores)  el sistema educativo, </w:t>
      </w:r>
      <w:r>
        <w:rPr>
          <w:spacing w:val="-4"/>
        </w:rPr>
        <w:t>los</w:t>
      </w:r>
      <w:r>
        <w:rPr>
          <w:spacing w:val="55"/>
        </w:rPr>
        <w:t> </w:t>
      </w:r>
      <w:r>
        <w:rPr/>
        <w:t>centros escolares y quienes enseñan (docentes). El  propósito </w:t>
      </w:r>
      <w:r>
        <w:rPr>
          <w:spacing w:val="-3"/>
        </w:rPr>
        <w:t>es que </w:t>
      </w:r>
      <w:r>
        <w:rPr/>
        <w:t>estén </w:t>
      </w:r>
      <w:r>
        <w:rPr>
          <w:i/>
        </w:rPr>
        <w:t>debidamente formados </w:t>
      </w:r>
      <w:r>
        <w:rPr/>
        <w:t>y </w:t>
      </w:r>
      <w:r>
        <w:rPr>
          <w:i/>
        </w:rPr>
        <w:t>reciban los estímulos e incentivos </w:t>
      </w:r>
      <w:r>
        <w:rPr/>
        <w:t>que </w:t>
      </w:r>
      <w:r>
        <w:rPr>
          <w:i/>
        </w:rPr>
        <w:t>merezcan </w:t>
      </w:r>
      <w:r>
        <w:rPr/>
        <w:t>en función del logro educativo de niñas, niños y jóvenes. </w:t>
      </w:r>
      <w:r>
        <w:rPr>
          <w:spacing w:val="3"/>
        </w:rPr>
        <w:t>De </w:t>
      </w:r>
      <w:r>
        <w:rPr/>
        <w:t>ello se derivan tres acciones a mejorar en </w:t>
      </w:r>
      <w:r>
        <w:rPr>
          <w:spacing w:val="4"/>
        </w:rPr>
        <w:t>el </w:t>
      </w:r>
      <w:r>
        <w:rPr/>
        <w:t>reclutamiento, promoción y permanencia de los docentes y directivos: ingreso y ascenso por mérito, profesionalización y creación de un sistema de incentivos y estímulos (SEP, </w:t>
      </w:r>
      <w:r>
        <w:rPr>
          <w:spacing w:val="2"/>
        </w:rPr>
        <w:t> </w:t>
      </w:r>
      <w:r>
        <w:rPr/>
        <w:t>2008).</w:t>
      </w:r>
    </w:p>
    <w:p>
      <w:pPr>
        <w:pStyle w:val="BodyText"/>
        <w:spacing w:line="364" w:lineRule="auto" w:before="5"/>
        <w:ind w:left="115" w:right="109" w:firstLine="686"/>
        <w:jc w:val="both"/>
      </w:pPr>
      <w:r>
        <w:rPr/>
        <w:t>En cuanto a ingreso y promoción, </w:t>
      </w:r>
      <w:r>
        <w:rPr>
          <w:spacing w:val="3"/>
        </w:rPr>
        <w:t>se </w:t>
      </w:r>
      <w:r>
        <w:rPr>
          <w:spacing w:val="-3"/>
        </w:rPr>
        <w:t>incluyó </w:t>
      </w:r>
      <w:r>
        <w:rPr/>
        <w:t>docentes, directores, supervisores y autoridades educativas y los acuerdos fueron: 1. El ingreso y promoción de todas las nuevas plazas y todas las vacantes definitivas, sería por </w:t>
      </w:r>
      <w:r>
        <w:rPr>
          <w:spacing w:val="-3"/>
        </w:rPr>
        <w:t>la </w:t>
      </w:r>
      <w:r>
        <w:rPr/>
        <w:t>vía del concurso nacional público </w:t>
      </w:r>
      <w:r>
        <w:rPr>
          <w:spacing w:val="2"/>
        </w:rPr>
        <w:t>de </w:t>
      </w:r>
      <w:r>
        <w:rPr/>
        <w:t>oposición convocado y dictaminado de  manera independiente. 2. El acceso a funciones directivas en el ámbito estatal se realizará por la vía de concursos públicos de</w:t>
      </w:r>
      <w:r>
        <w:rPr>
          <w:spacing w:val="52"/>
        </w:rPr>
        <w:t> </w:t>
      </w:r>
      <w:r>
        <w:rPr/>
        <w:t>oposición.</w:t>
      </w:r>
    </w:p>
    <w:p>
      <w:pPr>
        <w:pStyle w:val="BodyText"/>
        <w:spacing w:line="364" w:lineRule="auto" w:before="10"/>
        <w:ind w:left="115" w:right="107" w:firstLine="686"/>
        <w:jc w:val="both"/>
      </w:pPr>
      <w:r>
        <w:rPr/>
        <w:t>Adicionalmente, en la profesionalización de maestros y de las autoridades educativas, se anunció </w:t>
      </w:r>
      <w:r>
        <w:rPr>
          <w:spacing w:val="-4"/>
        </w:rPr>
        <w:t>la </w:t>
      </w:r>
      <w:r>
        <w:rPr/>
        <w:t>creación del Sistema Nacional de Formación Continua y Superación Profesional de Maestros en Servicio, </w:t>
      </w:r>
      <w:r>
        <w:rPr>
          <w:spacing w:val="-5"/>
        </w:rPr>
        <w:t>la </w:t>
      </w:r>
      <w:r>
        <w:rPr/>
        <w:t>certificación de competencias profesionales y el fortalecimiento de la profesionalización de los docentes de </w:t>
      </w:r>
      <w:r>
        <w:rPr>
          <w:spacing w:val="-3"/>
        </w:rPr>
        <w:t>las </w:t>
      </w:r>
      <w:r>
        <w:rPr/>
        <w:t>escuelas normales, </w:t>
      </w:r>
      <w:r>
        <w:rPr>
          <w:spacing w:val="-3"/>
        </w:rPr>
        <w:t>así </w:t>
      </w:r>
      <w:r>
        <w:rPr/>
        <w:t>como el impulso de una nueva estrategia para incentivar a los docentes mediante la reforma de los lineamientos del Programa de Carrera Magisterial, de forma que en lo sucesivo incluiría tres factores para darle puntaje a los maestros suscritos: aprovechamiento escolar de sus alumnos, cursos de actualización y desempeño profesional y la creación del Programa de Estímulos a   </w:t>
      </w:r>
      <w:r>
        <w:rPr>
          <w:spacing w:val="-5"/>
        </w:rPr>
        <w:t>la </w:t>
      </w:r>
      <w:r>
        <w:rPr/>
        <w:t>Calidad</w:t>
      </w:r>
      <w:r>
        <w:rPr>
          <w:spacing w:val="31"/>
        </w:rPr>
        <w:t> </w:t>
      </w:r>
      <w:r>
        <w:rPr/>
        <w:t>Docente.</w:t>
      </w:r>
    </w:p>
    <w:p>
      <w:pPr>
        <w:pStyle w:val="BodyText"/>
        <w:spacing w:line="364" w:lineRule="auto" w:before="5"/>
        <w:ind w:left="115" w:right="104" w:firstLine="686"/>
        <w:jc w:val="both"/>
      </w:pPr>
      <w:r>
        <w:rPr/>
        <w:t>El Eje 3 se planteó con un propósito redistributivo, de tal forma que se presentó con el objetivo de brindar bienestar y desarrollo integral de los alumnos,    </w:t>
      </w:r>
      <w:r>
        <w:rPr>
          <w:spacing w:val="-5"/>
        </w:rPr>
        <w:t>lo </w:t>
      </w:r>
      <w:r>
        <w:rPr>
          <w:spacing w:val="2"/>
        </w:rPr>
        <w:t>cual </w:t>
      </w:r>
      <w:r>
        <w:rPr/>
        <w:t>suponía el </w:t>
      </w:r>
      <w:r>
        <w:rPr>
          <w:i/>
        </w:rPr>
        <w:t>mejoramiento </w:t>
      </w:r>
      <w:r>
        <w:rPr/>
        <w:t>del bienestar y desarrollo integral de </w:t>
      </w:r>
      <w:r>
        <w:rPr>
          <w:spacing w:val="-3"/>
        </w:rPr>
        <w:t>los </w:t>
      </w:r>
      <w:r>
        <w:rPr/>
        <w:t>niños y jóvenes,  como  base  para  la  transformación  del  sistema  educativo  y </w:t>
      </w:r>
      <w:r>
        <w:rPr>
          <w:spacing w:val="27"/>
        </w:rPr>
        <w:t> </w:t>
      </w:r>
      <w:r>
        <w:rPr/>
        <w:t>condición</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8"/>
        <w:jc w:val="both"/>
      </w:pPr>
      <w:r>
        <w:rPr/>
        <w:t>esencial para el </w:t>
      </w:r>
      <w:r>
        <w:rPr>
          <w:i/>
        </w:rPr>
        <w:t>logro </w:t>
      </w:r>
      <w:r>
        <w:rPr/>
        <w:t>educativo. De este eje se plantearon los siguientes  propósitos: salud, alimentación y nutrición y el  impulso  de  acciones  para coadyuvar a tener condiciones sociales para mejorar </w:t>
      </w:r>
      <w:r>
        <w:rPr>
          <w:spacing w:val="3"/>
        </w:rPr>
        <w:t>el </w:t>
      </w:r>
      <w:r>
        <w:rPr>
          <w:i/>
        </w:rPr>
        <w:t>acceso, permanencia y </w:t>
      </w:r>
      <w:r>
        <w:rPr>
          <w:i/>
        </w:rPr>
        <w:t>egreso </w:t>
      </w:r>
      <w:r>
        <w:rPr/>
        <w:t>oportuno</w:t>
      </w:r>
      <w:r>
        <w:rPr>
          <w:spacing w:val="29"/>
        </w:rPr>
        <w:t> </w:t>
      </w:r>
      <w:r>
        <w:rPr/>
        <w:t>(SEP,2008).</w:t>
      </w:r>
    </w:p>
    <w:p>
      <w:pPr>
        <w:pStyle w:val="BodyText"/>
        <w:spacing w:line="364" w:lineRule="auto" w:before="5"/>
        <w:ind w:left="115" w:right="107" w:firstLine="686"/>
        <w:jc w:val="both"/>
      </w:pPr>
      <w:r>
        <w:rPr/>
        <w:t>Este eje, divido en salud, alimentación y nutrición; y condiciones sociales para mejorar el acceso, permanencia y egreso oportuno, generó el compromiso de capacitar a </w:t>
      </w:r>
      <w:r>
        <w:rPr>
          <w:spacing w:val="-3"/>
        </w:rPr>
        <w:t>las </w:t>
      </w:r>
      <w:r>
        <w:rPr/>
        <w:t>comunidades educativas para que desarrollen una cultura de  </w:t>
      </w:r>
      <w:r>
        <w:rPr>
          <w:spacing w:val="-5"/>
        </w:rPr>
        <w:t>la  </w:t>
      </w:r>
      <w:r>
        <w:rPr/>
        <w:t>salud y fortalezcan sus programas de desayunos escolares con menús para prevenir sobrepeso y obesidad. También </w:t>
      </w:r>
      <w:r>
        <w:rPr>
          <w:spacing w:val="2"/>
        </w:rPr>
        <w:t>se </w:t>
      </w:r>
      <w:r>
        <w:rPr/>
        <w:t>coordinarían acciones para promover   </w:t>
      </w:r>
      <w:r>
        <w:rPr>
          <w:spacing w:val="-5"/>
        </w:rPr>
        <w:t>la </w:t>
      </w:r>
      <w:r>
        <w:rPr/>
        <w:t>salud en horas </w:t>
      </w:r>
      <w:r>
        <w:rPr>
          <w:spacing w:val="-3"/>
        </w:rPr>
        <w:t>de </w:t>
      </w:r>
      <w:r>
        <w:rPr/>
        <w:t>clase, cuando una vía más eficiente para </w:t>
      </w:r>
      <w:r>
        <w:rPr>
          <w:spacing w:val="-3"/>
        </w:rPr>
        <w:t>ello </w:t>
      </w:r>
      <w:r>
        <w:rPr/>
        <w:t>sería lograr </w:t>
      </w:r>
      <w:r>
        <w:rPr>
          <w:spacing w:val="-5"/>
        </w:rPr>
        <w:t>la </w:t>
      </w:r>
      <w:r>
        <w:rPr/>
        <w:t>colaboración seria y comprometida de los medios masivos de comunicación. Asimismo, se hizo el acuerdo de fortalecer el Programa Oportunidades con </w:t>
      </w:r>
      <w:r>
        <w:rPr>
          <w:spacing w:val="-3"/>
        </w:rPr>
        <w:t>la </w:t>
      </w:r>
      <w:r>
        <w:rPr/>
        <w:t>asignación de 5.2 millones </w:t>
      </w:r>
      <w:r>
        <w:rPr>
          <w:spacing w:val="3"/>
        </w:rPr>
        <w:t>de </w:t>
      </w:r>
      <w:r>
        <w:rPr/>
        <w:t>becas para primaria, secundaria y media superior; y atender a niños con discapacidad, aptitudes sobresalientes y talentos específicos mediante una campaña en los estados que incluya la capacitación de profesores y propuestas metodológicas para </w:t>
      </w:r>
      <w:r>
        <w:rPr>
          <w:spacing w:val="-5"/>
        </w:rPr>
        <w:t>la </w:t>
      </w:r>
      <w:r>
        <w:rPr/>
        <w:t>atención </w:t>
      </w:r>
      <w:r>
        <w:rPr>
          <w:spacing w:val="10"/>
        </w:rPr>
        <w:t> </w:t>
      </w:r>
      <w:r>
        <w:rPr/>
        <w:t>personalizada.</w:t>
      </w:r>
    </w:p>
    <w:p>
      <w:pPr>
        <w:pStyle w:val="BodyText"/>
        <w:spacing w:line="364" w:lineRule="auto" w:before="5"/>
        <w:ind w:left="115" w:right="105" w:firstLine="686"/>
        <w:jc w:val="both"/>
      </w:pPr>
      <w:r>
        <w:rPr/>
        <w:t>El eje 4 se refería a la formación integral de los alumnos para la vida y el trabajo y tiene como propósito dar certeza de </w:t>
      </w:r>
      <w:r>
        <w:rPr>
          <w:i/>
        </w:rPr>
        <w:t>una formación basada en valores y </w:t>
      </w:r>
      <w:r>
        <w:rPr>
          <w:i/>
        </w:rPr>
        <w:t>una educación de calidad</w:t>
      </w:r>
      <w:r>
        <w:rPr/>
        <w:t>, que propicie la </w:t>
      </w:r>
      <w:r>
        <w:rPr>
          <w:i/>
        </w:rPr>
        <w:t>construcción de ciudadanía</w:t>
      </w:r>
      <w:r>
        <w:rPr/>
        <w:t>, el impulso a la </w:t>
      </w:r>
      <w:r>
        <w:rPr>
          <w:i/>
        </w:rPr>
        <w:t>productividad </w:t>
      </w:r>
      <w:r>
        <w:rPr/>
        <w:t>y la promoción de la </w:t>
      </w:r>
      <w:r>
        <w:rPr>
          <w:i/>
        </w:rPr>
        <w:t>competitividad </w:t>
      </w:r>
      <w:r>
        <w:rPr/>
        <w:t>para que las personas puedan desarrollar todo su potencial. Para tal efecto, se plantea la meta de una reforma curricular. Este eje tuvo singular relevancia pues implicó el compromiso de una reforma curricular integral orientada al desarrollo de competencias y habilidades, que suponía finalmente modificar los enfoques, asignaturas y contenidos de la educación básica (SEP, 2008).</w:t>
      </w:r>
    </w:p>
    <w:p>
      <w:pPr>
        <w:pStyle w:val="BodyText"/>
        <w:spacing w:line="364" w:lineRule="auto"/>
        <w:ind w:left="115" w:right="106" w:firstLine="686"/>
        <w:jc w:val="both"/>
      </w:pPr>
      <w:r>
        <w:rPr/>
        <w:t>El eje 5, se planteó como complementario del  2  y se  denominó “Evaluar para mejorar”. En concreto se refiere a </w:t>
      </w:r>
      <w:r>
        <w:rPr>
          <w:spacing w:val="-5"/>
        </w:rPr>
        <w:t>la </w:t>
      </w:r>
      <w:r>
        <w:rPr/>
        <w:t>generación de un sistema de </w:t>
      </w:r>
      <w:r>
        <w:rPr>
          <w:i/>
        </w:rPr>
        <w:t>estímulos </w:t>
      </w:r>
      <w:r>
        <w:rPr>
          <w:i/>
        </w:rPr>
        <w:t>para elevar la calidad educativa</w:t>
      </w:r>
      <w:r>
        <w:rPr/>
        <w:t>, de promover </w:t>
      </w:r>
      <w:r>
        <w:rPr>
          <w:spacing w:val="-3"/>
        </w:rPr>
        <w:t>la </w:t>
      </w:r>
      <w:r>
        <w:rPr/>
        <w:t>transparencia y </w:t>
      </w:r>
      <w:r>
        <w:rPr>
          <w:spacing w:val="-4"/>
        </w:rPr>
        <w:t>la </w:t>
      </w:r>
      <w:r>
        <w:rPr/>
        <w:t>rendición de cuentas, y servir de base para el diseño adecuado de políticas educativas. En tal sentido, </w:t>
      </w:r>
      <w:r>
        <w:rPr>
          <w:spacing w:val="2"/>
        </w:rPr>
        <w:t>se </w:t>
      </w:r>
      <w:r>
        <w:rPr/>
        <w:t>hace énfasis en la necesidad de evaluar a los</w:t>
      </w:r>
      <w:r>
        <w:rPr>
          <w:spacing w:val="62"/>
        </w:rPr>
        <w:t> </w:t>
      </w:r>
      <w:r>
        <w:rPr/>
        <w:t>docentes.</w:t>
      </w:r>
    </w:p>
    <w:p>
      <w:pPr>
        <w:spacing w:after="0" w:line="364" w:lineRule="auto"/>
        <w:jc w:val="both"/>
        <w:sectPr>
          <w:footerReference w:type="default" r:id="rId117"/>
          <w:pgSz w:w="11910" w:h="16840"/>
          <w:pgMar w:footer="1457" w:header="0" w:top="1580" w:bottom="1640" w:left="1540" w:right="1540"/>
        </w:sectPr>
      </w:pPr>
    </w:p>
    <w:p>
      <w:pPr>
        <w:pStyle w:val="BodyText"/>
        <w:rPr>
          <w:sz w:val="20"/>
        </w:rPr>
      </w:pPr>
    </w:p>
    <w:p>
      <w:pPr>
        <w:pStyle w:val="BodyText"/>
        <w:spacing w:before="2"/>
        <w:rPr>
          <w:sz w:val="16"/>
        </w:rPr>
      </w:pPr>
    </w:p>
    <w:p>
      <w:pPr>
        <w:spacing w:before="74"/>
        <w:ind w:left="115" w:right="0" w:firstLine="0"/>
        <w:jc w:val="both"/>
        <w:rPr>
          <w:b/>
          <w:i/>
          <w:sz w:val="23"/>
        </w:rPr>
      </w:pPr>
      <w:r>
        <w:rPr>
          <w:b/>
          <w:color w:val="19161A"/>
          <w:sz w:val="23"/>
        </w:rPr>
        <w:t>4.7.1 Alcances efectivos de la ACE y los </w:t>
      </w:r>
      <w:r>
        <w:rPr>
          <w:b/>
          <w:i/>
          <w:color w:val="19161A"/>
          <w:sz w:val="23"/>
        </w:rPr>
        <w:t>juegos de  poder</w:t>
      </w:r>
    </w:p>
    <w:p>
      <w:pPr>
        <w:pStyle w:val="BodyText"/>
        <w:spacing w:line="364" w:lineRule="auto" w:before="143"/>
        <w:ind w:left="115" w:right="111"/>
        <w:jc w:val="both"/>
      </w:pPr>
      <w:r>
        <w:rPr/>
        <w:t>De inicio, el desafío que se planteó </w:t>
      </w:r>
      <w:r>
        <w:rPr>
          <w:spacing w:val="-3"/>
        </w:rPr>
        <w:t>la </w:t>
      </w:r>
      <w:r>
        <w:rPr/>
        <w:t>ACE fue más que significativo en el rubro de  </w:t>
      </w:r>
      <w:r>
        <w:rPr>
          <w:spacing w:val="-5"/>
        </w:rPr>
        <w:t>la </w:t>
      </w:r>
      <w:r>
        <w:rPr/>
        <w:t>modernización de centros escolares, en virtud de que, como se mencionó en el capítulo 2, la federalización del sistema educativo, también supuso  </w:t>
      </w:r>
      <w:r>
        <w:rPr>
          <w:spacing w:val="-3"/>
        </w:rPr>
        <w:t>la  </w:t>
      </w:r>
      <w:r>
        <w:rPr/>
        <w:t>federalización de las desigualdades. Esto es fundamental porque la Alianza enfrentaría la necesidad de rehabilitar y equipar 27 mil  planteles.</w:t>
      </w:r>
    </w:p>
    <w:p>
      <w:pPr>
        <w:pStyle w:val="BodyText"/>
        <w:spacing w:line="364" w:lineRule="auto" w:before="5"/>
        <w:ind w:left="115" w:right="104" w:firstLine="686"/>
        <w:jc w:val="both"/>
      </w:pPr>
      <w:r>
        <w:rPr/>
        <w:t>Esa cifra no podía desdeñarse porque hasta 2007, año en </w:t>
      </w:r>
      <w:r>
        <w:rPr>
          <w:spacing w:val="-3"/>
        </w:rPr>
        <w:t>que </w:t>
      </w:r>
      <w:r>
        <w:rPr/>
        <w:t>se firmó </w:t>
      </w:r>
      <w:r>
        <w:rPr>
          <w:spacing w:val="-5"/>
        </w:rPr>
        <w:t>la </w:t>
      </w:r>
      <w:r>
        <w:rPr/>
        <w:t>ACE, las condiciones de </w:t>
      </w:r>
      <w:r>
        <w:rPr>
          <w:spacing w:val="-3"/>
        </w:rPr>
        <w:t>miles </w:t>
      </w:r>
      <w:r>
        <w:rPr/>
        <w:t>de centros escolares eran deplorables, según </w:t>
      </w:r>
      <w:r>
        <w:rPr>
          <w:spacing w:val="2"/>
        </w:rPr>
        <w:t>el </w:t>
      </w:r>
      <w:r>
        <w:rPr/>
        <w:t>INEE. </w:t>
      </w:r>
      <w:r>
        <w:rPr>
          <w:spacing w:val="-3"/>
        </w:rPr>
        <w:t>Menos </w:t>
      </w:r>
      <w:r>
        <w:rPr/>
        <w:t>de un 10% de las escuelas indígenas y comunitarias contaban con biblioteca escolar, </w:t>
      </w:r>
      <w:r>
        <w:rPr>
          <w:spacing w:val="4"/>
        </w:rPr>
        <w:t>el </w:t>
      </w:r>
      <w:r>
        <w:rPr/>
        <w:t>90% de las primarias indígenas no contaba con equipo para reproducir materiales didácticos (fotocopiadora, mimeógrafo o duplicadora); sólo el 9% de los planteles de educación primaria indígena tenían televisión y  </w:t>
      </w:r>
      <w:r>
        <w:rPr>
          <w:spacing w:val="-6"/>
        </w:rPr>
        <w:t>la  </w:t>
      </w:r>
      <w:r>
        <w:rPr/>
        <w:t>educación comunitaria carecía de esta herramienta en un 95% (INEE, </w:t>
      </w:r>
      <w:r>
        <w:rPr>
          <w:spacing w:val="19"/>
        </w:rPr>
        <w:t> </w:t>
      </w:r>
      <w:r>
        <w:rPr/>
        <w:t>2008a).</w:t>
      </w:r>
    </w:p>
    <w:p>
      <w:pPr>
        <w:pStyle w:val="BodyText"/>
        <w:spacing w:line="364" w:lineRule="auto" w:before="10"/>
        <w:ind w:left="115" w:right="108" w:firstLine="686"/>
        <w:jc w:val="both"/>
      </w:pPr>
      <w:r>
        <w:rPr/>
        <w:t>En lo que respecta a </w:t>
      </w:r>
      <w:r>
        <w:rPr>
          <w:spacing w:val="-3"/>
        </w:rPr>
        <w:t>las </w:t>
      </w:r>
      <w:r>
        <w:rPr/>
        <w:t>condiciones  básicas  </w:t>
      </w:r>
      <w:r>
        <w:rPr>
          <w:spacing w:val="-3"/>
        </w:rPr>
        <w:t>de  </w:t>
      </w:r>
      <w:r>
        <w:rPr/>
        <w:t>infraestructura destacaba el hecho de que el 50% de las primarias indígenas </w:t>
      </w:r>
      <w:r>
        <w:rPr>
          <w:spacing w:val="4"/>
        </w:rPr>
        <w:t>se </w:t>
      </w:r>
      <w:r>
        <w:rPr/>
        <w:t>goteaban cuando llueve y un 15% </w:t>
      </w:r>
      <w:r>
        <w:rPr>
          <w:spacing w:val="3"/>
        </w:rPr>
        <w:t>se </w:t>
      </w:r>
      <w:r>
        <w:rPr/>
        <w:t>inundaba, aunque las escuelas comunitarias </w:t>
      </w:r>
      <w:r>
        <w:rPr>
          <w:spacing w:val="3"/>
        </w:rPr>
        <w:t>se </w:t>
      </w:r>
      <w:r>
        <w:rPr/>
        <w:t>anegaban en un 19% de ellas; el 56% </w:t>
      </w:r>
      <w:r>
        <w:rPr>
          <w:spacing w:val="-3"/>
        </w:rPr>
        <w:t>de </w:t>
      </w:r>
      <w:r>
        <w:rPr/>
        <w:t>las primarias indígenas presentaba cuarteaduras en las paredes y en los techos y un 58% tenía ventanas con vidrios rotos o de plano sin vidrios; además, el 37% </w:t>
      </w:r>
      <w:r>
        <w:rPr>
          <w:spacing w:val="2"/>
        </w:rPr>
        <w:t>de </w:t>
      </w:r>
      <w:r>
        <w:rPr>
          <w:spacing w:val="-3"/>
        </w:rPr>
        <w:t>los </w:t>
      </w:r>
      <w:r>
        <w:rPr/>
        <w:t>planteles tenía letrinas y en un 17% no había servicio de sanitario (INEE,</w:t>
      </w:r>
      <w:r>
        <w:rPr>
          <w:spacing w:val="24"/>
        </w:rPr>
        <w:t> </w:t>
      </w:r>
      <w:r>
        <w:rPr/>
        <w:t>2008a)</w:t>
      </w:r>
    </w:p>
    <w:p>
      <w:pPr>
        <w:pStyle w:val="BodyText"/>
        <w:spacing w:line="364" w:lineRule="auto" w:before="5"/>
        <w:ind w:left="115" w:right="107" w:firstLine="686"/>
        <w:jc w:val="both"/>
      </w:pPr>
      <w:r>
        <w:rPr/>
        <w:t>De acuerdo con el INEE, el problema de equipamiento escolar es más necesario en escuelas primarias indígenas y comunitarias, las cuales </w:t>
      </w:r>
      <w:r>
        <w:rPr>
          <w:spacing w:val="2"/>
        </w:rPr>
        <w:t>se </w:t>
      </w:r>
      <w:r>
        <w:rPr/>
        <w:t>ubican en las entidades federativas con mayor rezago. Por ejemplo, en el ciclo escolar 2006- 2007 el número de escuelas primarias indígenas y comunitarias fue de 21 mil 221. Las escuelas indígenas que atendían el nivel preescolar y los cursos comunitarios del nivel sumaban 27 </w:t>
      </w:r>
      <w:r>
        <w:rPr>
          <w:spacing w:val="-3"/>
        </w:rPr>
        <w:t>mil </w:t>
      </w:r>
      <w:r>
        <w:rPr/>
        <w:t>centros educativos y las telesecundarias, la mayoría de ellas ubicados en zonas rurales y en comunidades indígenas, alcanzaban 16  mil 938 escuelas (INEE, 2008). En suma, 65 </w:t>
      </w:r>
      <w:r>
        <w:rPr>
          <w:spacing w:val="-3"/>
        </w:rPr>
        <w:t>mil </w:t>
      </w:r>
      <w:r>
        <w:rPr/>
        <w:t>234 planteles de educación básica requerían algún tipo de atención intensiva y urgente, pues en ellos estudiaban  cerca de tres </w:t>
      </w:r>
      <w:r>
        <w:rPr>
          <w:spacing w:val="-3"/>
        </w:rPr>
        <w:t>millones  </w:t>
      </w:r>
      <w:r>
        <w:rPr/>
        <w:t>de niños en condiciones indignas  y con poca capacidad  para garantizar </w:t>
      </w:r>
      <w:r>
        <w:rPr>
          <w:spacing w:val="-3"/>
        </w:rPr>
        <w:t>la </w:t>
      </w:r>
      <w:r>
        <w:rPr/>
        <w:t>salud y, sobre todo, mejores aprovechamientos </w:t>
      </w:r>
      <w:r>
        <w:rPr>
          <w:spacing w:val="26"/>
        </w:rPr>
        <w:t> </w:t>
      </w:r>
      <w:r>
        <w:rPr/>
        <w:t>escolares.</w:t>
      </w:r>
    </w:p>
    <w:p>
      <w:pPr>
        <w:spacing w:after="0" w:line="364" w:lineRule="auto"/>
        <w:jc w:val="both"/>
        <w:sectPr>
          <w:footerReference w:type="default" r:id="rId118"/>
          <w:pgSz w:w="11910" w:h="16840"/>
          <w:pgMar w:footer="1457" w:header="0" w:top="1580" w:bottom="1640" w:left="1540" w:right="1540"/>
          <w:pgNumType w:start="231"/>
        </w:sectPr>
      </w:pPr>
    </w:p>
    <w:p>
      <w:pPr>
        <w:pStyle w:val="BodyText"/>
        <w:rPr>
          <w:sz w:val="20"/>
        </w:rPr>
      </w:pPr>
    </w:p>
    <w:p>
      <w:pPr>
        <w:pStyle w:val="BodyText"/>
        <w:spacing w:before="2"/>
        <w:rPr>
          <w:sz w:val="16"/>
        </w:rPr>
      </w:pPr>
    </w:p>
    <w:p>
      <w:pPr>
        <w:pStyle w:val="BodyText"/>
        <w:spacing w:line="364" w:lineRule="auto" w:before="74"/>
        <w:ind w:left="116" w:right="107" w:firstLine="686"/>
        <w:jc w:val="both"/>
      </w:pPr>
      <w:r>
        <w:rPr/>
        <w:t>El problema de esta situación es que la ACE mencionó </w:t>
      </w:r>
      <w:r>
        <w:rPr>
          <w:spacing w:val="2"/>
        </w:rPr>
        <w:t>como </w:t>
      </w:r>
      <w:r>
        <w:rPr/>
        <w:t>responsables de esta tarea a los gobiernos de los estados, los municipios y otros actores, pero  no se indicó cómo se ejercerá la corresponsabilidad del  gobierno  federal.  Tampoco indicó cuáles eran las normas de construcciones escolares que se seguirían.</w:t>
      </w:r>
    </w:p>
    <w:p>
      <w:pPr>
        <w:pStyle w:val="BodyText"/>
        <w:spacing w:line="364" w:lineRule="auto" w:before="5"/>
        <w:ind w:left="116" w:right="107" w:firstLine="686"/>
        <w:jc w:val="both"/>
      </w:pPr>
      <w:r>
        <w:rPr/>
        <w:t>Dos </w:t>
      </w:r>
      <w:r>
        <w:rPr>
          <w:spacing w:val="-4"/>
        </w:rPr>
        <w:t>años </w:t>
      </w:r>
      <w:r>
        <w:rPr/>
        <w:t>después </w:t>
      </w:r>
      <w:r>
        <w:rPr>
          <w:spacing w:val="2"/>
        </w:rPr>
        <w:t>de </w:t>
      </w:r>
      <w:r>
        <w:rPr/>
        <w:t>que </w:t>
      </w:r>
      <w:r>
        <w:rPr>
          <w:spacing w:val="3"/>
        </w:rPr>
        <w:t>se </w:t>
      </w:r>
      <w:r>
        <w:rPr>
          <w:spacing w:val="-3"/>
        </w:rPr>
        <w:t>firmó </w:t>
      </w:r>
      <w:r>
        <w:rPr>
          <w:spacing w:val="-5"/>
        </w:rPr>
        <w:t>la </w:t>
      </w:r>
      <w:r>
        <w:rPr/>
        <w:t>ACE, fue </w:t>
      </w:r>
      <w:r>
        <w:rPr>
          <w:spacing w:val="-3"/>
        </w:rPr>
        <w:t>notorio </w:t>
      </w:r>
      <w:r>
        <w:rPr/>
        <w:t>el esquema de federalización de las desigualdades educativas, </w:t>
      </w:r>
      <w:r>
        <w:rPr>
          <w:spacing w:val="-4"/>
        </w:rPr>
        <w:t>pues </w:t>
      </w:r>
      <w:r>
        <w:rPr/>
        <w:t>de acuerdo con información del INEE, para el año 2009, las escuelas con mayores necesidades de apoyo en infraestructura y equipamiento ascendían a 33 mil 455. De acuerdo con </w:t>
      </w:r>
      <w:r>
        <w:rPr>
          <w:spacing w:val="-3"/>
        </w:rPr>
        <w:t>lo </w:t>
      </w:r>
      <w:r>
        <w:rPr/>
        <w:t>programado en la ACE para el ciclo escolar 2008-2009 se atenderían 9,876 escuelas, lo que representaba apenas el 29.5 % del total; la meta para </w:t>
      </w:r>
      <w:r>
        <w:rPr>
          <w:spacing w:val="2"/>
        </w:rPr>
        <w:t>el </w:t>
      </w:r>
      <w:r>
        <w:rPr/>
        <w:t>ciclo 2009-2010, fue equipar 14 mil planteles (INEE, 2010). Sin embargo, </w:t>
      </w:r>
      <w:r>
        <w:rPr>
          <w:spacing w:val="-4"/>
        </w:rPr>
        <w:t>la  </w:t>
      </w:r>
      <w:r>
        <w:rPr/>
        <w:t>rehabilitación de escuelas resolvió el problema sólo por una vez, pues la Alianza   no modificó los mecanismos de asignación de recursos que habrían permitido asegurar que no se descapitalizaran los fondos federales en estados con alta marginación y que las escuelas más pobres se les dotara de recursos </w:t>
      </w:r>
      <w:r>
        <w:rPr>
          <w:spacing w:val="25"/>
        </w:rPr>
        <w:t> </w:t>
      </w:r>
      <w:r>
        <w:rPr/>
        <w:t>suficientes.</w:t>
      </w:r>
    </w:p>
    <w:p>
      <w:pPr>
        <w:pStyle w:val="BodyText"/>
        <w:spacing w:line="364" w:lineRule="auto" w:before="5"/>
        <w:ind w:left="116" w:right="104" w:firstLine="686"/>
        <w:jc w:val="both"/>
      </w:pPr>
      <w:r>
        <w:rPr/>
        <w:t>En el caso de las tecnologías para las escuelas, los reportes de la ACE registran la puesta en marcha de 200 aulas de secundarias generales y técnicas para la prueba piloto, la conectividad a Internet en 144 aulas y la instalación de contenidos en 59 aulas en el ciclo escolar 2008-2009 (SEP, 2010). Sin embargo, estas cifras quedan rebasadas por las necesidades tecnológicas de millones de niños que no tienen acceso todavía a una computadora ni cuentan con la capacitación requerida para su uso (incluso algunos maestros presentan esta situación). Se estima que el 70% de las escuelas no tiene ningún tipo de conectividad, o bien, esta es intermitente o muy deficiente (INEE,  2011).</w:t>
      </w:r>
    </w:p>
    <w:p>
      <w:pPr>
        <w:pStyle w:val="BodyText"/>
        <w:spacing w:line="364" w:lineRule="auto"/>
        <w:ind w:left="116" w:right="108" w:firstLine="686"/>
        <w:jc w:val="both"/>
      </w:pPr>
      <w:r>
        <w:rPr/>
        <w:t>Según la propuesta original de la ACE, buena parte de los recursos para las escuelas serían gestionados por los padres de familia a través de los consejos escolares de participación. De acuerdo con el informe de avances que presentó la ACE, para el ciclo escolar 2008-2009, se conformaron 39,993 Consejos Escolares de  Participación  Social,  se  impulsó  en  20,250  escuelas  modelos  de     gestión</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9" w:lineRule="auto" w:before="74"/>
        <w:ind w:left="115" w:right="108"/>
        <w:jc w:val="both"/>
      </w:pPr>
      <w:r>
        <w:rPr/>
        <w:t>participativa para los padres, así como la capacitación de 10 mil directores de preescolar y 29, 935 de primaria y secundaria (Muñoz </w:t>
      </w:r>
      <w:r>
        <w:rPr>
          <w:i/>
        </w:rPr>
        <w:t>et. al.</w:t>
      </w:r>
      <w:r>
        <w:rPr/>
        <w:t>,  2008).</w:t>
      </w:r>
    </w:p>
    <w:p>
      <w:pPr>
        <w:pStyle w:val="BodyText"/>
        <w:spacing w:line="364" w:lineRule="auto"/>
        <w:ind w:left="115" w:right="103" w:firstLine="686"/>
        <w:jc w:val="both"/>
      </w:pPr>
      <w:r>
        <w:rPr/>
        <w:t>Por otra parte, se informó que sumaron 14,308 escuelas incorporadas al Programa </w:t>
      </w:r>
      <w:r>
        <w:rPr>
          <w:i/>
        </w:rPr>
        <w:t>Escuela Segura </w:t>
      </w:r>
      <w:r>
        <w:rPr/>
        <w:t>(cifra por debajo </w:t>
      </w:r>
      <w:r>
        <w:rPr>
          <w:spacing w:val="3"/>
        </w:rPr>
        <w:t>de </w:t>
      </w:r>
      <w:r>
        <w:rPr>
          <w:spacing w:val="-4"/>
        </w:rPr>
        <w:t>lo </w:t>
      </w:r>
      <w:r>
        <w:rPr/>
        <w:t>programado); que </w:t>
      </w:r>
      <w:r>
        <w:rPr>
          <w:spacing w:val="-4"/>
        </w:rPr>
        <w:t>ya </w:t>
      </w:r>
      <w:r>
        <w:rPr/>
        <w:t>suman 790 (cantidad inferior a la esperada, </w:t>
      </w:r>
      <w:r>
        <w:rPr>
          <w:spacing w:val="-3"/>
        </w:rPr>
        <w:t>es </w:t>
      </w:r>
      <w:r>
        <w:rPr/>
        <w:t>decir, 5,500 escuelas) las que participan en el Programa de </w:t>
      </w:r>
      <w:r>
        <w:rPr>
          <w:i/>
        </w:rPr>
        <w:t>Escuelas </w:t>
      </w:r>
      <w:r>
        <w:rPr>
          <w:i/>
          <w:spacing w:val="-3"/>
        </w:rPr>
        <w:t>de </w:t>
      </w:r>
      <w:r>
        <w:rPr>
          <w:i/>
        </w:rPr>
        <w:t>Tiempo Completo</w:t>
      </w:r>
      <w:r>
        <w:rPr/>
        <w:t>; y que se  incorporaron  4,781  escuelas al Programa </w:t>
      </w:r>
      <w:r>
        <w:rPr>
          <w:i/>
        </w:rPr>
        <w:t>Escuela Siempre Abierta </w:t>
      </w:r>
      <w:r>
        <w:rPr/>
        <w:t>(SEP, 2010) cuando se programó para ese ciclo escolar un total de 21</w:t>
      </w:r>
      <w:r>
        <w:rPr>
          <w:spacing w:val="47"/>
        </w:rPr>
        <w:t> </w:t>
      </w:r>
      <w:r>
        <w:rPr>
          <w:spacing w:val="-3"/>
        </w:rPr>
        <w:t>mil.</w:t>
      </w:r>
    </w:p>
    <w:p>
      <w:pPr>
        <w:pStyle w:val="BodyText"/>
        <w:spacing w:line="364" w:lineRule="auto" w:before="5"/>
        <w:ind w:left="115" w:right="104" w:firstLine="686"/>
        <w:jc w:val="both"/>
      </w:pPr>
      <w:r>
        <w:rPr/>
        <w:t>Sobre el Programa </w:t>
      </w:r>
      <w:r>
        <w:rPr>
          <w:i/>
        </w:rPr>
        <w:t>Escuelas de Bajo Rendimiento</w:t>
      </w:r>
      <w:r>
        <w:rPr/>
        <w:t>, el informe de la ACE, señala que se elaboró el documento del </w:t>
      </w:r>
      <w:r>
        <w:rPr>
          <w:spacing w:val="-2"/>
        </w:rPr>
        <w:t>modelo </w:t>
      </w:r>
      <w:r>
        <w:rPr/>
        <w:t>para la atención educativa en este </w:t>
      </w:r>
      <w:r>
        <w:rPr>
          <w:spacing w:val="-3"/>
        </w:rPr>
        <w:t>tipo </w:t>
      </w:r>
      <w:r>
        <w:rPr/>
        <w:t>de escuelas, pero dicho informe no proporciona datos sobre los avances en </w:t>
      </w:r>
      <w:r>
        <w:rPr>
          <w:spacing w:val="-4"/>
        </w:rPr>
        <w:t>la</w:t>
      </w:r>
      <w:r>
        <w:rPr>
          <w:spacing w:val="55"/>
        </w:rPr>
        <w:t> </w:t>
      </w:r>
      <w:r>
        <w:rPr/>
        <w:t>meta </w:t>
      </w:r>
      <w:r>
        <w:rPr>
          <w:spacing w:val="3"/>
        </w:rPr>
        <w:t>de </w:t>
      </w:r>
      <w:r>
        <w:rPr/>
        <w:t>impulsar y reforzar 32 mil centros educativos</w:t>
      </w:r>
    </w:p>
    <w:p>
      <w:pPr>
        <w:pStyle w:val="BodyText"/>
        <w:rPr>
          <w:sz w:val="22"/>
        </w:rPr>
      </w:pPr>
    </w:p>
    <w:p>
      <w:pPr>
        <w:pStyle w:val="Heading3"/>
        <w:numPr>
          <w:ilvl w:val="1"/>
          <w:numId w:val="19"/>
        </w:numPr>
        <w:tabs>
          <w:tab w:pos="536" w:val="left" w:leader="none"/>
        </w:tabs>
        <w:spacing w:line="364" w:lineRule="auto" w:before="155" w:after="0"/>
        <w:ind w:left="115" w:right="109" w:firstLine="0"/>
        <w:jc w:val="both"/>
      </w:pPr>
      <w:r>
        <w:rPr/>
        <w:t>Profesionalización: el peso las burocracias urbanas en la obtención de estímulos</w:t>
      </w:r>
    </w:p>
    <w:p>
      <w:pPr>
        <w:pStyle w:val="BodyText"/>
        <w:spacing w:line="364" w:lineRule="auto"/>
        <w:ind w:left="115" w:right="106"/>
        <w:jc w:val="both"/>
      </w:pPr>
      <w:r>
        <w:rPr/>
        <w:t>Desde el ámbito de la política educativa, </w:t>
      </w:r>
      <w:r>
        <w:rPr>
          <w:spacing w:val="3"/>
        </w:rPr>
        <w:t>se</w:t>
      </w:r>
      <w:r>
        <w:rPr>
          <w:spacing w:val="69"/>
        </w:rPr>
        <w:t> </w:t>
      </w:r>
      <w:r>
        <w:rPr/>
        <w:t>puede  afirmar  que  </w:t>
      </w:r>
      <w:r>
        <w:rPr>
          <w:spacing w:val="-5"/>
        </w:rPr>
        <w:t>la </w:t>
      </w:r>
      <w:r>
        <w:rPr/>
        <w:t>profesionalización es </w:t>
      </w:r>
      <w:r>
        <w:rPr>
          <w:spacing w:val="3"/>
        </w:rPr>
        <w:t>un </w:t>
      </w:r>
      <w:r>
        <w:rPr/>
        <w:t>factor crucial para el desarrollo de la calidad educativa. Durante el sexenio de Vicente Fox, y como parte del Programa Nacional de Educación 2001-2006, se creó el Programa Nacional para la Actualización Permanente </w:t>
      </w:r>
      <w:r>
        <w:rPr>
          <w:spacing w:val="3"/>
        </w:rPr>
        <w:t>de </w:t>
      </w:r>
      <w:r>
        <w:rPr/>
        <w:t>los Maestros </w:t>
      </w:r>
      <w:r>
        <w:rPr>
          <w:spacing w:val="3"/>
        </w:rPr>
        <w:t>de </w:t>
      </w:r>
      <w:r>
        <w:rPr/>
        <w:t>Educación Básica en Servicio, entre cuyos objetivos estaba regular los servicios </w:t>
      </w:r>
      <w:r>
        <w:rPr>
          <w:spacing w:val="3"/>
        </w:rPr>
        <w:t>de </w:t>
      </w:r>
      <w:r>
        <w:rPr/>
        <w:t>formación continua y contribuir a </w:t>
      </w:r>
      <w:r>
        <w:rPr>
          <w:spacing w:val="-5"/>
        </w:rPr>
        <w:t>la </w:t>
      </w:r>
      <w:r>
        <w:rPr/>
        <w:t>actualización de los docentes para promover </w:t>
      </w:r>
      <w:r>
        <w:rPr>
          <w:spacing w:val="-3"/>
        </w:rPr>
        <w:t>la </w:t>
      </w:r>
      <w:r>
        <w:rPr/>
        <w:t>adquisición del conjunto de conocimientos profesionales necesarios para enseñar, tales como el manejo de contenidos, los enfoques y </w:t>
      </w:r>
      <w:r>
        <w:rPr>
          <w:spacing w:val="-3"/>
        </w:rPr>
        <w:t>los </w:t>
      </w:r>
      <w:r>
        <w:rPr/>
        <w:t>métodos de enseñanza, las habilidades didácticas y el desarrollo de valores y las actitudes. El programa pretendía  igualmente  fortalecer en cada entidad federativa las condiciones técnicas, normativas, materiales y financieras para la prestación de servicios de formación continua para los profesores de educación</w:t>
      </w:r>
      <w:r>
        <w:rPr>
          <w:spacing w:val="45"/>
        </w:rPr>
        <w:t> </w:t>
      </w:r>
      <w:r>
        <w:rPr/>
        <w:t>básica.</w:t>
      </w:r>
    </w:p>
    <w:p>
      <w:pPr>
        <w:pStyle w:val="BodyText"/>
        <w:spacing w:line="364" w:lineRule="auto" w:before="5"/>
        <w:ind w:left="115" w:right="106" w:firstLine="686"/>
        <w:jc w:val="both"/>
      </w:pPr>
      <w:r>
        <w:rPr/>
        <w:t>A juzgar por el diseño de metas en este rubro en el marco de la ACE, las burocracias magisteriales de las zonas urbanas (que son las que predominan en la SEP y en la dirigencia del SNTE) sacaron ventaja. De acuerdo con datos de 2010</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3"/>
        <w:jc w:val="both"/>
      </w:pPr>
      <w:r>
        <w:rPr/>
        <w:t>del INEE, el sistema educativo continuaba estructurando desigualmente las oportunidades de aprendizaje, ya que prevalecían pautas de distribución del personal docente a través de las cuales se destinaron los  recursos  humanos menos capacitados a las zonas escolares habitadas por los estratos poblacionales menos favorecidos.</w:t>
      </w:r>
    </w:p>
    <w:p>
      <w:pPr>
        <w:pStyle w:val="BodyText"/>
        <w:spacing w:line="364" w:lineRule="auto" w:before="5"/>
        <w:ind w:left="115" w:right="112" w:firstLine="686"/>
        <w:jc w:val="both"/>
      </w:pPr>
      <w:r>
        <w:rPr/>
        <w:t>De igual manera, </w:t>
      </w:r>
      <w:r>
        <w:rPr>
          <w:spacing w:val="3"/>
        </w:rPr>
        <w:t>el </w:t>
      </w:r>
      <w:r>
        <w:rPr/>
        <w:t>INEE reportó que el principal programa de incentivos para la formación de los docentes, Carrera Magisterial, presentaba el mismo comportamiento; esto es, mientras los profesores de </w:t>
      </w:r>
      <w:r>
        <w:rPr>
          <w:spacing w:val="-3"/>
        </w:rPr>
        <w:t>las </w:t>
      </w:r>
      <w:r>
        <w:rPr/>
        <w:t>escuelas primarias  urbanas públicas participaba del mismo en un 60.8%, los docentes de </w:t>
      </w:r>
      <w:r>
        <w:rPr>
          <w:spacing w:val="-3"/>
        </w:rPr>
        <w:t>las  rurales    </w:t>
      </w:r>
      <w:r>
        <w:rPr>
          <w:spacing w:val="-5"/>
        </w:rPr>
        <w:t>lo </w:t>
      </w:r>
      <w:r>
        <w:rPr/>
        <w:t>hacían en un 43.2% y sólo un 39.3% de los profesores de educación indígena estaban en sus filas (INEE,</w:t>
      </w:r>
      <w:r>
        <w:rPr>
          <w:spacing w:val="34"/>
        </w:rPr>
        <w:t> </w:t>
      </w:r>
      <w:r>
        <w:rPr/>
        <w:t>2010).</w:t>
      </w:r>
    </w:p>
    <w:p>
      <w:pPr>
        <w:pStyle w:val="BodyText"/>
        <w:spacing w:line="364" w:lineRule="auto" w:before="5"/>
        <w:ind w:left="115" w:right="104" w:firstLine="686"/>
        <w:jc w:val="both"/>
      </w:pPr>
      <w:r>
        <w:rPr/>
        <w:t>En el rubro de Experiencia y Dominio de la Profesión Docente, un indicador del INEE, </w:t>
      </w:r>
      <w:r>
        <w:rPr>
          <w:spacing w:val="-4"/>
        </w:rPr>
        <w:t>los</w:t>
      </w:r>
      <w:r>
        <w:rPr>
          <w:spacing w:val="55"/>
        </w:rPr>
        <w:t> </w:t>
      </w:r>
      <w:r>
        <w:rPr/>
        <w:t>resultados tampoco fueron muy diferentes para las escuelas primarias. Si resulta cierto el supuesto de </w:t>
      </w:r>
      <w:r>
        <w:rPr>
          <w:spacing w:val="-3"/>
        </w:rPr>
        <w:t>que </w:t>
      </w:r>
      <w:r>
        <w:rPr/>
        <w:t>es a </w:t>
      </w:r>
      <w:r>
        <w:rPr>
          <w:spacing w:val="-3"/>
        </w:rPr>
        <w:t>partir </w:t>
      </w:r>
      <w:r>
        <w:rPr/>
        <w:t>del quinto año que </w:t>
      </w:r>
      <w:r>
        <w:rPr>
          <w:spacing w:val="-2"/>
        </w:rPr>
        <w:t>los </w:t>
      </w:r>
      <w:r>
        <w:rPr/>
        <w:t>profesores dominan las estrategias pedagógicas relacionadas con los intereses y  las habilidades de los alumnos, tenemos que en las primarias urbanas públicas, hasta el año de 2009, un 53.7% </w:t>
      </w:r>
      <w:r>
        <w:rPr>
          <w:spacing w:val="-3"/>
        </w:rPr>
        <w:t>de </w:t>
      </w:r>
      <w:r>
        <w:rPr/>
        <w:t>los docentes tenían más de seis años de experiencia, mientras en las escuelas rurales es </w:t>
      </w:r>
      <w:r>
        <w:rPr>
          <w:spacing w:val="3"/>
        </w:rPr>
        <w:t>el </w:t>
      </w:r>
      <w:r>
        <w:rPr/>
        <w:t>48.5% y en las indígenas el   43% (INEE,</w:t>
      </w:r>
      <w:r>
        <w:rPr>
          <w:spacing w:val="15"/>
        </w:rPr>
        <w:t> </w:t>
      </w:r>
      <w:r>
        <w:rPr/>
        <w:t>2010).</w:t>
      </w:r>
    </w:p>
    <w:p>
      <w:pPr>
        <w:pStyle w:val="BodyText"/>
        <w:spacing w:line="364" w:lineRule="auto"/>
        <w:ind w:left="115" w:right="103" w:firstLine="686"/>
        <w:jc w:val="both"/>
      </w:pPr>
      <w:r>
        <w:rPr/>
        <w:t>Otro indicador del INEE  está relacionado con la satisfacción del trabajo en   el aula y </w:t>
      </w:r>
      <w:r>
        <w:rPr>
          <w:spacing w:val="-3"/>
        </w:rPr>
        <w:t>la </w:t>
      </w:r>
      <w:r>
        <w:rPr/>
        <w:t>tendencia fue </w:t>
      </w:r>
      <w:r>
        <w:rPr>
          <w:spacing w:val="-5"/>
        </w:rPr>
        <w:t>la </w:t>
      </w:r>
      <w:r>
        <w:rPr/>
        <w:t>misma que la anterior. Mientras </w:t>
      </w:r>
      <w:r>
        <w:rPr>
          <w:spacing w:val="2"/>
        </w:rPr>
        <w:t>en  </w:t>
      </w:r>
      <w:r>
        <w:rPr/>
        <w:t>las  escuelas urbanas públicas sólo un 16.5% de los maestros expresó sentirse  muy  insatisfecho, </w:t>
      </w:r>
      <w:r>
        <w:rPr>
          <w:spacing w:val="-3"/>
        </w:rPr>
        <w:t>en </w:t>
      </w:r>
      <w:r>
        <w:rPr/>
        <w:t>las indígenas lo hizo el 34.1%, en las comunitarias el 43.0% y en  las privadas, por contraste, sólo un 9%. Finalmente, los directores de primaria con mayor formación académica siguen las mismas pautas  inequitativas  de  distribución (INEE,</w:t>
      </w:r>
      <w:r>
        <w:rPr>
          <w:spacing w:val="26"/>
        </w:rPr>
        <w:t> </w:t>
      </w:r>
      <w:r>
        <w:rPr/>
        <w:t>2010).</w:t>
      </w:r>
    </w:p>
    <w:p>
      <w:pPr>
        <w:pStyle w:val="BodyText"/>
        <w:rPr>
          <w:sz w:val="22"/>
        </w:rPr>
      </w:pPr>
    </w:p>
    <w:p>
      <w:pPr>
        <w:pStyle w:val="Heading3"/>
        <w:numPr>
          <w:ilvl w:val="1"/>
          <w:numId w:val="19"/>
        </w:numPr>
        <w:tabs>
          <w:tab w:pos="505" w:val="left" w:leader="none"/>
        </w:tabs>
        <w:spacing w:line="240" w:lineRule="auto" w:before="160" w:after="0"/>
        <w:ind w:left="504" w:right="0" w:hanging="388"/>
        <w:jc w:val="both"/>
      </w:pPr>
      <w:r>
        <w:rPr/>
        <w:t>El factor SNTE en </w:t>
      </w:r>
      <w:r>
        <w:rPr>
          <w:spacing w:val="-3"/>
        </w:rPr>
        <w:t>la </w:t>
      </w:r>
      <w:r>
        <w:rPr/>
        <w:t>asignación de</w:t>
      </w:r>
      <w:r>
        <w:rPr>
          <w:spacing w:val="61"/>
        </w:rPr>
        <w:t> </w:t>
      </w:r>
      <w:r>
        <w:rPr/>
        <w:t>plazas</w:t>
      </w:r>
    </w:p>
    <w:p>
      <w:pPr>
        <w:pStyle w:val="BodyText"/>
        <w:spacing w:line="364" w:lineRule="auto" w:before="138"/>
        <w:ind w:left="115" w:right="107"/>
        <w:jc w:val="both"/>
      </w:pPr>
      <w:r>
        <w:rPr/>
        <w:t>Con respecto al Concurso de Oposición para </w:t>
      </w:r>
      <w:r>
        <w:rPr>
          <w:spacing w:val="-3"/>
        </w:rPr>
        <w:t>las </w:t>
      </w:r>
      <w:r>
        <w:rPr/>
        <w:t>Nuevas Plazas Docentes y Directivas, se reclamó desde </w:t>
      </w:r>
      <w:r>
        <w:rPr>
          <w:spacing w:val="-3"/>
        </w:rPr>
        <w:t>que </w:t>
      </w:r>
      <w:r>
        <w:rPr/>
        <w:t>se </w:t>
      </w:r>
      <w:r>
        <w:rPr>
          <w:spacing w:val="-4"/>
        </w:rPr>
        <w:t>firmó </w:t>
      </w:r>
      <w:r>
        <w:rPr/>
        <w:t>la ACE, </w:t>
      </w:r>
      <w:r>
        <w:rPr>
          <w:spacing w:val="2"/>
        </w:rPr>
        <w:t>en </w:t>
      </w:r>
      <w:r>
        <w:rPr/>
        <w:t>2007, hasta  el  fin  del  sexenio  de  Felipe  Calderón  que  los  “concursos”  sólo  incluyeran  las  plazas</w:t>
      </w:r>
      <w:r>
        <w:rPr>
          <w:spacing w:val="43"/>
        </w:rPr>
        <w:t> </w:t>
      </w:r>
      <w:r>
        <w:rPr/>
        <w:t>de</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10"/>
        <w:jc w:val="both"/>
      </w:pPr>
      <w:r>
        <w:rPr/>
        <w:t>“nueva creación” y no las vacantes, y más aún, las que tienen un carácter interino, tanto en el caso de profesores como para puestos directivos. Igualmente dichas plazas, efectivamente, y no sólo en el papel, se asignen a través de un concurso nacional público evaluado por un organismo verdaderamente independiente e imparcial.</w:t>
      </w:r>
    </w:p>
    <w:p>
      <w:pPr>
        <w:pStyle w:val="BodyText"/>
        <w:spacing w:line="364" w:lineRule="auto" w:before="5"/>
        <w:ind w:left="115" w:right="107" w:firstLine="686"/>
        <w:jc w:val="both"/>
      </w:pPr>
      <w:r>
        <w:rPr/>
        <w:t>En este marco, la SEP lanzó </w:t>
      </w:r>
      <w:r>
        <w:rPr>
          <w:spacing w:val="2"/>
        </w:rPr>
        <w:t>el </w:t>
      </w:r>
      <w:r>
        <w:rPr/>
        <w:t>28 de julio </w:t>
      </w:r>
      <w:r>
        <w:rPr>
          <w:spacing w:val="3"/>
        </w:rPr>
        <w:t>de </w:t>
      </w:r>
      <w:r>
        <w:rPr/>
        <w:t>2008 </w:t>
      </w:r>
      <w:r>
        <w:rPr>
          <w:spacing w:val="-3"/>
        </w:rPr>
        <w:t>dos </w:t>
      </w:r>
      <w:r>
        <w:rPr/>
        <w:t>convocatorias públicas: </w:t>
      </w:r>
      <w:r>
        <w:rPr>
          <w:spacing w:val="-3"/>
        </w:rPr>
        <w:t>la </w:t>
      </w:r>
      <w:r>
        <w:rPr/>
        <w:t>de nuevo ingreso al Sistema Educativo Nacional y </w:t>
      </w:r>
      <w:r>
        <w:rPr>
          <w:spacing w:val="-3"/>
        </w:rPr>
        <w:t>la </w:t>
      </w:r>
      <w:r>
        <w:rPr/>
        <w:t>de docentes en servicio. Sin embargo, con esta propuesta se dejó prácticamente de </w:t>
      </w:r>
      <w:r>
        <w:rPr>
          <w:spacing w:val="-3"/>
        </w:rPr>
        <w:t>lado la </w:t>
      </w:r>
      <w:r>
        <w:rPr/>
        <w:t>formación inicial de los maestros. De acuerdo con el informe de la SEP, hubo 109,415 aspirantes (79,172 a nuevo ingreso y 30,243 docentes </w:t>
      </w:r>
      <w:r>
        <w:rPr>
          <w:spacing w:val="-3"/>
        </w:rPr>
        <w:t>en </w:t>
      </w:r>
      <w:r>
        <w:rPr/>
        <w:t>servicio), de </w:t>
      </w:r>
      <w:r>
        <w:rPr>
          <w:spacing w:val="-3"/>
        </w:rPr>
        <w:t>los </w:t>
      </w:r>
      <w:r>
        <w:rPr/>
        <w:t>cuales concluyeron </w:t>
      </w:r>
      <w:r>
        <w:rPr>
          <w:spacing w:val="5"/>
        </w:rPr>
        <w:t>el </w:t>
      </w:r>
      <w:r>
        <w:rPr/>
        <w:t>proceso de registro 80,566 aspirantes (59,051 </w:t>
      </w:r>
      <w:r>
        <w:rPr>
          <w:spacing w:val="3"/>
        </w:rPr>
        <w:t>de </w:t>
      </w:r>
      <w:r>
        <w:rPr/>
        <w:t>nuevo ingreso y 21,515 docentes en servicio). El problema es que  </w:t>
      </w:r>
      <w:r>
        <w:rPr>
          <w:spacing w:val="-5"/>
        </w:rPr>
        <w:t>la  </w:t>
      </w:r>
      <w:r>
        <w:rPr/>
        <w:t>convocatoria se  </w:t>
      </w:r>
      <w:r>
        <w:rPr>
          <w:spacing w:val="-3"/>
        </w:rPr>
        <w:t>abrió </w:t>
      </w:r>
      <w:r>
        <w:rPr/>
        <w:t>para cerca de 8,500 nuevas</w:t>
      </w:r>
      <w:r>
        <w:rPr>
          <w:spacing w:val="55"/>
        </w:rPr>
        <w:t> </w:t>
      </w:r>
      <w:r>
        <w:rPr/>
        <w:t>plazas.</w:t>
      </w:r>
    </w:p>
    <w:p>
      <w:pPr>
        <w:pStyle w:val="BodyText"/>
        <w:spacing w:line="364" w:lineRule="auto" w:before="10"/>
        <w:ind w:left="115" w:right="109" w:firstLine="686"/>
        <w:jc w:val="both"/>
      </w:pPr>
      <w:r>
        <w:rPr/>
        <w:t>Empero, la influencia del SNTE sobre la asignación de </w:t>
      </w:r>
      <w:r>
        <w:rPr>
          <w:spacing w:val="-4"/>
        </w:rPr>
        <w:t>las </w:t>
      </w:r>
      <w:r>
        <w:rPr/>
        <w:t>plazas  sólo cambió de estrategia. Cada sección sindical definió, en  acuerdo  con  </w:t>
      </w:r>
      <w:r>
        <w:rPr>
          <w:spacing w:val="-2"/>
        </w:rPr>
        <w:t>las </w:t>
      </w:r>
      <w:r>
        <w:rPr/>
        <w:t>secretarías de educación estatales, </w:t>
      </w:r>
      <w:r>
        <w:rPr>
          <w:spacing w:val="-3"/>
        </w:rPr>
        <w:t>qué </w:t>
      </w:r>
      <w:r>
        <w:rPr/>
        <w:t>maestros participarían en los concursos; además, no hubo convocatorias públicas en </w:t>
      </w:r>
      <w:r>
        <w:rPr>
          <w:spacing w:val="-3"/>
        </w:rPr>
        <w:t>los </w:t>
      </w:r>
      <w:r>
        <w:rPr/>
        <w:t>estados para que participara todo aquel que cumpliera con los requisitos </w:t>
      </w:r>
      <w:r>
        <w:rPr>
          <w:spacing w:val="3"/>
        </w:rPr>
        <w:t>de </w:t>
      </w:r>
      <w:r>
        <w:rPr/>
        <w:t>ingreso al sistema educativo y no se  sabe, hasta la fecha, quién hizo el examen y con qué criterios. Tampoco hubo una guía o temario para hacer el examen. En los estados donde la plaza se hereda de manera abierta (Morelos, Oaxaca, Michoacán, Guerrero y Veracruz), </w:t>
      </w:r>
      <w:r>
        <w:rPr>
          <w:spacing w:val="-3"/>
        </w:rPr>
        <w:t>las </w:t>
      </w:r>
      <w:r>
        <w:rPr/>
        <w:t>cosas no cambiaron. Solamente algunas plazas </w:t>
      </w:r>
      <w:r>
        <w:rPr>
          <w:spacing w:val="3"/>
        </w:rPr>
        <w:t>de </w:t>
      </w:r>
      <w:r>
        <w:rPr/>
        <w:t>nueva creación, ubicadas fundamentalmente en preescolar y telesecundarias, fueron </w:t>
      </w:r>
      <w:r>
        <w:rPr>
          <w:spacing w:val="13"/>
        </w:rPr>
        <w:t> </w:t>
      </w:r>
      <w:r>
        <w:rPr/>
        <w:t>concursadas.</w:t>
      </w:r>
    </w:p>
    <w:p>
      <w:pPr>
        <w:pStyle w:val="BodyText"/>
        <w:spacing w:line="364" w:lineRule="auto" w:before="5"/>
        <w:ind w:left="115" w:right="107" w:firstLine="686"/>
        <w:jc w:val="both"/>
      </w:pPr>
      <w:r>
        <w:rPr/>
        <w:t>Una vez aplicado el examen, el 11 de agosto de 2008, los primeros resultados indicaban que una proporción importante de los sustentantes estaban reprobados, de forma que </w:t>
      </w:r>
      <w:r>
        <w:rPr>
          <w:spacing w:val="3"/>
        </w:rPr>
        <w:t>se </w:t>
      </w:r>
      <w:r>
        <w:rPr/>
        <w:t>evidenció que un examen no puede cumplir </w:t>
      </w:r>
      <w:r>
        <w:rPr>
          <w:spacing w:val="3"/>
        </w:rPr>
        <w:t>con </w:t>
      </w:r>
      <w:r>
        <w:rPr>
          <w:spacing w:val="-3"/>
        </w:rPr>
        <w:t>la </w:t>
      </w:r>
      <w:r>
        <w:rPr/>
        <w:t>tarea de evaluación integral, que por el momento los concursos no erradicaron </w:t>
      </w:r>
      <w:r>
        <w:rPr>
          <w:spacing w:val="-3"/>
        </w:rPr>
        <w:t>la </w:t>
      </w:r>
      <w:r>
        <w:rPr/>
        <w:t>corrupción en el </w:t>
      </w:r>
      <w:r>
        <w:rPr>
          <w:spacing w:val="-2"/>
        </w:rPr>
        <w:t>manejo </w:t>
      </w:r>
      <w:r>
        <w:rPr/>
        <w:t>de plazas, y que el SNTE siguió controlando el escalafón en </w:t>
      </w:r>
      <w:r>
        <w:rPr>
          <w:spacing w:val="-4"/>
        </w:rPr>
        <w:t>la </w:t>
      </w:r>
      <w:r>
        <w:rPr/>
        <w:t>educación</w:t>
      </w:r>
      <w:r>
        <w:rPr>
          <w:spacing w:val="39"/>
        </w:rPr>
        <w:t> </w:t>
      </w:r>
      <w:r>
        <w:rPr/>
        <w:t>básica.</w:t>
      </w:r>
    </w:p>
    <w:p>
      <w:pPr>
        <w:pStyle w:val="BodyText"/>
        <w:spacing w:line="369" w:lineRule="auto"/>
        <w:ind w:left="115" w:right="111" w:firstLine="686"/>
        <w:jc w:val="both"/>
      </w:pPr>
      <w:r>
        <w:rPr/>
        <w:t>Ahora bien, debido a la constante opacidad de los concursos de plazas docentes,  el 13  de  julio  de  2009,  el  entonces  secretario  de  Educación, Alonso</w:t>
      </w:r>
    </w:p>
    <w:p>
      <w:pPr>
        <w:spacing w:after="0" w:line="369"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6"/>
        <w:jc w:val="both"/>
      </w:pPr>
      <w:r>
        <w:rPr/>
        <w:t>Lujambio, instaló una comisión evaluadora independiente: el  Órgano  de  Evaluación Independiente con carácter Federalista (OEIF), a través  del cual, se  dijo, se garantizará </w:t>
      </w:r>
      <w:r>
        <w:rPr>
          <w:spacing w:val="-4"/>
        </w:rPr>
        <w:t>la </w:t>
      </w:r>
      <w:r>
        <w:rPr/>
        <w:t>imparcialidad, transparencia e igualdad de oportunidades a  los profesores que concursaran. Con esta medida, la SEP cedió o </w:t>
      </w:r>
      <w:r>
        <w:rPr>
          <w:spacing w:val="2"/>
        </w:rPr>
        <w:t>al </w:t>
      </w:r>
      <w:r>
        <w:rPr/>
        <w:t>menos compartió con el SNTE </w:t>
      </w:r>
      <w:r>
        <w:rPr>
          <w:spacing w:val="-3"/>
        </w:rPr>
        <w:t>una </w:t>
      </w:r>
      <w:r>
        <w:rPr/>
        <w:t>de las facultades </w:t>
      </w:r>
      <w:r>
        <w:rPr>
          <w:spacing w:val="-3"/>
        </w:rPr>
        <w:t>que </w:t>
      </w:r>
      <w:r>
        <w:rPr>
          <w:spacing w:val="-4"/>
        </w:rPr>
        <w:t>le </w:t>
      </w:r>
      <w:r>
        <w:rPr/>
        <w:t>otorga </w:t>
      </w:r>
      <w:r>
        <w:rPr>
          <w:spacing w:val="-4"/>
        </w:rPr>
        <w:t>la </w:t>
      </w:r>
      <w:r>
        <w:rPr/>
        <w:t>Ley General de Educación la referida a </w:t>
      </w:r>
      <w:r>
        <w:rPr>
          <w:spacing w:val="-3"/>
        </w:rPr>
        <w:t>la </w:t>
      </w:r>
      <w:r>
        <w:rPr/>
        <w:t>evaluación de los docentes (Pavón </w:t>
      </w:r>
      <w:r>
        <w:rPr>
          <w:i/>
        </w:rPr>
        <w:t>et. al.</w:t>
      </w:r>
      <w:r>
        <w:rPr/>
        <w:t>, </w:t>
      </w:r>
      <w:r>
        <w:rPr>
          <w:spacing w:val="25"/>
        </w:rPr>
        <w:t> </w:t>
      </w:r>
      <w:r>
        <w:rPr/>
        <w:t>2009).</w:t>
      </w:r>
    </w:p>
    <w:p>
      <w:pPr>
        <w:pStyle w:val="BodyText"/>
        <w:spacing w:line="364" w:lineRule="auto" w:before="5"/>
        <w:ind w:left="115" w:right="106" w:firstLine="686"/>
        <w:jc w:val="both"/>
      </w:pPr>
      <w:r>
        <w:rPr/>
        <w:t>Michoacán y Oaxaca no participaron en el proceso. Argumentaron, entre mítines, marchas y paros, que la Alianza atentaba contra la educación pública, obligatoria y gratuita. Incluso en algunos estados del país se registró  el  cierre parcial o total de escuelas. Fueron los casos de Morelos, Guerrero, Michoacán, Oaxaca, Puebla y Quintana Roo. Esto mostró que tanto la SEP como los líderes nacionales del SNTE, aunque anunciaron que la ACE había sido acordada, no tenían los consensos necesarios para mantenerla, fortalecerla y consolidarla. Más aún cuando este pacto cupular se sobrepuso en la agenda educativa gubernamental.</w:t>
      </w:r>
    </w:p>
    <w:p>
      <w:pPr>
        <w:pStyle w:val="BodyText"/>
        <w:rPr>
          <w:sz w:val="22"/>
        </w:rPr>
      </w:pPr>
    </w:p>
    <w:p>
      <w:pPr>
        <w:pStyle w:val="Heading3"/>
        <w:numPr>
          <w:ilvl w:val="1"/>
          <w:numId w:val="19"/>
        </w:numPr>
        <w:tabs>
          <w:tab w:pos="639" w:val="left" w:leader="none"/>
        </w:tabs>
        <w:spacing w:line="240" w:lineRule="auto" w:before="150" w:after="0"/>
        <w:ind w:left="638" w:right="0" w:hanging="523"/>
        <w:jc w:val="both"/>
      </w:pPr>
      <w:r>
        <w:rPr/>
        <w:t>El centralismo y el burocratismo como sello de la reforma </w:t>
      </w:r>
      <w:r>
        <w:rPr>
          <w:spacing w:val="6"/>
        </w:rPr>
        <w:t> </w:t>
      </w:r>
      <w:r>
        <w:rPr/>
        <w:t>curricular</w:t>
      </w:r>
    </w:p>
    <w:p>
      <w:pPr>
        <w:pStyle w:val="BodyText"/>
        <w:spacing w:line="364" w:lineRule="auto" w:before="143"/>
        <w:ind w:left="115" w:right="106"/>
        <w:jc w:val="both"/>
      </w:pPr>
      <w:r>
        <w:rPr/>
        <w:t>La SEP informó en 2010 que se habían revisado y actualizado 32 programas de estudio de educación primaria, a </w:t>
      </w:r>
      <w:r>
        <w:rPr>
          <w:spacing w:val="-4"/>
        </w:rPr>
        <w:t>la </w:t>
      </w:r>
      <w:r>
        <w:rPr>
          <w:spacing w:val="3"/>
        </w:rPr>
        <w:t>vez </w:t>
      </w:r>
      <w:r>
        <w:rPr/>
        <w:t>que se puso en marcha </w:t>
      </w:r>
      <w:r>
        <w:rPr>
          <w:spacing w:val="-3"/>
        </w:rPr>
        <w:t>una </w:t>
      </w:r>
      <w:r>
        <w:rPr/>
        <w:t>prueba piloto  en 4,910 escuelas para “probar” los cambios curriculares impulsados.  Por  su  parte, en lo que respecta a secundaria, la SEP informó que se revisaron y actualizaron diez programas </w:t>
      </w:r>
      <w:r>
        <w:rPr>
          <w:spacing w:val="3"/>
        </w:rPr>
        <w:t>en </w:t>
      </w:r>
      <w:r>
        <w:rPr/>
        <w:t>tercer</w:t>
      </w:r>
      <w:r>
        <w:rPr>
          <w:spacing w:val="37"/>
        </w:rPr>
        <w:t> </w:t>
      </w:r>
      <w:r>
        <w:rPr/>
        <w:t>grado.</w:t>
      </w:r>
    </w:p>
    <w:p>
      <w:pPr>
        <w:pStyle w:val="BodyText"/>
        <w:spacing w:line="364" w:lineRule="auto"/>
        <w:ind w:left="115" w:right="107" w:firstLine="686"/>
        <w:jc w:val="both"/>
      </w:pPr>
      <w:r>
        <w:rPr>
          <w:spacing w:val="-3"/>
        </w:rPr>
        <w:t>Sin </w:t>
      </w:r>
      <w:r>
        <w:rPr/>
        <w:t>embargo, las reformas curriculares impulsadas en el marco de </w:t>
      </w:r>
      <w:r>
        <w:rPr>
          <w:spacing w:val="-3"/>
        </w:rPr>
        <w:t>la </w:t>
      </w:r>
      <w:r>
        <w:rPr/>
        <w:t>ACE, desde </w:t>
      </w:r>
      <w:r>
        <w:rPr>
          <w:spacing w:val="3"/>
        </w:rPr>
        <w:t>un </w:t>
      </w:r>
      <w:r>
        <w:rPr/>
        <w:t>principio fueron cuestionadas por investigadores del Departamento de Investigaciones Educativas del CINVESTAV. Se manifestaron en contra al señalar que la decisión política de disponer de una reforma  curricular  en  plazos perentorios muy apretados desató un proceso que desmembraría antes que articular, a la educación básica (Pavón </w:t>
      </w:r>
      <w:r>
        <w:rPr>
          <w:i/>
        </w:rPr>
        <w:t>et. al.,</w:t>
      </w:r>
      <w:r>
        <w:rPr>
          <w:i/>
          <w:spacing w:val="57"/>
        </w:rPr>
        <w:t> </w:t>
      </w:r>
      <w:r>
        <w:rPr/>
        <w:t>2009).</w:t>
      </w:r>
    </w:p>
    <w:p>
      <w:pPr>
        <w:pStyle w:val="BodyText"/>
        <w:spacing w:line="364" w:lineRule="auto" w:before="5"/>
        <w:ind w:left="115" w:right="109" w:firstLine="686"/>
        <w:jc w:val="both"/>
      </w:pPr>
      <w:r>
        <w:rPr/>
        <w:t>Según el análisis de los investigadores del CINVESTAV, la SEP no tomó en cuenta que ninguna reforma curricular puede mejorar la práctica pedagógica y sus resultados si enfrenta obstáculos derivados de la operación del sistema escolar.</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7"/>
        <w:jc w:val="both"/>
      </w:pPr>
      <w:r>
        <w:rPr/>
        <w:t>Por otro lado, </w:t>
      </w:r>
      <w:r>
        <w:rPr>
          <w:spacing w:val="-4"/>
        </w:rPr>
        <w:t>la </w:t>
      </w:r>
      <w:r>
        <w:rPr/>
        <w:t>prueba piloto de dicha reforma se  llevó  a cabo con tal premura que los materiales para el primer y segundo bloque (que </w:t>
      </w:r>
      <w:r>
        <w:rPr>
          <w:spacing w:val="4"/>
        </w:rPr>
        <w:t>se </w:t>
      </w:r>
      <w:r>
        <w:rPr/>
        <w:t>impartieron de agosto   a noviembre de 2008) se entregaron a finales de noviembre y </w:t>
      </w:r>
      <w:r>
        <w:rPr>
          <w:spacing w:val="3"/>
        </w:rPr>
        <w:t>se </w:t>
      </w:r>
      <w:r>
        <w:rPr/>
        <w:t>solicitó a </w:t>
      </w:r>
      <w:r>
        <w:rPr>
          <w:spacing w:val="-3"/>
        </w:rPr>
        <w:t>las </w:t>
      </w:r>
      <w:r>
        <w:rPr/>
        <w:t>instancias correspondientes que evaluarían esos materiales (que no se utilizaron) que entregaran resultados a finales de febrero de 2009 porque el cambio tendría que comenzar de manera generalizada en septiembre de </w:t>
      </w:r>
      <w:r>
        <w:rPr>
          <w:spacing w:val="2"/>
        </w:rPr>
        <w:t> </w:t>
      </w:r>
      <w:r>
        <w:rPr/>
        <w:t>2009.</w:t>
      </w:r>
    </w:p>
    <w:p>
      <w:pPr>
        <w:pStyle w:val="BodyText"/>
        <w:rPr>
          <w:sz w:val="22"/>
        </w:rPr>
      </w:pPr>
    </w:p>
    <w:p>
      <w:pPr>
        <w:pStyle w:val="Heading3"/>
        <w:numPr>
          <w:ilvl w:val="1"/>
          <w:numId w:val="19"/>
        </w:numPr>
        <w:tabs>
          <w:tab w:pos="639" w:val="left" w:leader="none"/>
        </w:tabs>
        <w:spacing w:line="240" w:lineRule="auto" w:before="155" w:after="0"/>
        <w:ind w:left="638" w:right="0" w:hanging="522"/>
        <w:jc w:val="both"/>
      </w:pPr>
      <w:r>
        <w:rPr/>
        <w:t>La evaluación docente y el peso de las jerarquías </w:t>
      </w:r>
      <w:r>
        <w:rPr>
          <w:spacing w:val="4"/>
        </w:rPr>
        <w:t> </w:t>
      </w:r>
      <w:r>
        <w:rPr/>
        <w:t>burocráticas</w:t>
      </w:r>
    </w:p>
    <w:p>
      <w:pPr>
        <w:pStyle w:val="BodyText"/>
        <w:spacing w:line="364" w:lineRule="auto" w:before="138"/>
        <w:ind w:left="115" w:right="103"/>
        <w:jc w:val="both"/>
      </w:pPr>
      <w:r>
        <w:rPr/>
        <w:t>En principio, </w:t>
      </w:r>
      <w:r>
        <w:rPr>
          <w:spacing w:val="-4"/>
        </w:rPr>
        <w:t>la </w:t>
      </w:r>
      <w:r>
        <w:rPr/>
        <w:t>propuesta evaluativa de la ACE hizo énfasis </w:t>
      </w:r>
      <w:r>
        <w:rPr>
          <w:spacing w:val="3"/>
        </w:rPr>
        <w:t>en </w:t>
      </w:r>
      <w:r>
        <w:rPr/>
        <w:t>la medición de los niveles de aprovechamiento y aprendizaje de  los  estudiantes  del  sistema educativo nacional sin asegurar la eficaz utilización de las mediciones  obtenidas;  se trató de </w:t>
      </w:r>
      <w:r>
        <w:rPr>
          <w:spacing w:val="-3"/>
        </w:rPr>
        <w:t>una </w:t>
      </w:r>
      <w:r>
        <w:rPr/>
        <w:t>perspectiva instrumental de </w:t>
      </w:r>
      <w:r>
        <w:rPr>
          <w:spacing w:val="-4"/>
        </w:rPr>
        <w:t>la </w:t>
      </w:r>
      <w:r>
        <w:rPr/>
        <w:t>educación que limitó </w:t>
      </w:r>
      <w:r>
        <w:rPr>
          <w:spacing w:val="-3"/>
        </w:rPr>
        <w:t>la </w:t>
      </w:r>
      <w:r>
        <w:rPr/>
        <w:t>calidad de </w:t>
      </w:r>
      <w:r>
        <w:rPr>
          <w:spacing w:val="-5"/>
        </w:rPr>
        <w:t>la </w:t>
      </w:r>
      <w:r>
        <w:rPr/>
        <w:t>misma a los ámbitos cognitivos sujetos a evaluación. Además, al descansar </w:t>
      </w:r>
      <w:r>
        <w:rPr>
          <w:spacing w:val="-5"/>
        </w:rPr>
        <w:t>la </w:t>
      </w:r>
      <w:r>
        <w:rPr/>
        <w:t>evaluación de los docentes en el desempeño de los alumnos en la prueba Enlace, se hizo depender de esta prueba uno de los factores clave del Programa Carrera Magisterial. </w:t>
      </w:r>
      <w:r>
        <w:rPr>
          <w:spacing w:val="2"/>
        </w:rPr>
        <w:t>El </w:t>
      </w:r>
      <w:r>
        <w:rPr/>
        <w:t>riesgo de esta decisión </w:t>
      </w:r>
      <w:r>
        <w:rPr>
          <w:spacing w:val="-3"/>
        </w:rPr>
        <w:t>es </w:t>
      </w:r>
      <w:r>
        <w:rPr/>
        <w:t>que los maestros no siempre se preocupan por enseñar mejor a </w:t>
      </w:r>
      <w:r>
        <w:rPr>
          <w:spacing w:val="3"/>
        </w:rPr>
        <w:t>sus </w:t>
      </w:r>
      <w:r>
        <w:rPr/>
        <w:t>estudiantes, sino de que aprendan a resolver   </w:t>
      </w:r>
      <w:r>
        <w:rPr>
          <w:spacing w:val="-5"/>
        </w:rPr>
        <w:t>la </w:t>
      </w:r>
      <w:r>
        <w:rPr/>
        <w:t>prueba</w:t>
      </w:r>
      <w:r>
        <w:rPr>
          <w:spacing w:val="37"/>
        </w:rPr>
        <w:t> </w:t>
      </w:r>
      <w:r>
        <w:rPr/>
        <w:t>Enlace.</w:t>
      </w:r>
    </w:p>
    <w:p>
      <w:pPr>
        <w:pStyle w:val="BodyText"/>
        <w:spacing w:line="364" w:lineRule="auto" w:before="5"/>
        <w:ind w:left="115" w:right="99" w:firstLine="686"/>
        <w:jc w:val="both"/>
      </w:pPr>
      <w:r>
        <w:rPr/>
        <w:t>Un aspecto fundamental que pasó por alto las metas de evaluación docente de la ACE fue definir los términos de lo que tendría que ser  una  evaluación rigurosa e independiente de los conocimientos y capacidades, no solamente de maestros frente a grupo, sino también de las autoridades educativas  de  los  estados y de </w:t>
      </w:r>
      <w:r>
        <w:rPr>
          <w:spacing w:val="-4"/>
        </w:rPr>
        <w:t>la </w:t>
      </w:r>
      <w:r>
        <w:rPr/>
        <w:t>federación, desde los secretarios, subsecretarios y directores de departamento, hasta los responsables del uso y  destino  de  los  recursos financieros para la educación pública. En esta  lógica, sólo resultan responsables  los profesores y las escuelas por los malos resultados </w:t>
      </w:r>
      <w:r>
        <w:rPr>
          <w:spacing w:val="2"/>
        </w:rPr>
        <w:t>del </w:t>
      </w:r>
      <w:r>
        <w:rPr/>
        <w:t>sistema educativo nacional, mientras los altos jefes de la educación local continúan aprovechándose, las más de las veces, del presupuesto educativo sin rendir cuentas a la sociedad   de sus</w:t>
      </w:r>
      <w:r>
        <w:rPr>
          <w:spacing w:val="19"/>
        </w:rPr>
        <w:t> </w:t>
      </w:r>
      <w:r>
        <w:rPr/>
        <w:t>actos.</w:t>
      </w:r>
    </w:p>
    <w:p>
      <w:pPr>
        <w:pStyle w:val="BodyText"/>
        <w:spacing w:line="369" w:lineRule="auto"/>
        <w:ind w:left="115" w:right="108" w:firstLine="686"/>
        <w:jc w:val="both"/>
      </w:pPr>
      <w:r>
        <w:rPr/>
        <w:t>Ahora bien, más allá de los problemas técnicos y operativos de la ACE, sus alcances  estuvieron  severamente limitados  no solamente por la  reorientación   de</w:t>
      </w:r>
    </w:p>
    <w:p>
      <w:pPr>
        <w:spacing w:after="0" w:line="369"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5"/>
        <w:jc w:val="both"/>
      </w:pPr>
      <w:r>
        <w:rPr/>
        <w:t>gobiernos estatales y dirigentes sindicales en las entidades federativas como parte de los </w:t>
      </w:r>
      <w:r>
        <w:rPr>
          <w:i/>
        </w:rPr>
        <w:t>juegos de poder</w:t>
      </w:r>
      <w:r>
        <w:rPr/>
        <w:t>, sino porque en </w:t>
      </w:r>
      <w:r>
        <w:rPr>
          <w:spacing w:val="-3"/>
        </w:rPr>
        <w:t>todo  </w:t>
      </w:r>
      <w:r>
        <w:rPr/>
        <w:t>el sexenio de Felipe Calderón, el  SNTE se convirtió en co-gobernante del sistema educativo. Ello, porque  </w:t>
      </w:r>
      <w:r>
        <w:rPr>
          <w:spacing w:val="-5"/>
        </w:rPr>
        <w:t>la  </w:t>
      </w:r>
      <w:r>
        <w:rPr/>
        <w:t>entonces presidenta de este sindicato, Elba Esther Gordillo, pudo colocar a su yerno como subsecretario de Educación en la SEP, como pago por apoyar electoralmente a Felipe Calderón para competir por la presidencia. Ante ello, </w:t>
      </w:r>
      <w:r>
        <w:rPr>
          <w:spacing w:val="-5"/>
        </w:rPr>
        <w:t>la </w:t>
      </w:r>
      <w:r>
        <w:rPr/>
        <w:t>Subsecretaría de Educación Básica se convirtió en uno de los engranajes del funcionamiento y legitimidad </w:t>
      </w:r>
      <w:r>
        <w:rPr>
          <w:spacing w:val="3"/>
        </w:rPr>
        <w:t>del </w:t>
      </w:r>
      <w:r>
        <w:rPr/>
        <w:t>SNTE, y buena parte de las políticas educativas, incluidas las relativas a </w:t>
      </w:r>
      <w:r>
        <w:rPr>
          <w:spacing w:val="-4"/>
        </w:rPr>
        <w:t>la </w:t>
      </w:r>
      <w:r>
        <w:rPr/>
        <w:t>“calidad”, serían tuteladas por el </w:t>
      </w:r>
      <w:r>
        <w:rPr>
          <w:spacing w:val="20"/>
        </w:rPr>
        <w:t> </w:t>
      </w:r>
      <w:r>
        <w:rPr/>
        <w:t>sindicato.</w:t>
      </w:r>
    </w:p>
    <w:p>
      <w:pPr>
        <w:pStyle w:val="BodyText"/>
        <w:spacing w:before="2"/>
        <w:rPr>
          <w:sz w:val="24"/>
        </w:rPr>
      </w:pPr>
    </w:p>
    <w:p>
      <w:pPr>
        <w:pStyle w:val="Heading3"/>
        <w:numPr>
          <w:ilvl w:val="1"/>
          <w:numId w:val="19"/>
        </w:numPr>
        <w:tabs>
          <w:tab w:pos="706" w:val="left" w:leader="none"/>
        </w:tabs>
        <w:spacing w:line="362" w:lineRule="auto" w:before="0" w:after="0"/>
        <w:ind w:left="116" w:right="108" w:firstLine="0"/>
        <w:jc w:val="both"/>
      </w:pPr>
      <w:r>
        <w:rPr/>
        <w:t>Acuerdo para la Evaluación Universal de Docentes y Directivos </w:t>
      </w:r>
      <w:r>
        <w:rPr>
          <w:spacing w:val="-4"/>
        </w:rPr>
        <w:t>en</w:t>
      </w:r>
      <w:r>
        <w:rPr>
          <w:spacing w:val="55"/>
        </w:rPr>
        <w:t> </w:t>
      </w:r>
      <w:r>
        <w:rPr/>
        <w:t>Servicio de Educación Básica</w:t>
      </w:r>
      <w:r>
        <w:rPr>
          <w:spacing w:val="49"/>
        </w:rPr>
        <w:t> </w:t>
      </w:r>
      <w:r>
        <w:rPr/>
        <w:t>(AEUDDSEB)</w:t>
      </w:r>
    </w:p>
    <w:p>
      <w:pPr>
        <w:pStyle w:val="BodyText"/>
        <w:spacing w:before="10"/>
        <w:rPr>
          <w:b/>
          <w:sz w:val="24"/>
        </w:rPr>
      </w:pPr>
    </w:p>
    <w:p>
      <w:pPr>
        <w:pStyle w:val="BodyText"/>
        <w:spacing w:line="364" w:lineRule="auto"/>
        <w:ind w:left="115" w:right="105"/>
        <w:jc w:val="both"/>
      </w:pPr>
      <w:r>
        <w:rPr/>
        <w:t>El 31 de mayo de 2011 la SEP y el SNTE, firmaron el Acuerdo para </w:t>
      </w:r>
      <w:r>
        <w:rPr>
          <w:spacing w:val="-3"/>
        </w:rPr>
        <w:t>la </w:t>
      </w:r>
      <w:r>
        <w:rPr/>
        <w:t>Evaluación Universal de Docentes y Directivos </w:t>
      </w:r>
      <w:r>
        <w:rPr>
          <w:spacing w:val="-3"/>
        </w:rPr>
        <w:t>en </w:t>
      </w:r>
      <w:r>
        <w:rPr/>
        <w:t>Servicio de Educación Básica. Los aspectos más significativos de dicho acuerdo, fueron los siguientes: que </w:t>
      </w:r>
      <w:r>
        <w:rPr>
          <w:spacing w:val="-5"/>
        </w:rPr>
        <w:t>la </w:t>
      </w:r>
      <w:r>
        <w:rPr/>
        <w:t>evaluación sería “obligatoria” y que los resultados serían considerados para que docentes frente a grupo y en funciones </w:t>
      </w:r>
      <w:r>
        <w:rPr>
          <w:spacing w:val="3"/>
        </w:rPr>
        <w:t>de </w:t>
      </w:r>
      <w:r>
        <w:rPr/>
        <w:t>Apoyo Técnico Pedagógico y directivos inscritos en  Carrera Magisterial, acreditaran el puntaje correspondiente </w:t>
      </w:r>
      <w:r>
        <w:rPr>
          <w:spacing w:val="2"/>
        </w:rPr>
        <w:t>de </w:t>
      </w:r>
      <w:r>
        <w:rPr/>
        <w:t>acuerdo a </w:t>
      </w:r>
      <w:r>
        <w:rPr>
          <w:spacing w:val="-4"/>
        </w:rPr>
        <w:t>la </w:t>
      </w:r>
      <w:r>
        <w:rPr/>
        <w:t>ponderación que obtuviesen en la prueba. Asimismo, </w:t>
      </w:r>
      <w:r>
        <w:rPr>
          <w:spacing w:val="2"/>
        </w:rPr>
        <w:t>se </w:t>
      </w:r>
      <w:r>
        <w:rPr/>
        <w:t>determinó  que  el  resultado tendría puntaje en el Programa de Estímulos de la Calidad Docente (AEUDDSEB, 2011, Punto</w:t>
      </w:r>
      <w:r>
        <w:rPr>
          <w:spacing w:val="32"/>
        </w:rPr>
        <w:t> </w:t>
      </w:r>
      <w:r>
        <w:rPr/>
        <w:t>Primero).</w:t>
      </w:r>
    </w:p>
    <w:p>
      <w:pPr>
        <w:pStyle w:val="BodyText"/>
        <w:spacing w:line="364" w:lineRule="auto" w:before="5"/>
        <w:ind w:left="115" w:right="109" w:firstLine="686"/>
        <w:jc w:val="both"/>
      </w:pPr>
      <w:r>
        <w:rPr/>
        <w:t>Otro punto relevante del Acuerdo fueron </w:t>
      </w:r>
      <w:r>
        <w:rPr>
          <w:spacing w:val="-3"/>
        </w:rPr>
        <w:t>los </w:t>
      </w:r>
      <w:r>
        <w:rPr/>
        <w:t>rubros a evaluar: 1) aprovechamiento escolar, </w:t>
      </w:r>
      <w:r>
        <w:rPr>
          <w:spacing w:val="2"/>
        </w:rPr>
        <w:t>el </w:t>
      </w:r>
      <w:r>
        <w:rPr/>
        <w:t>cual </w:t>
      </w:r>
      <w:r>
        <w:rPr>
          <w:spacing w:val="2"/>
        </w:rPr>
        <w:t>se </w:t>
      </w:r>
      <w:r>
        <w:rPr/>
        <w:t>tomaría en base a  los  resultados  de  </w:t>
      </w:r>
      <w:r>
        <w:rPr>
          <w:spacing w:val="-6"/>
        </w:rPr>
        <w:t>la </w:t>
      </w:r>
      <w:r>
        <w:rPr/>
        <w:t>prueba Enlace o de otros instrumentos </w:t>
      </w:r>
      <w:r>
        <w:rPr>
          <w:spacing w:val="2"/>
        </w:rPr>
        <w:t>con </w:t>
      </w:r>
      <w:r>
        <w:rPr/>
        <w:t>el mismo propósito; y 2) competencias profesionales, que abarcaría “preparación profesional” (a evaluarse con  </w:t>
      </w:r>
      <w:r>
        <w:rPr>
          <w:spacing w:val="-4"/>
        </w:rPr>
        <w:t>la </w:t>
      </w:r>
      <w:r>
        <w:rPr/>
        <w:t>aplicación de una prueba estandarizada cada tres años), “desempeño profesional” (con estrategias de evaluación por definirse), y “formación continua” (evaluada en función de asistencia a cursos establecidos) (AEUDDSEB 2011, Punto </w:t>
      </w:r>
      <w:r>
        <w:rPr>
          <w:spacing w:val="19"/>
        </w:rPr>
        <w:t> </w:t>
      </w:r>
      <w:r>
        <w:rPr/>
        <w:t>Segundo).</w:t>
      </w:r>
    </w:p>
    <w:p>
      <w:pPr>
        <w:pStyle w:val="BodyText"/>
        <w:spacing w:line="364" w:lineRule="auto" w:before="10"/>
        <w:ind w:left="115" w:right="104" w:firstLine="686"/>
        <w:jc w:val="both"/>
      </w:pPr>
      <w:r>
        <w:rPr/>
        <w:t>La prueba de “preparación profesional”, se estableció en el Acuerdo, se aplicaría a docentes y en funciones de Apoyo Técnico Pedagógico, así como a directivos, el segundo y tercer fin de semana del mes de junio, de acuerdo con el</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8"/>
        <w:jc w:val="both"/>
      </w:pPr>
      <w:r>
        <w:rPr/>
        <w:t>siguiente calendario: 2012 primarias, 2013 secundarias, y 2014 educación inicial, preescolar y especial (AEUDDSEB, 2011, Punto  Quinto).  También  </w:t>
      </w:r>
      <w:r>
        <w:rPr>
          <w:spacing w:val="3"/>
        </w:rPr>
        <w:t>se </w:t>
      </w:r>
      <w:r>
        <w:rPr/>
        <w:t>estableció en el caso de los docentes y directivos inscritos </w:t>
      </w:r>
      <w:r>
        <w:rPr>
          <w:spacing w:val="-3"/>
        </w:rPr>
        <w:t>en </w:t>
      </w:r>
      <w:r>
        <w:rPr/>
        <w:t>Carrera Magisterial, que debían presentar </w:t>
      </w:r>
      <w:r>
        <w:rPr>
          <w:spacing w:val="-4"/>
        </w:rPr>
        <w:t>la </w:t>
      </w:r>
      <w:r>
        <w:rPr/>
        <w:t>evaluación universal en las fechas programadas, aún cuando éstas no coincidieran </w:t>
      </w:r>
      <w:r>
        <w:rPr>
          <w:spacing w:val="2"/>
        </w:rPr>
        <w:t>con </w:t>
      </w:r>
      <w:r>
        <w:rPr/>
        <w:t>los periodos de evaluación del programa en cuestión  (AEUDDSEB, 2011, Punto</w:t>
      </w:r>
      <w:r>
        <w:rPr>
          <w:spacing w:val="35"/>
        </w:rPr>
        <w:t> </w:t>
      </w:r>
      <w:r>
        <w:rPr/>
        <w:t>Sexto).</w:t>
      </w:r>
    </w:p>
    <w:p>
      <w:pPr>
        <w:pStyle w:val="BodyText"/>
        <w:spacing w:line="364" w:lineRule="auto" w:before="5"/>
        <w:ind w:left="115" w:right="103" w:firstLine="686"/>
        <w:jc w:val="both"/>
      </w:pPr>
      <w:r>
        <w:rPr/>
        <w:t>Esta prueba generó diversas inconformidades entre </w:t>
      </w:r>
      <w:r>
        <w:rPr>
          <w:spacing w:val="-3"/>
        </w:rPr>
        <w:t>los </w:t>
      </w:r>
      <w:r>
        <w:rPr/>
        <w:t>integrantes del magisterio nacional y dio pauta para que diversos grupos de las secciones del  SNTE adheridas a la Coordinadora Nacional de Trabajadores </w:t>
      </w:r>
      <w:r>
        <w:rPr>
          <w:spacing w:val="-3"/>
        </w:rPr>
        <w:t>de la </w:t>
      </w:r>
      <w:r>
        <w:rPr/>
        <w:t>Educación (CNTE) anunciaran que </w:t>
      </w:r>
      <w:r>
        <w:rPr>
          <w:spacing w:val="-5"/>
        </w:rPr>
        <w:t>la </w:t>
      </w:r>
      <w:r>
        <w:rPr/>
        <w:t>evaluación tenía propósitos punitivos. También en </w:t>
      </w:r>
      <w:r>
        <w:rPr>
          <w:spacing w:val="-2"/>
        </w:rPr>
        <w:t>las </w:t>
      </w:r>
      <w:r>
        <w:rPr/>
        <w:t>secciones “institucionales” cundió </w:t>
      </w:r>
      <w:r>
        <w:rPr>
          <w:spacing w:val="2"/>
        </w:rPr>
        <w:t>el </w:t>
      </w:r>
      <w:r>
        <w:rPr/>
        <w:t>temor sobre lo que la prueba significaba para los maestros inscritos y no inscritos en Carrera Magisterial. Al parecer, la SEP, </w:t>
      </w:r>
      <w:r>
        <w:rPr>
          <w:spacing w:val="-3"/>
        </w:rPr>
        <w:t>la </w:t>
      </w:r>
      <w:r>
        <w:rPr/>
        <w:t>dependencia con el mayor presupuesto anual </w:t>
      </w:r>
      <w:r>
        <w:rPr>
          <w:spacing w:val="2"/>
        </w:rPr>
        <w:t>del </w:t>
      </w:r>
      <w:r>
        <w:rPr/>
        <w:t>gobierno federal, </w:t>
      </w:r>
      <w:r>
        <w:rPr>
          <w:spacing w:val="3"/>
        </w:rPr>
        <w:t>no </w:t>
      </w:r>
      <w:r>
        <w:rPr/>
        <w:t>fue  capaz  de establecer una estrategia convincente entre </w:t>
      </w:r>
      <w:r>
        <w:rPr>
          <w:spacing w:val="-4"/>
        </w:rPr>
        <w:t>la </w:t>
      </w:r>
      <w:r>
        <w:rPr/>
        <w:t>comunidad de mentores de escuelas públicas y</w:t>
      </w:r>
      <w:r>
        <w:rPr>
          <w:spacing w:val="34"/>
        </w:rPr>
        <w:t> </w:t>
      </w:r>
      <w:r>
        <w:rPr/>
        <w:t>privadas.</w:t>
      </w:r>
    </w:p>
    <w:p>
      <w:pPr>
        <w:pStyle w:val="BodyText"/>
        <w:rPr>
          <w:sz w:val="22"/>
        </w:rPr>
      </w:pPr>
    </w:p>
    <w:p>
      <w:pPr>
        <w:pStyle w:val="Heading3"/>
        <w:spacing w:before="150"/>
      </w:pPr>
      <w:r>
        <w:rPr/>
        <w:t>4.12.1 Los juegos de poder y la debilidad política de la SEP ante el  SNTE</w:t>
      </w:r>
    </w:p>
    <w:p>
      <w:pPr>
        <w:spacing w:line="364" w:lineRule="auto" w:before="143"/>
        <w:ind w:left="115" w:right="101" w:firstLine="0"/>
        <w:jc w:val="both"/>
        <w:rPr>
          <w:sz w:val="23"/>
        </w:rPr>
      </w:pPr>
      <w:r>
        <w:rPr>
          <w:sz w:val="23"/>
        </w:rPr>
        <w:t>Con el propósito de generar certidumbre entre en el profesorado, el 1 de marzo de 2012, </w:t>
      </w:r>
      <w:r>
        <w:rPr>
          <w:spacing w:val="-4"/>
          <w:sz w:val="23"/>
        </w:rPr>
        <w:t>la </w:t>
      </w:r>
      <w:r>
        <w:rPr>
          <w:sz w:val="23"/>
        </w:rPr>
        <w:t>SEP y el SNTE firmaron los </w:t>
      </w:r>
      <w:r>
        <w:rPr>
          <w:i/>
          <w:sz w:val="23"/>
        </w:rPr>
        <w:t>Lineamientos Generales </w:t>
      </w:r>
      <w:r>
        <w:rPr>
          <w:i/>
          <w:spacing w:val="-3"/>
          <w:sz w:val="23"/>
        </w:rPr>
        <w:t>que </w:t>
      </w:r>
      <w:r>
        <w:rPr>
          <w:i/>
          <w:sz w:val="23"/>
        </w:rPr>
        <w:t>regulan la </w:t>
      </w:r>
      <w:r>
        <w:rPr>
          <w:i/>
          <w:sz w:val="23"/>
        </w:rPr>
        <w:t>Evaluación Universal de Docentes y Directivos </w:t>
      </w:r>
      <w:r>
        <w:rPr>
          <w:i/>
          <w:spacing w:val="-3"/>
          <w:sz w:val="23"/>
        </w:rPr>
        <w:t>en </w:t>
      </w:r>
      <w:r>
        <w:rPr>
          <w:i/>
          <w:sz w:val="23"/>
        </w:rPr>
        <w:t>Servicio de Educación Básica</w:t>
      </w:r>
      <w:r>
        <w:rPr>
          <w:sz w:val="23"/>
        </w:rPr>
        <w:t>, documento en que se hizo énfasis </w:t>
      </w:r>
      <w:r>
        <w:rPr>
          <w:spacing w:val="-3"/>
          <w:sz w:val="23"/>
        </w:rPr>
        <w:t>que </w:t>
      </w:r>
      <w:r>
        <w:rPr>
          <w:sz w:val="23"/>
        </w:rPr>
        <w:t>la evaluación era “diagnóstica” y que no tenía relación con </w:t>
      </w:r>
      <w:r>
        <w:rPr>
          <w:spacing w:val="-3"/>
          <w:sz w:val="23"/>
        </w:rPr>
        <w:t>las </w:t>
      </w:r>
      <w:r>
        <w:rPr>
          <w:sz w:val="23"/>
        </w:rPr>
        <w:t>condiciones de trabajo, por </w:t>
      </w:r>
      <w:r>
        <w:rPr>
          <w:spacing w:val="-3"/>
          <w:sz w:val="23"/>
        </w:rPr>
        <w:t>lo </w:t>
      </w:r>
      <w:r>
        <w:rPr>
          <w:sz w:val="23"/>
        </w:rPr>
        <w:t>que, independientemente del resultado, los derechos laborales de los trabajadores de </w:t>
      </w:r>
      <w:r>
        <w:rPr>
          <w:spacing w:val="-5"/>
          <w:sz w:val="23"/>
        </w:rPr>
        <w:t>la </w:t>
      </w:r>
      <w:r>
        <w:rPr>
          <w:sz w:val="23"/>
        </w:rPr>
        <w:t>educación pública, quedarían</w:t>
      </w:r>
      <w:r>
        <w:rPr>
          <w:spacing w:val="25"/>
          <w:sz w:val="23"/>
        </w:rPr>
        <w:t> </w:t>
      </w:r>
      <w:r>
        <w:rPr>
          <w:sz w:val="23"/>
        </w:rPr>
        <w:t>resguardados.</w:t>
      </w:r>
    </w:p>
    <w:p>
      <w:pPr>
        <w:pStyle w:val="BodyText"/>
        <w:spacing w:line="364" w:lineRule="auto" w:before="5"/>
        <w:ind w:left="115" w:right="107" w:firstLine="686"/>
        <w:jc w:val="both"/>
      </w:pPr>
      <w:r>
        <w:rPr/>
        <w:t>También se aclaró en este documento </w:t>
      </w:r>
      <w:r>
        <w:rPr>
          <w:spacing w:val="-3"/>
        </w:rPr>
        <w:t>que </w:t>
      </w:r>
      <w:r>
        <w:rPr/>
        <w:t>el examen de evaluación  universal tenía como uno de sus objetivos principales orientar y consolidar  </w:t>
      </w:r>
      <w:r>
        <w:rPr>
          <w:spacing w:val="-3"/>
        </w:rPr>
        <w:t>la </w:t>
      </w:r>
      <w:r>
        <w:rPr/>
        <w:t>calidad y pertinencia, tanto de los programas académicos </w:t>
      </w:r>
      <w:r>
        <w:rPr>
          <w:spacing w:val="-3"/>
        </w:rPr>
        <w:t>de </w:t>
      </w:r>
      <w:r>
        <w:rPr/>
        <w:t>educación básica y normal, como </w:t>
      </w:r>
      <w:r>
        <w:rPr>
          <w:spacing w:val="2"/>
        </w:rPr>
        <w:t>el </w:t>
      </w:r>
      <w:r>
        <w:rPr/>
        <w:t>diseño y desarrollo de las políticas educativas “para que tengan el efecto deseable en el aprendizaje de los alumnos” (Punto Segundo). En el documento, firmado por el secretario general del SNTE, Juan Díaz de </w:t>
      </w:r>
      <w:r>
        <w:rPr>
          <w:spacing w:val="-4"/>
        </w:rPr>
        <w:t>la  </w:t>
      </w:r>
      <w:r>
        <w:rPr/>
        <w:t>Torre  y  los  subsecretarios  de  la  SEP,  Francisco  Ciscomani  y Rodolfo  Tuirán,</w:t>
      </w:r>
      <w:r>
        <w:rPr>
          <w:spacing w:val="-12"/>
        </w:rPr>
        <w:t> </w:t>
      </w:r>
      <w:r>
        <w:rPr>
          <w:spacing w:val="4"/>
        </w:rPr>
        <w:t>se </w:t>
      </w:r>
      <w:r>
        <w:rPr/>
        <w:t>reiteró</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9" w:lineRule="auto" w:before="74"/>
        <w:ind w:left="115" w:right="191"/>
      </w:pPr>
      <w:r>
        <w:rPr/>
        <w:t>que la evaluación universal sería “obligatoria” para los docentes y directivos (Punto Décimo segundo).</w:t>
      </w:r>
    </w:p>
    <w:p>
      <w:pPr>
        <w:pStyle w:val="BodyText"/>
        <w:spacing w:line="364" w:lineRule="auto"/>
        <w:ind w:left="115" w:right="105" w:firstLine="686"/>
        <w:jc w:val="both"/>
      </w:pPr>
      <w:r>
        <w:rPr/>
        <w:t>Pese a ello, el 20 de abril del 2012, en el marco </w:t>
      </w:r>
      <w:r>
        <w:rPr>
          <w:spacing w:val="-4"/>
        </w:rPr>
        <w:t>la </w:t>
      </w:r>
      <w:r>
        <w:rPr/>
        <w:t>sesión ordinaria </w:t>
      </w:r>
      <w:r>
        <w:rPr>
          <w:spacing w:val="2"/>
        </w:rPr>
        <w:t>del </w:t>
      </w:r>
      <w:r>
        <w:rPr/>
        <w:t>Consejo Nacional del SNTE, realizada en Playas de Rosarito, Baja California Sur, los líderes seccionales del gremio resolvieron unilateralmente rechazar  </w:t>
      </w:r>
      <w:r>
        <w:rPr>
          <w:spacing w:val="-5"/>
        </w:rPr>
        <w:t>la  </w:t>
      </w:r>
      <w:r>
        <w:rPr/>
        <w:t>aplicación de la evaluación universal ese año, argumentado que </w:t>
      </w:r>
      <w:r>
        <w:rPr>
          <w:spacing w:val="-4"/>
        </w:rPr>
        <w:t>la </w:t>
      </w:r>
      <w:r>
        <w:rPr/>
        <w:t>SEP no había hecho la difusión necesaria sobre sus objetivos. Elba Esther Gordillo, entonces presidenta del SNTE sostuvo que </w:t>
      </w:r>
      <w:r>
        <w:rPr>
          <w:spacing w:val="-3"/>
        </w:rPr>
        <w:t>la </w:t>
      </w:r>
      <w:r>
        <w:rPr/>
        <w:t>SEP no había cumplido la “obligación de enterar” </w:t>
      </w:r>
      <w:r>
        <w:rPr>
          <w:spacing w:val="3"/>
        </w:rPr>
        <w:t>al </w:t>
      </w:r>
      <w:r>
        <w:rPr/>
        <w:t>Comité Nacional sobre los mecanismos de </w:t>
      </w:r>
      <w:r>
        <w:rPr>
          <w:spacing w:val="-3"/>
        </w:rPr>
        <w:t>la </w:t>
      </w:r>
      <w:r>
        <w:rPr>
          <w:spacing w:val="8"/>
        </w:rPr>
        <w:t> </w:t>
      </w:r>
      <w:r>
        <w:rPr/>
        <w:t>evaluación.</w:t>
      </w:r>
    </w:p>
    <w:p>
      <w:pPr>
        <w:pStyle w:val="BodyText"/>
        <w:spacing w:line="364" w:lineRule="auto" w:before="5"/>
        <w:ind w:left="115" w:right="109" w:firstLine="686"/>
        <w:jc w:val="both"/>
      </w:pPr>
      <w:r>
        <w:rPr/>
        <w:t>Gordillo aseguró que  </w:t>
      </w:r>
      <w:r>
        <w:rPr>
          <w:spacing w:val="-3"/>
        </w:rPr>
        <w:t>fue  </w:t>
      </w:r>
      <w:r>
        <w:rPr/>
        <w:t>el propio SNTE quien planteó al gobierno federal   </w:t>
      </w:r>
      <w:r>
        <w:rPr>
          <w:spacing w:val="-5"/>
        </w:rPr>
        <w:t>la </w:t>
      </w:r>
      <w:r>
        <w:rPr/>
        <w:t>evaluación y que los maestros sindicalizados no rechazaban ser examinados. Recalcó: "estamos dispuestos a </w:t>
      </w:r>
      <w:r>
        <w:rPr>
          <w:spacing w:val="-4"/>
        </w:rPr>
        <w:t>la  </w:t>
      </w:r>
      <w:r>
        <w:rPr/>
        <w:t>evaluación, pero con el garante irrestricto de  que ninguna medida de éstas puede atentar contra </w:t>
      </w:r>
      <w:r>
        <w:rPr>
          <w:spacing w:val="-3"/>
        </w:rPr>
        <w:t>los </w:t>
      </w:r>
      <w:r>
        <w:rPr/>
        <w:t>derechos </w:t>
      </w:r>
      <w:r>
        <w:rPr>
          <w:spacing w:val="3"/>
        </w:rPr>
        <w:t>de </w:t>
      </w:r>
      <w:r>
        <w:rPr/>
        <w:t>trabajo que tienen </w:t>
      </w:r>
      <w:r>
        <w:rPr>
          <w:spacing w:val="-3"/>
        </w:rPr>
        <w:t>los </w:t>
      </w:r>
      <w:r>
        <w:rPr/>
        <w:t>integrantes del SNTE”. En el </w:t>
      </w:r>
      <w:r>
        <w:rPr>
          <w:spacing w:val="-3"/>
        </w:rPr>
        <w:t>mismo  </w:t>
      </w:r>
      <w:r>
        <w:rPr/>
        <w:t>sentido, resaltó  </w:t>
      </w:r>
      <w:r>
        <w:rPr>
          <w:spacing w:val="-3"/>
        </w:rPr>
        <w:t>que “la </w:t>
      </w:r>
      <w:r>
        <w:rPr/>
        <w:t>evaluación  es para estimular salarial y socialmente </w:t>
      </w:r>
      <w:r>
        <w:rPr>
          <w:spacing w:val="3"/>
        </w:rPr>
        <w:t>al </w:t>
      </w:r>
      <w:r>
        <w:rPr/>
        <w:t>maestro que trabaja, no para castigarlo    y mandarlo al desempleo” (</w:t>
      </w:r>
      <w:r>
        <w:rPr>
          <w:i/>
        </w:rPr>
        <w:t>Reforma</w:t>
      </w:r>
      <w:r>
        <w:rPr/>
        <w:t>, 21 de abril de </w:t>
      </w:r>
      <w:r>
        <w:rPr>
          <w:spacing w:val="2"/>
        </w:rPr>
        <w:t> </w:t>
      </w:r>
      <w:r>
        <w:rPr/>
        <w:t>2012).</w:t>
      </w:r>
    </w:p>
    <w:p>
      <w:pPr>
        <w:pStyle w:val="BodyText"/>
        <w:spacing w:line="364" w:lineRule="auto" w:before="5"/>
        <w:ind w:left="115" w:right="104" w:firstLine="686"/>
        <w:jc w:val="both"/>
      </w:pPr>
      <w:r>
        <w:rPr/>
        <w:t>Independientemente de que, pese a todas </w:t>
      </w:r>
      <w:r>
        <w:rPr>
          <w:spacing w:val="-4"/>
        </w:rPr>
        <w:t>las  </w:t>
      </w:r>
      <w:r>
        <w:rPr/>
        <w:t>aclaraciones  </w:t>
      </w:r>
      <w:r>
        <w:rPr>
          <w:i/>
        </w:rPr>
        <w:t>oficiales </w:t>
      </w:r>
      <w:r>
        <w:rPr/>
        <w:t>sobre   el propósito de la evaluación, </w:t>
      </w:r>
      <w:r>
        <w:rPr>
          <w:spacing w:val="3"/>
        </w:rPr>
        <w:t>se </w:t>
      </w:r>
      <w:r>
        <w:rPr/>
        <w:t>mantuvo </w:t>
      </w:r>
      <w:r>
        <w:rPr>
          <w:spacing w:val="-5"/>
        </w:rPr>
        <w:t>la </w:t>
      </w:r>
      <w:r>
        <w:rPr/>
        <w:t>incertidumbre entre los maestros, al parecer, hubo un cálculo político-electoral en esta decisión, porque los líderes del SNTE fueron agregando argumentos de diversa índole para justificar su negativa. Gordillo, por ejemplo dijo que el problema era que el curso escolar estaba por terminar y que había algunas deficiencias </w:t>
      </w:r>
      <w:r>
        <w:rPr>
          <w:spacing w:val="-3"/>
        </w:rPr>
        <w:t>por </w:t>
      </w:r>
      <w:r>
        <w:rPr/>
        <w:t>parte de </w:t>
      </w:r>
      <w:r>
        <w:rPr>
          <w:spacing w:val="-4"/>
        </w:rPr>
        <w:t>la </w:t>
      </w:r>
      <w:r>
        <w:rPr/>
        <w:t>SEP que podían afectar    el buen funcionamiento de </w:t>
      </w:r>
      <w:r>
        <w:rPr>
          <w:spacing w:val="-3"/>
        </w:rPr>
        <w:t>la </w:t>
      </w:r>
      <w:r>
        <w:rPr/>
        <w:t>evaluación. Luego </w:t>
      </w:r>
      <w:r>
        <w:rPr>
          <w:spacing w:val="-3"/>
        </w:rPr>
        <w:t>dijo </w:t>
      </w:r>
      <w:r>
        <w:rPr/>
        <w:t>que había un problema de información (</w:t>
      </w:r>
      <w:r>
        <w:rPr>
          <w:i/>
        </w:rPr>
        <w:t>Reforma </w:t>
      </w:r>
      <w:r>
        <w:rPr/>
        <w:t>23 de abril de</w:t>
      </w:r>
      <w:r>
        <w:rPr>
          <w:spacing w:val="48"/>
        </w:rPr>
        <w:t> </w:t>
      </w:r>
      <w:r>
        <w:rPr/>
        <w:t>2012).</w:t>
      </w:r>
    </w:p>
    <w:p>
      <w:pPr>
        <w:pStyle w:val="BodyText"/>
        <w:spacing w:line="364" w:lineRule="auto" w:before="5"/>
        <w:ind w:left="115" w:right="104" w:firstLine="686"/>
        <w:jc w:val="both"/>
      </w:pPr>
      <w:r>
        <w:rPr/>
        <w:t>Frente a este desafío, la </w:t>
      </w:r>
      <w:r>
        <w:rPr>
          <w:spacing w:val="2"/>
        </w:rPr>
        <w:t>SEP, </w:t>
      </w:r>
      <w:r>
        <w:rPr/>
        <w:t>a través de un comunicado,  que extrañamente no fue atribuido al entonces titular de </w:t>
      </w:r>
      <w:r>
        <w:rPr>
          <w:spacing w:val="-3"/>
        </w:rPr>
        <w:t>la </w:t>
      </w:r>
      <w:r>
        <w:rPr/>
        <w:t>Secretaría, José Ángel Córdova ni a ningún otro funcionario, informó que si habría evaluación y  se  aplicaría el 24 de junio. A partir de este suceso inició un escarceo verbal entre </w:t>
      </w:r>
      <w:r>
        <w:rPr>
          <w:spacing w:val="-5"/>
        </w:rPr>
        <w:t>la </w:t>
      </w:r>
      <w:r>
        <w:rPr/>
        <w:t>SEP y el SNTE, cuyo propósito, al parecer, </w:t>
      </w:r>
      <w:r>
        <w:rPr>
          <w:spacing w:val="2"/>
        </w:rPr>
        <w:t>no </w:t>
      </w:r>
      <w:r>
        <w:rPr/>
        <w:t>era resolver el diferendo, sino culparse   y  responsabilizarse  mutuamente   del  incumplimiento  </w:t>
      </w:r>
      <w:r>
        <w:rPr>
          <w:spacing w:val="2"/>
        </w:rPr>
        <w:t>del  </w:t>
      </w:r>
      <w:r>
        <w:rPr/>
        <w:t>Acuerdo  </w:t>
      </w:r>
      <w:r>
        <w:rPr>
          <w:spacing w:val="23"/>
        </w:rPr>
        <w:t> </w:t>
      </w:r>
      <w:r>
        <w:rPr/>
        <w:t>de</w:t>
      </w:r>
    </w:p>
    <w:p>
      <w:pPr>
        <w:spacing w:after="0" w:line="364" w:lineRule="auto"/>
        <w:jc w:val="both"/>
        <w:sectPr>
          <w:footerReference w:type="default" r:id="rId119"/>
          <w:pgSz w:w="11910" w:h="16840"/>
          <w:pgMar w:footer="1457" w:header="0" w:top="1580" w:bottom="1640" w:left="1540" w:right="1540"/>
        </w:sectPr>
      </w:pPr>
    </w:p>
    <w:p>
      <w:pPr>
        <w:pStyle w:val="BodyText"/>
        <w:rPr>
          <w:sz w:val="20"/>
        </w:rPr>
      </w:pPr>
    </w:p>
    <w:p>
      <w:pPr>
        <w:pStyle w:val="BodyText"/>
        <w:spacing w:before="2"/>
        <w:rPr>
          <w:sz w:val="16"/>
        </w:rPr>
      </w:pPr>
    </w:p>
    <w:p>
      <w:pPr>
        <w:pStyle w:val="BodyText"/>
        <w:spacing w:line="369" w:lineRule="auto" w:before="74"/>
        <w:ind w:left="115" w:right="191"/>
      </w:pPr>
      <w:r>
        <w:rPr/>
        <w:t>Evaluación. Esta confrontación verbal se acentuó después de que SEP y SNTE acordaron formar un grupo de trabajo para subsanar las  controversias.</w:t>
      </w:r>
    </w:p>
    <w:p>
      <w:pPr>
        <w:pStyle w:val="BodyText"/>
        <w:spacing w:line="364" w:lineRule="auto"/>
        <w:ind w:left="115" w:right="110" w:firstLine="686"/>
        <w:jc w:val="both"/>
      </w:pPr>
      <w:r>
        <w:rPr/>
        <w:t>Silvia Luna, integrante de la dirigencia del SNTE y miembro del grupo de trabajo, amplió los argumentos contra </w:t>
      </w:r>
      <w:r>
        <w:rPr>
          <w:spacing w:val="-3"/>
        </w:rPr>
        <w:t>la </w:t>
      </w:r>
      <w:r>
        <w:rPr/>
        <w:t>aplicación de  la evaluación universal en  las fechas convenidas. </w:t>
      </w:r>
      <w:r>
        <w:rPr>
          <w:spacing w:val="-3"/>
        </w:rPr>
        <w:t>Dijo </w:t>
      </w:r>
      <w:r>
        <w:rPr/>
        <w:t>que ni el sindicato ni los maestros saben qué </w:t>
      </w:r>
      <w:r>
        <w:rPr>
          <w:spacing w:val="4"/>
        </w:rPr>
        <w:t>se </w:t>
      </w:r>
      <w:r>
        <w:rPr>
          <w:spacing w:val="-3"/>
        </w:rPr>
        <w:t>iba </w:t>
      </w:r>
      <w:r>
        <w:rPr/>
        <w:t>a evaluar, pues </w:t>
      </w:r>
      <w:r>
        <w:rPr>
          <w:spacing w:val="-4"/>
        </w:rPr>
        <w:t>los </w:t>
      </w:r>
      <w:r>
        <w:rPr>
          <w:spacing w:val="-3"/>
        </w:rPr>
        <w:t>planes </w:t>
      </w:r>
      <w:r>
        <w:rPr/>
        <w:t>y programas de </w:t>
      </w:r>
      <w:r>
        <w:rPr>
          <w:spacing w:val="-3"/>
        </w:rPr>
        <w:t>estudio </w:t>
      </w:r>
      <w:r>
        <w:rPr/>
        <w:t>fueron entregados por </w:t>
      </w:r>
      <w:r>
        <w:rPr>
          <w:spacing w:val="-3"/>
        </w:rPr>
        <w:t>la SEP </w:t>
      </w:r>
      <w:r>
        <w:rPr/>
        <w:t>apenas en </w:t>
      </w:r>
      <w:r>
        <w:rPr>
          <w:spacing w:val="-3"/>
        </w:rPr>
        <w:t>marzo </w:t>
      </w:r>
      <w:r>
        <w:rPr/>
        <w:t>pasado, por </w:t>
      </w:r>
      <w:r>
        <w:rPr>
          <w:spacing w:val="-4"/>
        </w:rPr>
        <w:t>lo </w:t>
      </w:r>
      <w:r>
        <w:rPr/>
        <w:t>que el tiempo para revisarlos era insuficiente. Asimismo, mencionó que también se desconocía cómo los iban a evaluar, </w:t>
      </w:r>
      <w:r>
        <w:rPr>
          <w:spacing w:val="-4"/>
        </w:rPr>
        <w:t>ya </w:t>
      </w:r>
      <w:r>
        <w:rPr/>
        <w:t>que   el INEE </w:t>
      </w:r>
      <w:r>
        <w:rPr>
          <w:spacing w:val="-3"/>
        </w:rPr>
        <w:t>no </w:t>
      </w:r>
      <w:r>
        <w:rPr/>
        <w:t>es autónomo. Más aún, dijo que no se sabía quién, </w:t>
      </w:r>
      <w:r>
        <w:rPr>
          <w:spacing w:val="2"/>
        </w:rPr>
        <w:t>en </w:t>
      </w:r>
      <w:r>
        <w:rPr/>
        <w:t>dónde ni cómo  se va a capacitar a los maestros. Luna también expuso que </w:t>
      </w:r>
      <w:r>
        <w:rPr>
          <w:spacing w:val="3"/>
        </w:rPr>
        <w:t>el </w:t>
      </w:r>
      <w:r>
        <w:rPr/>
        <w:t>catálogo de cursos que les entregó la SEP eran </w:t>
      </w:r>
      <w:r>
        <w:rPr>
          <w:spacing w:val="-3"/>
        </w:rPr>
        <w:t>los </w:t>
      </w:r>
      <w:r>
        <w:rPr/>
        <w:t>de Carrera Magisterial (es decir el catálogo de instituciones y cursos, diplomados y especialidades que tomarían los maestros), pero no los de Evaluación Universal (</w:t>
      </w:r>
      <w:r>
        <w:rPr>
          <w:i/>
        </w:rPr>
        <w:t>Reforma</w:t>
      </w:r>
      <w:r>
        <w:rPr/>
        <w:t>, 26 de abril de </w:t>
      </w:r>
      <w:r>
        <w:rPr>
          <w:spacing w:val="10"/>
        </w:rPr>
        <w:t> </w:t>
      </w:r>
      <w:r>
        <w:rPr/>
        <w:t>2012).</w:t>
      </w:r>
    </w:p>
    <w:p>
      <w:pPr>
        <w:pStyle w:val="BodyText"/>
        <w:spacing w:line="364" w:lineRule="auto" w:before="10"/>
        <w:ind w:left="115" w:right="104" w:firstLine="686"/>
        <w:jc w:val="both"/>
      </w:pPr>
      <w:r>
        <w:rPr/>
        <w:t>Ana María Aceves, directora de Evaluación de Políticas de la SEP,  respondió a la vocera del SNTE: recordó que los planes y programas de estudio para primaria no </w:t>
      </w:r>
      <w:r>
        <w:rPr>
          <w:spacing w:val="3"/>
        </w:rPr>
        <w:t>se </w:t>
      </w:r>
      <w:r>
        <w:rPr/>
        <w:t>instrumentaron este año, sino que llevan </w:t>
      </w:r>
      <w:r>
        <w:rPr>
          <w:spacing w:val="-3"/>
        </w:rPr>
        <w:t>tres </w:t>
      </w:r>
      <w:r>
        <w:rPr/>
        <w:t>ciclos escolares en las escuelas y que en cada una de </w:t>
      </w:r>
      <w:r>
        <w:rPr>
          <w:spacing w:val="-3"/>
        </w:rPr>
        <w:t>las </w:t>
      </w:r>
      <w:r>
        <w:rPr/>
        <w:t>guías temáticas de los exámenes se especifica claramente qué y cómo </w:t>
      </w:r>
      <w:r>
        <w:rPr>
          <w:spacing w:val="3"/>
        </w:rPr>
        <w:t>se </w:t>
      </w:r>
      <w:r>
        <w:rPr/>
        <w:t>va a evaluar, y el sindicato las aprobó. Asimismo dijo que en los </w:t>
      </w:r>
      <w:r>
        <w:rPr>
          <w:i/>
        </w:rPr>
        <w:t>Lineamientos </w:t>
      </w:r>
      <w:r>
        <w:rPr/>
        <w:t>sobre la evaluación  universal,  se  estableció que el INEE participaría en </w:t>
      </w:r>
      <w:r>
        <w:rPr>
          <w:spacing w:val="3"/>
        </w:rPr>
        <w:t>el </w:t>
      </w:r>
      <w:r>
        <w:rPr/>
        <w:t>diseño de los instrumentos de evaluación, pero no sería responsable de elaborarlos. Con respecto a los catálogos </w:t>
      </w:r>
      <w:r>
        <w:rPr>
          <w:spacing w:val="-3"/>
        </w:rPr>
        <w:t>de </w:t>
      </w:r>
      <w:r>
        <w:rPr/>
        <w:t>cursos, Aceves aseguró que se entregaron por igual a todos los maestros, inscritos y no inscritos en Carrera Magisterial, porque abarcan los mismos trayectos formativos,  tal como </w:t>
      </w:r>
      <w:r>
        <w:rPr>
          <w:spacing w:val="3"/>
        </w:rPr>
        <w:t>se </w:t>
      </w:r>
      <w:r>
        <w:rPr/>
        <w:t>acordó </w:t>
      </w:r>
      <w:r>
        <w:rPr>
          <w:spacing w:val="2"/>
        </w:rPr>
        <w:t>con </w:t>
      </w:r>
      <w:r>
        <w:rPr/>
        <w:t>el</w:t>
      </w:r>
      <w:r>
        <w:rPr>
          <w:spacing w:val="20"/>
        </w:rPr>
        <w:t> </w:t>
      </w:r>
      <w:r>
        <w:rPr/>
        <w:t>SNTE.</w:t>
      </w:r>
    </w:p>
    <w:p>
      <w:pPr>
        <w:pStyle w:val="BodyText"/>
        <w:spacing w:line="364" w:lineRule="auto" w:before="5"/>
        <w:ind w:left="115" w:right="111" w:firstLine="686"/>
        <w:jc w:val="both"/>
      </w:pPr>
      <w:r>
        <w:rPr/>
        <w:t>Este grupo de trabajo, no resolvió nada en concreto. </w:t>
      </w:r>
      <w:r>
        <w:rPr>
          <w:spacing w:val="-3"/>
        </w:rPr>
        <w:t>Los </w:t>
      </w:r>
      <w:r>
        <w:rPr/>
        <w:t>encuentros </w:t>
      </w:r>
      <w:r>
        <w:rPr>
          <w:spacing w:val="-3"/>
        </w:rPr>
        <w:t>más </w:t>
      </w:r>
      <w:r>
        <w:rPr/>
        <w:t>bien mostraron que </w:t>
      </w:r>
      <w:r>
        <w:rPr>
          <w:spacing w:val="-5"/>
        </w:rPr>
        <w:t>la </w:t>
      </w:r>
      <w:r>
        <w:rPr/>
        <w:t>dirigencia del SNTE pretendía que se aplicara la prueba de   </w:t>
      </w:r>
      <w:r>
        <w:rPr>
          <w:spacing w:val="-5"/>
        </w:rPr>
        <w:t>la </w:t>
      </w:r>
      <w:r>
        <w:rPr/>
        <w:t>evaluación universal después de las elecciones federales </w:t>
      </w:r>
      <w:r>
        <w:rPr>
          <w:spacing w:val="3"/>
        </w:rPr>
        <w:t>de </w:t>
      </w:r>
      <w:r>
        <w:rPr/>
        <w:t>julio y la SEP esperaba culpar al sindicato para ocultar el déficit de autoridad y de liderazgo con   el que se manejaba en este proceso. En este sentido, fue sintomático que tanto   </w:t>
      </w:r>
      <w:r>
        <w:rPr>
          <w:spacing w:val="10"/>
        </w:rPr>
        <w:t> </w:t>
      </w:r>
      <w:r>
        <w:rPr>
          <w:spacing w:val="-6"/>
        </w:rPr>
        <w:t>la</w:t>
      </w:r>
    </w:p>
    <w:p>
      <w:pPr>
        <w:spacing w:after="0" w:line="364" w:lineRule="auto"/>
        <w:jc w:val="both"/>
        <w:sectPr>
          <w:footerReference w:type="default" r:id="rId120"/>
          <w:pgSz w:w="11910" w:h="16840"/>
          <w:pgMar w:footer="1457" w:header="0" w:top="1580" w:bottom="1640" w:left="1540" w:right="1540"/>
          <w:pgNumType w:start="241"/>
        </w:sectPr>
      </w:pPr>
    </w:p>
    <w:p>
      <w:pPr>
        <w:pStyle w:val="BodyText"/>
        <w:rPr>
          <w:sz w:val="20"/>
        </w:rPr>
      </w:pPr>
    </w:p>
    <w:p>
      <w:pPr>
        <w:pStyle w:val="BodyText"/>
        <w:spacing w:before="2"/>
        <w:rPr>
          <w:sz w:val="16"/>
        </w:rPr>
      </w:pPr>
    </w:p>
    <w:p>
      <w:pPr>
        <w:pStyle w:val="BodyText"/>
        <w:spacing w:line="338" w:lineRule="auto" w:before="74"/>
        <w:ind w:left="115" w:right="127"/>
      </w:pPr>
      <w:r>
        <w:rPr/>
        <w:t>Secretaría como el SNTE hayan delegado en mandos medios, sin poder de decisión, la encomienda de asistir a la reunión de  trabajo</w:t>
      </w:r>
      <w:r>
        <w:rPr>
          <w:position w:val="11"/>
          <w:sz w:val="15"/>
        </w:rPr>
        <w:t>64</w:t>
      </w:r>
      <w:r>
        <w:rPr/>
        <w:t>.</w:t>
      </w:r>
    </w:p>
    <w:p>
      <w:pPr>
        <w:pStyle w:val="BodyText"/>
        <w:spacing w:line="364" w:lineRule="auto" w:before="13"/>
        <w:ind w:left="115" w:right="128" w:firstLine="686"/>
        <w:jc w:val="both"/>
      </w:pPr>
      <w:r>
        <w:rPr/>
        <w:t>Soralla Bañuelos, integrante del SNTE, en la última sesión del grupo de trabajo en cuestión, expuso </w:t>
      </w:r>
      <w:r>
        <w:rPr>
          <w:spacing w:val="-3"/>
        </w:rPr>
        <w:t>un </w:t>
      </w:r>
      <w:r>
        <w:rPr/>
        <w:t>argumento adicional para justificar la oposición del sindicato: que no podían aceptar que el examen de preparación profesional fuera tomado </w:t>
      </w:r>
      <w:r>
        <w:rPr>
          <w:spacing w:val="2"/>
        </w:rPr>
        <w:t>en </w:t>
      </w:r>
      <w:r>
        <w:rPr/>
        <w:t>cuenta para “todos” los maestros, sino exclusivamente  para  </w:t>
      </w:r>
      <w:r>
        <w:rPr>
          <w:spacing w:val="-2"/>
        </w:rPr>
        <w:t>los</w:t>
      </w:r>
      <w:r>
        <w:rPr>
          <w:spacing w:val="59"/>
        </w:rPr>
        <w:t> </w:t>
      </w:r>
      <w:r>
        <w:rPr/>
        <w:t>inscritos </w:t>
      </w:r>
      <w:r>
        <w:rPr>
          <w:spacing w:val="-3"/>
        </w:rPr>
        <w:t>en </w:t>
      </w:r>
      <w:r>
        <w:rPr/>
        <w:t>Carrera Magisterial, desconociendo el Acuerdo firmado por  </w:t>
      </w:r>
      <w:r>
        <w:rPr>
          <w:spacing w:val="-4"/>
        </w:rPr>
        <w:t>la </w:t>
      </w:r>
      <w:r>
        <w:rPr>
          <w:spacing w:val="55"/>
        </w:rPr>
        <w:t> </w:t>
      </w:r>
      <w:r>
        <w:rPr/>
        <w:t>dirigencia del gremio magisterial, así como </w:t>
      </w:r>
      <w:r>
        <w:rPr>
          <w:spacing w:val="-3"/>
        </w:rPr>
        <w:t>los </w:t>
      </w:r>
      <w:r>
        <w:rPr>
          <w:i/>
        </w:rPr>
        <w:t>Lineamientos </w:t>
      </w:r>
      <w:r>
        <w:rPr/>
        <w:t>de la Evaluación Universal. Para </w:t>
      </w:r>
      <w:r>
        <w:rPr>
          <w:spacing w:val="2"/>
        </w:rPr>
        <w:t>el </w:t>
      </w:r>
      <w:r>
        <w:rPr/>
        <w:t>resto de los maestros, dijo Bañuelos, “se requiere hacer nuevos exámenes, hechos por el INEE, una vez que este sea </w:t>
      </w:r>
      <w:r>
        <w:rPr>
          <w:spacing w:val="4"/>
        </w:rPr>
        <w:t> </w:t>
      </w:r>
      <w:r>
        <w:rPr/>
        <w:t>autónomo”.</w:t>
      </w:r>
    </w:p>
    <w:p>
      <w:pPr>
        <w:pStyle w:val="BodyText"/>
        <w:spacing w:line="364" w:lineRule="auto" w:before="5"/>
        <w:ind w:left="115" w:right="124" w:firstLine="686"/>
        <w:jc w:val="both"/>
      </w:pPr>
      <w:r>
        <w:rPr/>
        <w:t>Finalmente, el SNTE ganó </w:t>
      </w:r>
      <w:r>
        <w:rPr>
          <w:spacing w:val="-4"/>
        </w:rPr>
        <w:t>la </w:t>
      </w:r>
      <w:r>
        <w:rPr/>
        <w:t>partida y el 2  de mayo, en una reunión a  puerta cerrada en la Secretaría de Gobernación, la dirigencia del sindicato, los titulares </w:t>
      </w:r>
      <w:r>
        <w:rPr>
          <w:spacing w:val="3"/>
        </w:rPr>
        <w:t>de </w:t>
      </w:r>
      <w:r>
        <w:rPr>
          <w:spacing w:val="-3"/>
        </w:rPr>
        <w:t>la </w:t>
      </w:r>
      <w:r>
        <w:rPr/>
        <w:t>SEP y de Gobernación, José Ángel Córdova y Alejandro Poiré, respectivamente, acordaron reagendar </w:t>
      </w:r>
      <w:r>
        <w:rPr>
          <w:spacing w:val="-3"/>
        </w:rPr>
        <w:t>la </w:t>
      </w:r>
      <w:r>
        <w:rPr/>
        <w:t>aplicación de </w:t>
      </w:r>
      <w:r>
        <w:rPr>
          <w:spacing w:val="-4"/>
        </w:rPr>
        <w:t>la  </w:t>
      </w:r>
      <w:r>
        <w:rPr/>
        <w:t>evaluación  universal  para después de </w:t>
      </w:r>
      <w:r>
        <w:rPr>
          <w:spacing w:val="-3"/>
        </w:rPr>
        <w:t>las </w:t>
      </w:r>
      <w:r>
        <w:rPr/>
        <w:t>elecciones federales del 6 de julio. El argumento fundamental es </w:t>
      </w:r>
      <w:r>
        <w:rPr>
          <w:spacing w:val="-3"/>
        </w:rPr>
        <w:t>que </w:t>
      </w:r>
      <w:r>
        <w:rPr/>
        <w:t>“no había condiciones políticas para seguir adelante con el proceso </w:t>
      </w:r>
      <w:r>
        <w:rPr>
          <w:spacing w:val="-3"/>
        </w:rPr>
        <w:t>de </w:t>
      </w:r>
      <w:r>
        <w:rPr/>
        <w:t>evaluación universal en medio </w:t>
      </w:r>
      <w:r>
        <w:rPr>
          <w:spacing w:val="2"/>
        </w:rPr>
        <w:t>del </w:t>
      </w:r>
      <w:r>
        <w:rPr/>
        <w:t>proceso electoral” (</w:t>
      </w:r>
      <w:r>
        <w:rPr>
          <w:i/>
        </w:rPr>
        <w:t>Reforma</w:t>
      </w:r>
      <w:r>
        <w:rPr/>
        <w:t>, 5 de  </w:t>
      </w:r>
      <w:r>
        <w:rPr>
          <w:spacing w:val="-3"/>
        </w:rPr>
        <w:t>mayo  </w:t>
      </w:r>
      <w:r>
        <w:rPr/>
        <w:t>de 2012).</w:t>
      </w:r>
    </w:p>
    <w:p>
      <w:pPr>
        <w:pStyle w:val="BodyText"/>
        <w:spacing w:line="364" w:lineRule="auto" w:before="5"/>
        <w:ind w:left="115" w:right="123" w:firstLine="686"/>
        <w:jc w:val="both"/>
      </w:pPr>
      <w:r>
        <w:rPr/>
        <w:t>Bien por la falta de información, o bien por la falta de antecedentes sobre instrumentos </w:t>
      </w:r>
      <w:r>
        <w:rPr>
          <w:spacing w:val="2"/>
        </w:rPr>
        <w:t>de </w:t>
      </w:r>
      <w:r>
        <w:rPr/>
        <w:t>evaluación a los docentes no inscritos </w:t>
      </w:r>
      <w:r>
        <w:rPr>
          <w:spacing w:val="-3"/>
        </w:rPr>
        <w:t>en </w:t>
      </w:r>
      <w:r>
        <w:rPr/>
        <w:t>Carrera Magisterial, </w:t>
      </w:r>
      <w:r>
        <w:rPr>
          <w:spacing w:val="-5"/>
        </w:rPr>
        <w:t>la </w:t>
      </w:r>
      <w:r>
        <w:rPr/>
        <w:t>prueba de preparación de la evaluación universal, provocó un gran malestar en  este sector </w:t>
      </w:r>
      <w:r>
        <w:rPr>
          <w:spacing w:val="-3"/>
        </w:rPr>
        <w:t>de </w:t>
      </w:r>
      <w:r>
        <w:rPr/>
        <w:t>los maestros de educación básica. En este marco, </w:t>
      </w:r>
      <w:r>
        <w:rPr>
          <w:spacing w:val="-4"/>
        </w:rPr>
        <w:t>la </w:t>
      </w:r>
      <w:r>
        <w:rPr/>
        <w:t>dirigencia del SNTE habría tenido complicaciones para movilizar a </w:t>
      </w:r>
      <w:r>
        <w:rPr>
          <w:spacing w:val="-3"/>
        </w:rPr>
        <w:t>sus </w:t>
      </w:r>
      <w:r>
        <w:rPr/>
        <w:t>cuadros a favor </w:t>
      </w:r>
      <w:r>
        <w:rPr>
          <w:spacing w:val="-3"/>
        </w:rPr>
        <w:t>de </w:t>
      </w:r>
      <w:r>
        <w:rPr/>
        <w:t>su principal aliado en las elecciones presidenciales, el</w:t>
      </w:r>
      <w:r>
        <w:rPr>
          <w:spacing w:val="54"/>
        </w:rPr>
        <w:t> </w:t>
      </w:r>
      <w:r>
        <w:rPr/>
        <w:t>PRI.</w:t>
      </w:r>
    </w:p>
    <w:p>
      <w:pPr>
        <w:pStyle w:val="BodyText"/>
        <w:rPr>
          <w:sz w:val="20"/>
        </w:rPr>
      </w:pPr>
    </w:p>
    <w:p>
      <w:pPr>
        <w:pStyle w:val="BodyText"/>
        <w:rPr>
          <w:sz w:val="20"/>
        </w:rPr>
      </w:pPr>
    </w:p>
    <w:p>
      <w:pPr>
        <w:pStyle w:val="BodyText"/>
        <w:spacing w:before="8"/>
        <w:rPr>
          <w:sz w:val="11"/>
        </w:rPr>
      </w:pPr>
      <w:r>
        <w:rPr/>
        <w:pict>
          <v:line style="position:absolute;mso-position-horizontal-relative:page;mso-position-vertical-relative:paragraph;z-index:3592;mso-wrap-distance-left:0;mso-wrap-distance-right:0" from="82.799004pt,9.049157pt" to="222.958004pt,9.049157pt" stroked="true" strokeweight=".72pt" strokecolor="#000000">
            <w10:wrap type="topAndBottom"/>
          </v:line>
        </w:pict>
      </w:r>
    </w:p>
    <w:p>
      <w:pPr>
        <w:spacing w:line="244" w:lineRule="auto" w:before="56"/>
        <w:ind w:left="115" w:right="114" w:firstLine="0"/>
        <w:jc w:val="both"/>
        <w:rPr>
          <w:sz w:val="19"/>
        </w:rPr>
      </w:pPr>
      <w:r>
        <w:rPr>
          <w:rFonts w:ascii="Times New Roman" w:hAnsi="Times New Roman"/>
          <w:spacing w:val="-3"/>
          <w:w w:val="105"/>
          <w:position w:val="9"/>
          <w:sz w:val="12"/>
        </w:rPr>
        <w:t>64 </w:t>
      </w:r>
      <w:r>
        <w:rPr>
          <w:w w:val="105"/>
          <w:sz w:val="19"/>
        </w:rPr>
        <w:t>Al principio de las reuniones del grupo de trabajo asistían por parte de la SEP, </w:t>
      </w:r>
      <w:r>
        <w:rPr>
          <w:spacing w:val="-3"/>
          <w:w w:val="105"/>
          <w:sz w:val="19"/>
        </w:rPr>
        <w:t>el </w:t>
      </w:r>
      <w:r>
        <w:rPr>
          <w:w w:val="105"/>
          <w:sz w:val="19"/>
        </w:rPr>
        <w:t>Subsecretario de Educación Básica, Francisco Ciscomani; </w:t>
      </w:r>
      <w:r>
        <w:rPr>
          <w:spacing w:val="2"/>
          <w:w w:val="105"/>
          <w:sz w:val="19"/>
        </w:rPr>
        <w:t>el </w:t>
      </w:r>
      <w:r>
        <w:rPr>
          <w:w w:val="105"/>
          <w:sz w:val="19"/>
        </w:rPr>
        <w:t>titular de la Unidad de Planeación y Evaluación de Políticas,</w:t>
      </w:r>
      <w:r>
        <w:rPr>
          <w:spacing w:val="-13"/>
          <w:w w:val="105"/>
          <w:sz w:val="19"/>
        </w:rPr>
        <w:t> </w:t>
      </w:r>
      <w:r>
        <w:rPr>
          <w:w w:val="105"/>
          <w:sz w:val="19"/>
        </w:rPr>
        <w:t>Bernardo</w:t>
      </w:r>
      <w:r>
        <w:rPr>
          <w:spacing w:val="-14"/>
          <w:w w:val="105"/>
          <w:sz w:val="19"/>
        </w:rPr>
        <w:t> </w:t>
      </w:r>
      <w:r>
        <w:rPr>
          <w:w w:val="105"/>
          <w:sz w:val="19"/>
        </w:rPr>
        <w:t>Rojas;</w:t>
      </w:r>
      <w:r>
        <w:rPr>
          <w:spacing w:val="-20"/>
          <w:w w:val="105"/>
          <w:sz w:val="19"/>
        </w:rPr>
        <w:t> </w:t>
      </w:r>
      <w:r>
        <w:rPr>
          <w:w w:val="105"/>
          <w:sz w:val="19"/>
        </w:rPr>
        <w:t>así</w:t>
      </w:r>
      <w:r>
        <w:rPr>
          <w:spacing w:val="-13"/>
          <w:w w:val="105"/>
          <w:sz w:val="19"/>
        </w:rPr>
        <w:t> </w:t>
      </w:r>
      <w:r>
        <w:rPr>
          <w:w w:val="105"/>
          <w:sz w:val="19"/>
        </w:rPr>
        <w:t>como</w:t>
      </w:r>
      <w:r>
        <w:rPr>
          <w:spacing w:val="-14"/>
          <w:w w:val="105"/>
          <w:sz w:val="19"/>
        </w:rPr>
        <w:t> </w:t>
      </w:r>
      <w:r>
        <w:rPr>
          <w:spacing w:val="-3"/>
          <w:w w:val="105"/>
          <w:sz w:val="19"/>
        </w:rPr>
        <w:t>la</w:t>
      </w:r>
      <w:r>
        <w:rPr>
          <w:spacing w:val="-14"/>
          <w:w w:val="105"/>
          <w:sz w:val="19"/>
        </w:rPr>
        <w:t> </w:t>
      </w:r>
      <w:r>
        <w:rPr>
          <w:w w:val="105"/>
          <w:sz w:val="19"/>
        </w:rPr>
        <w:t>directora</w:t>
      </w:r>
      <w:r>
        <w:rPr>
          <w:spacing w:val="-14"/>
          <w:w w:val="105"/>
          <w:sz w:val="19"/>
        </w:rPr>
        <w:t> </w:t>
      </w:r>
      <w:r>
        <w:rPr>
          <w:w w:val="105"/>
          <w:sz w:val="19"/>
        </w:rPr>
        <w:t>de</w:t>
      </w:r>
      <w:r>
        <w:rPr>
          <w:spacing w:val="-10"/>
          <w:w w:val="105"/>
          <w:sz w:val="19"/>
        </w:rPr>
        <w:t> </w:t>
      </w:r>
      <w:r>
        <w:rPr>
          <w:w w:val="105"/>
          <w:sz w:val="19"/>
        </w:rPr>
        <w:t>Evaluación,</w:t>
      </w:r>
      <w:r>
        <w:rPr>
          <w:spacing w:val="-17"/>
          <w:w w:val="105"/>
          <w:sz w:val="19"/>
        </w:rPr>
        <w:t> </w:t>
      </w:r>
      <w:r>
        <w:rPr>
          <w:w w:val="105"/>
          <w:sz w:val="19"/>
        </w:rPr>
        <w:t>Ana</w:t>
      </w:r>
      <w:r>
        <w:rPr>
          <w:spacing w:val="-10"/>
          <w:w w:val="105"/>
          <w:sz w:val="19"/>
        </w:rPr>
        <w:t> </w:t>
      </w:r>
      <w:r>
        <w:rPr>
          <w:spacing w:val="-3"/>
          <w:w w:val="105"/>
          <w:sz w:val="19"/>
        </w:rPr>
        <w:t>María</w:t>
      </w:r>
      <w:r>
        <w:rPr>
          <w:spacing w:val="-10"/>
          <w:w w:val="105"/>
          <w:sz w:val="19"/>
        </w:rPr>
        <w:t> </w:t>
      </w:r>
      <w:r>
        <w:rPr>
          <w:w w:val="105"/>
          <w:sz w:val="19"/>
        </w:rPr>
        <w:t>Aceves,</w:t>
      </w:r>
      <w:r>
        <w:rPr>
          <w:spacing w:val="-17"/>
          <w:w w:val="105"/>
          <w:sz w:val="19"/>
        </w:rPr>
        <w:t> </w:t>
      </w:r>
      <w:r>
        <w:rPr>
          <w:w w:val="105"/>
          <w:sz w:val="19"/>
        </w:rPr>
        <w:t>y</w:t>
      </w:r>
      <w:r>
        <w:rPr>
          <w:spacing w:val="-13"/>
          <w:w w:val="105"/>
          <w:sz w:val="19"/>
        </w:rPr>
        <w:t> </w:t>
      </w:r>
      <w:r>
        <w:rPr>
          <w:w w:val="105"/>
          <w:sz w:val="19"/>
        </w:rPr>
        <w:t>el</w:t>
      </w:r>
      <w:r>
        <w:rPr>
          <w:spacing w:val="-16"/>
          <w:w w:val="105"/>
          <w:sz w:val="19"/>
        </w:rPr>
        <w:t> </w:t>
      </w:r>
      <w:r>
        <w:rPr>
          <w:w w:val="105"/>
          <w:sz w:val="19"/>
        </w:rPr>
        <w:t>coordinador del Programa </w:t>
      </w:r>
      <w:r>
        <w:rPr>
          <w:spacing w:val="2"/>
          <w:w w:val="105"/>
          <w:sz w:val="19"/>
        </w:rPr>
        <w:t>de </w:t>
      </w:r>
      <w:r>
        <w:rPr>
          <w:w w:val="105"/>
          <w:sz w:val="19"/>
        </w:rPr>
        <w:t>Carrera Magisterial, Juan de Dios Rodríguez; mientras que por parte del SNTE, acudían Juan Díaz de la Torre, secretario general; Silvia Luna y Alfonso Cepeda. A la última reunión, el SNTE designó a dos nuevos integrantes, Soralla Bañuelos y Miguel Ángel Ramírez, quienes</w:t>
      </w:r>
      <w:r>
        <w:rPr>
          <w:spacing w:val="-18"/>
          <w:w w:val="105"/>
          <w:sz w:val="19"/>
        </w:rPr>
        <w:t> </w:t>
      </w:r>
      <w:r>
        <w:rPr>
          <w:spacing w:val="2"/>
          <w:w w:val="105"/>
          <w:sz w:val="19"/>
        </w:rPr>
        <w:t>no</w:t>
      </w:r>
      <w:r>
        <w:rPr>
          <w:spacing w:val="-15"/>
          <w:w w:val="105"/>
          <w:sz w:val="19"/>
        </w:rPr>
        <w:t> </w:t>
      </w:r>
      <w:r>
        <w:rPr>
          <w:w w:val="105"/>
          <w:sz w:val="19"/>
        </w:rPr>
        <w:t>habían</w:t>
      </w:r>
      <w:r>
        <w:rPr>
          <w:spacing w:val="-12"/>
          <w:w w:val="105"/>
          <w:sz w:val="19"/>
        </w:rPr>
        <w:t> </w:t>
      </w:r>
      <w:r>
        <w:rPr>
          <w:w w:val="105"/>
          <w:sz w:val="19"/>
        </w:rPr>
        <w:t>estado</w:t>
      </w:r>
      <w:r>
        <w:rPr>
          <w:spacing w:val="-15"/>
          <w:w w:val="105"/>
          <w:sz w:val="19"/>
        </w:rPr>
        <w:t> </w:t>
      </w:r>
      <w:r>
        <w:rPr>
          <w:w w:val="105"/>
          <w:sz w:val="19"/>
        </w:rPr>
        <w:t>antes.</w:t>
      </w:r>
      <w:r>
        <w:rPr>
          <w:spacing w:val="-15"/>
          <w:w w:val="105"/>
          <w:sz w:val="19"/>
        </w:rPr>
        <w:t> </w:t>
      </w:r>
      <w:r>
        <w:rPr>
          <w:w w:val="105"/>
          <w:sz w:val="19"/>
        </w:rPr>
        <w:t>También</w:t>
      </w:r>
      <w:r>
        <w:rPr>
          <w:spacing w:val="-12"/>
          <w:w w:val="105"/>
          <w:sz w:val="19"/>
        </w:rPr>
        <w:t> </w:t>
      </w:r>
      <w:r>
        <w:rPr>
          <w:w w:val="105"/>
          <w:sz w:val="19"/>
        </w:rPr>
        <w:t>designó</w:t>
      </w:r>
      <w:r>
        <w:rPr>
          <w:spacing w:val="-15"/>
          <w:w w:val="105"/>
          <w:sz w:val="19"/>
        </w:rPr>
        <w:t> </w:t>
      </w:r>
      <w:r>
        <w:rPr>
          <w:w w:val="105"/>
          <w:sz w:val="19"/>
        </w:rPr>
        <w:t>a</w:t>
      </w:r>
      <w:r>
        <w:rPr>
          <w:spacing w:val="-12"/>
          <w:w w:val="105"/>
          <w:sz w:val="19"/>
        </w:rPr>
        <w:t> </w:t>
      </w:r>
      <w:r>
        <w:rPr>
          <w:w w:val="105"/>
          <w:sz w:val="19"/>
        </w:rPr>
        <w:t>Ismael</w:t>
      </w:r>
      <w:r>
        <w:rPr>
          <w:spacing w:val="-15"/>
          <w:w w:val="105"/>
          <w:sz w:val="19"/>
        </w:rPr>
        <w:t> </w:t>
      </w:r>
      <w:r>
        <w:rPr>
          <w:w w:val="105"/>
          <w:sz w:val="19"/>
        </w:rPr>
        <w:t>Valdez</w:t>
      </w:r>
      <w:r>
        <w:rPr>
          <w:spacing w:val="-15"/>
          <w:w w:val="105"/>
          <w:sz w:val="19"/>
        </w:rPr>
        <w:t> </w:t>
      </w:r>
      <w:r>
        <w:rPr>
          <w:w w:val="105"/>
          <w:sz w:val="19"/>
        </w:rPr>
        <w:t>como</w:t>
      </w:r>
      <w:r>
        <w:rPr>
          <w:spacing w:val="-15"/>
          <w:w w:val="105"/>
          <w:sz w:val="19"/>
        </w:rPr>
        <w:t> </w:t>
      </w:r>
      <w:r>
        <w:rPr>
          <w:w w:val="105"/>
          <w:sz w:val="19"/>
        </w:rPr>
        <w:t>el</w:t>
      </w:r>
      <w:r>
        <w:rPr>
          <w:spacing w:val="-9"/>
          <w:w w:val="105"/>
          <w:sz w:val="19"/>
        </w:rPr>
        <w:t> </w:t>
      </w:r>
      <w:r>
        <w:rPr>
          <w:w w:val="105"/>
          <w:sz w:val="19"/>
        </w:rPr>
        <w:t>nuevo</w:t>
      </w:r>
      <w:r>
        <w:rPr>
          <w:spacing w:val="-15"/>
          <w:w w:val="105"/>
          <w:sz w:val="19"/>
        </w:rPr>
        <w:t> </w:t>
      </w:r>
      <w:r>
        <w:rPr>
          <w:w w:val="105"/>
          <w:sz w:val="19"/>
        </w:rPr>
        <w:t>coordinador</w:t>
      </w:r>
      <w:r>
        <w:rPr>
          <w:spacing w:val="-15"/>
          <w:w w:val="105"/>
          <w:sz w:val="19"/>
        </w:rPr>
        <w:t> </w:t>
      </w:r>
      <w:r>
        <w:rPr>
          <w:w w:val="105"/>
          <w:sz w:val="19"/>
        </w:rPr>
        <w:t>por parte </w:t>
      </w:r>
      <w:r>
        <w:rPr>
          <w:spacing w:val="-4"/>
          <w:w w:val="105"/>
          <w:sz w:val="19"/>
        </w:rPr>
        <w:t>del </w:t>
      </w:r>
      <w:r>
        <w:rPr>
          <w:w w:val="105"/>
          <w:sz w:val="19"/>
        </w:rPr>
        <w:t>SNTE, quien </w:t>
      </w:r>
      <w:r>
        <w:rPr>
          <w:spacing w:val="-3"/>
          <w:w w:val="105"/>
          <w:sz w:val="19"/>
        </w:rPr>
        <w:t>sólo </w:t>
      </w:r>
      <w:r>
        <w:rPr>
          <w:w w:val="105"/>
          <w:sz w:val="19"/>
        </w:rPr>
        <w:t>estuvo en una reunión y a Angelino Camaal, quien se incorporó en febrero de 2012. Del grupo original del SNTE sólo continuaron José García y Emma Rubio (</w:t>
      </w:r>
      <w:r>
        <w:rPr>
          <w:i/>
          <w:w w:val="105"/>
          <w:sz w:val="19"/>
        </w:rPr>
        <w:t>Reforma</w:t>
      </w:r>
      <w:r>
        <w:rPr>
          <w:w w:val="105"/>
          <w:sz w:val="19"/>
        </w:rPr>
        <w:t>,</w:t>
      </w:r>
      <w:r>
        <w:rPr>
          <w:spacing w:val="-20"/>
          <w:w w:val="105"/>
          <w:sz w:val="19"/>
        </w:rPr>
        <w:t> </w:t>
      </w:r>
      <w:r>
        <w:rPr>
          <w:w w:val="105"/>
          <w:sz w:val="19"/>
        </w:rPr>
        <w:t>26</w:t>
      </w:r>
      <w:r>
        <w:rPr>
          <w:spacing w:val="-16"/>
          <w:w w:val="105"/>
          <w:sz w:val="19"/>
        </w:rPr>
        <w:t> </w:t>
      </w:r>
      <w:r>
        <w:rPr>
          <w:w w:val="105"/>
          <w:sz w:val="19"/>
        </w:rPr>
        <w:t>de</w:t>
      </w:r>
      <w:r>
        <w:rPr>
          <w:spacing w:val="-16"/>
          <w:w w:val="105"/>
          <w:sz w:val="19"/>
        </w:rPr>
        <w:t> </w:t>
      </w:r>
      <w:r>
        <w:rPr>
          <w:w w:val="105"/>
          <w:sz w:val="19"/>
        </w:rPr>
        <w:t>abril</w:t>
      </w:r>
      <w:r>
        <w:rPr>
          <w:spacing w:val="-11"/>
          <w:w w:val="105"/>
          <w:sz w:val="19"/>
        </w:rPr>
        <w:t> </w:t>
      </w:r>
      <w:r>
        <w:rPr>
          <w:w w:val="105"/>
          <w:sz w:val="19"/>
        </w:rPr>
        <w:t>de</w:t>
      </w:r>
      <w:r>
        <w:rPr>
          <w:spacing w:val="-16"/>
          <w:w w:val="105"/>
          <w:sz w:val="19"/>
        </w:rPr>
        <w:t> </w:t>
      </w:r>
      <w:r>
        <w:rPr>
          <w:w w:val="105"/>
          <w:sz w:val="19"/>
        </w:rPr>
        <w:t>2012).</w:t>
      </w:r>
    </w:p>
    <w:p>
      <w:pPr>
        <w:spacing w:after="0" w:line="244" w:lineRule="auto"/>
        <w:jc w:val="both"/>
        <w:rPr>
          <w:sz w:val="19"/>
        </w:rPr>
        <w:sectPr>
          <w:pgSz w:w="11910" w:h="16840"/>
          <w:pgMar w:header="0" w:footer="1457" w:top="1580" w:bottom="1640" w:left="1540" w:right="1520"/>
        </w:sectPr>
      </w:pPr>
    </w:p>
    <w:p>
      <w:pPr>
        <w:pStyle w:val="BodyText"/>
        <w:rPr>
          <w:sz w:val="20"/>
        </w:rPr>
      </w:pPr>
    </w:p>
    <w:p>
      <w:pPr>
        <w:pStyle w:val="BodyText"/>
        <w:spacing w:before="2"/>
        <w:rPr>
          <w:sz w:val="16"/>
        </w:rPr>
      </w:pPr>
    </w:p>
    <w:p>
      <w:pPr>
        <w:pStyle w:val="BodyText"/>
        <w:spacing w:line="364" w:lineRule="auto" w:before="74"/>
        <w:ind w:left="116" w:right="105" w:firstLine="686"/>
        <w:jc w:val="both"/>
      </w:pPr>
      <w:r>
        <w:rPr/>
        <w:t>Así, el sábado 23 y domingo 24 de junio solamente  se  presentaron  a evaluar los profesores de escuelas públicas inscritos en Carrera Magisterial. La excepción fue el estado de Michoacán. De acuerdo con información de la SEP, acudieron a presentar el examen de preparación profesional alrededor de 370 mil docentes frente a grupo y en funciones de apoyo técnicos pedagógicos así como directivos de educación básica de 30 entidades federativas, incluido el Distrito Federal. Según la SEP, el promedio de participación de los maestros en esta evaluación en los últimos años había sido del 65%, pero en esta ocasión el porcentaje rebasó el 75% de los docentes registrados. En 15 estados de la República, participaron más del 80% de los docentes  programados.</w:t>
      </w:r>
    </w:p>
    <w:p>
      <w:pPr>
        <w:pStyle w:val="BodyText"/>
        <w:spacing w:line="364" w:lineRule="auto" w:before="5"/>
        <w:ind w:left="116" w:right="108" w:firstLine="686"/>
        <w:jc w:val="both"/>
      </w:pPr>
      <w:r>
        <w:rPr/>
        <w:t>En estos términos, </w:t>
      </w:r>
      <w:r>
        <w:rPr>
          <w:spacing w:val="-4"/>
        </w:rPr>
        <w:t>la </w:t>
      </w:r>
      <w:r>
        <w:rPr/>
        <w:t>prueba para el resto de los maestros, tanto </w:t>
      </w:r>
      <w:r>
        <w:rPr>
          <w:spacing w:val="-3"/>
        </w:rPr>
        <w:t>los de </w:t>
      </w:r>
      <w:r>
        <w:rPr/>
        <w:t>escuelas privadas como los no inscritos en Carrera Magisterial, </w:t>
      </w:r>
      <w:r>
        <w:rPr>
          <w:spacing w:val="2"/>
        </w:rPr>
        <w:t>en </w:t>
      </w:r>
      <w:r>
        <w:rPr/>
        <w:t>el caso de escuelas públicas, terminaría siendo voluntaria, de forma que según reportes </w:t>
      </w:r>
      <w:r>
        <w:rPr>
          <w:spacing w:val="2"/>
        </w:rPr>
        <w:t>de </w:t>
      </w:r>
      <w:r>
        <w:rPr>
          <w:spacing w:val="-4"/>
        </w:rPr>
        <w:t>la</w:t>
      </w:r>
      <w:r>
        <w:rPr>
          <w:spacing w:val="55"/>
        </w:rPr>
        <w:t> </w:t>
      </w:r>
      <w:r>
        <w:rPr/>
        <w:t>SEP, sólo el 30 por ciento </w:t>
      </w:r>
      <w:r>
        <w:rPr>
          <w:spacing w:val="2"/>
        </w:rPr>
        <w:t>de </w:t>
      </w:r>
      <w:r>
        <w:rPr/>
        <w:t>los maestros de primaria </w:t>
      </w:r>
      <w:r>
        <w:rPr>
          <w:spacing w:val="3"/>
        </w:rPr>
        <w:t>se </w:t>
      </w:r>
      <w:r>
        <w:rPr/>
        <w:t>presentó al examen de preparación profesional aplicado el 6 de julio, tal como lo exigió </w:t>
      </w:r>
      <w:r>
        <w:rPr>
          <w:spacing w:val="3"/>
        </w:rPr>
        <w:t>el </w:t>
      </w:r>
      <w:r>
        <w:rPr/>
        <w:t>SNTE en su Consejo Nacional realizado en abril. Según </w:t>
      </w:r>
      <w:r>
        <w:rPr>
          <w:spacing w:val="-5"/>
        </w:rPr>
        <w:t>la </w:t>
      </w:r>
      <w:r>
        <w:rPr/>
        <w:t>SEP solamente 69 mil 230 docentes de primaria concurrieron a la evaluación, de un total de 260 mil registrados. </w:t>
      </w:r>
      <w:r>
        <w:rPr>
          <w:spacing w:val="-3"/>
        </w:rPr>
        <w:t>Los </w:t>
      </w:r>
      <w:r>
        <w:rPr/>
        <w:t>maestros de Michoacán, Oaxaca y Chiapas no </w:t>
      </w:r>
      <w:r>
        <w:rPr>
          <w:spacing w:val="3"/>
        </w:rPr>
        <w:t>se </w:t>
      </w:r>
      <w:r>
        <w:rPr/>
        <w:t>presentaron, mientras que en otras entidades se registró una asistencia de menos del 10%; es  el  caso  de Colima </w:t>
      </w:r>
      <w:r>
        <w:rPr>
          <w:spacing w:val="2"/>
        </w:rPr>
        <w:t>con </w:t>
      </w:r>
      <w:r>
        <w:rPr/>
        <w:t>1%; Veracruz, 2%; Hidalgo, 4%; Aguascalientes, 5%, y Tlaxcala, </w:t>
      </w:r>
      <w:r>
        <w:rPr>
          <w:spacing w:val="15"/>
        </w:rPr>
        <w:t> </w:t>
      </w:r>
      <w:r>
        <w:rPr/>
        <w:t>9%.</w:t>
      </w:r>
    </w:p>
    <w:p>
      <w:pPr>
        <w:pStyle w:val="BodyText"/>
        <w:spacing w:line="364" w:lineRule="auto" w:before="5"/>
        <w:ind w:left="116" w:right="104"/>
        <w:jc w:val="both"/>
      </w:pPr>
      <w:r>
        <w:rPr/>
        <w:t>El titular de </w:t>
      </w:r>
      <w:r>
        <w:rPr>
          <w:spacing w:val="-5"/>
        </w:rPr>
        <w:t>la </w:t>
      </w:r>
      <w:r>
        <w:rPr/>
        <w:t>SEP, José Ángel Córdova, justificó el déficit de autoridad y liderazgo de </w:t>
      </w:r>
      <w:r>
        <w:rPr>
          <w:spacing w:val="-3"/>
        </w:rPr>
        <w:t>la </w:t>
      </w:r>
      <w:r>
        <w:rPr/>
        <w:t>dependencia a su cargo. Dijo que para ser </w:t>
      </w:r>
      <w:r>
        <w:rPr>
          <w:spacing w:val="-3"/>
        </w:rPr>
        <w:t>la </w:t>
      </w:r>
      <w:r>
        <w:rPr/>
        <w:t>primera edición del examen, el 30 por ciento “es muy bueno”. Aseguró que se movió </w:t>
      </w:r>
      <w:r>
        <w:rPr>
          <w:spacing w:val="-4"/>
        </w:rPr>
        <w:t>la </w:t>
      </w:r>
      <w:r>
        <w:rPr/>
        <w:t>fecha para “quitar” el “argumento electoral” sobre </w:t>
      </w:r>
      <w:r>
        <w:rPr>
          <w:spacing w:val="3"/>
        </w:rPr>
        <w:t>su </w:t>
      </w:r>
      <w:r>
        <w:rPr/>
        <w:t>conveniencia. En esta línea reconoció </w:t>
      </w:r>
      <w:r>
        <w:rPr>
          <w:spacing w:val="-3"/>
        </w:rPr>
        <w:t>la </w:t>
      </w:r>
      <w:r>
        <w:rPr/>
        <w:t>falta de autoridad de la SEP y justificó que la nueva fecha del examen de evaluación universal, fue un acuerdo del Consejo Nacional de las Autoridades Educativas, reconociendo que </w:t>
      </w:r>
      <w:r>
        <w:rPr>
          <w:spacing w:val="-3"/>
        </w:rPr>
        <w:t>en </w:t>
      </w:r>
      <w:r>
        <w:rPr/>
        <w:t>algunas entidades el acuerdo se dio directamente </w:t>
      </w:r>
      <w:r>
        <w:rPr>
          <w:spacing w:val="2"/>
        </w:rPr>
        <w:t>con </w:t>
      </w:r>
      <w:r>
        <w:rPr/>
        <w:t>las secciones sindicales estatales y que en muchos estados los titulares </w:t>
      </w:r>
      <w:r>
        <w:rPr>
          <w:spacing w:val="3"/>
        </w:rPr>
        <w:t>de </w:t>
      </w:r>
      <w:r>
        <w:rPr/>
        <w:t>educación dependen directamente del sindicato. </w:t>
      </w:r>
      <w:r>
        <w:rPr>
          <w:spacing w:val="-3"/>
        </w:rPr>
        <w:t>“Es una </w:t>
      </w:r>
      <w:r>
        <w:rPr/>
        <w:t>realidad incontrovertible </w:t>
      </w:r>
      <w:r>
        <w:rPr>
          <w:spacing w:val="3"/>
        </w:rPr>
        <w:t>con </w:t>
      </w:r>
      <w:r>
        <w:rPr/>
        <w:t>la cual seguimos trabajando", expuso José Ángel Córdova. Para el titular de </w:t>
      </w:r>
      <w:r>
        <w:rPr>
          <w:spacing w:val="-4"/>
        </w:rPr>
        <w:t>la </w:t>
      </w:r>
      <w:r>
        <w:rPr>
          <w:spacing w:val="2"/>
        </w:rPr>
        <w:t>SEP, </w:t>
      </w:r>
      <w:r>
        <w:rPr/>
        <w:t>el proceso   fue   dañado   también   porque,   según   </w:t>
      </w:r>
      <w:r>
        <w:rPr>
          <w:spacing w:val="-3"/>
        </w:rPr>
        <w:t>lo   </w:t>
      </w:r>
      <w:r>
        <w:rPr/>
        <w:t>reportaron   diversos</w:t>
      </w:r>
      <w:r>
        <w:rPr>
          <w:spacing w:val="2"/>
        </w:rPr>
        <w:t> </w:t>
      </w:r>
      <w:r>
        <w:rPr/>
        <w:t>medios</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11"/>
        <w:jc w:val="both"/>
      </w:pPr>
      <w:r>
        <w:rPr/>
        <w:t>impresos, </w:t>
      </w:r>
      <w:r>
        <w:rPr>
          <w:spacing w:val="3"/>
        </w:rPr>
        <w:t>se </w:t>
      </w:r>
      <w:r>
        <w:rPr/>
        <w:t>difundieron versiones de </w:t>
      </w:r>
      <w:r>
        <w:rPr>
          <w:spacing w:val="-3"/>
        </w:rPr>
        <w:t>la </w:t>
      </w:r>
      <w:r>
        <w:rPr/>
        <w:t>prueba de preparación en internet (no se sabe </w:t>
      </w:r>
      <w:r>
        <w:rPr>
          <w:spacing w:val="2"/>
        </w:rPr>
        <w:t>si </w:t>
      </w:r>
      <w:r>
        <w:rPr/>
        <w:t>apócrifas o genuinas), las cuales estaban a la venta (</w:t>
      </w:r>
      <w:r>
        <w:rPr>
          <w:i/>
        </w:rPr>
        <w:t>Reforma</w:t>
      </w:r>
      <w:r>
        <w:rPr/>
        <w:t>, 10 de </w:t>
      </w:r>
      <w:r>
        <w:rPr>
          <w:spacing w:val="-3"/>
        </w:rPr>
        <w:t>julio  </w:t>
      </w:r>
      <w:r>
        <w:rPr/>
        <w:t>de</w:t>
      </w:r>
      <w:r>
        <w:rPr>
          <w:spacing w:val="10"/>
        </w:rPr>
        <w:t> </w:t>
      </w:r>
      <w:r>
        <w:rPr/>
        <w:t>2012).</w:t>
      </w:r>
    </w:p>
    <w:p>
      <w:pPr>
        <w:pStyle w:val="BodyText"/>
        <w:spacing w:line="364" w:lineRule="auto" w:before="5"/>
        <w:ind w:left="115" w:right="103" w:firstLine="686"/>
        <w:jc w:val="both"/>
      </w:pPr>
      <w:r>
        <w:rPr/>
        <w:t>Este proceso, refleja diversos problemas de autoridad de la SEP  ampliamente expuestos en espacios periodísticos y académicos: 1) que </w:t>
      </w:r>
      <w:r>
        <w:rPr>
          <w:spacing w:val="-3"/>
        </w:rPr>
        <w:t>las </w:t>
      </w:r>
      <w:r>
        <w:rPr/>
        <w:t>autoridades educativas están sujetas al veto de la dirigencia sindical en asuntos  que pueden afectar </w:t>
      </w:r>
      <w:r>
        <w:rPr>
          <w:spacing w:val="3"/>
        </w:rPr>
        <w:t>su </w:t>
      </w:r>
      <w:r>
        <w:rPr/>
        <w:t>legitimidad y su liderazgo, independientemente  de  </w:t>
      </w:r>
      <w:r>
        <w:rPr>
          <w:spacing w:val="-5"/>
        </w:rPr>
        <w:t>la  </w:t>
      </w:r>
      <w:r>
        <w:rPr/>
        <w:t>validez o importancia de una política; 2) que a </w:t>
      </w:r>
      <w:r>
        <w:rPr>
          <w:spacing w:val="-3"/>
        </w:rPr>
        <w:t>los </w:t>
      </w:r>
      <w:r>
        <w:rPr/>
        <w:t>maestros no  les  inspira  confianza </w:t>
      </w:r>
      <w:r>
        <w:rPr>
          <w:spacing w:val="-3"/>
        </w:rPr>
        <w:t>la </w:t>
      </w:r>
      <w:r>
        <w:rPr/>
        <w:t>SEP, por problemas de información, de información incompleta o por desinformación; 3) que </w:t>
      </w:r>
      <w:r>
        <w:rPr>
          <w:spacing w:val="-5"/>
        </w:rPr>
        <w:t>la </w:t>
      </w:r>
      <w:r>
        <w:rPr/>
        <w:t>SEP no es capaz de organizar una estrategia exitosa de difusión en el </w:t>
      </w:r>
      <w:r>
        <w:rPr>
          <w:spacing w:val="-3"/>
        </w:rPr>
        <w:t>ámbito </w:t>
      </w:r>
      <w:r>
        <w:rPr/>
        <w:t>de las políticas evaluativas, sea por el temor que esto implica   a los maestros o porque hasta el momento las pruebas han tenido un impacto mínimo en el ámbito de </w:t>
      </w:r>
      <w:r>
        <w:rPr>
          <w:spacing w:val="-3"/>
        </w:rPr>
        <w:t>la </w:t>
      </w:r>
      <w:r>
        <w:rPr/>
        <w:t>actividad escolar; 4) que los intereses electorales del SNTE</w:t>
      </w:r>
      <w:r>
        <w:rPr>
          <w:spacing w:val="23"/>
        </w:rPr>
        <w:t> </w:t>
      </w:r>
      <w:r>
        <w:rPr/>
        <w:t>están</w:t>
      </w:r>
      <w:r>
        <w:rPr>
          <w:spacing w:val="23"/>
        </w:rPr>
        <w:t> </w:t>
      </w:r>
      <w:r>
        <w:rPr/>
        <w:t>por</w:t>
      </w:r>
      <w:r>
        <w:rPr>
          <w:spacing w:val="23"/>
        </w:rPr>
        <w:t> </w:t>
      </w:r>
      <w:r>
        <w:rPr/>
        <w:t>encima</w:t>
      </w:r>
      <w:r>
        <w:rPr>
          <w:spacing w:val="23"/>
        </w:rPr>
        <w:t> </w:t>
      </w:r>
      <w:r>
        <w:rPr/>
        <w:t>de</w:t>
      </w:r>
      <w:r>
        <w:rPr>
          <w:spacing w:val="23"/>
        </w:rPr>
        <w:t> </w:t>
      </w:r>
      <w:r>
        <w:rPr/>
        <w:t>los</w:t>
      </w:r>
      <w:r>
        <w:rPr>
          <w:spacing w:val="23"/>
        </w:rPr>
        <w:t> </w:t>
      </w:r>
      <w:r>
        <w:rPr/>
        <w:t>intereses</w:t>
      </w:r>
      <w:r>
        <w:rPr>
          <w:spacing w:val="23"/>
        </w:rPr>
        <w:t> </w:t>
      </w:r>
      <w:r>
        <w:rPr/>
        <w:t>educativos</w:t>
      </w:r>
      <w:r>
        <w:rPr>
          <w:spacing w:val="23"/>
        </w:rPr>
        <w:t> </w:t>
      </w:r>
      <w:r>
        <w:rPr/>
        <w:t>del</w:t>
      </w:r>
      <w:r>
        <w:rPr>
          <w:spacing w:val="23"/>
        </w:rPr>
        <w:t> </w:t>
      </w:r>
      <w:r>
        <w:rPr/>
        <w:t>gobierno</w:t>
      </w:r>
      <w:r>
        <w:rPr>
          <w:spacing w:val="27"/>
        </w:rPr>
        <w:t> </w:t>
      </w:r>
      <w:r>
        <w:rPr/>
        <w:t>y</w:t>
      </w:r>
      <w:r>
        <w:rPr>
          <w:spacing w:val="23"/>
        </w:rPr>
        <w:t> </w:t>
      </w:r>
      <w:r>
        <w:rPr/>
        <w:t>la</w:t>
      </w:r>
      <w:r>
        <w:rPr>
          <w:spacing w:val="18"/>
        </w:rPr>
        <w:t> </w:t>
      </w:r>
      <w:r>
        <w:rPr/>
        <w:t>sociedad;</w:t>
      </w:r>
      <w:r>
        <w:rPr>
          <w:spacing w:val="23"/>
        </w:rPr>
        <w:t> </w:t>
      </w:r>
      <w:r>
        <w:rPr/>
        <w:t>y</w:t>
      </w:r>
    </w:p>
    <w:p>
      <w:pPr>
        <w:pStyle w:val="BodyText"/>
        <w:spacing w:line="362" w:lineRule="auto" w:before="5"/>
        <w:ind w:left="115" w:right="112"/>
        <w:jc w:val="both"/>
      </w:pPr>
      <w:r>
        <w:rPr/>
        <w:t>5) que sin el consentimiento de los líderes del SNTE cualquier política educativa está condenada al fracaso.</w:t>
      </w:r>
    </w:p>
    <w:p>
      <w:pPr>
        <w:pStyle w:val="BodyText"/>
        <w:spacing w:line="364" w:lineRule="auto" w:before="7"/>
        <w:ind w:left="115" w:right="103" w:firstLine="686"/>
        <w:jc w:val="both"/>
      </w:pPr>
      <w:r>
        <w:rPr/>
        <w:t>Ahora bien, este suceso, no solamente evidenció, una vez más, la debilidad crónica del gobierno panista frente a la cúpula </w:t>
      </w:r>
      <w:r>
        <w:rPr>
          <w:spacing w:val="3"/>
        </w:rPr>
        <w:t>del </w:t>
      </w:r>
      <w:r>
        <w:rPr/>
        <w:t>sindicato magisterial, sino que también generó una fuerte afectación al proceso de análisis y diagnóstico de </w:t>
      </w:r>
      <w:r>
        <w:rPr>
          <w:spacing w:val="-4"/>
        </w:rPr>
        <w:t>la </w:t>
      </w:r>
      <w:r>
        <w:rPr/>
        <w:t>formación docente y sus efectos en </w:t>
      </w:r>
      <w:r>
        <w:rPr>
          <w:spacing w:val="-3"/>
        </w:rPr>
        <w:t>la </w:t>
      </w:r>
      <w:r>
        <w:rPr/>
        <w:t>enseñanza en </w:t>
      </w:r>
      <w:r>
        <w:rPr>
          <w:spacing w:val="-3"/>
        </w:rPr>
        <w:t>las </w:t>
      </w:r>
      <w:r>
        <w:rPr/>
        <w:t>aulas. En este sentido, el veto sindical de </w:t>
      </w:r>
      <w:r>
        <w:rPr>
          <w:spacing w:val="-5"/>
        </w:rPr>
        <w:t>la </w:t>
      </w:r>
      <w:r>
        <w:rPr/>
        <w:t>evaluación universal, impidió conocer a detalle las deficiencias  en </w:t>
      </w:r>
      <w:r>
        <w:rPr>
          <w:spacing w:val="-4"/>
        </w:rPr>
        <w:t>la </w:t>
      </w:r>
      <w:r>
        <w:rPr/>
        <w:t>educación normal, y por tanto, no se pudo conocer </w:t>
      </w:r>
      <w:r>
        <w:rPr>
          <w:spacing w:val="-3"/>
        </w:rPr>
        <w:t>los </w:t>
      </w:r>
      <w:r>
        <w:rPr/>
        <w:t>remedios pertinentes    al</w:t>
      </w:r>
      <w:r>
        <w:rPr>
          <w:spacing w:val="10"/>
        </w:rPr>
        <w:t> </w:t>
      </w:r>
      <w:r>
        <w:rPr/>
        <w:t>respecto.</w:t>
      </w:r>
    </w:p>
    <w:p>
      <w:pPr>
        <w:pStyle w:val="BodyText"/>
        <w:spacing w:line="364" w:lineRule="auto" w:before="5"/>
        <w:ind w:left="115" w:right="105" w:firstLine="686"/>
        <w:jc w:val="both"/>
      </w:pPr>
      <w:r>
        <w:rPr/>
        <w:t>Más aún, </w:t>
      </w:r>
      <w:r>
        <w:rPr>
          <w:spacing w:val="-4"/>
        </w:rPr>
        <w:t>la </w:t>
      </w:r>
      <w:r>
        <w:rPr/>
        <w:t>aplicación a todos o a la mayoría de los maestros registrados, pudo haber generado una correlación entre </w:t>
      </w:r>
      <w:r>
        <w:rPr>
          <w:spacing w:val="-3"/>
        </w:rPr>
        <w:t>los </w:t>
      </w:r>
      <w:r>
        <w:rPr/>
        <w:t>resultados individuales  de  </w:t>
      </w:r>
      <w:r>
        <w:rPr>
          <w:spacing w:val="-3"/>
        </w:rPr>
        <w:t>la  </w:t>
      </w:r>
      <w:r>
        <w:rPr/>
        <w:t>prueba Enlace y </w:t>
      </w:r>
      <w:r>
        <w:rPr>
          <w:spacing w:val="4"/>
        </w:rPr>
        <w:t>el </w:t>
      </w:r>
      <w:r>
        <w:rPr/>
        <w:t>de la evaluación universal y así contar con </w:t>
      </w:r>
      <w:r>
        <w:rPr>
          <w:spacing w:val="-3"/>
        </w:rPr>
        <w:t>mayor </w:t>
      </w:r>
      <w:r>
        <w:rPr/>
        <w:t>información  en torno a la relación que existe entre la formación docente y el nivel  de  aprendizaje </w:t>
      </w:r>
      <w:r>
        <w:rPr>
          <w:spacing w:val="3"/>
        </w:rPr>
        <w:t>de </w:t>
      </w:r>
      <w:r>
        <w:rPr/>
        <w:t>los alumnos. </w:t>
      </w:r>
      <w:r>
        <w:rPr>
          <w:spacing w:val="3"/>
        </w:rPr>
        <w:t>El </w:t>
      </w:r>
      <w:r>
        <w:rPr/>
        <w:t>daño es considerable si </w:t>
      </w:r>
      <w:r>
        <w:rPr>
          <w:spacing w:val="3"/>
        </w:rPr>
        <w:t>se </w:t>
      </w:r>
      <w:r>
        <w:rPr/>
        <w:t>toma en cuenta que los mentores </w:t>
      </w:r>
      <w:r>
        <w:rPr>
          <w:spacing w:val="3"/>
        </w:rPr>
        <w:t>no </w:t>
      </w:r>
      <w:r>
        <w:rPr/>
        <w:t>evaluados, los defendidos por el veto del SNTE a </w:t>
      </w:r>
      <w:r>
        <w:rPr>
          <w:spacing w:val="-5"/>
        </w:rPr>
        <w:t>la </w:t>
      </w:r>
      <w:r>
        <w:rPr/>
        <w:t>evaluación universal, son los que no participan en Carrera Magisterial, es decir, aquellos que por  razones  personales,  profesionales  o  administrativas,  no  están  obligados </w:t>
      </w:r>
      <w:r>
        <w:rPr>
          <w:spacing w:val="41"/>
        </w:rPr>
        <w:t> </w:t>
      </w:r>
      <w:r>
        <w:rPr/>
        <w:t>a</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10"/>
        <w:jc w:val="both"/>
      </w:pPr>
      <w:r>
        <w:rPr/>
        <w:t>evaluarse o a tomar cursos de actualización, y por tanto, son los que tienen más carencias académicas y laborales. Lo paradójico es que la negativa del SNTE a la evaluación universal tuvo como uno de sus ejes discursivos proteger  derechos.</w:t>
      </w:r>
    </w:p>
    <w:p>
      <w:pPr>
        <w:pStyle w:val="BodyText"/>
        <w:spacing w:line="364" w:lineRule="auto" w:before="5"/>
        <w:ind w:left="115" w:right="107" w:firstLine="686"/>
        <w:jc w:val="both"/>
      </w:pPr>
      <w:r>
        <w:rPr/>
        <w:t>Llama poderosamente la atención en este evento que los principales líderes de </w:t>
      </w:r>
      <w:r>
        <w:rPr>
          <w:spacing w:val="-3"/>
        </w:rPr>
        <w:t>la </w:t>
      </w:r>
      <w:r>
        <w:rPr/>
        <w:t>CNTE, habían hecho un </w:t>
      </w:r>
      <w:r>
        <w:rPr>
          <w:spacing w:val="-3"/>
        </w:rPr>
        <w:t>llamado </w:t>
      </w:r>
      <w:r>
        <w:rPr/>
        <w:t>a cancelar </w:t>
      </w:r>
      <w:r>
        <w:rPr>
          <w:spacing w:val="-3"/>
        </w:rPr>
        <w:t>la </w:t>
      </w:r>
      <w:r>
        <w:rPr/>
        <w:t>prueba. De hecho,  los  maestros </w:t>
      </w:r>
      <w:r>
        <w:rPr>
          <w:spacing w:val="-3"/>
        </w:rPr>
        <w:t>de </w:t>
      </w:r>
      <w:r>
        <w:rPr/>
        <w:t>las secciones 22 en Oaxaca, 14 de Guerrero y 18 de Michoacán, con diferente duración y alcance, realizaron paros en demanda de que se cancelara </w:t>
      </w:r>
      <w:r>
        <w:rPr>
          <w:spacing w:val="-4"/>
        </w:rPr>
        <w:t>la </w:t>
      </w:r>
      <w:r>
        <w:rPr/>
        <w:t>aplicación de la prueba </w:t>
      </w:r>
      <w:r>
        <w:rPr>
          <w:spacing w:val="-3"/>
        </w:rPr>
        <w:t>de </w:t>
      </w:r>
      <w:r>
        <w:rPr/>
        <w:t>preparación de la evaluación universal. Coinciden </w:t>
      </w:r>
      <w:r>
        <w:rPr>
          <w:spacing w:val="-5"/>
        </w:rPr>
        <w:t>la </w:t>
      </w:r>
      <w:r>
        <w:rPr/>
        <w:t>CNTE y el SNTE, sin embargo, </w:t>
      </w:r>
      <w:r>
        <w:rPr>
          <w:spacing w:val="2"/>
        </w:rPr>
        <w:t>no </w:t>
      </w:r>
      <w:r>
        <w:rPr/>
        <w:t>porque tengan el mismo proyecto o valoración  de esta prueba. La Coordinadora no ha variado </w:t>
      </w:r>
      <w:r>
        <w:rPr>
          <w:spacing w:val="4"/>
        </w:rPr>
        <w:t>su </w:t>
      </w:r>
      <w:r>
        <w:rPr/>
        <w:t>discurso de rechazar las evaluaciones porque generan “individualismo” y “desventaja” para los maestros marginados, en cambio los líderes </w:t>
      </w:r>
      <w:r>
        <w:rPr>
          <w:i/>
        </w:rPr>
        <w:t>oficialistas </w:t>
      </w:r>
      <w:r>
        <w:rPr/>
        <w:t>asumen una postura de oportunismo frente al descontento y temor que genera la</w:t>
      </w:r>
      <w:r>
        <w:rPr>
          <w:spacing w:val="61"/>
        </w:rPr>
        <w:t> </w:t>
      </w:r>
      <w:r>
        <w:rPr/>
        <w:t>evaluación.</w:t>
      </w:r>
    </w:p>
    <w:p>
      <w:pPr>
        <w:pStyle w:val="BodyText"/>
        <w:spacing w:line="364" w:lineRule="auto" w:before="10"/>
        <w:ind w:left="115" w:right="104" w:firstLine="686"/>
        <w:jc w:val="both"/>
      </w:pPr>
      <w:r>
        <w:rPr/>
        <w:t>En la medida que los maestros, en general, dependan del sindicato para obtener beneficios laborales, su disposición a evaluarse, va a estar condicionada  en función de sus temores o certezas sobre el impacto </w:t>
      </w:r>
      <w:r>
        <w:rPr>
          <w:spacing w:val="2"/>
        </w:rPr>
        <w:t>de </w:t>
      </w:r>
      <w:r>
        <w:rPr/>
        <w:t>dichas pruebas.  Es  decir, en la medida que </w:t>
      </w:r>
      <w:r>
        <w:rPr>
          <w:spacing w:val="2"/>
        </w:rPr>
        <w:t>se </w:t>
      </w:r>
      <w:r>
        <w:rPr/>
        <w:t>sientan amenazados, seguirán recurriendo al sindicato en términos de </w:t>
      </w:r>
      <w:r>
        <w:rPr>
          <w:i/>
        </w:rPr>
        <w:t>paternalismo </w:t>
      </w:r>
      <w:r>
        <w:rPr/>
        <w:t>y recibir el favor de </w:t>
      </w:r>
      <w:r>
        <w:rPr>
          <w:spacing w:val="-4"/>
        </w:rPr>
        <w:t>la </w:t>
      </w:r>
      <w:r>
        <w:rPr/>
        <w:t>protección a cambio de su lealtad. En este sentido, se puede decir que es importante que  </w:t>
      </w:r>
      <w:r>
        <w:rPr>
          <w:spacing w:val="2"/>
        </w:rPr>
        <w:t>se  </w:t>
      </w:r>
      <w:r>
        <w:rPr/>
        <w:t>esté consolidando </w:t>
      </w:r>
      <w:r>
        <w:rPr>
          <w:spacing w:val="3"/>
        </w:rPr>
        <w:t>el </w:t>
      </w:r>
      <w:r>
        <w:rPr/>
        <w:t>programa de Carrera Magisterial, pues a pesar de sus problemas </w:t>
      </w:r>
      <w:r>
        <w:rPr>
          <w:spacing w:val="-3"/>
        </w:rPr>
        <w:t>(bajo </w:t>
      </w:r>
      <w:r>
        <w:rPr/>
        <w:t>presupuesto e irregularidades en el catálogo de cursos, entre las más importantes), </w:t>
      </w:r>
      <w:r>
        <w:rPr>
          <w:spacing w:val="3"/>
        </w:rPr>
        <w:t>si </w:t>
      </w:r>
      <w:r>
        <w:rPr/>
        <w:t>ha generado mayor capital académico a sus beneficiarios y menor dependencia de los favores</w:t>
      </w:r>
      <w:r>
        <w:rPr>
          <w:spacing w:val="32"/>
        </w:rPr>
        <w:t> </w:t>
      </w:r>
      <w:r>
        <w:rPr/>
        <w:t>sindicales.</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Heading3"/>
        <w:spacing w:before="74"/>
        <w:ind w:right="191"/>
        <w:jc w:val="left"/>
      </w:pPr>
      <w:r>
        <w:rPr/>
        <w:t>CONCLUSIONES</w:t>
      </w:r>
    </w:p>
    <w:p>
      <w:pPr>
        <w:pStyle w:val="BodyText"/>
        <w:spacing w:before="8"/>
        <w:rPr>
          <w:b/>
        </w:rPr>
      </w:pPr>
    </w:p>
    <w:p>
      <w:pPr>
        <w:pStyle w:val="BodyText"/>
        <w:spacing w:line="364" w:lineRule="auto"/>
        <w:ind w:left="115" w:right="102" w:firstLine="686"/>
        <w:jc w:val="both"/>
      </w:pPr>
      <w:r>
        <w:rPr/>
        <w:t>Es importante distinguir </w:t>
      </w:r>
      <w:r>
        <w:rPr>
          <w:spacing w:val="-3"/>
        </w:rPr>
        <w:t>la </w:t>
      </w:r>
      <w:r>
        <w:rPr/>
        <w:t>palabra </w:t>
      </w:r>
      <w:r>
        <w:rPr>
          <w:i/>
        </w:rPr>
        <w:t>políticas </w:t>
      </w:r>
      <w:r>
        <w:rPr/>
        <w:t>como parte de la dicotomía conceptual que en </w:t>
      </w:r>
      <w:r>
        <w:rPr>
          <w:spacing w:val="-3"/>
        </w:rPr>
        <w:t>la </w:t>
      </w:r>
      <w:r>
        <w:rPr/>
        <w:t>lengua inglesa distingue </w:t>
      </w:r>
      <w:r>
        <w:rPr>
          <w:i/>
        </w:rPr>
        <w:t>politics </w:t>
      </w:r>
      <w:r>
        <w:rPr/>
        <w:t>y como  indicador  del  proceso de lucha en defensa de intereses, la competencia, el conflicto y  negociación entre individuos y organizaciones por </w:t>
      </w:r>
      <w:r>
        <w:rPr>
          <w:spacing w:val="-5"/>
        </w:rPr>
        <w:t>la </w:t>
      </w:r>
      <w:r>
        <w:rPr/>
        <w:t>distribución del poder político,   y </w:t>
      </w:r>
      <w:r>
        <w:rPr>
          <w:i/>
        </w:rPr>
        <w:t>policy, </w:t>
      </w:r>
      <w:r>
        <w:rPr/>
        <w:t>como el cúmulo de </w:t>
      </w:r>
      <w:r>
        <w:rPr>
          <w:i/>
        </w:rPr>
        <w:t>opciones y estrategias de acción  y  decisión</w:t>
      </w:r>
      <w:r>
        <w:rPr/>
        <w:t>,  que tienen como objetivo enfrentar, resolver o mejorar los problemas que son responsabilidad del Estado, en el primer proceso, </w:t>
      </w:r>
      <w:r>
        <w:rPr>
          <w:spacing w:val="-5"/>
        </w:rPr>
        <w:t>la </w:t>
      </w:r>
      <w:r>
        <w:rPr/>
        <w:t>racionalidad pública está fuertemente limitada por la presión de los actores sociales, mientras que en el segundo se presume una actuación estrictamente racional de la </w:t>
      </w:r>
      <w:r>
        <w:rPr>
          <w:spacing w:val="4"/>
        </w:rPr>
        <w:t> </w:t>
      </w:r>
      <w:r>
        <w:rPr/>
        <w:t>autoridad.</w:t>
      </w:r>
    </w:p>
    <w:p>
      <w:pPr>
        <w:pStyle w:val="BodyText"/>
        <w:spacing w:line="364" w:lineRule="auto" w:before="10"/>
        <w:ind w:left="115" w:right="109" w:firstLine="686"/>
        <w:jc w:val="both"/>
      </w:pPr>
      <w:r>
        <w:rPr/>
        <w:t>El Estado tiene una función clave en el ámbito de las políticas públicas, porque encarna la actividad gubernamental y  salvaguarda  el  elemento institucional, de forma que las decisiones son tomadas por una autoridad formal legalmente constituida, es decir, con legitimidad para imponer dichas decisiones, como parte de un proceso que se ubica dentro de un sistema político, lo que, al menos en teoría, implica que </w:t>
      </w:r>
      <w:r>
        <w:rPr>
          <w:spacing w:val="-3"/>
        </w:rPr>
        <w:t>las </w:t>
      </w:r>
      <w:r>
        <w:rPr/>
        <w:t>decisiones se toman considerando la relación fines/medios por parte de </w:t>
      </w:r>
      <w:r>
        <w:rPr>
          <w:spacing w:val="-4"/>
        </w:rPr>
        <w:t>la </w:t>
      </w:r>
      <w:r>
        <w:rPr/>
        <w:t>autoridad; esto es, el gobierno actúa bajo </w:t>
      </w:r>
      <w:r>
        <w:rPr>
          <w:spacing w:val="-4"/>
        </w:rPr>
        <w:t>la </w:t>
      </w:r>
      <w:r>
        <w:rPr/>
        <w:t>lógica de   </w:t>
      </w:r>
      <w:r>
        <w:rPr>
          <w:spacing w:val="-5"/>
        </w:rPr>
        <w:t>la </w:t>
      </w:r>
      <w:r>
        <w:rPr/>
        <w:t>acción o la</w:t>
      </w:r>
      <w:r>
        <w:rPr>
          <w:spacing w:val="34"/>
        </w:rPr>
        <w:t> </w:t>
      </w:r>
      <w:r>
        <w:rPr/>
        <w:t>inacción.</w:t>
      </w:r>
    </w:p>
    <w:p>
      <w:pPr>
        <w:pStyle w:val="BodyText"/>
        <w:spacing w:line="364" w:lineRule="auto" w:before="10"/>
        <w:ind w:left="115" w:right="109" w:firstLine="686"/>
        <w:jc w:val="both"/>
      </w:pPr>
      <w:r>
        <w:rPr/>
        <w:t>En </w:t>
      </w:r>
      <w:r>
        <w:rPr>
          <w:spacing w:val="2"/>
        </w:rPr>
        <w:t>el </w:t>
      </w:r>
      <w:r>
        <w:rPr/>
        <w:t>marco de gobiernos democráticos, cuyas burocracias propician </w:t>
      </w:r>
      <w:r>
        <w:rPr>
          <w:spacing w:val="3"/>
        </w:rPr>
        <w:t>el </w:t>
      </w:r>
      <w:r>
        <w:rPr/>
        <w:t>diálogo y la discusión abierta, los factores constitutivos para </w:t>
      </w:r>
      <w:r>
        <w:rPr>
          <w:spacing w:val="-3"/>
        </w:rPr>
        <w:t>la </w:t>
      </w:r>
      <w:r>
        <w:rPr/>
        <w:t>elección  y  desarrollo de una política no resulta de  un sofisticado cálculo  tecnocrático o de  una preferencia autocrática, sino que </w:t>
      </w:r>
      <w:r>
        <w:rPr>
          <w:spacing w:val="-3"/>
        </w:rPr>
        <w:t>es </w:t>
      </w:r>
      <w:r>
        <w:rPr/>
        <w:t>producto de la discusión y persuasión recíproca de muchos actores políticos y gubernamentales, participantes en su formulación, aceptación y puesta </w:t>
      </w:r>
      <w:r>
        <w:rPr>
          <w:spacing w:val="-3"/>
        </w:rPr>
        <w:t>en</w:t>
      </w:r>
      <w:r>
        <w:rPr>
          <w:spacing w:val="52"/>
        </w:rPr>
        <w:t> </w:t>
      </w:r>
      <w:r>
        <w:rPr/>
        <w:t>práctica.</w:t>
      </w:r>
    </w:p>
    <w:p>
      <w:pPr>
        <w:pStyle w:val="BodyText"/>
        <w:spacing w:line="364" w:lineRule="auto" w:before="5"/>
        <w:ind w:left="115" w:right="104" w:firstLine="686"/>
        <w:jc w:val="both"/>
      </w:pPr>
      <w:r>
        <w:rPr/>
        <w:t>Estas políticas públicas implican objetivos globales presupuestos como soluciones del problema, mientras que </w:t>
      </w:r>
      <w:r>
        <w:rPr>
          <w:spacing w:val="-5"/>
        </w:rPr>
        <w:t>la </w:t>
      </w:r>
      <w:r>
        <w:rPr/>
        <w:t>estrategia está constituida por  un  paquete de acciones relacionadas y generalmente con cierto orden. Implican también la disposición de ciertos recursos y la conciencia de que, para que una política exista, el paquete de acciones previsto tiene que realizarse en alguna medida. Estos mismos cursos de acción son pactados por </w:t>
      </w:r>
      <w:r>
        <w:rPr>
          <w:spacing w:val="-3"/>
        </w:rPr>
        <w:t>los </w:t>
      </w:r>
      <w:r>
        <w:rPr/>
        <w:t>diferentes actores participantes  y  dirigidos  e  instrumentados  por  el  gobierno  de  la  esfera  de  </w:t>
      </w:r>
      <w:r>
        <w:rPr>
          <w:spacing w:val="1"/>
        </w:rPr>
        <w:t> </w:t>
      </w:r>
      <w:r>
        <w:rPr/>
        <w:t>su</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8"/>
        <w:jc w:val="both"/>
      </w:pPr>
      <w:r>
        <w:rPr/>
        <w:t>competencia, aunque, cabe decirlo, </w:t>
      </w:r>
      <w:r>
        <w:rPr>
          <w:spacing w:val="-5"/>
        </w:rPr>
        <w:t>la </w:t>
      </w:r>
      <w:r>
        <w:rPr/>
        <w:t>política pública, no siempre se comprende debido a que no </w:t>
      </w:r>
      <w:r>
        <w:rPr>
          <w:spacing w:val="-3"/>
        </w:rPr>
        <w:t>es </w:t>
      </w:r>
      <w:r>
        <w:rPr/>
        <w:t>analizada como variable dependiente y porque  pocos  entienden que las teorías que las sustentan,  actúan  como  variables independientes.</w:t>
      </w:r>
    </w:p>
    <w:p>
      <w:pPr>
        <w:pStyle w:val="BodyText"/>
        <w:spacing w:line="364" w:lineRule="auto" w:before="5"/>
        <w:ind w:left="115" w:right="108" w:firstLine="686"/>
        <w:jc w:val="both"/>
      </w:pPr>
      <w:r>
        <w:rPr/>
        <w:t>Los </w:t>
      </w:r>
      <w:r>
        <w:rPr>
          <w:i/>
        </w:rPr>
        <w:t>estudios </w:t>
      </w:r>
      <w:r>
        <w:rPr/>
        <w:t>y el </w:t>
      </w:r>
      <w:r>
        <w:rPr>
          <w:i/>
        </w:rPr>
        <w:t>análisis</w:t>
      </w:r>
      <w:r>
        <w:rPr/>
        <w:t>, las “ciencias de políticas”, </w:t>
      </w:r>
      <w:r>
        <w:rPr>
          <w:spacing w:val="3"/>
        </w:rPr>
        <w:t>se </w:t>
      </w:r>
      <w:r>
        <w:rPr/>
        <w:t>refieren a “cualquier investigación que </w:t>
      </w:r>
      <w:r>
        <w:rPr>
          <w:spacing w:val="3"/>
        </w:rPr>
        <w:t>se </w:t>
      </w:r>
      <w:r>
        <w:rPr/>
        <w:t>relaciona con el interés público o </w:t>
      </w:r>
      <w:r>
        <w:rPr>
          <w:spacing w:val="-3"/>
        </w:rPr>
        <w:t>lo </w:t>
      </w:r>
      <w:r>
        <w:rPr/>
        <w:t>promueve”; o que </w:t>
      </w:r>
      <w:r>
        <w:rPr>
          <w:spacing w:val="-4"/>
        </w:rPr>
        <w:t>“la</w:t>
      </w:r>
      <w:r>
        <w:rPr>
          <w:spacing w:val="55"/>
        </w:rPr>
        <w:t> </w:t>
      </w:r>
      <w:r>
        <w:rPr/>
        <w:t>política pública es cualquier cosa que los gobiernos decidan hacer o no hacer”; el análisis busca “describir y explicar las causas y </w:t>
      </w:r>
      <w:r>
        <w:rPr>
          <w:spacing w:val="-3"/>
        </w:rPr>
        <w:t>las </w:t>
      </w:r>
      <w:r>
        <w:rPr/>
        <w:t>consecuencias </w:t>
      </w:r>
      <w:r>
        <w:rPr>
          <w:spacing w:val="-3"/>
        </w:rPr>
        <w:t>de </w:t>
      </w:r>
      <w:r>
        <w:rPr/>
        <w:t>la actividad  del gobierno o que “para entender </w:t>
      </w:r>
      <w:r>
        <w:rPr>
          <w:spacing w:val="-4"/>
        </w:rPr>
        <w:t>la </w:t>
      </w:r>
      <w:r>
        <w:rPr/>
        <w:t>elaboración </w:t>
      </w:r>
      <w:r>
        <w:rPr>
          <w:spacing w:val="3"/>
        </w:rPr>
        <w:t>de </w:t>
      </w:r>
      <w:r>
        <w:rPr>
          <w:spacing w:val="-4"/>
        </w:rPr>
        <w:t>la </w:t>
      </w:r>
      <w:r>
        <w:rPr/>
        <w:t>política </w:t>
      </w:r>
      <w:r>
        <w:rPr>
          <w:spacing w:val="4"/>
        </w:rPr>
        <w:t>se </w:t>
      </w:r>
      <w:r>
        <w:rPr>
          <w:spacing w:val="-3"/>
        </w:rPr>
        <w:t>debe </w:t>
      </w:r>
      <w:r>
        <w:rPr/>
        <w:t>entender </w:t>
      </w:r>
      <w:r>
        <w:rPr>
          <w:spacing w:val="-4"/>
        </w:rPr>
        <w:t>la</w:t>
      </w:r>
      <w:r>
        <w:rPr>
          <w:spacing w:val="55"/>
        </w:rPr>
        <w:t> </w:t>
      </w:r>
      <w:r>
        <w:rPr/>
        <w:t>actividad</w:t>
      </w:r>
      <w:r>
        <w:rPr>
          <w:spacing w:val="13"/>
        </w:rPr>
        <w:t> </w:t>
      </w:r>
      <w:r>
        <w:rPr/>
        <w:t>política”.</w:t>
      </w:r>
    </w:p>
    <w:p>
      <w:pPr>
        <w:pStyle w:val="BodyText"/>
        <w:spacing w:line="364" w:lineRule="auto" w:before="5"/>
        <w:ind w:left="115" w:right="107" w:firstLine="686"/>
        <w:jc w:val="both"/>
      </w:pPr>
      <w:r>
        <w:rPr/>
        <w:t>Los diferentes tipos de cultura e instituciones nacionales  determinarán  el  </w:t>
      </w:r>
      <w:r>
        <w:rPr>
          <w:spacing w:val="-3"/>
        </w:rPr>
        <w:t>tipo </w:t>
      </w:r>
      <w:r>
        <w:rPr/>
        <w:t>de políticas y organizaciones  públicas, mientras que el enfoque coyuntural o  de las arenas de política pública, señala que la naturaleza de las políticas dependerá del </w:t>
      </w:r>
      <w:r>
        <w:rPr>
          <w:spacing w:val="-3"/>
        </w:rPr>
        <w:t>tipo </w:t>
      </w:r>
      <w:r>
        <w:rPr/>
        <w:t>de problema, por lo que los mismos tipos </w:t>
      </w:r>
      <w:r>
        <w:rPr>
          <w:spacing w:val="3"/>
        </w:rPr>
        <w:t>de </w:t>
      </w:r>
      <w:r>
        <w:rPr/>
        <w:t>arenas o  problemas de políticas conducirán a comportamientos políticos similares </w:t>
      </w:r>
      <w:r>
        <w:rPr>
          <w:spacing w:val="3"/>
        </w:rPr>
        <w:t>en </w:t>
      </w:r>
      <w:r>
        <w:rPr>
          <w:spacing w:val="-3"/>
        </w:rPr>
        <w:t>las </w:t>
      </w:r>
      <w:r>
        <w:rPr/>
        <w:t>naciones, aun cuando tales naciones sean culturalmente muy </w:t>
      </w:r>
      <w:r>
        <w:rPr>
          <w:spacing w:val="12"/>
        </w:rPr>
        <w:t> </w:t>
      </w:r>
      <w:r>
        <w:rPr/>
        <w:t>diferentes.</w:t>
      </w:r>
    </w:p>
    <w:p>
      <w:pPr>
        <w:pStyle w:val="BodyText"/>
        <w:spacing w:line="364" w:lineRule="auto" w:before="5"/>
        <w:ind w:left="115" w:right="191" w:firstLine="686"/>
      </w:pPr>
      <w:r>
        <w:rPr/>
        <w:t>El modelo de política racional implica que la política sea decidida según el curso de acción que se considera eficiente para la realización de los objetivos perseguidos; dicho curso de acción también </w:t>
      </w:r>
      <w:r>
        <w:rPr>
          <w:spacing w:val="3"/>
        </w:rPr>
        <w:t>se </w:t>
      </w:r>
      <w:r>
        <w:rPr/>
        <w:t>considera estratégico frente a otras opciones </w:t>
      </w:r>
      <w:r>
        <w:rPr>
          <w:spacing w:val="-3"/>
        </w:rPr>
        <w:t>que </w:t>
      </w:r>
      <w:r>
        <w:rPr/>
        <w:t>supuestamente se enmarcan en esquemas de racionalidad estricta.  La racionalidad tiene sentido respecto de lo que se ha dicho, no de </w:t>
      </w:r>
      <w:r>
        <w:rPr>
          <w:spacing w:val="-5"/>
        </w:rPr>
        <w:t>lo </w:t>
      </w:r>
      <w:r>
        <w:rPr/>
        <w:t>que será y </w:t>
      </w:r>
      <w:r>
        <w:rPr>
          <w:spacing w:val="-6"/>
        </w:rPr>
        <w:t>la </w:t>
      </w:r>
      <w:r>
        <w:rPr/>
        <w:t>racionalidad del especialista y de </w:t>
      </w:r>
      <w:r>
        <w:rPr>
          <w:spacing w:val="-5"/>
        </w:rPr>
        <w:t>la </w:t>
      </w:r>
      <w:r>
        <w:rPr/>
        <w:t>burocracia no son suficientes para que una política pública se convierta en una solución: </w:t>
      </w:r>
      <w:r>
        <w:rPr>
          <w:i/>
        </w:rPr>
        <w:t>decidir racionalmente, no </w:t>
      </w:r>
      <w:r>
        <w:rPr>
          <w:i/>
          <w:spacing w:val="-3"/>
        </w:rPr>
        <w:t>es  </w:t>
      </w:r>
      <w:r>
        <w:rPr>
          <w:i/>
        </w:rPr>
        <w:t>suficiente; las decisiones deben llevarse a la  práctica  </w:t>
      </w:r>
      <w:r>
        <w:rPr/>
        <w:t>para  su  adecuada valoración.</w:t>
      </w:r>
    </w:p>
    <w:p>
      <w:pPr>
        <w:pStyle w:val="BodyText"/>
        <w:spacing w:line="367" w:lineRule="auto"/>
        <w:ind w:left="115" w:right="102" w:firstLine="686"/>
        <w:jc w:val="both"/>
      </w:pPr>
      <w:r>
        <w:rPr/>
        <w:t>Los subsistemas de la políticas involucran actores de diferentes niveles de gobierno; las políticas públicas y programas involucran teorías implícitas acerca de cómo alcanzar sus objetivos, el análisis de políticas públicas no  es  un conocimiento o modelo específico, </w:t>
      </w:r>
      <w:r>
        <w:rPr>
          <w:spacing w:val="-4"/>
        </w:rPr>
        <w:t>es</w:t>
      </w:r>
      <w:r>
        <w:rPr>
          <w:spacing w:val="55"/>
        </w:rPr>
        <w:t> </w:t>
      </w:r>
      <w:r>
        <w:rPr/>
        <w:t>la manera en como utilizamos el conocimiento de otras ciencias para resolver, justa y eficientemente, problemas concretos </w:t>
      </w:r>
      <w:r>
        <w:rPr>
          <w:spacing w:val="3"/>
        </w:rPr>
        <w:t>de </w:t>
      </w:r>
      <w:r>
        <w:rPr/>
        <w:t>política</w:t>
      </w:r>
      <w:r>
        <w:rPr>
          <w:spacing w:val="19"/>
        </w:rPr>
        <w:t> </w:t>
      </w:r>
      <w:r>
        <w:rPr/>
        <w:t>pública.</w:t>
      </w:r>
    </w:p>
    <w:p>
      <w:pPr>
        <w:spacing w:after="0" w:line="367"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6" w:right="107" w:firstLine="686"/>
        <w:jc w:val="both"/>
      </w:pPr>
      <w:r>
        <w:rPr/>
        <w:t>En ciertas ocasiones, son sinónimos la propuesta </w:t>
      </w:r>
      <w:r>
        <w:rPr>
          <w:spacing w:val="-3"/>
        </w:rPr>
        <w:t>de </w:t>
      </w:r>
      <w:r>
        <w:rPr/>
        <w:t>hechura ideal de una política es sinónimo de </w:t>
      </w:r>
      <w:r>
        <w:rPr>
          <w:spacing w:val="-5"/>
        </w:rPr>
        <w:t>lo </w:t>
      </w:r>
      <w:r>
        <w:rPr/>
        <w:t>que se considera como decisiones racionales o solución racional de los problemas en el análisis de políticas </w:t>
      </w:r>
      <w:r>
        <w:rPr>
          <w:spacing w:val="-3"/>
        </w:rPr>
        <w:t>es </w:t>
      </w:r>
      <w:r>
        <w:rPr/>
        <w:t>decir, </w:t>
      </w:r>
      <w:r>
        <w:rPr>
          <w:spacing w:val="2"/>
        </w:rPr>
        <w:t>son </w:t>
      </w:r>
      <w:r>
        <w:rPr/>
        <w:t>correctas </w:t>
      </w:r>
      <w:r>
        <w:rPr>
          <w:spacing w:val="-2"/>
        </w:rPr>
        <w:t>las </w:t>
      </w:r>
      <w:r>
        <w:rPr/>
        <w:t>instituciones y los actos que producen el mayor bien. Este concepto de </w:t>
      </w:r>
      <w:r>
        <w:rPr>
          <w:spacing w:val="-4"/>
        </w:rPr>
        <w:t>la</w:t>
      </w:r>
      <w:r>
        <w:rPr>
          <w:spacing w:val="55"/>
        </w:rPr>
        <w:t> </w:t>
      </w:r>
      <w:r>
        <w:rPr/>
        <w:t>racionalidad, lamentablemente no se aplica </w:t>
      </w:r>
      <w:r>
        <w:rPr>
          <w:spacing w:val="3"/>
        </w:rPr>
        <w:t>de </w:t>
      </w:r>
      <w:r>
        <w:rPr/>
        <w:t>manera directa a </w:t>
      </w:r>
      <w:r>
        <w:rPr>
          <w:spacing w:val="-5"/>
        </w:rPr>
        <w:t>la </w:t>
      </w:r>
      <w:r>
        <w:rPr/>
        <w:t>toma de decisiones bajo incertidumbre. Como no hay racionalidad perfecta, el vínculo entre preferencias sociales y la apuesta por </w:t>
      </w:r>
      <w:r>
        <w:rPr>
          <w:spacing w:val="-4"/>
        </w:rPr>
        <w:t>la </w:t>
      </w:r>
      <w:r>
        <w:rPr/>
        <w:t>“mejor” solución, </w:t>
      </w:r>
      <w:r>
        <w:rPr>
          <w:spacing w:val="3"/>
        </w:rPr>
        <w:t>es </w:t>
      </w:r>
      <w:r>
        <w:rPr>
          <w:spacing w:val="-3"/>
        </w:rPr>
        <w:t>lo </w:t>
      </w:r>
      <w:r>
        <w:rPr/>
        <w:t>que </w:t>
      </w:r>
      <w:r>
        <w:rPr>
          <w:spacing w:val="3"/>
        </w:rPr>
        <w:t>se </w:t>
      </w:r>
      <w:r>
        <w:rPr/>
        <w:t>denomina coherencia.</w:t>
      </w:r>
    </w:p>
    <w:p>
      <w:pPr>
        <w:pStyle w:val="BodyText"/>
        <w:spacing w:line="364" w:lineRule="auto" w:before="5"/>
        <w:ind w:left="116" w:right="104" w:firstLine="686"/>
        <w:jc w:val="both"/>
      </w:pPr>
      <w:r>
        <w:rPr/>
        <w:t>Quien toma las decisiones puede optar por una metodología  de  investigación que </w:t>
      </w:r>
      <w:r>
        <w:rPr>
          <w:spacing w:val="-5"/>
        </w:rPr>
        <w:t>le </w:t>
      </w:r>
      <w:r>
        <w:rPr/>
        <w:t>ofrezca las opciones </w:t>
      </w:r>
      <w:r>
        <w:rPr>
          <w:spacing w:val="-3"/>
        </w:rPr>
        <w:t>de </w:t>
      </w:r>
      <w:r>
        <w:rPr/>
        <w:t>política posibles o por una segunda opción, que supone describir las alternativas que lleguen a su mente y proceder a compararlas. Por </w:t>
      </w:r>
      <w:r>
        <w:rPr>
          <w:spacing w:val="-6"/>
        </w:rPr>
        <w:t>lo </w:t>
      </w:r>
      <w:r>
        <w:rPr/>
        <w:t>común no encontrará un cuerpo teórico </w:t>
      </w:r>
      <w:r>
        <w:rPr>
          <w:spacing w:val="-5"/>
        </w:rPr>
        <w:t>lo </w:t>
      </w:r>
      <w:r>
        <w:rPr/>
        <w:t>suficientemente preciso </w:t>
      </w:r>
      <w:r>
        <w:rPr>
          <w:spacing w:val="-3"/>
        </w:rPr>
        <w:t>que </w:t>
      </w:r>
      <w:r>
        <w:rPr/>
        <w:t>le sea útil y le permita ponderar las consecuencias respectivas de </w:t>
      </w:r>
      <w:r>
        <w:rPr>
          <w:spacing w:val="-3"/>
        </w:rPr>
        <w:t>las </w:t>
      </w:r>
      <w:r>
        <w:rPr/>
        <w:t>pocas alternativas que tomó en consideración a partir de las políticas que </w:t>
      </w:r>
      <w:r>
        <w:rPr>
          <w:spacing w:val="-4"/>
        </w:rPr>
        <w:t>le </w:t>
      </w:r>
      <w:r>
        <w:rPr/>
        <w:t>eran conocidas por controversias anteriores; </w:t>
      </w:r>
      <w:r>
        <w:rPr>
          <w:spacing w:val="3"/>
        </w:rPr>
        <w:t>en </w:t>
      </w:r>
      <w:r>
        <w:rPr>
          <w:spacing w:val="-3"/>
        </w:rPr>
        <w:t>cambio, </w:t>
      </w:r>
      <w:r>
        <w:rPr>
          <w:spacing w:val="3"/>
        </w:rPr>
        <w:t>se </w:t>
      </w:r>
      <w:r>
        <w:rPr/>
        <w:t>basará en el registro de </w:t>
      </w:r>
      <w:r>
        <w:rPr>
          <w:spacing w:val="-5"/>
        </w:rPr>
        <w:t>la </w:t>
      </w:r>
      <w:r>
        <w:rPr/>
        <w:t>experiencia que </w:t>
      </w:r>
      <w:r>
        <w:rPr>
          <w:spacing w:val="-5"/>
        </w:rPr>
        <w:t>le </w:t>
      </w:r>
      <w:r>
        <w:rPr/>
        <w:t>indicaría las consecuencias de </w:t>
      </w:r>
      <w:r>
        <w:rPr>
          <w:spacing w:val="-3"/>
        </w:rPr>
        <w:t>los </w:t>
      </w:r>
      <w:r>
        <w:rPr/>
        <w:t>pasos anteriores a modo de predicción.</w:t>
      </w:r>
    </w:p>
    <w:p>
      <w:pPr>
        <w:pStyle w:val="BodyText"/>
        <w:spacing w:line="364" w:lineRule="auto" w:before="10"/>
        <w:ind w:left="116" w:right="106" w:firstLine="686"/>
        <w:jc w:val="both"/>
      </w:pPr>
      <w:r>
        <w:rPr/>
        <w:t>Normalmente los gobiernos no tienen muchas condiciones para revisar alternativas: en realidad, </w:t>
      </w:r>
      <w:r>
        <w:rPr>
          <w:spacing w:val="-5"/>
        </w:rPr>
        <w:t>la </w:t>
      </w:r>
      <w:r>
        <w:rPr/>
        <w:t>administración pública tiene, política o legalmente, funciones y limitaciones circunscritas, razón por </w:t>
      </w:r>
      <w:r>
        <w:rPr>
          <w:spacing w:val="-4"/>
        </w:rPr>
        <w:t>la </w:t>
      </w:r>
      <w:r>
        <w:rPr/>
        <w:t>cual concentra su atención en relativamente pocos valores y pocas políticas alternativas entre las innumerables opciones </w:t>
      </w:r>
      <w:r>
        <w:rPr>
          <w:spacing w:val="3"/>
        </w:rPr>
        <w:t>de </w:t>
      </w:r>
      <w:r>
        <w:rPr/>
        <w:t>acción que se podrían imaginar. De hecho, pone en práctica el segundo</w:t>
      </w:r>
      <w:r>
        <w:rPr>
          <w:spacing w:val="21"/>
        </w:rPr>
        <w:t> </w:t>
      </w:r>
      <w:r>
        <w:rPr/>
        <w:t>método.</w:t>
      </w:r>
    </w:p>
    <w:p>
      <w:pPr>
        <w:pStyle w:val="BodyText"/>
        <w:spacing w:line="364" w:lineRule="auto" w:before="5"/>
        <w:ind w:left="116" w:right="111" w:firstLine="686"/>
        <w:jc w:val="both"/>
      </w:pPr>
      <w:r>
        <w:rPr/>
        <w:t>Ninguna estrategia de intervención directa puede  mantenerse sola: debe  ser implementada por una o varias organizaciones </w:t>
      </w:r>
      <w:r>
        <w:rPr>
          <w:spacing w:val="-3"/>
        </w:rPr>
        <w:t>(quizá </w:t>
      </w:r>
      <w:r>
        <w:rPr/>
        <w:t>incluso por organismos  no lucrativos) y debe contar con una fuente de financiamiento. Por lo general, las “variantes” de la estrategia básica incluyen diferentes métodos </w:t>
      </w:r>
      <w:r>
        <w:rPr>
          <w:spacing w:val="-3"/>
        </w:rPr>
        <w:t>de </w:t>
      </w:r>
      <w:r>
        <w:rPr/>
        <w:t>implementación   y de</w:t>
      </w:r>
      <w:r>
        <w:rPr>
          <w:spacing w:val="11"/>
        </w:rPr>
        <w:t> </w:t>
      </w:r>
      <w:r>
        <w:rPr/>
        <w:t>financiamiento.</w:t>
      </w:r>
    </w:p>
    <w:p>
      <w:pPr>
        <w:pStyle w:val="BodyText"/>
        <w:spacing w:line="364" w:lineRule="auto" w:before="5"/>
        <w:ind w:left="116" w:right="109" w:firstLine="686"/>
        <w:jc w:val="both"/>
      </w:pPr>
      <w:r>
        <w:rPr/>
        <w:t>Las políticas que logran adoptarse también dependen  del  juego  político. Este juego imprime algunas características comunes a las políticas públicas, </w:t>
      </w:r>
      <w:r>
        <w:rPr>
          <w:spacing w:val="-2"/>
        </w:rPr>
        <w:t>las </w:t>
      </w:r>
      <w:r>
        <w:rPr/>
        <w:t>cuales pueden ser tan importantes como el propio contenido de   </w:t>
      </w:r>
      <w:r>
        <w:rPr>
          <w:spacing w:val="59"/>
        </w:rPr>
        <w:t> </w:t>
      </w:r>
      <w:r>
        <w:rPr/>
        <w:t>las políticas.  </w:t>
      </w:r>
      <w:r>
        <w:rPr>
          <w:spacing w:val="-3"/>
        </w:rPr>
        <w:t>Los</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8"/>
        <w:jc w:val="both"/>
      </w:pPr>
      <w:r>
        <w:rPr/>
        <w:t>juegos de poder o juego político puede contribuir a la estabilidad de las políticas públicas o conducir a grandes vaivenes; puede facilitar </w:t>
      </w:r>
      <w:r>
        <w:rPr>
          <w:spacing w:val="2"/>
        </w:rPr>
        <w:t>su </w:t>
      </w:r>
      <w:r>
        <w:rPr/>
        <w:t>adaptabilidad o llevarlas a </w:t>
      </w:r>
      <w:r>
        <w:rPr>
          <w:spacing w:val="-3"/>
        </w:rPr>
        <w:t>la </w:t>
      </w:r>
      <w:r>
        <w:rPr/>
        <w:t>rigidez excesiva; puede producir políticas que promuevan tanto el bienestar público como </w:t>
      </w:r>
      <w:r>
        <w:rPr>
          <w:spacing w:val="-3"/>
        </w:rPr>
        <w:t>los </w:t>
      </w:r>
      <w:r>
        <w:rPr/>
        <w:t>intereses privados; puede influir en la calidad de </w:t>
      </w:r>
      <w:r>
        <w:rPr>
          <w:spacing w:val="-5"/>
        </w:rPr>
        <w:t>la  </w:t>
      </w:r>
      <w:r>
        <w:rPr/>
        <w:t>implementación y el </w:t>
      </w:r>
      <w:r>
        <w:rPr>
          <w:i/>
        </w:rPr>
        <w:t>enforcement  </w:t>
      </w:r>
      <w:r>
        <w:rPr/>
        <w:t>o</w:t>
      </w:r>
      <w:r>
        <w:rPr>
          <w:spacing w:val="54"/>
        </w:rPr>
        <w:t> </w:t>
      </w:r>
      <w:r>
        <w:rPr/>
        <w:t>eficacia.</w:t>
      </w:r>
    </w:p>
    <w:p>
      <w:pPr>
        <w:pStyle w:val="BodyText"/>
        <w:spacing w:line="364" w:lineRule="auto" w:before="5"/>
        <w:ind w:left="115" w:right="107" w:firstLine="686"/>
        <w:jc w:val="both"/>
      </w:pPr>
      <w:r>
        <w:rPr/>
        <w:t>En </w:t>
      </w:r>
      <w:r>
        <w:rPr>
          <w:spacing w:val="-5"/>
        </w:rPr>
        <w:t>la </w:t>
      </w:r>
      <w:r>
        <w:rPr/>
        <w:t>definición de la política pública, participan distintos actores, con poder  e intereses diferenciados que cumplen un  papel definido,  dependiendo  el  lugar que ocupen en </w:t>
      </w:r>
      <w:r>
        <w:rPr>
          <w:spacing w:val="-3"/>
        </w:rPr>
        <w:t>la </w:t>
      </w:r>
      <w:r>
        <w:rPr/>
        <w:t>jerarquía organizacional, los actores involucrados en el proceso de implementación de </w:t>
      </w:r>
      <w:r>
        <w:rPr>
          <w:spacing w:val="-3"/>
        </w:rPr>
        <w:t>una </w:t>
      </w:r>
      <w:r>
        <w:rPr/>
        <w:t>política pública están obligados a cumplir lo que fue decidido por el poder público. Todo proceso de alternativas </w:t>
      </w:r>
      <w:r>
        <w:rPr>
          <w:spacing w:val="-3"/>
        </w:rPr>
        <w:t>de </w:t>
      </w:r>
      <w:r>
        <w:rPr/>
        <w:t>acción acarrea conflictos y disputas, </w:t>
      </w:r>
      <w:r>
        <w:rPr>
          <w:spacing w:val="-4"/>
        </w:rPr>
        <w:t>ya </w:t>
      </w:r>
      <w:r>
        <w:rPr/>
        <w:t>que existe una red compleja de fuerzas entre actores con distintas preferencias y</w:t>
      </w:r>
      <w:r>
        <w:rPr>
          <w:spacing w:val="33"/>
        </w:rPr>
        <w:t> </w:t>
      </w:r>
      <w:r>
        <w:rPr/>
        <w:t>opiniones.</w:t>
      </w:r>
    </w:p>
    <w:p>
      <w:pPr>
        <w:pStyle w:val="BodyText"/>
        <w:spacing w:line="364" w:lineRule="auto"/>
        <w:ind w:left="115" w:right="108" w:firstLine="686"/>
        <w:jc w:val="both"/>
      </w:pPr>
      <w:r>
        <w:rPr/>
        <w:t>En este proceso se desatan conflictos producidos por las  diferentes ideologías de los actores involucrados. Este hecho, muchas veces, tiene como consecuencia modificaciones en las características iniciales de la política  pública en cuestión, y desencadena desenlaces distintos a los previstos en  el  diseño inicial. La implementación de una política pública requiere, por </w:t>
      </w:r>
      <w:r>
        <w:rPr>
          <w:spacing w:val="-3"/>
        </w:rPr>
        <w:t>lo </w:t>
      </w:r>
      <w:r>
        <w:rPr/>
        <w:t>tanto, </w:t>
      </w:r>
      <w:r>
        <w:rPr>
          <w:i/>
        </w:rPr>
        <w:t>flexibilidad, </w:t>
      </w:r>
      <w:r>
        <w:rPr>
          <w:i/>
        </w:rPr>
        <w:t>idas y venidas, un continuo proceso de interacción y negociación </w:t>
      </w:r>
      <w:r>
        <w:rPr/>
        <w:t>a lo largo del tiempo, entre aquellos que quieren llevar a la práctica alguna política y </w:t>
      </w:r>
      <w:r>
        <w:rPr>
          <w:spacing w:val="-2"/>
        </w:rPr>
        <w:t>los </w:t>
      </w:r>
      <w:r>
        <w:rPr/>
        <w:t>responsables de </w:t>
      </w:r>
      <w:r>
        <w:rPr>
          <w:spacing w:val="3"/>
        </w:rPr>
        <w:t>su</w:t>
      </w:r>
      <w:r>
        <w:rPr>
          <w:spacing w:val="24"/>
        </w:rPr>
        <w:t> </w:t>
      </w:r>
      <w:r>
        <w:rPr/>
        <w:t>ejecución.</w:t>
      </w:r>
    </w:p>
    <w:p>
      <w:pPr>
        <w:pStyle w:val="BodyText"/>
        <w:spacing w:line="364" w:lineRule="auto" w:before="5"/>
        <w:ind w:left="115" w:right="104" w:firstLine="686"/>
        <w:jc w:val="both"/>
      </w:pPr>
      <w:r>
        <w:rPr/>
        <w:t>Además del peso de </w:t>
      </w:r>
      <w:r>
        <w:rPr>
          <w:spacing w:val="-4"/>
        </w:rPr>
        <w:t>los </w:t>
      </w:r>
      <w:r>
        <w:rPr/>
        <w:t>actores importan los “juegos de poder” o “juegos políticos” al interior de las burocracias, entre las burocracias y los grupos  de interés, entre </w:t>
      </w:r>
      <w:r>
        <w:rPr>
          <w:spacing w:val="-3"/>
        </w:rPr>
        <w:t>los </w:t>
      </w:r>
      <w:r>
        <w:rPr/>
        <w:t>grupos de interés y entre burocracias y los ciudadanos organizados. Los </w:t>
      </w:r>
      <w:r>
        <w:rPr>
          <w:spacing w:val="-3"/>
        </w:rPr>
        <w:t>juegos </w:t>
      </w:r>
      <w:r>
        <w:rPr/>
        <w:t>de poder limitan las posibilidades de hacer un análisis racional del problema y más aún de hacer una política pública que resuelva, al menos parcialmente, la problemática</w:t>
      </w:r>
      <w:r>
        <w:rPr>
          <w:spacing w:val="52"/>
        </w:rPr>
        <w:t> </w:t>
      </w:r>
      <w:r>
        <w:rPr/>
        <w:t>detectada.</w:t>
      </w:r>
    </w:p>
    <w:p>
      <w:pPr>
        <w:pStyle w:val="BodyText"/>
        <w:spacing w:line="364" w:lineRule="auto" w:before="10"/>
        <w:ind w:left="115" w:right="112" w:firstLine="686"/>
        <w:jc w:val="both"/>
      </w:pPr>
      <w:r>
        <w:rPr/>
        <w:t>Con “juego del poder”, nos referiremos frecuentemente a las interacciones políticas por medio de las cuales </w:t>
      </w:r>
      <w:r>
        <w:rPr>
          <w:spacing w:val="3"/>
        </w:rPr>
        <w:t>se </w:t>
      </w:r>
      <w:r>
        <w:rPr/>
        <w:t>controla a los demás. Ello sugiere unas interconexiones más complejas y estrechas que las sugeridas por el  simple  término “interacciones” o por el término general “política”. En este caso </w:t>
      </w:r>
      <w:r>
        <w:rPr>
          <w:spacing w:val="-3"/>
        </w:rPr>
        <w:t>importa </w:t>
      </w:r>
      <w:r>
        <w:rPr/>
        <w:t>saber</w:t>
      </w:r>
      <w:r>
        <w:rPr>
          <w:spacing w:val="21"/>
        </w:rPr>
        <w:t> </w:t>
      </w:r>
      <w:r>
        <w:rPr/>
        <w:t>quién</w:t>
      </w:r>
      <w:r>
        <w:rPr>
          <w:spacing w:val="21"/>
        </w:rPr>
        <w:t> </w:t>
      </w:r>
      <w:r>
        <w:rPr/>
        <w:t>posee</w:t>
      </w:r>
      <w:r>
        <w:rPr>
          <w:spacing w:val="26"/>
        </w:rPr>
        <w:t> </w:t>
      </w:r>
      <w:r>
        <w:rPr/>
        <w:t>la</w:t>
      </w:r>
      <w:r>
        <w:rPr>
          <w:spacing w:val="21"/>
        </w:rPr>
        <w:t> </w:t>
      </w:r>
      <w:r>
        <w:rPr/>
        <w:t>autoridad</w:t>
      </w:r>
      <w:r>
        <w:rPr>
          <w:spacing w:val="21"/>
        </w:rPr>
        <w:t> </w:t>
      </w:r>
      <w:r>
        <w:rPr/>
        <w:t>formal</w:t>
      </w:r>
      <w:r>
        <w:rPr>
          <w:spacing w:val="21"/>
        </w:rPr>
        <w:t> </w:t>
      </w:r>
      <w:r>
        <w:rPr/>
        <w:t>y</w:t>
      </w:r>
      <w:r>
        <w:rPr>
          <w:spacing w:val="21"/>
        </w:rPr>
        <w:t> </w:t>
      </w:r>
      <w:r>
        <w:rPr/>
        <w:t>cuáles</w:t>
      </w:r>
      <w:r>
        <w:rPr>
          <w:spacing w:val="21"/>
        </w:rPr>
        <w:t> </w:t>
      </w:r>
      <w:r>
        <w:rPr/>
        <w:t>son</w:t>
      </w:r>
      <w:r>
        <w:rPr>
          <w:spacing w:val="21"/>
        </w:rPr>
        <w:t> </w:t>
      </w:r>
      <w:r>
        <w:rPr/>
        <w:t>las</w:t>
      </w:r>
      <w:r>
        <w:rPr>
          <w:spacing w:val="25"/>
        </w:rPr>
        <w:t> </w:t>
      </w:r>
      <w:r>
        <w:rPr/>
        <w:t>hábiles</w:t>
      </w:r>
      <w:r>
        <w:rPr>
          <w:spacing w:val="21"/>
        </w:rPr>
        <w:t> </w:t>
      </w:r>
      <w:r>
        <w:rPr/>
        <w:t>maniobras</w:t>
      </w:r>
      <w:r>
        <w:rPr>
          <w:spacing w:val="25"/>
        </w:rPr>
        <w:t> </w:t>
      </w:r>
      <w:r>
        <w:rPr/>
        <w:t>legales</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9" w:lineRule="auto" w:before="74"/>
        <w:ind w:left="115" w:right="191"/>
      </w:pPr>
      <w:r>
        <w:rPr/>
        <w:t>e ilegales posibles entre los diversos tipos de decisores de políticas </w:t>
      </w:r>
      <w:r>
        <w:rPr>
          <w:spacing w:val="-3"/>
        </w:rPr>
        <w:t>públicas  </w:t>
      </w:r>
      <w:r>
        <w:rPr/>
        <w:t>y  entre </w:t>
      </w:r>
      <w:r>
        <w:rPr>
          <w:spacing w:val="-3"/>
        </w:rPr>
        <w:t>los </w:t>
      </w:r>
      <w:r>
        <w:rPr/>
        <w:t>partidos y los grupos de</w:t>
      </w:r>
      <w:r>
        <w:rPr>
          <w:spacing w:val="56"/>
        </w:rPr>
        <w:t> </w:t>
      </w:r>
      <w:r>
        <w:rPr/>
        <w:t>interés.</w:t>
      </w:r>
    </w:p>
    <w:p>
      <w:pPr>
        <w:pStyle w:val="BodyText"/>
        <w:spacing w:line="364" w:lineRule="auto"/>
        <w:ind w:left="115" w:right="108" w:firstLine="686"/>
        <w:jc w:val="both"/>
      </w:pPr>
      <w:r>
        <w:rPr/>
        <w:t>Los decisores activos que actúan de modo inmediato y próximo a </w:t>
      </w:r>
      <w:r>
        <w:rPr>
          <w:spacing w:val="-2"/>
        </w:rPr>
        <w:t>las</w:t>
      </w:r>
      <w:r>
        <w:rPr>
          <w:spacing w:val="59"/>
        </w:rPr>
        <w:t> </w:t>
      </w:r>
      <w:r>
        <w:rPr/>
        <w:t>políticas públicas, constituyen una pequeña proporción de </w:t>
      </w:r>
      <w:r>
        <w:rPr>
          <w:spacing w:val="-5"/>
        </w:rPr>
        <w:t>la </w:t>
      </w:r>
      <w:r>
        <w:rPr/>
        <w:t>población adulta. A este conjunto </w:t>
      </w:r>
      <w:r>
        <w:rPr>
          <w:spacing w:val="3"/>
        </w:rPr>
        <w:t>de </w:t>
      </w:r>
      <w:r>
        <w:rPr/>
        <w:t>personas </w:t>
      </w:r>
      <w:r>
        <w:rPr>
          <w:spacing w:val="2"/>
        </w:rPr>
        <w:t>se </w:t>
      </w:r>
      <w:r>
        <w:rPr>
          <w:spacing w:val="-5"/>
        </w:rPr>
        <w:t>le </w:t>
      </w:r>
      <w:r>
        <w:rPr/>
        <w:t>puede denominar </w:t>
      </w:r>
      <w:r>
        <w:rPr>
          <w:spacing w:val="-3"/>
        </w:rPr>
        <w:t>la </w:t>
      </w:r>
      <w:r>
        <w:rPr/>
        <w:t>“élite de  decisores  de  políticas</w:t>
      </w:r>
      <w:r>
        <w:rPr>
          <w:spacing w:val="20"/>
        </w:rPr>
        <w:t> </w:t>
      </w:r>
      <w:r>
        <w:rPr/>
        <w:t>públicas”.</w:t>
      </w:r>
    </w:p>
    <w:p>
      <w:pPr>
        <w:pStyle w:val="BodyText"/>
        <w:spacing w:line="364" w:lineRule="auto" w:before="5"/>
        <w:ind w:left="115" w:right="109" w:firstLine="686"/>
        <w:jc w:val="both"/>
      </w:pPr>
      <w:r>
        <w:rPr/>
        <w:t>La interacción política en el “juego de poder”, se encuentra intensamente regulada por normas. Las normas especifican quiénes son elegibles  y cómo han  de ser seleccionadas las  personas para desempeñar cada papel, especifican </w:t>
      </w:r>
      <w:r>
        <w:rPr>
          <w:spacing w:val="-3"/>
        </w:rPr>
        <w:t>lo  </w:t>
      </w:r>
      <w:r>
        <w:rPr/>
        <w:t>que a cada actor le es permitido o prohibido hacer en el desempeño de su papel. Los participantes obedecen las normas porque las perciben como </w:t>
      </w:r>
      <w:r>
        <w:rPr>
          <w:spacing w:val="15"/>
        </w:rPr>
        <w:t> </w:t>
      </w:r>
      <w:r>
        <w:rPr/>
        <w:t>legítimas.</w:t>
      </w:r>
    </w:p>
    <w:p>
      <w:pPr>
        <w:pStyle w:val="BodyText"/>
        <w:spacing w:line="364" w:lineRule="auto" w:before="5"/>
        <w:ind w:left="115" w:right="109" w:firstLine="686"/>
        <w:jc w:val="both"/>
      </w:pPr>
      <w:r>
        <w:rPr/>
        <w:t>El mejor método para controlar </w:t>
      </w:r>
      <w:r>
        <w:rPr>
          <w:spacing w:val="4"/>
        </w:rPr>
        <w:t>el </w:t>
      </w:r>
      <w:r>
        <w:rPr/>
        <w:t>juego del poder en las políticas públicas  es </w:t>
      </w:r>
      <w:r>
        <w:rPr>
          <w:spacing w:val="-5"/>
        </w:rPr>
        <w:t>la </w:t>
      </w:r>
      <w:r>
        <w:rPr/>
        <w:t>persuasión fraudulenta y </w:t>
      </w:r>
      <w:r>
        <w:rPr>
          <w:spacing w:val="-4"/>
        </w:rPr>
        <w:t>la </w:t>
      </w:r>
      <w:r>
        <w:rPr/>
        <w:t>basada en análisis honestos de </w:t>
      </w:r>
      <w:r>
        <w:rPr>
          <w:spacing w:val="-3"/>
        </w:rPr>
        <w:t>las </w:t>
      </w:r>
      <w:r>
        <w:rPr/>
        <w:t>perspectivas  de pérdidas y ganancias. </w:t>
      </w:r>
      <w:r>
        <w:rPr>
          <w:spacing w:val="-4"/>
        </w:rPr>
        <w:t>Los </w:t>
      </w:r>
      <w:r>
        <w:rPr/>
        <w:t>decisores de políticas se pueden definir como  aquellos participantes </w:t>
      </w:r>
      <w:r>
        <w:rPr>
          <w:spacing w:val="-3"/>
        </w:rPr>
        <w:t>en </w:t>
      </w:r>
      <w:r>
        <w:rPr/>
        <w:t>el juego de poder con autoridad; Incluso en los sistemas muy autoritarios, con líderes visiblemente dominantes, se desarrollan políticas públicas a través </w:t>
      </w:r>
      <w:r>
        <w:rPr>
          <w:spacing w:val="2"/>
        </w:rPr>
        <w:t>de </w:t>
      </w:r>
      <w:r>
        <w:rPr/>
        <w:t>un control y un ajuste mutuo, quien define los  alcances  de  una política es </w:t>
      </w:r>
      <w:r>
        <w:rPr>
          <w:spacing w:val="-5"/>
        </w:rPr>
        <w:t>la </w:t>
      </w:r>
      <w:r>
        <w:rPr/>
        <w:t>burocracia, más que los poderes ejecutivo o </w:t>
      </w:r>
      <w:r>
        <w:rPr>
          <w:spacing w:val="23"/>
        </w:rPr>
        <w:t> </w:t>
      </w:r>
      <w:r>
        <w:rPr/>
        <w:t>legislativo.</w:t>
      </w:r>
    </w:p>
    <w:p>
      <w:pPr>
        <w:pStyle w:val="BodyText"/>
        <w:spacing w:line="364" w:lineRule="auto" w:before="5"/>
        <w:ind w:left="115" w:right="105" w:firstLine="686"/>
        <w:jc w:val="both"/>
      </w:pPr>
      <w:r>
        <w:rPr/>
        <w:t>Las políticas emergen específicamente de </w:t>
      </w:r>
      <w:r>
        <w:rPr>
          <w:spacing w:val="-3"/>
        </w:rPr>
        <w:t>las </w:t>
      </w:r>
      <w:r>
        <w:rPr/>
        <w:t>interacciones mutuas de </w:t>
      </w:r>
      <w:r>
        <w:rPr>
          <w:spacing w:val="-3"/>
        </w:rPr>
        <w:t>la </w:t>
      </w:r>
      <w:r>
        <w:rPr/>
        <w:t>política burocrática. </w:t>
      </w:r>
      <w:r>
        <w:rPr>
          <w:spacing w:val="-3"/>
        </w:rPr>
        <w:t>“En </w:t>
      </w:r>
      <w:r>
        <w:rPr/>
        <w:t>el juego político de la burocracia, el funcionario opera con los métodos de control previamente diseñados: entre ellos principalmente, </w:t>
      </w:r>
      <w:r>
        <w:rPr>
          <w:spacing w:val="-4"/>
        </w:rPr>
        <w:t>la</w:t>
      </w:r>
      <w:r>
        <w:rPr>
          <w:spacing w:val="55"/>
        </w:rPr>
        <w:t> </w:t>
      </w:r>
      <w:r>
        <w:rPr/>
        <w:t>autoridad, el intercambio, la persuasión y </w:t>
      </w:r>
      <w:r>
        <w:rPr>
          <w:spacing w:val="4"/>
        </w:rPr>
        <w:t>el </w:t>
      </w:r>
      <w:r>
        <w:rPr/>
        <w:t>análisis. Todos estos controles se utilizan tanto aisladamente como en cooperación con otros participantes </w:t>
      </w:r>
      <w:r>
        <w:rPr>
          <w:spacing w:val="-3"/>
        </w:rPr>
        <w:t>que </w:t>
      </w:r>
      <w:r>
        <w:rPr/>
        <w:t>se encuentran de acuerdo, al menos, con algunas cuestiones. En algunas </w:t>
      </w:r>
      <w:r>
        <w:rPr>
          <w:spacing w:val="3"/>
        </w:rPr>
        <w:t>de </w:t>
      </w:r>
      <w:r>
        <w:rPr>
          <w:spacing w:val="-3"/>
        </w:rPr>
        <w:t>ellas </w:t>
      </w:r>
      <w:r>
        <w:rPr/>
        <w:t>algunos funcionarios constituyen una </w:t>
      </w:r>
      <w:r>
        <w:rPr>
          <w:i/>
        </w:rPr>
        <w:t>piña cerrada </w:t>
      </w:r>
      <w:r>
        <w:rPr/>
        <w:t>con otros  funcionarios.  En  otras, pueden tener el apoyo de funcionarios importantes </w:t>
      </w:r>
      <w:r>
        <w:rPr>
          <w:spacing w:val="-3"/>
        </w:rPr>
        <w:t>de </w:t>
      </w:r>
      <w:r>
        <w:rPr/>
        <w:t>alto nivel, de jefes de departamento, o del Presidente. Una práctica importante muy extendida en </w:t>
      </w:r>
      <w:r>
        <w:rPr>
          <w:spacing w:val="-5"/>
        </w:rPr>
        <w:t>la </w:t>
      </w:r>
      <w:r>
        <w:rPr/>
        <w:t>política burocrática, a menudo es </w:t>
      </w:r>
      <w:r>
        <w:rPr>
          <w:spacing w:val="-5"/>
        </w:rPr>
        <w:t>la </w:t>
      </w:r>
      <w:r>
        <w:rPr/>
        <w:t>de alinearse con un grupo </w:t>
      </w:r>
      <w:r>
        <w:rPr>
          <w:spacing w:val="2"/>
        </w:rPr>
        <w:t>de </w:t>
      </w:r>
      <w:r>
        <w:rPr>
          <w:spacing w:val="25"/>
        </w:rPr>
        <w:t> </w:t>
      </w:r>
      <w:r>
        <w:rPr/>
        <w:t>interés.</w:t>
      </w:r>
    </w:p>
    <w:p>
      <w:pPr>
        <w:pStyle w:val="BodyText"/>
        <w:spacing w:line="364" w:lineRule="auto" w:before="5"/>
        <w:ind w:left="115" w:right="110" w:firstLine="686"/>
        <w:jc w:val="both"/>
      </w:pPr>
      <w:r>
        <w:rPr/>
        <w:t>La calidad de la implementación y del </w:t>
      </w:r>
      <w:r>
        <w:rPr>
          <w:i/>
        </w:rPr>
        <w:t>enforcement </w:t>
      </w:r>
      <w:r>
        <w:rPr/>
        <w:t>dependeran de la medi- da en que los políticos tengan incentivos y recursos para invertir en sus propias capacidades.</w:t>
      </w:r>
    </w:p>
    <w:p>
      <w:pPr>
        <w:spacing w:after="0" w:line="364" w:lineRule="auto"/>
        <w:jc w:val="both"/>
        <w:sectPr>
          <w:footerReference w:type="default" r:id="rId121"/>
          <w:pgSz w:w="11910" w:h="16840"/>
          <w:pgMar w:footer="1457" w:header="0"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6" w:firstLine="686"/>
        <w:jc w:val="both"/>
      </w:pPr>
      <w:r>
        <w:rPr/>
        <w:t>Las políticas educativas actuales responden a una “configuración estatal emergente” a lo que Dale (2001) denomina “Estado competitivo”, el cual se vincula de manera estrecha con las necesidades de competencia de la economía global y actúa en sectores como, en este caso, el educativo, modificando algunos criterios, mecanismos e instrumentos para adecuarlos a la dinámica de </w:t>
      </w:r>
      <w:r>
        <w:rPr>
          <w:i/>
        </w:rPr>
        <w:t>competencia </w:t>
      </w:r>
      <w:r>
        <w:rPr/>
        <w:t>global, pero sin que necesariamente se reflejen en lógicas de  mercantilización.</w:t>
      </w:r>
    </w:p>
    <w:p>
      <w:pPr>
        <w:pStyle w:val="BodyText"/>
        <w:spacing w:line="364" w:lineRule="auto" w:before="5"/>
        <w:ind w:left="115" w:right="105" w:firstLine="686"/>
        <w:jc w:val="both"/>
      </w:pPr>
      <w:r>
        <w:rPr/>
        <w:t>El “Estado de competencia” en educación deriva del eje estructural entre economía y Estado que, en </w:t>
      </w:r>
      <w:r>
        <w:rPr>
          <w:spacing w:val="-4"/>
        </w:rPr>
        <w:t>la </w:t>
      </w:r>
      <w:r>
        <w:rPr/>
        <w:t>era de </w:t>
      </w:r>
      <w:r>
        <w:rPr>
          <w:spacing w:val="-4"/>
        </w:rPr>
        <w:t>la </w:t>
      </w:r>
      <w:r>
        <w:rPr/>
        <w:t>competencia global, enfrenta un conjunto  de mediaciones y restricciones políticas, sociales e institucionales que impiden sostener un esquema general de mercantilización. En tal sentido, el Estado debe definir políticas que, desde lógicas </w:t>
      </w:r>
      <w:r>
        <w:rPr>
          <w:spacing w:val="-3"/>
        </w:rPr>
        <w:t>no </w:t>
      </w:r>
      <w:r>
        <w:rPr/>
        <w:t>mercantilizadas, impulsen la competencia, </w:t>
      </w:r>
      <w:r>
        <w:rPr>
          <w:spacing w:val="-5"/>
        </w:rPr>
        <w:t>la </w:t>
      </w:r>
      <w:r>
        <w:rPr/>
        <w:t>innovación y </w:t>
      </w:r>
      <w:r>
        <w:rPr>
          <w:spacing w:val="-6"/>
        </w:rPr>
        <w:t>la </w:t>
      </w:r>
      <w:r>
        <w:rPr/>
        <w:t>rentabilidad social de la escuela pública, dicha competencia social ofrece </w:t>
      </w:r>
      <w:r>
        <w:rPr>
          <w:spacing w:val="-3"/>
        </w:rPr>
        <w:t>los </w:t>
      </w:r>
      <w:r>
        <w:rPr/>
        <w:t>supuestos para que una sociedad pueda enfrentar los requerimientos de </w:t>
      </w:r>
      <w:r>
        <w:rPr>
          <w:spacing w:val="-5"/>
        </w:rPr>
        <w:t>la </w:t>
      </w:r>
      <w:r>
        <w:rPr/>
        <w:t>competencia económica del</w:t>
      </w:r>
      <w:r>
        <w:rPr>
          <w:spacing w:val="53"/>
        </w:rPr>
        <w:t> </w:t>
      </w:r>
      <w:r>
        <w:rPr/>
        <w:t>mercado.</w:t>
      </w:r>
    </w:p>
    <w:p>
      <w:pPr>
        <w:pStyle w:val="BodyText"/>
        <w:spacing w:line="364" w:lineRule="auto" w:before="5"/>
        <w:ind w:left="115" w:right="104" w:firstLine="686"/>
        <w:jc w:val="both"/>
      </w:pPr>
      <w:r>
        <w:rPr/>
        <w:t>El mensaje de </w:t>
      </w:r>
      <w:r>
        <w:rPr>
          <w:spacing w:val="-5"/>
        </w:rPr>
        <w:t>la </w:t>
      </w:r>
      <w:r>
        <w:rPr/>
        <w:t>competencia social en educación es claro y contundente:  no sólo se trata de mejorar capacidades productivas y capital humano para insertarlo en el marco de la competencia global, sino también es indispensable garantizar las condiciones básicas de viabilidad  social,  estabilidad  política, bienestar público y desarrollo. Para ello son necesarios una racionalidad diferente    y criterios redistributivos que generen un nuevo contexto de competencia de </w:t>
      </w:r>
      <w:r>
        <w:rPr>
          <w:spacing w:val="-2"/>
        </w:rPr>
        <w:t>las </w:t>
      </w:r>
      <w:r>
        <w:rPr/>
        <w:t>instituciones </w:t>
      </w:r>
      <w:r>
        <w:rPr>
          <w:spacing w:val="-3"/>
        </w:rPr>
        <w:t>públicas </w:t>
      </w:r>
      <w:r>
        <w:rPr/>
        <w:t>en función de su pertinencia, efectividad e  implicaciones frente a </w:t>
      </w:r>
      <w:r>
        <w:rPr>
          <w:spacing w:val="-3"/>
        </w:rPr>
        <w:t>la </w:t>
      </w:r>
      <w:r>
        <w:rPr/>
        <w:t>diversidad de condiciones y oportunidades de acceso, permanencia y resultados</w:t>
      </w:r>
      <w:r>
        <w:rPr>
          <w:spacing w:val="21"/>
        </w:rPr>
        <w:t> </w:t>
      </w:r>
      <w:r>
        <w:rPr/>
        <w:t>educativos.</w:t>
      </w:r>
    </w:p>
    <w:p>
      <w:pPr>
        <w:pStyle w:val="BodyText"/>
        <w:spacing w:line="364" w:lineRule="auto" w:before="5"/>
        <w:ind w:left="115" w:right="109" w:firstLine="686"/>
        <w:jc w:val="both"/>
      </w:pPr>
      <w:r>
        <w:rPr/>
        <w:t>La competencia institucional del sistema y la  política  educativa  se relacionan con la competencia social, y también con la de mercado –por supuesto sin excluir tensiones e imbricaciones–, a través de la capacidad estatal para garantizar eficiencia y efectividad en sus acciones sociales y  políticas.</w:t>
      </w:r>
    </w:p>
    <w:p>
      <w:pPr>
        <w:pStyle w:val="BodyText"/>
        <w:spacing w:line="364" w:lineRule="auto" w:before="5"/>
        <w:ind w:left="115" w:right="108" w:firstLine="686"/>
        <w:jc w:val="both"/>
      </w:pPr>
      <w:r>
        <w:rPr/>
        <w:t>No hay acuerdo entre los especialistas sobre </w:t>
      </w:r>
      <w:r>
        <w:rPr>
          <w:spacing w:val="2"/>
        </w:rPr>
        <w:t>si </w:t>
      </w:r>
      <w:r>
        <w:rPr/>
        <w:t>se  debe poner énfasis  </w:t>
      </w:r>
      <w:r>
        <w:rPr>
          <w:spacing w:val="-3"/>
        </w:rPr>
        <w:t>en  </w:t>
      </w:r>
      <w:r>
        <w:rPr/>
        <w:t>los procesos (planes y programas, capacitación </w:t>
      </w:r>
      <w:r>
        <w:rPr>
          <w:spacing w:val="-3"/>
        </w:rPr>
        <w:t>de </w:t>
      </w:r>
      <w:r>
        <w:rPr/>
        <w:t>docentes, mejora de instalaciones) o en los resultados (logro de los aprendizajes), tampoco en  lo que   se refiere a los elementos del proceso que se deben </w:t>
      </w:r>
      <w:r>
        <w:rPr>
          <w:spacing w:val="2"/>
        </w:rPr>
        <w:t> </w:t>
      </w:r>
      <w:r>
        <w:rPr/>
        <w:t>ponderar.</w:t>
      </w:r>
    </w:p>
    <w:p>
      <w:pPr>
        <w:spacing w:after="0" w:line="364" w:lineRule="auto"/>
        <w:jc w:val="both"/>
        <w:sectPr>
          <w:footerReference w:type="default" r:id="rId122"/>
          <w:pgSz w:w="11910" w:h="16840"/>
          <w:pgMar w:footer="1457" w:header="0" w:top="1580" w:bottom="1640" w:left="1540" w:right="1540"/>
          <w:pgNumType w:start="251"/>
        </w:sectPr>
      </w:pPr>
    </w:p>
    <w:p>
      <w:pPr>
        <w:pStyle w:val="BodyText"/>
        <w:rPr>
          <w:sz w:val="20"/>
        </w:rPr>
      </w:pPr>
    </w:p>
    <w:p>
      <w:pPr>
        <w:pStyle w:val="BodyText"/>
        <w:spacing w:before="2"/>
        <w:rPr>
          <w:sz w:val="16"/>
        </w:rPr>
      </w:pPr>
    </w:p>
    <w:p>
      <w:pPr>
        <w:pStyle w:val="BodyText"/>
        <w:spacing w:line="364" w:lineRule="auto" w:before="74"/>
        <w:ind w:left="116" w:right="107" w:firstLine="686"/>
        <w:jc w:val="both"/>
      </w:pPr>
      <w:r>
        <w:rPr/>
        <w:t>Existen elementos “internos” de </w:t>
      </w:r>
      <w:r>
        <w:rPr>
          <w:spacing w:val="-4"/>
        </w:rPr>
        <w:t>la</w:t>
      </w:r>
      <w:r>
        <w:rPr>
          <w:spacing w:val="55"/>
        </w:rPr>
        <w:t> </w:t>
      </w:r>
      <w:r>
        <w:rPr/>
        <w:t>actividad educativa en los que </w:t>
      </w:r>
      <w:r>
        <w:rPr>
          <w:spacing w:val="-3"/>
        </w:rPr>
        <w:t>las  </w:t>
      </w:r>
      <w:r>
        <w:rPr/>
        <w:t>políticas de calidad pretenden actuar (personal, instalaciones y procesos organizativos y pedagógicos), pero hay otros elementos “externos” que en los que es </w:t>
      </w:r>
      <w:r>
        <w:rPr>
          <w:spacing w:val="-3"/>
        </w:rPr>
        <w:t>más </w:t>
      </w:r>
      <w:r>
        <w:rPr/>
        <w:t>complicado incidir, como es el caso de </w:t>
      </w:r>
      <w:r>
        <w:rPr>
          <w:spacing w:val="-6"/>
        </w:rPr>
        <w:t>la </w:t>
      </w:r>
      <w:r>
        <w:rPr/>
        <w:t>pobreza, </w:t>
      </w:r>
      <w:r>
        <w:rPr>
          <w:spacing w:val="-4"/>
        </w:rPr>
        <w:t>la </w:t>
      </w:r>
      <w:r>
        <w:rPr/>
        <w:t>violencia intra familiar o </w:t>
      </w:r>
      <w:r>
        <w:rPr>
          <w:spacing w:val="-3"/>
        </w:rPr>
        <w:t>los </w:t>
      </w:r>
      <w:r>
        <w:rPr/>
        <w:t>hábitos de estudio, entre</w:t>
      </w:r>
      <w:r>
        <w:rPr>
          <w:spacing w:val="47"/>
        </w:rPr>
        <w:t> </w:t>
      </w:r>
      <w:r>
        <w:rPr/>
        <w:t>otros.</w:t>
      </w:r>
    </w:p>
    <w:p>
      <w:pPr>
        <w:pStyle w:val="BodyText"/>
        <w:spacing w:line="364" w:lineRule="auto" w:before="5"/>
        <w:ind w:left="116" w:right="107" w:firstLine="686"/>
        <w:jc w:val="both"/>
      </w:pPr>
      <w:r>
        <w:rPr/>
        <w:t>En esta nueva forma de “gobernanza” </w:t>
      </w:r>
      <w:r>
        <w:rPr>
          <w:spacing w:val="-3"/>
        </w:rPr>
        <w:t>la </w:t>
      </w:r>
      <w:r>
        <w:rPr/>
        <w:t>calidad emerge también como un principio y valor público  en tanto el contexto demanda una regulación económica  de calidad para dar cauce a </w:t>
      </w:r>
      <w:r>
        <w:rPr>
          <w:spacing w:val="-3"/>
        </w:rPr>
        <w:t>la </w:t>
      </w:r>
      <w:r>
        <w:rPr/>
        <w:t>diversidad de </w:t>
      </w:r>
      <w:r>
        <w:rPr>
          <w:spacing w:val="-3"/>
        </w:rPr>
        <w:t>polos </w:t>
      </w:r>
      <w:r>
        <w:rPr/>
        <w:t>de poder económico; </w:t>
      </w:r>
      <w:r>
        <w:rPr>
          <w:spacing w:val="-3"/>
        </w:rPr>
        <w:t>un </w:t>
      </w:r>
      <w:r>
        <w:rPr/>
        <w:t>marco institucional de calidad para mejorar </w:t>
      </w:r>
      <w:r>
        <w:rPr>
          <w:spacing w:val="-4"/>
        </w:rPr>
        <w:t>la </w:t>
      </w:r>
      <w:r>
        <w:rPr/>
        <w:t>percepción social sobre la gestión y </w:t>
      </w:r>
      <w:r>
        <w:rPr>
          <w:spacing w:val="-3"/>
        </w:rPr>
        <w:t>los </w:t>
      </w:r>
      <w:r>
        <w:rPr/>
        <w:t>servicios públicos que </w:t>
      </w:r>
      <w:r>
        <w:rPr>
          <w:spacing w:val="3"/>
        </w:rPr>
        <w:t>se </w:t>
      </w:r>
      <w:r>
        <w:rPr/>
        <w:t>brindan, así como una participación ciudadana para fortalecer </w:t>
      </w:r>
      <w:r>
        <w:rPr>
          <w:spacing w:val="-5"/>
        </w:rPr>
        <w:t>la </w:t>
      </w:r>
      <w:r>
        <w:rPr/>
        <w:t>transparencia, la rendición </w:t>
      </w:r>
      <w:r>
        <w:rPr>
          <w:spacing w:val="3"/>
        </w:rPr>
        <w:t>de </w:t>
      </w:r>
      <w:r>
        <w:rPr/>
        <w:t>cuentas y la misma </w:t>
      </w:r>
      <w:r>
        <w:rPr>
          <w:spacing w:val="16"/>
        </w:rPr>
        <w:t> </w:t>
      </w:r>
      <w:r>
        <w:rPr/>
        <w:t>democracia.</w:t>
      </w:r>
    </w:p>
    <w:p>
      <w:pPr>
        <w:pStyle w:val="BodyText"/>
        <w:spacing w:line="364" w:lineRule="auto" w:before="5"/>
        <w:ind w:left="116" w:right="109" w:firstLine="686"/>
        <w:jc w:val="both"/>
      </w:pPr>
      <w:r>
        <w:rPr/>
        <w:t>En el contrato social los ciudadanos, en calidad de clientes, adoptan un rol más activo. Si el Estado no cubre las demandas, no se adapta a las necesidades cambiantes de los ciudadanos, corre el riesgo de la desafección política y la deslegitimación de la acción estatal. En esta perspectiva, se hace visible que las bases de la reforma de la administración pública, están relacionadas con facilitar mayor capacidad de elección al ciudadano.</w:t>
      </w:r>
    </w:p>
    <w:p>
      <w:pPr>
        <w:pStyle w:val="BodyText"/>
        <w:spacing w:line="364" w:lineRule="auto" w:before="10"/>
        <w:ind w:left="115" w:right="105" w:firstLine="686"/>
        <w:jc w:val="both"/>
      </w:pPr>
      <w:r>
        <w:rPr/>
        <w:t>En este marco, </w:t>
      </w:r>
      <w:r>
        <w:rPr>
          <w:spacing w:val="-3"/>
        </w:rPr>
        <w:t>los </w:t>
      </w:r>
      <w:r>
        <w:rPr/>
        <w:t>poderes públicos no pueden concentrarse  exclusivamente en los resultados (</w:t>
      </w:r>
      <w:r>
        <w:rPr>
          <w:i/>
        </w:rPr>
        <w:t>outputs)</w:t>
      </w:r>
      <w:r>
        <w:rPr/>
        <w:t>, entendidos como  productos  o servicios, como ocurre en el caso de las empresas privadas. El Estado debe preocuparse también del impacto social de sus medidas, </w:t>
      </w:r>
      <w:r>
        <w:rPr>
          <w:spacing w:val="-4"/>
        </w:rPr>
        <w:t>de</w:t>
      </w:r>
      <w:r>
        <w:rPr>
          <w:spacing w:val="55"/>
        </w:rPr>
        <w:t> </w:t>
      </w:r>
      <w:r>
        <w:rPr/>
        <w:t>los  efectos (</w:t>
      </w:r>
      <w:r>
        <w:rPr>
          <w:i/>
        </w:rPr>
        <w:t>outcomes</w:t>
      </w:r>
      <w:r>
        <w:rPr/>
        <w:t>), de cómo quedan afectados los distintos grupos sociales por </w:t>
      </w:r>
      <w:r>
        <w:rPr>
          <w:spacing w:val="-5"/>
        </w:rPr>
        <w:t>la </w:t>
      </w:r>
      <w:r>
        <w:rPr/>
        <w:t>actuación administrativa. También ocurre que el proceso de negociación dentro de las burocracias públicas (gobierno central y gobierno local o gobierno y sindicatos de servidores públicos) consume tiempo y dificulta la implantación  de  una estrategia </w:t>
      </w:r>
      <w:r>
        <w:rPr>
          <w:spacing w:val="3"/>
        </w:rPr>
        <w:t>de </w:t>
      </w:r>
      <w:r>
        <w:rPr/>
        <w:t>calidad</w:t>
      </w:r>
      <w:r>
        <w:rPr>
          <w:spacing w:val="11"/>
        </w:rPr>
        <w:t> </w:t>
      </w:r>
      <w:r>
        <w:rPr/>
        <w:t>global.</w:t>
      </w:r>
    </w:p>
    <w:p>
      <w:pPr>
        <w:pStyle w:val="BodyText"/>
        <w:spacing w:line="364" w:lineRule="auto" w:before="10"/>
        <w:ind w:left="116" w:right="106" w:firstLine="686"/>
        <w:jc w:val="both"/>
      </w:pPr>
      <w:r>
        <w:rPr/>
        <w:t>La calidad educativa puede autodefinirse por las burocracias o por </w:t>
      </w:r>
      <w:r>
        <w:rPr>
          <w:spacing w:val="-3"/>
        </w:rPr>
        <w:t>los  </w:t>
      </w:r>
      <w:r>
        <w:rPr/>
        <w:t>actores sociales del sector educativo, en función de sus objetivos compartidos y  que </w:t>
      </w:r>
      <w:r>
        <w:rPr>
          <w:spacing w:val="-3"/>
        </w:rPr>
        <w:t>es </w:t>
      </w:r>
      <w:r>
        <w:rPr/>
        <w:t>preciso distinguir dos planos de análisis para conceptualizar </w:t>
      </w:r>
      <w:r>
        <w:rPr>
          <w:i/>
        </w:rPr>
        <w:t>calidad de la </w:t>
      </w:r>
      <w:r>
        <w:rPr>
          <w:i/>
        </w:rPr>
        <w:t>educación</w:t>
      </w:r>
      <w:r>
        <w:rPr/>
        <w:t>: el plano de los fines donde se pregunta para qué educar, para quién se educa y qué tipos de resultados se quieren conseguir; y el plano de los procesos </w:t>
      </w:r>
      <w:r>
        <w:rPr>
          <w:spacing w:val="62"/>
        </w:rPr>
        <w:t> </w:t>
      </w:r>
      <w:r>
        <w:rPr/>
        <w:t>o</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8"/>
        <w:jc w:val="right"/>
      </w:pPr>
      <w:r>
        <w:rPr/>
        <w:t>medios, es </w:t>
      </w:r>
      <w:r>
        <w:rPr>
          <w:spacing w:val="-3"/>
        </w:rPr>
        <w:t>decir, </w:t>
      </w:r>
      <w:r>
        <w:rPr/>
        <w:t>cómo y con qué recursos se realiza la educación. Cualquiera que</w:t>
      </w:r>
      <w:r>
        <w:rPr>
          <w:spacing w:val="-1"/>
          <w:w w:val="101"/>
        </w:rPr>
        <w:t> </w:t>
      </w:r>
      <w:r>
        <w:rPr/>
        <w:t>fuese el contenido de los fines de la educación, éste determinará </w:t>
      </w:r>
      <w:r>
        <w:rPr>
          <w:spacing w:val="-5"/>
        </w:rPr>
        <w:t>lo</w:t>
      </w:r>
      <w:r>
        <w:rPr>
          <w:spacing w:val="48"/>
        </w:rPr>
        <w:t> </w:t>
      </w:r>
      <w:r>
        <w:rPr/>
        <w:t>que  se</w:t>
      </w:r>
      <w:r>
        <w:rPr>
          <w:spacing w:val="-1"/>
          <w:w w:val="101"/>
        </w:rPr>
        <w:t> </w:t>
      </w:r>
      <w:r>
        <w:rPr/>
        <w:t>entienda por calidad de </w:t>
      </w:r>
      <w:r>
        <w:rPr>
          <w:spacing w:val="-5"/>
        </w:rPr>
        <w:t>la </w:t>
      </w:r>
      <w:r>
        <w:rPr/>
        <w:t>educación. </w:t>
      </w:r>
      <w:r>
        <w:rPr>
          <w:spacing w:val="-3"/>
        </w:rPr>
        <w:t>Las </w:t>
      </w:r>
      <w:r>
        <w:rPr/>
        <w:t>diferentes nociones de </w:t>
      </w:r>
      <w:r>
        <w:rPr>
          <w:spacing w:val="-4"/>
        </w:rPr>
        <w:t>la </w:t>
      </w:r>
      <w:r>
        <w:rPr/>
        <w:t>calidad</w:t>
      </w:r>
      <w:r>
        <w:rPr>
          <w:spacing w:val="-1"/>
          <w:w w:val="101"/>
        </w:rPr>
        <w:t> </w:t>
      </w:r>
      <w:r>
        <w:rPr/>
        <w:t>dependerán del grado en que entren en </w:t>
      </w:r>
      <w:r>
        <w:rPr>
          <w:spacing w:val="-4"/>
        </w:rPr>
        <w:t>ella </w:t>
      </w:r>
      <w:r>
        <w:rPr/>
        <w:t>elementos </w:t>
      </w:r>
      <w:r>
        <w:rPr>
          <w:spacing w:val="-3"/>
        </w:rPr>
        <w:t>que </w:t>
      </w:r>
      <w:r>
        <w:rPr/>
        <w:t>se</w:t>
      </w:r>
      <w:r>
        <w:rPr>
          <w:spacing w:val="57"/>
        </w:rPr>
        <w:t> </w:t>
      </w:r>
      <w:r>
        <w:rPr/>
        <w:t>consideren básicos.</w:t>
      </w:r>
      <w:r>
        <w:rPr>
          <w:w w:val="101"/>
        </w:rPr>
        <w:t> </w:t>
      </w:r>
      <w:r>
        <w:rPr/>
        <w:t>Si bien se reconocen las ventajas que </w:t>
      </w:r>
      <w:r>
        <w:rPr>
          <w:spacing w:val="-3"/>
        </w:rPr>
        <w:t>los </w:t>
      </w:r>
      <w:r>
        <w:rPr/>
        <w:t>análisis  de calidad </w:t>
      </w:r>
      <w:r>
        <w:rPr>
          <w:spacing w:val="53"/>
        </w:rPr>
        <w:t> </w:t>
      </w:r>
      <w:r>
        <w:rPr/>
        <w:t>han</w:t>
      </w:r>
      <w:r>
        <w:rPr>
          <w:w w:val="101"/>
        </w:rPr>
        <w:t> </w:t>
      </w:r>
      <w:r>
        <w:rPr/>
        <w:t>introducido en </w:t>
      </w:r>
      <w:r>
        <w:rPr>
          <w:spacing w:val="-5"/>
        </w:rPr>
        <w:t>la</w:t>
      </w:r>
      <w:r>
        <w:rPr>
          <w:spacing w:val="20"/>
        </w:rPr>
        <w:t> </w:t>
      </w:r>
      <w:r>
        <w:rPr/>
        <w:t>práctica educativa, en </w:t>
      </w:r>
      <w:r>
        <w:rPr>
          <w:spacing w:val="-6"/>
        </w:rPr>
        <w:t>la </w:t>
      </w:r>
      <w:r>
        <w:rPr/>
        <w:t>medida que su visión sistémica permite</w:t>
      </w:r>
      <w:r>
        <w:rPr>
          <w:w w:val="101"/>
        </w:rPr>
        <w:t> </w:t>
      </w:r>
      <w:r>
        <w:rPr/>
        <w:t>ver a la escuela como un todo unido a </w:t>
      </w:r>
      <w:r>
        <w:rPr>
          <w:spacing w:val="3"/>
        </w:rPr>
        <w:t>su </w:t>
      </w:r>
      <w:r>
        <w:rPr>
          <w:spacing w:val="-3"/>
        </w:rPr>
        <w:t>medio </w:t>
      </w:r>
      <w:r>
        <w:rPr/>
        <w:t>socioeconómico, también es claro</w:t>
      </w:r>
      <w:r>
        <w:rPr>
          <w:w w:val="101"/>
        </w:rPr>
        <w:t> </w:t>
      </w:r>
      <w:r>
        <w:rPr/>
        <w:t>que </w:t>
      </w:r>
      <w:r>
        <w:rPr>
          <w:spacing w:val="-3"/>
        </w:rPr>
        <w:t>ello </w:t>
      </w:r>
      <w:r>
        <w:rPr/>
        <w:t>implica </w:t>
      </w:r>
      <w:r>
        <w:rPr>
          <w:spacing w:val="3"/>
        </w:rPr>
        <w:t>un </w:t>
      </w:r>
      <w:r>
        <w:rPr/>
        <w:t>parentesco muy estrecho con la cultura de globalidad</w:t>
      </w:r>
      <w:r>
        <w:rPr>
          <w:w w:val="101"/>
        </w:rPr>
        <w:t> </w:t>
      </w:r>
      <w:r>
        <w:rPr/>
        <w:t>imperante, que hace que</w:t>
      </w:r>
      <w:r>
        <w:rPr>
          <w:spacing w:val="25"/>
        </w:rPr>
        <w:t> </w:t>
      </w:r>
      <w:r>
        <w:rPr/>
        <w:t>la calidad total endiose a la efectividad y a </w:t>
      </w:r>
      <w:r>
        <w:rPr>
          <w:spacing w:val="-5"/>
        </w:rPr>
        <w:t>la </w:t>
      </w:r>
      <w:r>
        <w:rPr/>
        <w:t>eficiencia</w:t>
      </w:r>
      <w:r>
        <w:rPr>
          <w:w w:val="101"/>
        </w:rPr>
        <w:t> </w:t>
      </w:r>
      <w:r>
        <w:rPr/>
        <w:t>como las supremas categorías del funcionamiento escolar correcto, de</w:t>
      </w:r>
      <w:r>
        <w:rPr>
          <w:spacing w:val="52"/>
        </w:rPr>
        <w:t> </w:t>
      </w:r>
      <w:r>
        <w:rPr/>
        <w:t>tal suerte</w:t>
      </w:r>
      <w:r>
        <w:rPr>
          <w:w w:val="101"/>
        </w:rPr>
        <w:t> </w:t>
      </w:r>
      <w:r>
        <w:rPr/>
        <w:t>que el proyecto educativo queda reducido a la simple correspondencia funcional</w:t>
      </w:r>
      <w:r>
        <w:rPr>
          <w:w w:val="101"/>
        </w:rPr>
        <w:t> </w:t>
      </w:r>
      <w:r>
        <w:rPr/>
        <w:t>entre objetivos planificados y rendimientos constatados en un proceso de continua</w:t>
      </w:r>
      <w:r>
        <w:rPr>
          <w:w w:val="101"/>
        </w:rPr>
        <w:t> </w:t>
      </w:r>
      <w:r>
        <w:rPr/>
        <w:t>adecuación, como lo indicaría </w:t>
      </w:r>
      <w:r>
        <w:rPr>
          <w:spacing w:val="4"/>
        </w:rPr>
        <w:t>el </w:t>
      </w:r>
      <w:r>
        <w:rPr/>
        <w:t>ciclo de Deming. A la propuesta educativa le falta</w:t>
      </w:r>
      <w:r>
        <w:rPr>
          <w:w w:val="101"/>
        </w:rPr>
        <w:t> </w:t>
      </w:r>
      <w:r>
        <w:rPr/>
        <w:t>el impulso  de los fines, que más  </w:t>
      </w:r>
      <w:r>
        <w:rPr>
          <w:spacing w:val="-3"/>
        </w:rPr>
        <w:t>allá  </w:t>
      </w:r>
      <w:r>
        <w:rPr/>
        <w:t>de  los  objetivos inmediatos anima con  </w:t>
      </w:r>
      <w:r>
        <w:rPr>
          <w:spacing w:val="62"/>
        </w:rPr>
        <w:t> </w:t>
      </w:r>
      <w:r>
        <w:rPr/>
        <w:t>sus</w:t>
      </w:r>
    </w:p>
    <w:p>
      <w:pPr>
        <w:pStyle w:val="BodyText"/>
        <w:spacing w:before="5"/>
        <w:ind w:left="115" w:right="191"/>
      </w:pPr>
      <w:r>
        <w:rPr/>
        <w:t>valores trascendentes el “ideario” del proyecto educativo de una  institución.</w:t>
      </w:r>
    </w:p>
    <w:p>
      <w:pPr>
        <w:pStyle w:val="BodyText"/>
        <w:spacing w:line="364" w:lineRule="auto" w:before="134"/>
        <w:ind w:left="115" w:right="106" w:firstLine="686"/>
        <w:jc w:val="both"/>
      </w:pPr>
      <w:r>
        <w:rPr/>
        <w:t>En la presente década han cobrado especial relevancia los programas nacionales para evaluar los aprendizajes escolares o el  rendimiento  estudiantil como tendencia de </w:t>
      </w:r>
      <w:r>
        <w:rPr>
          <w:spacing w:val="-3"/>
        </w:rPr>
        <w:t>la </w:t>
      </w:r>
      <w:r>
        <w:rPr/>
        <w:t>economía a ejercer una presión cada vez mayor sobre </w:t>
      </w:r>
      <w:r>
        <w:rPr>
          <w:spacing w:val="-4"/>
        </w:rPr>
        <w:t>la </w:t>
      </w:r>
      <w:r>
        <w:rPr/>
        <w:t>educación, y </w:t>
      </w:r>
      <w:r>
        <w:rPr>
          <w:spacing w:val="-3"/>
        </w:rPr>
        <w:t>la </w:t>
      </w:r>
      <w:r>
        <w:rPr/>
        <w:t>exigencia de que </w:t>
      </w:r>
      <w:r>
        <w:rPr>
          <w:spacing w:val="-3"/>
        </w:rPr>
        <w:t>la </w:t>
      </w:r>
      <w:r>
        <w:rPr/>
        <w:t>mano de  obra </w:t>
      </w:r>
      <w:r>
        <w:rPr>
          <w:spacing w:val="3"/>
        </w:rPr>
        <w:t>sea </w:t>
      </w:r>
      <w:r>
        <w:rPr/>
        <w:t>cada vez más calificada  para responder al rendimiento y la competitividad; se recupera la confianza en </w:t>
      </w:r>
      <w:r>
        <w:rPr>
          <w:spacing w:val="-5"/>
        </w:rPr>
        <w:t>la </w:t>
      </w:r>
      <w:r>
        <w:rPr/>
        <w:t>educación como eje para el desarrollo del “capital humano”. Los planteamientos colocan énfasis en la evaluación externa como un mecanismo que garantice  validez, confiabilidad y comparabilidad mediante </w:t>
      </w:r>
      <w:r>
        <w:rPr>
          <w:spacing w:val="-3"/>
        </w:rPr>
        <w:t>la </w:t>
      </w:r>
      <w:r>
        <w:rPr/>
        <w:t>utilización de instrumentos de medición técnicamente bien elaborados que apoyen la evaluación en el aula, </w:t>
      </w:r>
      <w:r>
        <w:rPr>
          <w:spacing w:val="-5"/>
        </w:rPr>
        <w:t>la </w:t>
      </w:r>
      <w:r>
        <w:rPr/>
        <w:t>autoevaluación de las escuelas y </w:t>
      </w:r>
      <w:r>
        <w:rPr>
          <w:spacing w:val="-6"/>
        </w:rPr>
        <w:t>la </w:t>
      </w:r>
      <w:r>
        <w:rPr/>
        <w:t>evaluación del sistema </w:t>
      </w:r>
      <w:r>
        <w:rPr>
          <w:spacing w:val="22"/>
        </w:rPr>
        <w:t> </w:t>
      </w:r>
      <w:r>
        <w:rPr/>
        <w:t>educativo.</w:t>
      </w:r>
    </w:p>
    <w:p>
      <w:pPr>
        <w:pStyle w:val="BodyText"/>
        <w:spacing w:line="364" w:lineRule="auto"/>
        <w:ind w:left="115" w:right="107" w:firstLine="686"/>
        <w:jc w:val="both"/>
      </w:pPr>
      <w:r>
        <w:rPr/>
        <w:t>El proceso de formulación de las políticas públicas, </w:t>
      </w:r>
      <w:r>
        <w:rPr>
          <w:spacing w:val="-3"/>
        </w:rPr>
        <w:t>está </w:t>
      </w:r>
      <w:r>
        <w:rPr/>
        <w:t>sujeto a “juegos de poder” que dificultan la planeación tecnocrática y </w:t>
      </w:r>
      <w:r>
        <w:rPr>
          <w:spacing w:val="-5"/>
        </w:rPr>
        <w:t>los </w:t>
      </w:r>
      <w:r>
        <w:rPr/>
        <w:t>alcances de racionalidad de  las burocracias públicas condicionados por las reglas del régimen político y por </w:t>
      </w:r>
      <w:r>
        <w:rPr>
          <w:spacing w:val="-4"/>
        </w:rPr>
        <w:t>los</w:t>
      </w:r>
      <w:r>
        <w:rPr>
          <w:spacing w:val="55"/>
        </w:rPr>
        <w:t> </w:t>
      </w:r>
      <w:r>
        <w:rPr/>
        <w:t>actores sociales y políticos involucrados, </w:t>
      </w:r>
      <w:r>
        <w:rPr>
          <w:spacing w:val="-3"/>
        </w:rPr>
        <w:t>mismos </w:t>
      </w:r>
      <w:r>
        <w:rPr/>
        <w:t>elementos que favorecen o no </w:t>
      </w:r>
      <w:r>
        <w:rPr>
          <w:spacing w:val="-4"/>
        </w:rPr>
        <w:t>la</w:t>
      </w:r>
      <w:r>
        <w:rPr>
          <w:spacing w:val="55"/>
        </w:rPr>
        <w:t> </w:t>
      </w:r>
      <w:r>
        <w:rPr/>
        <w:t>cooperación para que una determinada política tenga </w:t>
      </w:r>
      <w:r>
        <w:rPr>
          <w:spacing w:val="6"/>
        </w:rPr>
        <w:t> </w:t>
      </w:r>
      <w:r>
        <w:rPr>
          <w:spacing w:val="-3"/>
        </w:rPr>
        <w:t>éxito.</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6" w:right="110" w:firstLine="686"/>
        <w:jc w:val="both"/>
      </w:pPr>
      <w:r>
        <w:rPr/>
        <w:t>El titular del Ejecutivo, así como los encargados de la Secretaría de Educación Pública fueron casi los únicos actores políticos que modelaron los alcances de las políticas en educación básica y normal, que los  presidentes  Vicente Fox y Felipe Calderón, </w:t>
      </w:r>
      <w:r>
        <w:rPr>
          <w:spacing w:val="3"/>
        </w:rPr>
        <w:t>al </w:t>
      </w:r>
      <w:r>
        <w:rPr/>
        <w:t>impulsar su política educativa para favorecer </w:t>
      </w:r>
      <w:r>
        <w:rPr>
          <w:spacing w:val="-4"/>
        </w:rPr>
        <w:t>“la </w:t>
      </w:r>
      <w:r>
        <w:rPr/>
        <w:t>calidad” de </w:t>
      </w:r>
      <w:r>
        <w:rPr>
          <w:spacing w:val="-5"/>
        </w:rPr>
        <w:t>la</w:t>
      </w:r>
      <w:r>
        <w:rPr>
          <w:spacing w:val="33"/>
        </w:rPr>
        <w:t> </w:t>
      </w:r>
      <w:r>
        <w:rPr/>
        <w:t>educación.</w:t>
      </w:r>
    </w:p>
    <w:p>
      <w:pPr>
        <w:pStyle w:val="BodyText"/>
        <w:spacing w:line="364" w:lineRule="auto" w:before="5"/>
        <w:ind w:left="116" w:right="105" w:firstLine="686"/>
        <w:jc w:val="both"/>
      </w:pPr>
      <w:r>
        <w:rPr/>
        <w:t>Encontraron resistencias de miles de maestros del nivel de educación  básica, de ciertos sectores del SNTE, así como de los  gobernadores  pertenecientes a los tres principales partidos políticos (PAN, PRI y PRD). Por otra parte, ambos mandatarios evitaron llevar </w:t>
      </w:r>
      <w:r>
        <w:rPr>
          <w:spacing w:val="4"/>
        </w:rPr>
        <w:t>al </w:t>
      </w:r>
      <w:r>
        <w:rPr/>
        <w:t>terreno legislativo las políticas </w:t>
      </w:r>
      <w:r>
        <w:rPr>
          <w:spacing w:val="-3"/>
        </w:rPr>
        <w:t>de </w:t>
      </w:r>
      <w:r>
        <w:rPr/>
        <w:t>cambio, con el fin de no confrontar las propuestas impulsadas. Esta estrategia, efectivamente, favoreció los acuerdos rápidos y sin intromisiones partidistas, pero por lo mismo fueron </w:t>
      </w:r>
      <w:r>
        <w:rPr>
          <w:spacing w:val="3"/>
        </w:rPr>
        <w:t>de </w:t>
      </w:r>
      <w:r>
        <w:rPr/>
        <w:t>corto alcance (sin sustento constitucional ni reglamentario)   y sin legitimidad social y</w:t>
      </w:r>
      <w:r>
        <w:rPr>
          <w:spacing w:val="38"/>
        </w:rPr>
        <w:t> </w:t>
      </w:r>
      <w:r>
        <w:rPr/>
        <w:t>política.</w:t>
      </w:r>
    </w:p>
    <w:p>
      <w:pPr>
        <w:spacing w:line="364" w:lineRule="auto" w:before="10"/>
        <w:ind w:left="115" w:right="109" w:firstLine="686"/>
        <w:jc w:val="both"/>
        <w:rPr>
          <w:sz w:val="23"/>
        </w:rPr>
      </w:pPr>
      <w:r>
        <w:rPr>
          <w:sz w:val="23"/>
        </w:rPr>
        <w:t>Con Vicente Fox (2000-2006), </w:t>
      </w:r>
      <w:r>
        <w:rPr>
          <w:spacing w:val="3"/>
          <w:sz w:val="23"/>
        </w:rPr>
        <w:t>se </w:t>
      </w:r>
      <w:r>
        <w:rPr>
          <w:sz w:val="23"/>
        </w:rPr>
        <w:t>propuso el </w:t>
      </w:r>
      <w:r>
        <w:rPr>
          <w:i/>
          <w:sz w:val="23"/>
        </w:rPr>
        <w:t>Compromiso Social por </w:t>
      </w:r>
      <w:r>
        <w:rPr>
          <w:i/>
          <w:spacing w:val="-4"/>
          <w:sz w:val="23"/>
        </w:rPr>
        <w:t>la </w:t>
      </w:r>
      <w:r>
        <w:rPr>
          <w:i/>
          <w:sz w:val="23"/>
        </w:rPr>
        <w:t>Calidad de la Educación </w:t>
      </w:r>
      <w:r>
        <w:rPr>
          <w:sz w:val="23"/>
        </w:rPr>
        <w:t>en 2002 con un </w:t>
      </w:r>
      <w:r>
        <w:rPr>
          <w:i/>
          <w:sz w:val="23"/>
        </w:rPr>
        <w:t>consenso </w:t>
      </w:r>
      <w:r>
        <w:rPr>
          <w:i/>
          <w:spacing w:val="3"/>
          <w:sz w:val="23"/>
        </w:rPr>
        <w:t>de </w:t>
      </w:r>
      <w:r>
        <w:rPr>
          <w:i/>
          <w:sz w:val="23"/>
        </w:rPr>
        <w:t>fachada</w:t>
      </w:r>
      <w:r>
        <w:rPr>
          <w:sz w:val="23"/>
        </w:rPr>
        <w:t>, se quedó solo en    el marco de los juegos </w:t>
      </w:r>
      <w:r>
        <w:rPr>
          <w:spacing w:val="2"/>
          <w:sz w:val="23"/>
        </w:rPr>
        <w:t>de </w:t>
      </w:r>
      <w:r>
        <w:rPr>
          <w:sz w:val="23"/>
        </w:rPr>
        <w:t>poder, entre otras cosas porque este planteamiento no   se </w:t>
      </w:r>
      <w:r>
        <w:rPr>
          <w:spacing w:val="-4"/>
          <w:sz w:val="23"/>
        </w:rPr>
        <w:t>basó </w:t>
      </w:r>
      <w:r>
        <w:rPr>
          <w:sz w:val="23"/>
        </w:rPr>
        <w:t>en normas específicas ni en compromisos políticos exigibles sólo en </w:t>
      </w:r>
      <w:r>
        <w:rPr>
          <w:spacing w:val="-5"/>
          <w:sz w:val="23"/>
        </w:rPr>
        <w:t>la </w:t>
      </w:r>
      <w:r>
        <w:rPr>
          <w:sz w:val="23"/>
        </w:rPr>
        <w:t>voluntad de los</w:t>
      </w:r>
      <w:r>
        <w:rPr>
          <w:spacing w:val="26"/>
          <w:sz w:val="23"/>
        </w:rPr>
        <w:t> </w:t>
      </w:r>
      <w:r>
        <w:rPr>
          <w:sz w:val="23"/>
        </w:rPr>
        <w:t>firmantes.</w:t>
      </w:r>
    </w:p>
    <w:p>
      <w:pPr>
        <w:pStyle w:val="BodyText"/>
        <w:spacing w:line="364" w:lineRule="auto" w:before="5"/>
        <w:ind w:left="115" w:right="108" w:firstLine="686"/>
        <w:jc w:val="both"/>
      </w:pPr>
      <w:r>
        <w:rPr/>
        <w:t>El compromiso central y fundamental de este acuerdo, fue el del SNTE, que señaló que desarrollaría una nueva cultura laboral orientada hacia </w:t>
      </w:r>
      <w:r>
        <w:rPr>
          <w:spacing w:val="-3"/>
        </w:rPr>
        <w:t>“la </w:t>
      </w:r>
      <w:r>
        <w:rPr/>
        <w:t>mejora de </w:t>
      </w:r>
      <w:r>
        <w:rPr>
          <w:spacing w:val="-5"/>
        </w:rPr>
        <w:t>la </w:t>
      </w:r>
      <w:r>
        <w:rPr/>
        <w:t>calidad” de las formas de organización y gestión escolar; a incidir en el fortalecimiento de los perfiles pedagógicos </w:t>
      </w:r>
      <w:r>
        <w:rPr>
          <w:spacing w:val="-3"/>
        </w:rPr>
        <w:t>de </w:t>
      </w:r>
      <w:r>
        <w:rPr/>
        <w:t>los responsables de la docencia, </w:t>
      </w:r>
      <w:r>
        <w:rPr>
          <w:spacing w:val="-5"/>
        </w:rPr>
        <w:t>la </w:t>
      </w:r>
      <w:r>
        <w:rPr/>
        <w:t>dirección, </w:t>
      </w:r>
      <w:r>
        <w:rPr>
          <w:spacing w:val="-3"/>
        </w:rPr>
        <w:t>la </w:t>
      </w:r>
      <w:r>
        <w:rPr/>
        <w:t>supervisión y la jefatura de sector, impulsando medidas para que el acceso a estos cargos fuera mediante exámenes de ingreso al servicio; y </w:t>
      </w:r>
      <w:r>
        <w:rPr>
          <w:spacing w:val="-2"/>
        </w:rPr>
        <w:t>las </w:t>
      </w:r>
      <w:r>
        <w:rPr/>
        <w:t>promociones de los docentes y los directivos a través de concursos de oposición. Estos acuerdos nunca </w:t>
      </w:r>
      <w:r>
        <w:rPr>
          <w:spacing w:val="3"/>
        </w:rPr>
        <w:t>se </w:t>
      </w:r>
      <w:r>
        <w:rPr/>
        <w:t>cumplieron en doce años de gobiernos panistas, pero fueron </w:t>
      </w:r>
      <w:r>
        <w:rPr>
          <w:spacing w:val="-3"/>
        </w:rPr>
        <w:t>la </w:t>
      </w:r>
      <w:r>
        <w:rPr/>
        <w:t>base del discurso inicial para legitimar </w:t>
      </w:r>
      <w:r>
        <w:rPr>
          <w:spacing w:val="-3"/>
        </w:rPr>
        <w:t>la </w:t>
      </w:r>
      <w:r>
        <w:rPr/>
        <w:t>política evaluativa en el ámbito  del</w:t>
      </w:r>
      <w:r>
        <w:rPr>
          <w:spacing w:val="5"/>
        </w:rPr>
        <w:t> </w:t>
      </w:r>
      <w:r>
        <w:rPr/>
        <w:t>magisterio.</w:t>
      </w:r>
    </w:p>
    <w:p>
      <w:pPr>
        <w:pStyle w:val="BodyText"/>
        <w:spacing w:line="364" w:lineRule="auto" w:before="5"/>
        <w:ind w:left="115" w:right="109" w:firstLine="686"/>
        <w:jc w:val="both"/>
      </w:pPr>
      <w:r>
        <w:rPr/>
        <w:t>Algo similar ocurrió </w:t>
      </w:r>
      <w:r>
        <w:rPr>
          <w:spacing w:val="3"/>
        </w:rPr>
        <w:t>con </w:t>
      </w:r>
      <w:r>
        <w:rPr>
          <w:spacing w:val="-3"/>
        </w:rPr>
        <w:t>la </w:t>
      </w:r>
      <w:r>
        <w:rPr/>
        <w:t>creación del Instituto Nacional de Evaluación Educativa (INEE). Para evitar la discusión en el Congreso, en parte </w:t>
      </w:r>
      <w:r>
        <w:rPr>
          <w:spacing w:val="-3"/>
        </w:rPr>
        <w:t>por  </w:t>
      </w:r>
      <w:r>
        <w:rPr/>
        <w:t>temor a  una eventual reacción de rechazo </w:t>
      </w:r>
      <w:r>
        <w:rPr>
          <w:spacing w:val="-3"/>
        </w:rPr>
        <w:t>del </w:t>
      </w:r>
      <w:r>
        <w:rPr/>
        <w:t>sindicato magisterial y </w:t>
      </w:r>
      <w:r>
        <w:rPr>
          <w:spacing w:val="-3"/>
        </w:rPr>
        <w:t>los </w:t>
      </w:r>
      <w:r>
        <w:rPr/>
        <w:t>grupos   </w:t>
      </w:r>
      <w:r>
        <w:rPr>
          <w:spacing w:val="10"/>
        </w:rPr>
        <w:t> </w:t>
      </w:r>
      <w:r>
        <w:rPr/>
        <w:t>disidentes</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5"/>
        <w:jc w:val="both"/>
      </w:pPr>
      <w:r>
        <w:rPr/>
        <w:t>y en parte por </w:t>
      </w:r>
      <w:r>
        <w:rPr>
          <w:spacing w:val="-4"/>
        </w:rPr>
        <w:t>la </w:t>
      </w:r>
      <w:r>
        <w:rPr/>
        <w:t>alianza que empezó a generar el Presidente con la dirigencia del SNTE, Fox emitió un decreto para que el INEE  se convirtiera en una institución  que evaluara los logros del aprendizaje en el ámbito de la educación básica, a través del Examen de </w:t>
      </w:r>
      <w:r>
        <w:rPr>
          <w:spacing w:val="-5"/>
        </w:rPr>
        <w:t>la </w:t>
      </w:r>
      <w:r>
        <w:rPr/>
        <w:t>Calidad y el Logro Educativos (Excale), manteniendo al margen de este proceso a gobernadores y </w:t>
      </w:r>
      <w:r>
        <w:rPr>
          <w:spacing w:val="-4"/>
        </w:rPr>
        <w:t>al </w:t>
      </w:r>
      <w:r>
        <w:rPr/>
        <w:t>Congreso. Otra de las políticas  a  favor de </w:t>
      </w:r>
      <w:r>
        <w:rPr>
          <w:spacing w:val="-3"/>
        </w:rPr>
        <w:t>la </w:t>
      </w:r>
      <w:r>
        <w:rPr/>
        <w:t>“calidad” educativa </w:t>
      </w:r>
      <w:r>
        <w:rPr>
          <w:spacing w:val="3"/>
        </w:rPr>
        <w:t>de </w:t>
      </w:r>
      <w:r>
        <w:rPr/>
        <w:t>Vicente Fox, fue </w:t>
      </w:r>
      <w:r>
        <w:rPr>
          <w:i/>
        </w:rPr>
        <w:t>Escuelas de Calidad</w:t>
      </w:r>
      <w:r>
        <w:rPr/>
        <w:t>. Nuevamente, como en los casos anteriores, se consideró que funcionaría  mejor esta propuesta </w:t>
      </w:r>
      <w:r>
        <w:rPr>
          <w:spacing w:val="3"/>
        </w:rPr>
        <w:t>si </w:t>
      </w:r>
      <w:r>
        <w:rPr/>
        <w:t>se dejaba en el marco del</w:t>
      </w:r>
      <w:r>
        <w:rPr>
          <w:spacing w:val="42"/>
        </w:rPr>
        <w:t> </w:t>
      </w:r>
      <w:r>
        <w:rPr/>
        <w:t>Ejecutivo.</w:t>
      </w:r>
    </w:p>
    <w:p>
      <w:pPr>
        <w:pStyle w:val="BodyText"/>
        <w:spacing w:line="364" w:lineRule="auto" w:before="5"/>
        <w:ind w:left="115" w:right="106" w:firstLine="686"/>
        <w:jc w:val="both"/>
      </w:pPr>
      <w:r>
        <w:rPr/>
        <w:t>El estilo de Felipe Calderón no fue muy diferente al de Fox, a partir de 2007, se impulsó desde la SEP la aplicación censal de la </w:t>
      </w:r>
      <w:r>
        <w:rPr>
          <w:i/>
        </w:rPr>
        <w:t>Evaluación Nacional de Logro </w:t>
      </w:r>
      <w:r>
        <w:rPr>
          <w:i/>
        </w:rPr>
        <w:t>Académico en Centros Escolares </w:t>
      </w:r>
      <w:r>
        <w:rPr/>
        <w:t>(Enlace), dicha política quedó en el marco del poder Ejecutivo, ni legisladores ni gobernadores tuvieron incentivos para que esta prueba se convirtiera en un instrumento de consenso que pudiera mejorar  sus rentas políticas de corto o mediano plazos.</w:t>
      </w:r>
    </w:p>
    <w:p>
      <w:pPr>
        <w:spacing w:line="364" w:lineRule="auto" w:before="5"/>
        <w:ind w:left="115" w:right="105" w:firstLine="686"/>
        <w:jc w:val="both"/>
        <w:rPr>
          <w:sz w:val="23"/>
        </w:rPr>
      </w:pPr>
      <w:r>
        <w:rPr>
          <w:sz w:val="23"/>
        </w:rPr>
        <w:t>En 2008, Felipe Calderón retomó los puntos esenciales del </w:t>
      </w:r>
      <w:r>
        <w:rPr>
          <w:i/>
          <w:sz w:val="23"/>
        </w:rPr>
        <w:t>Compromiso </w:t>
      </w:r>
      <w:r>
        <w:rPr>
          <w:i/>
          <w:sz w:val="23"/>
        </w:rPr>
        <w:t>Social por la Calidad de la Educación</w:t>
      </w:r>
      <w:r>
        <w:rPr>
          <w:sz w:val="23"/>
        </w:rPr>
        <w:t>, a través de una nueva política de mejora de  </w:t>
      </w:r>
      <w:r>
        <w:rPr>
          <w:spacing w:val="-5"/>
          <w:sz w:val="23"/>
        </w:rPr>
        <w:t>la </w:t>
      </w:r>
      <w:r>
        <w:rPr>
          <w:sz w:val="23"/>
        </w:rPr>
        <w:t>calidad, la </w:t>
      </w:r>
      <w:r>
        <w:rPr>
          <w:i/>
          <w:sz w:val="23"/>
        </w:rPr>
        <w:t>Alianza para la Calidad de la Educación, </w:t>
      </w:r>
      <w:r>
        <w:rPr>
          <w:sz w:val="23"/>
        </w:rPr>
        <w:t>con </w:t>
      </w:r>
      <w:r>
        <w:rPr>
          <w:spacing w:val="2"/>
          <w:sz w:val="23"/>
        </w:rPr>
        <w:t>el </w:t>
      </w:r>
      <w:r>
        <w:rPr>
          <w:sz w:val="23"/>
        </w:rPr>
        <w:t>objetivo de comprometer a </w:t>
      </w:r>
      <w:r>
        <w:rPr>
          <w:spacing w:val="-3"/>
          <w:sz w:val="23"/>
        </w:rPr>
        <w:t>la </w:t>
      </w:r>
      <w:r>
        <w:rPr>
          <w:sz w:val="23"/>
        </w:rPr>
        <w:t>dirigencia del SNTE, a aceptar que las plazas de  “nueva  creación” para el ejercicio de la docencia, </w:t>
      </w:r>
      <w:r>
        <w:rPr>
          <w:spacing w:val="3"/>
          <w:sz w:val="23"/>
        </w:rPr>
        <w:t>se </w:t>
      </w:r>
      <w:r>
        <w:rPr>
          <w:sz w:val="23"/>
        </w:rPr>
        <w:t>realizaran por concurso y se erradicaran algunos vicios como la </w:t>
      </w:r>
      <w:r>
        <w:rPr>
          <w:i/>
          <w:sz w:val="23"/>
        </w:rPr>
        <w:t>herencia o venta de plazas</w:t>
      </w:r>
      <w:r>
        <w:rPr>
          <w:sz w:val="23"/>
        </w:rPr>
        <w:t>, nuevamente, se  dejó de lado al Congreso y a los</w:t>
      </w:r>
      <w:r>
        <w:rPr>
          <w:spacing w:val="51"/>
          <w:sz w:val="23"/>
        </w:rPr>
        <w:t> </w:t>
      </w:r>
      <w:r>
        <w:rPr>
          <w:sz w:val="23"/>
        </w:rPr>
        <w:t>gobernadores.</w:t>
      </w:r>
    </w:p>
    <w:p>
      <w:pPr>
        <w:pStyle w:val="BodyText"/>
        <w:spacing w:line="364" w:lineRule="auto" w:before="10"/>
        <w:ind w:left="115" w:right="106" w:firstLine="686"/>
        <w:jc w:val="both"/>
      </w:pPr>
      <w:r>
        <w:rPr/>
        <w:t>Las políticas de </w:t>
      </w:r>
      <w:r>
        <w:rPr>
          <w:spacing w:val="-4"/>
        </w:rPr>
        <w:t>la </w:t>
      </w:r>
      <w:r>
        <w:rPr/>
        <w:t>calidad educativa </w:t>
      </w:r>
      <w:r>
        <w:rPr>
          <w:spacing w:val="-3"/>
        </w:rPr>
        <w:t>en </w:t>
      </w:r>
      <w:r>
        <w:rPr/>
        <w:t>México, en los sexenios panistas, tuvieron casi como únicos protagonistas al Presidente, al Secretario de Educación   y a la dirigencia nacional del SNTE, en parte por </w:t>
      </w:r>
      <w:r>
        <w:rPr>
          <w:spacing w:val="-3"/>
        </w:rPr>
        <w:t>la </w:t>
      </w:r>
      <w:r>
        <w:rPr/>
        <w:t>tradición del autoritarismo político mexicano, que tenía como institución central al Poder Ejecutivo, y en parte porque legisladores y gobernadores no han visto alguna ganancia en la política educativa.</w:t>
      </w:r>
    </w:p>
    <w:p>
      <w:pPr>
        <w:pStyle w:val="BodyText"/>
        <w:spacing w:line="364" w:lineRule="auto" w:before="5"/>
        <w:ind w:left="115" w:right="107" w:firstLine="686"/>
        <w:jc w:val="both"/>
      </w:pPr>
      <w:r>
        <w:rPr/>
        <w:t>El tipo de régimen adoptado en México hace que “el presidente” sea el actor clave en el juego de la formulación de políticas; </w:t>
      </w:r>
      <w:r>
        <w:rPr>
          <w:i/>
        </w:rPr>
        <w:t>Los poderes constitucionales </w:t>
      </w:r>
      <w:r>
        <w:rPr/>
        <w:t>contribuyen a enmarcar las relaciones entre el ejecutivo y el legislativo. A medida que los poderes constitucionales del presidente son mayores, dado el conjunto    de</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7"/>
        <w:jc w:val="both"/>
      </w:pPr>
      <w:r>
        <w:rPr/>
        <w:t>restricciones, mayor es su capacidad de introducir cambios. Estos poderes </w:t>
      </w:r>
      <w:r>
        <w:rPr>
          <w:i/>
        </w:rPr>
        <w:t>constitucionales </w:t>
      </w:r>
      <w:r>
        <w:rPr/>
        <w:t>pueden dividirse en </w:t>
      </w:r>
      <w:r>
        <w:rPr>
          <w:i/>
        </w:rPr>
        <w:t>poderes legislativos </w:t>
      </w:r>
      <w:r>
        <w:rPr/>
        <w:t>y </w:t>
      </w:r>
      <w:r>
        <w:rPr>
          <w:i/>
        </w:rPr>
        <w:t>no legislativos</w:t>
      </w:r>
      <w:r>
        <w:rPr/>
        <w:t>. </w:t>
      </w:r>
      <w:r>
        <w:rPr>
          <w:spacing w:val="-4"/>
        </w:rPr>
        <w:t>Los </w:t>
      </w:r>
      <w:r>
        <w:rPr/>
        <w:t>gobiernos de coalición salen peor posicionados, y los sistemas presidenciales en  los cuales el presidente y la legislatura representan a diferentes partidos tienen el mayor grado de dificultad para avanzar en </w:t>
      </w:r>
      <w:r>
        <w:rPr>
          <w:spacing w:val="3"/>
        </w:rPr>
        <w:t>su </w:t>
      </w:r>
      <w:r>
        <w:rPr/>
        <w:t>agenda</w:t>
      </w:r>
      <w:r>
        <w:rPr>
          <w:spacing w:val="53"/>
        </w:rPr>
        <w:t> </w:t>
      </w:r>
      <w:r>
        <w:rPr/>
        <w:t>legislativa.</w:t>
      </w:r>
    </w:p>
    <w:p>
      <w:pPr>
        <w:pStyle w:val="BodyText"/>
        <w:spacing w:line="364" w:lineRule="auto" w:before="5"/>
        <w:ind w:left="115" w:right="110" w:firstLine="686"/>
        <w:jc w:val="both"/>
      </w:pPr>
      <w:r>
        <w:rPr/>
        <w:t>La operación cotidiana de las políticas públicas depende en </w:t>
      </w:r>
      <w:r>
        <w:rPr>
          <w:spacing w:val="2"/>
        </w:rPr>
        <w:t>su </w:t>
      </w:r>
      <w:r>
        <w:rPr/>
        <w:t>totalidad de   </w:t>
      </w:r>
      <w:r>
        <w:rPr>
          <w:spacing w:val="-5"/>
        </w:rPr>
        <w:t>la </w:t>
      </w:r>
      <w:r>
        <w:rPr/>
        <w:t>burocracia gubernamental, que está subordinada al ejecutivo </w:t>
      </w:r>
      <w:r>
        <w:rPr>
          <w:spacing w:val="-4"/>
        </w:rPr>
        <w:t>y, </w:t>
      </w:r>
      <w:r>
        <w:rPr/>
        <w:t>a diferencia de  los regímenes parlamentarios, los diputados en México no tienen  posibilidad  alguna de incidir en </w:t>
      </w:r>
      <w:r>
        <w:rPr>
          <w:spacing w:val="2"/>
        </w:rPr>
        <w:t>el </w:t>
      </w:r>
      <w:r>
        <w:rPr/>
        <w:t>nombramiento o remoción de </w:t>
      </w:r>
      <w:r>
        <w:rPr>
          <w:spacing w:val="-4"/>
        </w:rPr>
        <w:t>los </w:t>
      </w:r>
      <w:r>
        <w:rPr/>
        <w:t>secretarios </w:t>
      </w:r>
      <w:r>
        <w:rPr>
          <w:spacing w:val="3"/>
        </w:rPr>
        <w:t>de </w:t>
      </w:r>
      <w:r>
        <w:rPr/>
        <w:t>Estado, ni siquiera los legisladores del partido del</w:t>
      </w:r>
      <w:r>
        <w:rPr>
          <w:spacing w:val="51"/>
        </w:rPr>
        <w:t> </w:t>
      </w:r>
      <w:r>
        <w:rPr/>
        <w:t>presidente.</w:t>
      </w:r>
    </w:p>
    <w:p>
      <w:pPr>
        <w:pStyle w:val="BodyText"/>
        <w:spacing w:line="364" w:lineRule="auto" w:before="5"/>
        <w:ind w:left="115" w:right="109" w:firstLine="686"/>
        <w:jc w:val="both"/>
      </w:pPr>
      <w:r>
        <w:rPr/>
        <w:t>Los presidentes mexicanos </w:t>
      </w:r>
      <w:r>
        <w:rPr>
          <w:spacing w:val="-3"/>
        </w:rPr>
        <w:t>que </w:t>
      </w:r>
      <w:r>
        <w:rPr/>
        <w:t>ganaron bajo las siglas del  PAN  continuaron privilegiando los intereses corporativistas, aun cuando históricamente los gobernadores tienen un papel más activo en la puesta en marcha de las políticas, y en particular de la política</w:t>
      </w:r>
      <w:r>
        <w:rPr>
          <w:spacing w:val="44"/>
        </w:rPr>
        <w:t> </w:t>
      </w:r>
      <w:r>
        <w:rPr/>
        <w:t>educativa.</w:t>
      </w:r>
    </w:p>
    <w:p>
      <w:pPr>
        <w:pStyle w:val="BodyText"/>
        <w:spacing w:line="364" w:lineRule="auto" w:before="5"/>
        <w:ind w:left="115" w:right="104" w:firstLine="686"/>
        <w:jc w:val="both"/>
      </w:pPr>
      <w:r>
        <w:rPr/>
        <w:t>Se puede afirmar que la principal característica del presidencialismo en México ha sido </w:t>
      </w:r>
      <w:r>
        <w:rPr>
          <w:spacing w:val="3"/>
        </w:rPr>
        <w:t>el </w:t>
      </w:r>
      <w:r>
        <w:rPr/>
        <w:t>reducido número de actores clave involucrados en </w:t>
      </w:r>
      <w:r>
        <w:rPr>
          <w:spacing w:val="-3"/>
        </w:rPr>
        <w:t>los </w:t>
      </w:r>
      <w:r>
        <w:rPr/>
        <w:t>juegos de poder al momento </w:t>
      </w:r>
      <w:r>
        <w:rPr>
          <w:spacing w:val="3"/>
        </w:rPr>
        <w:t>de </w:t>
      </w:r>
      <w:r>
        <w:rPr/>
        <w:t>formular políticas. Al respecto, se puede ubicar, además del Presidente, </w:t>
      </w:r>
      <w:r>
        <w:rPr>
          <w:spacing w:val="2"/>
        </w:rPr>
        <w:t>su </w:t>
      </w:r>
      <w:r>
        <w:rPr/>
        <w:t>gabinete, sus asesores y los líderes corporativistas. Los miembros más importantes del gabinete fueron el secretario de Hacienda y el secretario de Gobernación. Claro está, en el </w:t>
      </w:r>
      <w:r>
        <w:rPr>
          <w:spacing w:val="-2"/>
        </w:rPr>
        <w:t>ámbito </w:t>
      </w:r>
      <w:r>
        <w:rPr/>
        <w:t>de </w:t>
      </w:r>
      <w:r>
        <w:rPr>
          <w:spacing w:val="-4"/>
        </w:rPr>
        <w:t>la </w:t>
      </w:r>
      <w:r>
        <w:rPr/>
        <w:t>administración del sistema educativo,    el funcionario clave, fue el titular de la</w:t>
      </w:r>
      <w:r>
        <w:rPr>
          <w:spacing w:val="46"/>
        </w:rPr>
        <w:t> </w:t>
      </w:r>
      <w:r>
        <w:rPr/>
        <w:t>SEP.</w:t>
      </w:r>
    </w:p>
    <w:p>
      <w:pPr>
        <w:pStyle w:val="BodyText"/>
        <w:spacing w:line="364" w:lineRule="auto" w:before="10"/>
        <w:ind w:left="115" w:right="104" w:firstLine="686"/>
        <w:jc w:val="both"/>
      </w:pPr>
      <w:r>
        <w:rPr/>
        <w:t>El presidente, como máximo representante del poder político, con el apoyo del titular de </w:t>
      </w:r>
      <w:r>
        <w:rPr>
          <w:spacing w:val="-5"/>
        </w:rPr>
        <w:t>la </w:t>
      </w:r>
      <w:r>
        <w:rPr/>
        <w:t>SEP, podía decidir </w:t>
      </w:r>
      <w:r>
        <w:rPr>
          <w:spacing w:val="-3"/>
        </w:rPr>
        <w:t>la </w:t>
      </w:r>
      <w:r>
        <w:rPr/>
        <w:t>continuidad del líder del  SNTE.  Particularmente porque los trabajadores de </w:t>
      </w:r>
      <w:r>
        <w:rPr>
          <w:spacing w:val="-5"/>
        </w:rPr>
        <w:t>la </w:t>
      </w:r>
      <w:r>
        <w:rPr/>
        <w:t>educación son empleados del Poder Ejecutivo Federal y de los gobiernos de los estados. Pero quien define el presupuesto educativo y los </w:t>
      </w:r>
      <w:r>
        <w:rPr>
          <w:spacing w:val="-3"/>
        </w:rPr>
        <w:t>planes </w:t>
      </w:r>
      <w:r>
        <w:rPr/>
        <w:t>y programas de estudio, así como los términos de operación de </w:t>
      </w:r>
      <w:r>
        <w:rPr>
          <w:spacing w:val="-5"/>
        </w:rPr>
        <w:t>la </w:t>
      </w:r>
      <w:r>
        <w:rPr/>
        <w:t>actividad educativa, es </w:t>
      </w:r>
      <w:r>
        <w:rPr>
          <w:spacing w:val="2"/>
        </w:rPr>
        <w:t>el </w:t>
      </w:r>
      <w:r>
        <w:rPr/>
        <w:t>Presidente, a través </w:t>
      </w:r>
      <w:r>
        <w:rPr>
          <w:spacing w:val="3"/>
        </w:rPr>
        <w:t>de </w:t>
      </w:r>
      <w:r>
        <w:rPr>
          <w:spacing w:val="-3"/>
        </w:rPr>
        <w:t>la </w:t>
      </w:r>
      <w:r>
        <w:rPr/>
        <w:t>SEP. También porque el Ejecutivo, a través del Tribunal de Conciliación y Arbitraje, que depende de la Secretaría de Gobernación, tiene </w:t>
      </w:r>
      <w:r>
        <w:rPr>
          <w:spacing w:val="-4"/>
        </w:rPr>
        <w:t>la </w:t>
      </w:r>
      <w:r>
        <w:rPr/>
        <w:t>prerrogativa de reconocer a los líderes de este</w:t>
      </w:r>
      <w:r>
        <w:rPr>
          <w:spacing w:val="17"/>
        </w:rPr>
        <w:t> </w:t>
      </w:r>
      <w:r>
        <w:rPr/>
        <w:t>gremio.</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6" w:right="108" w:firstLine="686"/>
        <w:jc w:val="both"/>
      </w:pPr>
      <w:r>
        <w:rPr/>
        <w:t>Para efectos prácticos, el SNTE es un mecanismo institucional de </w:t>
      </w:r>
      <w:r>
        <w:rPr>
          <w:i/>
        </w:rPr>
        <w:t>control </w:t>
      </w:r>
      <w:r>
        <w:rPr/>
        <w:t>para efectos de </w:t>
      </w:r>
      <w:r>
        <w:rPr>
          <w:spacing w:val="-4"/>
        </w:rPr>
        <w:t>la</w:t>
      </w:r>
      <w:r>
        <w:rPr>
          <w:spacing w:val="55"/>
        </w:rPr>
        <w:t> </w:t>
      </w:r>
      <w:r>
        <w:rPr/>
        <w:t>movilización política, para </w:t>
      </w:r>
      <w:r>
        <w:rPr>
          <w:spacing w:val="-3"/>
        </w:rPr>
        <w:t>la </w:t>
      </w:r>
      <w:r>
        <w:rPr/>
        <w:t>subordinación en cuestiones laborales y para guardar </w:t>
      </w:r>
      <w:r>
        <w:rPr>
          <w:spacing w:val="-3"/>
        </w:rPr>
        <w:t>la </w:t>
      </w:r>
      <w:r>
        <w:rPr/>
        <w:t>línea ideológico-política de los planes y programas de estudios, en </w:t>
      </w:r>
      <w:r>
        <w:rPr>
          <w:spacing w:val="-3"/>
        </w:rPr>
        <w:t>materia </w:t>
      </w:r>
      <w:r>
        <w:rPr/>
        <w:t>de cuestiones profesionales, </w:t>
      </w:r>
      <w:r>
        <w:rPr>
          <w:spacing w:val="-3"/>
        </w:rPr>
        <w:t>los  </w:t>
      </w:r>
      <w:r>
        <w:rPr/>
        <w:t>dirigentes del magisterio y  aún sus miembros siempre han mostrado</w:t>
      </w:r>
      <w:r>
        <w:rPr>
          <w:spacing w:val="57"/>
        </w:rPr>
        <w:t> </w:t>
      </w:r>
      <w:r>
        <w:rPr/>
        <w:t>beligerancia.</w:t>
      </w:r>
    </w:p>
    <w:p>
      <w:pPr>
        <w:pStyle w:val="BodyText"/>
        <w:spacing w:line="364" w:lineRule="auto" w:before="5"/>
        <w:ind w:left="115" w:right="104" w:firstLine="686"/>
        <w:jc w:val="both"/>
      </w:pPr>
      <w:r>
        <w:rPr/>
        <w:t>El </w:t>
      </w:r>
      <w:r>
        <w:rPr>
          <w:i/>
        </w:rPr>
        <w:t>control </w:t>
      </w:r>
      <w:r>
        <w:rPr/>
        <w:t>corporativo se ha canjeado por canonjías profesionales,  pero sobre todo por el monopolio de la administración de las escuelas y de la misma profesión docente. Por tanto, desde </w:t>
      </w:r>
      <w:r>
        <w:rPr>
          <w:spacing w:val="3"/>
        </w:rPr>
        <w:t>su </w:t>
      </w:r>
      <w:r>
        <w:rPr/>
        <w:t>creación, la dirigencia del sindicato magisterial ha presionado a las autoridades educativas para que acepten que en parte de las áreas donde se distribuyen los principales recursos del sector  educativo se ubiquen cuadros</w:t>
      </w:r>
      <w:r>
        <w:rPr>
          <w:spacing w:val="43"/>
        </w:rPr>
        <w:t> </w:t>
      </w:r>
      <w:r>
        <w:rPr/>
        <w:t>sindicales.</w:t>
      </w:r>
    </w:p>
    <w:p>
      <w:pPr>
        <w:pStyle w:val="BodyText"/>
        <w:spacing w:line="364" w:lineRule="auto" w:before="5"/>
        <w:ind w:left="116" w:right="107" w:firstLine="686"/>
        <w:jc w:val="both"/>
      </w:pPr>
      <w:r>
        <w:rPr/>
        <w:t>El sindicato amplió </w:t>
      </w:r>
      <w:r>
        <w:rPr>
          <w:spacing w:val="3"/>
        </w:rPr>
        <w:t>su </w:t>
      </w:r>
      <w:r>
        <w:rPr/>
        <w:t>esfera de influencia, porque como lo que  es  controlado por </w:t>
      </w:r>
      <w:r>
        <w:rPr>
          <w:spacing w:val="-3"/>
        </w:rPr>
        <w:t>la </w:t>
      </w:r>
      <w:r>
        <w:rPr/>
        <w:t>SEP, </w:t>
      </w:r>
      <w:r>
        <w:rPr>
          <w:spacing w:val="-3"/>
        </w:rPr>
        <w:t>es factible </w:t>
      </w:r>
      <w:r>
        <w:rPr/>
        <w:t>de ser controlado por el SNTE, debido a </w:t>
      </w:r>
      <w:r>
        <w:rPr>
          <w:spacing w:val="-3"/>
        </w:rPr>
        <w:t>la </w:t>
      </w:r>
      <w:r>
        <w:rPr/>
        <w:t>presencia que ha alcanzado desde sus orígenes frente y dentro de </w:t>
      </w:r>
      <w:r>
        <w:rPr>
          <w:spacing w:val="-3"/>
        </w:rPr>
        <w:t>la </w:t>
      </w:r>
      <w:r>
        <w:rPr/>
        <w:t>secretaría. Ahora bien, en términos laborales, el poder del SNTE es evidente, ya que para </w:t>
      </w:r>
      <w:r>
        <w:rPr>
          <w:spacing w:val="-2"/>
        </w:rPr>
        <w:t>los </w:t>
      </w:r>
      <w:r>
        <w:rPr/>
        <w:t>asuntos </w:t>
      </w:r>
      <w:r>
        <w:rPr>
          <w:spacing w:val="3"/>
        </w:rPr>
        <w:t>de </w:t>
      </w:r>
      <w:r>
        <w:rPr/>
        <w:t>permutas y ascensos, los trabajadores de </w:t>
      </w:r>
      <w:r>
        <w:rPr>
          <w:spacing w:val="-4"/>
        </w:rPr>
        <w:t>la </w:t>
      </w:r>
      <w:r>
        <w:rPr/>
        <w:t>educación deben acudir, además de </w:t>
      </w:r>
      <w:r>
        <w:rPr>
          <w:spacing w:val="-3"/>
        </w:rPr>
        <w:t>las </w:t>
      </w:r>
      <w:r>
        <w:rPr/>
        <w:t>oficinas administrativas del sistema educativo, a los Colegiados de Asuntos Laborales tanto a nivel nacional como en  las secciones. Incluso  en el  caso </w:t>
      </w:r>
      <w:r>
        <w:rPr>
          <w:spacing w:val="2"/>
        </w:rPr>
        <w:t>de </w:t>
      </w:r>
      <w:r>
        <w:rPr/>
        <w:t>Carrera Magisterial, que según </w:t>
      </w:r>
      <w:r>
        <w:rPr>
          <w:spacing w:val="-3"/>
        </w:rPr>
        <w:t>la </w:t>
      </w:r>
      <w:r>
        <w:rPr/>
        <w:t>norma es un tipo de escalafón </w:t>
      </w:r>
      <w:r>
        <w:rPr>
          <w:spacing w:val="-3"/>
        </w:rPr>
        <w:t>que </w:t>
      </w:r>
      <w:r>
        <w:rPr/>
        <w:t>se gestiona individualmente y su valoración depende de méritos individuales que evalúa una Comisión Nacional Mixta, </w:t>
      </w:r>
      <w:r>
        <w:rPr>
          <w:spacing w:val="2"/>
        </w:rPr>
        <w:t>en </w:t>
      </w:r>
      <w:r>
        <w:rPr>
          <w:spacing w:val="-4"/>
        </w:rPr>
        <w:t>la </w:t>
      </w:r>
      <w:r>
        <w:rPr/>
        <w:t>realidad, el ingreso </w:t>
      </w:r>
      <w:r>
        <w:rPr>
          <w:spacing w:val="-4"/>
        </w:rPr>
        <w:t>lo </w:t>
      </w:r>
      <w:r>
        <w:rPr/>
        <w:t>decide el </w:t>
      </w:r>
      <w:r>
        <w:rPr>
          <w:spacing w:val="35"/>
        </w:rPr>
        <w:t> </w:t>
      </w:r>
      <w:r>
        <w:rPr/>
        <w:t>SNTE.</w:t>
      </w:r>
    </w:p>
    <w:p>
      <w:pPr>
        <w:pStyle w:val="BodyText"/>
        <w:spacing w:line="364" w:lineRule="auto" w:before="10"/>
        <w:ind w:left="116" w:right="108" w:firstLine="686"/>
        <w:jc w:val="both"/>
      </w:pPr>
      <w:r>
        <w:rPr/>
        <w:t>Diría Douglas North, citado por Ornelas “el propósito de las reglas es definir las formas en el juego que se efectúa. Pero el propósito del equipo dentro de ese conjunto de reglas es ganar el juego, mediante una combinación de habilidades, estrategia y coordinación; por las buenas y en ocasiones por medios  sucios”.</w:t>
      </w:r>
    </w:p>
    <w:p>
      <w:pPr>
        <w:pStyle w:val="BodyText"/>
        <w:spacing w:line="364" w:lineRule="auto"/>
        <w:ind w:left="116" w:right="104" w:firstLine="686"/>
        <w:jc w:val="both"/>
      </w:pPr>
      <w:r>
        <w:rPr/>
        <w:t>El grado </w:t>
      </w:r>
      <w:r>
        <w:rPr>
          <w:spacing w:val="3"/>
        </w:rPr>
        <w:t>en </w:t>
      </w:r>
      <w:r>
        <w:rPr/>
        <w:t>que se exige institucionalizar acuerdos </w:t>
      </w:r>
      <w:r>
        <w:rPr>
          <w:spacing w:val="-3"/>
        </w:rPr>
        <w:t>es </w:t>
      </w:r>
      <w:r>
        <w:rPr/>
        <w:t>otro factor que puede favorecer u obstaculizar </w:t>
      </w:r>
      <w:r>
        <w:rPr>
          <w:spacing w:val="-6"/>
        </w:rPr>
        <w:t>la </w:t>
      </w:r>
      <w:r>
        <w:rPr/>
        <w:t>cooperación. En ausencia de escenarios  adecuadamente institucionalizados (pactos, acuerdos, tratados, etc.) donde </w:t>
      </w:r>
      <w:r>
        <w:rPr>
          <w:spacing w:val="-3"/>
        </w:rPr>
        <w:t>la </w:t>
      </w:r>
      <w:r>
        <w:rPr/>
        <w:t>cooperación pueda consumarse y sostenerse en el tiempo, será difícil para los actores  políticos y sociales  mantener el compromiso inicialmente establecido y  </w:t>
      </w:r>
      <w:r>
        <w:rPr>
          <w:spacing w:val="50"/>
        </w:rPr>
        <w:t> </w:t>
      </w:r>
      <w:r>
        <w:rPr>
          <w:spacing w:val="3"/>
        </w:rPr>
        <w:t>si</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9" w:lineRule="auto" w:before="74"/>
        <w:ind w:left="115" w:right="235"/>
      </w:pPr>
      <w:r>
        <w:rPr/>
        <w:t>otorgará fragilidad </w:t>
      </w:r>
      <w:r>
        <w:rPr>
          <w:spacing w:val="3"/>
        </w:rPr>
        <w:t>al </w:t>
      </w:r>
      <w:r>
        <w:rPr/>
        <w:t>sistema; entre más alto sea el origen de </w:t>
      </w:r>
      <w:r>
        <w:rPr>
          <w:spacing w:val="-5"/>
        </w:rPr>
        <w:t>la </w:t>
      </w:r>
      <w:r>
        <w:rPr/>
        <w:t>política, más frágil   y compleja se torna</w:t>
      </w:r>
      <w:r>
        <w:rPr>
          <w:spacing w:val="29"/>
        </w:rPr>
        <w:t> </w:t>
      </w:r>
      <w:r>
        <w:rPr/>
        <w:t>esta.</w:t>
      </w:r>
    </w:p>
    <w:p>
      <w:pPr>
        <w:pStyle w:val="BodyText"/>
        <w:spacing w:line="364" w:lineRule="auto"/>
        <w:ind w:left="115" w:right="103" w:firstLine="686"/>
        <w:jc w:val="both"/>
      </w:pPr>
      <w:r>
        <w:rPr/>
        <w:t>Una ley de servicio civil no funcionará si los puestos en la burocracia siguen siendo una moneda de cambio importante utilizada por los políticos para recompensar a su base partidista y este tipo de intercambios políticos se pueden hacer entre el ejecutivo, el legislativo y los gobiernos estatales o subnacionales y algunas de las prerrogativas de negociación de cada uno de los actores, lo cual incluye líderes de partido, dirigentes sindicales o incluso  empresarios.</w:t>
      </w:r>
    </w:p>
    <w:p>
      <w:pPr>
        <w:pStyle w:val="BodyText"/>
        <w:spacing w:line="364" w:lineRule="auto" w:before="5"/>
        <w:ind w:left="115" w:right="112" w:firstLine="686"/>
        <w:jc w:val="both"/>
      </w:pPr>
      <w:r>
        <w:rPr/>
        <w:t>Los poderes constitucionales que contribuyen a enmarcar las  relaciones entre el ejecutivo y el legislativo, pueden dividirse en poderes legislativos y no legislativos, esto últimos del presidente incluyen el poder de nominar, nombrar y despedir funcionarios del gobierno, como ministros y jueces. Dichas reglas determinan su habilidad de manejar ciertas áreas del gobierno, particularmente de los funcionarios bajo su área </w:t>
      </w:r>
      <w:r>
        <w:rPr>
          <w:spacing w:val="3"/>
        </w:rPr>
        <w:t>de </w:t>
      </w:r>
      <w:r>
        <w:rPr/>
        <w:t>incumbencia en el</w:t>
      </w:r>
      <w:r>
        <w:rPr>
          <w:spacing w:val="53"/>
        </w:rPr>
        <w:t> </w:t>
      </w:r>
      <w:r>
        <w:rPr/>
        <w:t>ejecutivo.</w:t>
      </w:r>
    </w:p>
    <w:p>
      <w:pPr>
        <w:pStyle w:val="BodyText"/>
        <w:spacing w:line="364" w:lineRule="auto" w:before="5"/>
        <w:ind w:left="115" w:right="111" w:firstLine="686"/>
        <w:jc w:val="both"/>
      </w:pPr>
      <w:r>
        <w:rPr/>
        <w:t>En el caso de México, y a la par, el ejecutivo suele controlar en gran medida </w:t>
      </w:r>
      <w:r>
        <w:rPr>
          <w:spacing w:val="-5"/>
        </w:rPr>
        <w:t>la </w:t>
      </w:r>
      <w:r>
        <w:rPr/>
        <w:t>agenda legislativa, pues la constitución </w:t>
      </w:r>
      <w:r>
        <w:rPr>
          <w:spacing w:val="4"/>
        </w:rPr>
        <w:t>se </w:t>
      </w:r>
      <w:r>
        <w:rPr>
          <w:spacing w:val="-4"/>
        </w:rPr>
        <w:t>lo </w:t>
      </w:r>
      <w:r>
        <w:rPr/>
        <w:t>permite. Así, el presidente tiene el poder para iniciar legislación, de manera que puede presentar proyectos de ley en forma directa </w:t>
      </w:r>
      <w:r>
        <w:rPr>
          <w:spacing w:val="3"/>
        </w:rPr>
        <w:t>en </w:t>
      </w:r>
      <w:r>
        <w:rPr>
          <w:spacing w:val="-3"/>
        </w:rPr>
        <w:t>las </w:t>
      </w:r>
      <w:r>
        <w:rPr/>
        <w:t>cámaras federal y estatales, según lo establece el artículo 71 de </w:t>
      </w:r>
      <w:r>
        <w:rPr>
          <w:spacing w:val="-3"/>
        </w:rPr>
        <w:t>la </w:t>
      </w:r>
      <w:r>
        <w:rPr/>
        <w:t>carta magna. De hecho, la mayor parte de </w:t>
      </w:r>
      <w:r>
        <w:rPr>
          <w:spacing w:val="-5"/>
        </w:rPr>
        <w:t>la </w:t>
      </w:r>
      <w:r>
        <w:rPr/>
        <w:t>legislación crucial en México, desde </w:t>
      </w:r>
      <w:r>
        <w:rPr>
          <w:spacing w:val="-5"/>
        </w:rPr>
        <w:t>la </w:t>
      </w:r>
      <w:r>
        <w:rPr/>
        <w:t>Constitución de 1917, ha surgido de iniciativas </w:t>
      </w:r>
      <w:r>
        <w:rPr>
          <w:spacing w:val="19"/>
        </w:rPr>
        <w:t> </w:t>
      </w:r>
      <w:r>
        <w:rPr/>
        <w:t>presidenciales.</w:t>
      </w:r>
    </w:p>
    <w:p>
      <w:pPr>
        <w:pStyle w:val="BodyText"/>
        <w:spacing w:line="364" w:lineRule="auto" w:before="5"/>
        <w:ind w:left="115" w:right="103" w:firstLine="686"/>
        <w:jc w:val="both"/>
      </w:pPr>
      <w:r>
        <w:rPr/>
        <w:t>El presidente sólo puede vetar leyes que </w:t>
      </w:r>
      <w:r>
        <w:rPr>
          <w:spacing w:val="-3"/>
        </w:rPr>
        <w:t>han </w:t>
      </w:r>
      <w:r>
        <w:rPr/>
        <w:t>sido aprobadas por ambas cámaras; no tiene el derecho de vetar resoluciones que sólo requieren ser aprobadas por una sola cámara. Por otro lado, en </w:t>
      </w:r>
      <w:r>
        <w:rPr>
          <w:spacing w:val="-3"/>
        </w:rPr>
        <w:t>los </w:t>
      </w:r>
      <w:r>
        <w:rPr/>
        <w:t>hechos, </w:t>
      </w:r>
      <w:r>
        <w:rPr>
          <w:spacing w:val="3"/>
        </w:rPr>
        <w:t>el </w:t>
      </w:r>
      <w:r>
        <w:rPr/>
        <w:t>presidente puede vetar todas las leyes porque no entra en vigencia hasta </w:t>
      </w:r>
      <w:r>
        <w:rPr>
          <w:spacing w:val="-3"/>
        </w:rPr>
        <w:t>que </w:t>
      </w:r>
      <w:r>
        <w:rPr/>
        <w:t>es publicada en el </w:t>
      </w:r>
      <w:r>
        <w:rPr>
          <w:i/>
        </w:rPr>
        <w:t>Diario Oficial</w:t>
      </w:r>
      <w:r>
        <w:rPr/>
        <w:t>, según el artículo 89 constitucional, lo cual es responsabilidad del ejecutivo. Con ellos se dice que el trabajo burocrático </w:t>
      </w:r>
      <w:r>
        <w:rPr>
          <w:spacing w:val="3"/>
        </w:rPr>
        <w:t>se </w:t>
      </w:r>
      <w:r>
        <w:rPr/>
        <w:t>apega a </w:t>
      </w:r>
      <w:r>
        <w:rPr>
          <w:spacing w:val="-5"/>
        </w:rPr>
        <w:t>la </w:t>
      </w:r>
      <w:r>
        <w:rPr/>
        <w:t>ley,  y  se recurre a </w:t>
      </w:r>
      <w:r>
        <w:rPr>
          <w:spacing w:val="3"/>
        </w:rPr>
        <w:t>su </w:t>
      </w:r>
      <w:r>
        <w:rPr/>
        <w:t>modificación en caso necesario, aunque </w:t>
      </w:r>
      <w:r>
        <w:rPr>
          <w:spacing w:val="2"/>
        </w:rPr>
        <w:t>con </w:t>
      </w:r>
      <w:r>
        <w:rPr>
          <w:spacing w:val="-4"/>
        </w:rPr>
        <w:t>la </w:t>
      </w:r>
      <w:r>
        <w:rPr/>
        <w:t>importante coyuntura de los juegos de poder, </w:t>
      </w:r>
      <w:r>
        <w:rPr>
          <w:spacing w:val="-3"/>
        </w:rPr>
        <w:t>la </w:t>
      </w:r>
      <w:r>
        <w:rPr/>
        <w:t>fragilidad republicana se hace patente y de condición en un régimen como el de nuestro</w:t>
      </w:r>
      <w:r>
        <w:rPr>
          <w:spacing w:val="41"/>
        </w:rPr>
        <w:t> </w:t>
      </w:r>
      <w:r>
        <w:rPr/>
        <w:t>país.</w:t>
      </w:r>
    </w:p>
    <w:p>
      <w:pPr>
        <w:pStyle w:val="BodyText"/>
        <w:spacing w:line="369" w:lineRule="auto"/>
        <w:ind w:left="115" w:right="111" w:firstLine="686"/>
        <w:jc w:val="both"/>
      </w:pPr>
      <w:r>
        <w:rPr/>
        <w:t>De </w:t>
      </w:r>
      <w:r>
        <w:rPr>
          <w:spacing w:val="-3"/>
        </w:rPr>
        <w:t>lo </w:t>
      </w:r>
      <w:r>
        <w:rPr/>
        <w:t>anterior </w:t>
      </w:r>
      <w:r>
        <w:rPr>
          <w:spacing w:val="2"/>
        </w:rPr>
        <w:t>se </w:t>
      </w:r>
      <w:r>
        <w:rPr/>
        <w:t>desprende que, </w:t>
      </w:r>
      <w:r>
        <w:rPr>
          <w:spacing w:val="-5"/>
        </w:rPr>
        <w:t>la </w:t>
      </w:r>
      <w:r>
        <w:rPr/>
        <w:t>instrumentación de políticas que incidan sobre</w:t>
      </w:r>
      <w:r>
        <w:rPr>
          <w:spacing w:val="55"/>
        </w:rPr>
        <w:t> </w:t>
      </w:r>
      <w:r>
        <w:rPr>
          <w:spacing w:val="-5"/>
        </w:rPr>
        <w:t>la</w:t>
      </w:r>
      <w:r>
        <w:rPr>
          <w:spacing w:val="50"/>
        </w:rPr>
        <w:t> </w:t>
      </w:r>
      <w:r>
        <w:rPr/>
        <w:t>calidad</w:t>
      </w:r>
      <w:r>
        <w:rPr>
          <w:spacing w:val="50"/>
        </w:rPr>
        <w:t> </w:t>
      </w:r>
      <w:r>
        <w:rPr/>
        <w:t>y</w:t>
      </w:r>
      <w:r>
        <w:rPr>
          <w:spacing w:val="50"/>
        </w:rPr>
        <w:t> </w:t>
      </w:r>
      <w:r>
        <w:rPr/>
        <w:t>eficiencia</w:t>
      </w:r>
      <w:r>
        <w:rPr>
          <w:spacing w:val="50"/>
        </w:rPr>
        <w:t> </w:t>
      </w:r>
      <w:r>
        <w:rPr/>
        <w:t>del</w:t>
      </w:r>
      <w:r>
        <w:rPr>
          <w:spacing w:val="50"/>
        </w:rPr>
        <w:t> </w:t>
      </w:r>
      <w:r>
        <w:rPr/>
        <w:t>sistema</w:t>
      </w:r>
      <w:r>
        <w:rPr>
          <w:spacing w:val="50"/>
        </w:rPr>
        <w:t> </w:t>
      </w:r>
      <w:r>
        <w:rPr/>
        <w:t>educativo</w:t>
      </w:r>
      <w:r>
        <w:rPr>
          <w:spacing w:val="50"/>
        </w:rPr>
        <w:t> </w:t>
      </w:r>
      <w:r>
        <w:rPr/>
        <w:t>requieren</w:t>
      </w:r>
      <w:r>
        <w:rPr>
          <w:spacing w:val="50"/>
        </w:rPr>
        <w:t> </w:t>
      </w:r>
      <w:r>
        <w:rPr>
          <w:spacing w:val="-3"/>
        </w:rPr>
        <w:t>la  </w:t>
      </w:r>
      <w:r>
        <w:rPr/>
        <w:t>introducción</w:t>
      </w:r>
      <w:r>
        <w:rPr>
          <w:spacing w:val="50"/>
        </w:rPr>
        <w:t> </w:t>
      </w:r>
      <w:r>
        <w:rPr/>
        <w:t>de</w:t>
      </w:r>
    </w:p>
    <w:p>
      <w:pPr>
        <w:spacing w:after="0" w:line="369"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5" w:right="104"/>
        <w:jc w:val="both"/>
      </w:pPr>
      <w:r>
        <w:rPr/>
        <w:t>incentivos, sistemas </w:t>
      </w:r>
      <w:r>
        <w:rPr>
          <w:spacing w:val="-3"/>
        </w:rPr>
        <w:t>de </w:t>
      </w:r>
      <w:r>
        <w:rPr/>
        <w:t>supervisión, y mayor rendición de cuentas (a través de </w:t>
      </w:r>
      <w:r>
        <w:rPr>
          <w:spacing w:val="-5"/>
        </w:rPr>
        <w:t>la </w:t>
      </w:r>
      <w:r>
        <w:rPr/>
        <w:t>descentralización o la participación más activa de </w:t>
      </w:r>
      <w:r>
        <w:rPr>
          <w:spacing w:val="-3"/>
        </w:rPr>
        <w:t>los </w:t>
      </w:r>
      <w:r>
        <w:rPr/>
        <w:t>padres de familia). En </w:t>
      </w:r>
      <w:r>
        <w:rPr>
          <w:spacing w:val="-5"/>
        </w:rPr>
        <w:t>la </w:t>
      </w:r>
      <w:r>
        <w:rPr/>
        <w:t>situación actual es difícil incrementar aún más los niveles del gasto del sector educativo. Asimismo, es importante que los actores involucrados en el sector educativo establezcan prioridades </w:t>
      </w:r>
      <w:r>
        <w:rPr>
          <w:spacing w:val="3"/>
        </w:rPr>
        <w:t>en </w:t>
      </w:r>
      <w:r>
        <w:rPr>
          <w:spacing w:val="-3"/>
        </w:rPr>
        <w:t>la </w:t>
      </w:r>
      <w:r>
        <w:rPr/>
        <w:t>asignación del gasto educativo a fin de optimizar </w:t>
      </w:r>
      <w:r>
        <w:rPr>
          <w:spacing w:val="-3"/>
        </w:rPr>
        <w:t>los </w:t>
      </w:r>
      <w:r>
        <w:rPr/>
        <w:t>recursos disponibles. Para alcanzar estos objetivos es necesario construir acuerdos de </w:t>
      </w:r>
      <w:r>
        <w:rPr>
          <w:spacing w:val="-3"/>
        </w:rPr>
        <w:t>largo </w:t>
      </w:r>
      <w:r>
        <w:rPr/>
        <w:t>plazo entre los diferentes actores participantes en el sector, que nos </w:t>
      </w:r>
      <w:r>
        <w:rPr>
          <w:spacing w:val="-3"/>
        </w:rPr>
        <w:t>permitan </w:t>
      </w:r>
      <w:r>
        <w:rPr/>
        <w:t>contar con una política educativa de Estado, dados </w:t>
      </w:r>
      <w:r>
        <w:rPr>
          <w:spacing w:val="-2"/>
        </w:rPr>
        <w:t>los </w:t>
      </w:r>
      <w:r>
        <w:rPr/>
        <w:t>resultados </w:t>
      </w:r>
      <w:r>
        <w:rPr>
          <w:spacing w:val="-3"/>
        </w:rPr>
        <w:t>de </w:t>
      </w:r>
      <w:r>
        <w:rPr/>
        <w:t>las evaluaciones nacionales e internacionales. Es claro que en un  país con tantas necesidades como </w:t>
      </w:r>
      <w:r>
        <w:rPr>
          <w:spacing w:val="3"/>
        </w:rPr>
        <w:t>el </w:t>
      </w:r>
      <w:r>
        <w:rPr/>
        <w:t>nuestro </w:t>
      </w:r>
      <w:r>
        <w:rPr>
          <w:spacing w:val="2"/>
        </w:rPr>
        <w:t>se </w:t>
      </w:r>
      <w:r>
        <w:rPr/>
        <w:t>requiere trabajar en </w:t>
      </w:r>
      <w:r>
        <w:rPr>
          <w:spacing w:val="-3"/>
        </w:rPr>
        <w:t>la </w:t>
      </w:r>
      <w:r>
        <w:rPr/>
        <w:t>búsqueda de instrumentos para mejorar </w:t>
      </w:r>
      <w:r>
        <w:rPr>
          <w:spacing w:val="-3"/>
        </w:rPr>
        <w:t>la </w:t>
      </w:r>
      <w:r>
        <w:rPr/>
        <w:t>calidad y para promover un uso </w:t>
      </w:r>
      <w:r>
        <w:rPr>
          <w:spacing w:val="-3"/>
        </w:rPr>
        <w:t>más </w:t>
      </w:r>
      <w:r>
        <w:rPr/>
        <w:t>eficiente de  </w:t>
      </w:r>
      <w:r>
        <w:rPr>
          <w:spacing w:val="-2"/>
        </w:rPr>
        <w:t>los</w:t>
      </w:r>
      <w:r>
        <w:rPr>
          <w:spacing w:val="25"/>
        </w:rPr>
        <w:t> </w:t>
      </w:r>
      <w:r>
        <w:rPr/>
        <w:t>recursos.</w:t>
      </w:r>
    </w:p>
    <w:p>
      <w:pPr>
        <w:pStyle w:val="BodyText"/>
        <w:spacing w:line="367" w:lineRule="auto"/>
        <w:ind w:left="115" w:right="109" w:firstLine="686"/>
        <w:jc w:val="both"/>
      </w:pPr>
      <w:r>
        <w:rPr/>
        <w:t>Según el Plan Nacional de Desarrollo 2006-2012, el desempeño de </w:t>
      </w:r>
      <w:r>
        <w:rPr>
          <w:spacing w:val="-2"/>
        </w:rPr>
        <w:t>los </w:t>
      </w:r>
      <w:r>
        <w:rPr/>
        <w:t>estudiantes de primaria y secundaria era muy bajo en comprensión de lectura, expresión escrita y  matemáticas.  </w:t>
      </w:r>
      <w:r>
        <w:rPr>
          <w:spacing w:val="-3"/>
        </w:rPr>
        <w:t>Los  </w:t>
      </w:r>
      <w:r>
        <w:rPr/>
        <w:t>resultados  de  la  prueba  ENLACE  arrojaron que los alumnos de primaria y secundaria tienen un nivel elemental de conocimientos y mostraron que las escuelas privadas obtienen mejores resultados que  las públicas, y que los alumnos de telesecundaria, de educación comunitaria    y de </w:t>
      </w:r>
      <w:r>
        <w:rPr>
          <w:spacing w:val="-4"/>
        </w:rPr>
        <w:t>la </w:t>
      </w:r>
      <w:r>
        <w:rPr/>
        <w:t>modalidad indígena son quienes obtuvieron los puntajes </w:t>
      </w:r>
      <w:r>
        <w:rPr>
          <w:spacing w:val="-3"/>
        </w:rPr>
        <w:t>más </w:t>
      </w:r>
      <w:r>
        <w:rPr>
          <w:spacing w:val="38"/>
        </w:rPr>
        <w:t> </w:t>
      </w:r>
      <w:r>
        <w:rPr/>
        <w:t>bajos.</w:t>
      </w:r>
    </w:p>
    <w:p>
      <w:pPr>
        <w:pStyle w:val="BodyText"/>
        <w:spacing w:line="364" w:lineRule="auto"/>
        <w:ind w:left="115" w:right="103" w:firstLine="686"/>
        <w:jc w:val="both"/>
      </w:pPr>
      <w:r>
        <w:rPr/>
        <w:t>En el ámbito internacional, los resultados de la  prueba  PISA  2006 mostraron que </w:t>
      </w:r>
      <w:r>
        <w:rPr>
          <w:spacing w:val="-4"/>
        </w:rPr>
        <w:t>los </w:t>
      </w:r>
      <w:r>
        <w:rPr/>
        <w:t>conocimientos y habilidades de los alumnos mexicanos se ubicaron en el nivel básico de desempeño </w:t>
      </w:r>
      <w:r>
        <w:rPr>
          <w:spacing w:val="-3"/>
        </w:rPr>
        <w:t>en </w:t>
      </w:r>
      <w:r>
        <w:rPr/>
        <w:t>lectura, matemáticas y ciencias. En  las tres asignaturas evaluadas, México ocupó el último lugar entre los países miembros de la OCDE, </w:t>
      </w:r>
      <w:r>
        <w:rPr>
          <w:spacing w:val="-3"/>
        </w:rPr>
        <w:t>los </w:t>
      </w:r>
      <w:r>
        <w:rPr/>
        <w:t>estudiantes mexicanos quedaron como si no supieran </w:t>
      </w:r>
      <w:r>
        <w:rPr>
          <w:spacing w:val="-3"/>
        </w:rPr>
        <w:t>leer, </w:t>
      </w:r>
      <w:r>
        <w:rPr>
          <w:spacing w:val="5"/>
        </w:rPr>
        <w:t>ni </w:t>
      </w:r>
      <w:r>
        <w:rPr/>
        <w:t>escribir, </w:t>
      </w:r>
      <w:r>
        <w:rPr>
          <w:spacing w:val="5"/>
        </w:rPr>
        <w:t>ni </w:t>
      </w:r>
      <w:r>
        <w:rPr/>
        <w:t>hacer cuentas básicas; </w:t>
      </w:r>
      <w:r>
        <w:rPr>
          <w:spacing w:val="-3"/>
        </w:rPr>
        <w:t>en </w:t>
      </w:r>
      <w:r>
        <w:rPr/>
        <w:t>el comparativo de resultados, </w:t>
      </w:r>
      <w:r>
        <w:rPr>
          <w:spacing w:val="-2"/>
        </w:rPr>
        <w:t>las </w:t>
      </w:r>
      <w:r>
        <w:rPr/>
        <w:t>evaluaciones nos </w:t>
      </w:r>
      <w:r>
        <w:rPr>
          <w:spacing w:val="-3"/>
        </w:rPr>
        <w:t>han </w:t>
      </w:r>
      <w:r>
        <w:rPr/>
        <w:t>colocado en un lugar “deshonroso”, aun con relación a otras naciones con menores posibilidades educativas. Y no sólo hay una gran distancia  en cuanto al aprovechamiento escolar que separa a México </w:t>
      </w:r>
      <w:r>
        <w:rPr>
          <w:spacing w:val="3"/>
        </w:rPr>
        <w:t>de </w:t>
      </w:r>
      <w:r>
        <w:rPr/>
        <w:t>otros países del mundo. También hay una brecha en la visión, corresponsabilidad y servicio de urgencia de nuestra nación para poner el tema educativo como </w:t>
      </w:r>
      <w:r>
        <w:rPr>
          <w:spacing w:val="9"/>
        </w:rPr>
        <w:t> </w:t>
      </w:r>
      <w:r>
        <w:rPr/>
        <w:t>prioridad.</w:t>
      </w:r>
    </w:p>
    <w:p>
      <w:pPr>
        <w:spacing w:after="0" w:line="364" w:lineRule="auto"/>
        <w:jc w:val="both"/>
        <w:sectPr>
          <w:pgSz w:w="11910" w:h="16840"/>
          <w:pgMar w:header="0" w:footer="1457" w:top="1580" w:bottom="1640" w:left="1540" w:right="1540"/>
        </w:sectPr>
      </w:pPr>
    </w:p>
    <w:p>
      <w:pPr>
        <w:pStyle w:val="BodyText"/>
        <w:rPr>
          <w:sz w:val="20"/>
        </w:rPr>
      </w:pPr>
    </w:p>
    <w:p>
      <w:pPr>
        <w:pStyle w:val="BodyText"/>
        <w:spacing w:before="2"/>
        <w:rPr>
          <w:sz w:val="16"/>
        </w:rPr>
      </w:pPr>
    </w:p>
    <w:p>
      <w:pPr>
        <w:pStyle w:val="BodyText"/>
        <w:spacing w:line="364" w:lineRule="auto" w:before="74"/>
        <w:ind w:left="116" w:right="105" w:firstLine="686"/>
        <w:jc w:val="both"/>
      </w:pPr>
      <w:r>
        <w:rPr/>
        <w:t>Al seguir puntualmente a cada generación en edad  escolar encontramos  una historia </w:t>
      </w:r>
      <w:r>
        <w:rPr>
          <w:spacing w:val="2"/>
        </w:rPr>
        <w:t>de </w:t>
      </w:r>
      <w:r>
        <w:rPr/>
        <w:t>progresivo deterioro, por el efecto combinado de la inclusión tardía, </w:t>
      </w:r>
      <w:r>
        <w:rPr>
          <w:spacing w:val="-5"/>
        </w:rPr>
        <w:t>la </w:t>
      </w:r>
      <w:r>
        <w:rPr/>
        <w:t>reprobación y </w:t>
      </w:r>
      <w:r>
        <w:rPr>
          <w:spacing w:val="-5"/>
        </w:rPr>
        <w:t>la </w:t>
      </w:r>
      <w:r>
        <w:rPr/>
        <w:t>deserción. </w:t>
      </w:r>
      <w:r>
        <w:rPr>
          <w:spacing w:val="4"/>
        </w:rPr>
        <w:t>Si </w:t>
      </w:r>
      <w:r>
        <w:rPr/>
        <w:t>cada generación en nuestro país </w:t>
      </w:r>
      <w:r>
        <w:rPr>
          <w:spacing w:val="-5"/>
        </w:rPr>
        <w:t>la </w:t>
      </w:r>
      <w:r>
        <w:rPr/>
        <w:t>visualizamos como un salón de clase con cien lugares, para el primer día de primaria estarán presentes </w:t>
      </w:r>
      <w:r>
        <w:rPr>
          <w:spacing w:val="3"/>
        </w:rPr>
        <w:t>98 </w:t>
      </w:r>
      <w:r>
        <w:rPr/>
        <w:t>de cada 100 niños. Hacia el último día de la escolaridad obligatoria, en tercero de secundaria, de esa misma generación, quedarán 62 adolescentes. Apenas cruzando </w:t>
      </w:r>
      <w:r>
        <w:rPr>
          <w:spacing w:val="3"/>
        </w:rPr>
        <w:t>el </w:t>
      </w:r>
      <w:r>
        <w:rPr/>
        <w:t>verano, sólo 46 estarán efectivamente  cursando  el  bachillerato o la educación profesional técnica, y apenas </w:t>
      </w:r>
      <w:r>
        <w:rPr>
          <w:spacing w:val="-3"/>
        </w:rPr>
        <w:t>25 </w:t>
      </w:r>
      <w:r>
        <w:rPr/>
        <w:t>de ellos cerrarán ese ciclo; 13 concluirán una licenciatura en tiempo y forma, y solo dos o  tres  continuarán hacia un</w:t>
      </w:r>
      <w:r>
        <w:rPr>
          <w:spacing w:val="31"/>
        </w:rPr>
        <w:t> </w:t>
      </w:r>
      <w:r>
        <w:rPr/>
        <w:t>posgrado.</w:t>
      </w:r>
    </w:p>
    <w:p>
      <w:pPr>
        <w:pStyle w:val="BodyText"/>
        <w:spacing w:line="364" w:lineRule="auto" w:before="5"/>
        <w:ind w:left="116" w:right="105" w:firstLine="686"/>
        <w:jc w:val="both"/>
      </w:pPr>
      <w:r>
        <w:rPr/>
        <w:t>De hecho, basado en estas cifras, el compromiso económico del gobierno mexicano está por encima del de </w:t>
      </w:r>
      <w:r>
        <w:rPr>
          <w:spacing w:val="-5"/>
        </w:rPr>
        <w:t>la </w:t>
      </w:r>
      <w:r>
        <w:rPr/>
        <w:t>mayoría </w:t>
      </w:r>
      <w:r>
        <w:rPr>
          <w:spacing w:val="3"/>
        </w:rPr>
        <w:t>de </w:t>
      </w:r>
      <w:r>
        <w:rPr/>
        <w:t>los países de </w:t>
      </w:r>
      <w:r>
        <w:rPr>
          <w:spacing w:val="-3"/>
        </w:rPr>
        <w:t>la </w:t>
      </w:r>
      <w:r>
        <w:rPr/>
        <w:t>OCDE. Sin embargo, el tamaño </w:t>
      </w:r>
      <w:r>
        <w:rPr>
          <w:spacing w:val="2"/>
        </w:rPr>
        <w:t>de </w:t>
      </w:r>
      <w:r>
        <w:rPr>
          <w:spacing w:val="3"/>
        </w:rPr>
        <w:t>su </w:t>
      </w:r>
      <w:r>
        <w:rPr/>
        <w:t>población joven hace que </w:t>
      </w:r>
      <w:r>
        <w:rPr>
          <w:spacing w:val="-3"/>
        </w:rPr>
        <w:t>la </w:t>
      </w:r>
      <w:r>
        <w:rPr/>
        <w:t>cantidad gastada por estudiante resulte más bien baja. El gasto por estudiante sigue siendo bajo  para  los estándares internacionales. De manera adicional, se presentan situaciones consecuentes tales como: el abuso </w:t>
      </w:r>
      <w:r>
        <w:rPr>
          <w:spacing w:val="-3"/>
        </w:rPr>
        <w:t>en </w:t>
      </w:r>
      <w:r>
        <w:rPr/>
        <w:t>la obtención y ejercicio del presupuesto educativo; imposibilidad para formular políticas  educativas  basadas  en información; barreras al ejercicio de los derechos laborales de </w:t>
      </w:r>
      <w:r>
        <w:rPr>
          <w:spacing w:val="-3"/>
        </w:rPr>
        <w:t>los </w:t>
      </w:r>
      <w:r>
        <w:rPr/>
        <w:t>maestros, que al final desembocan en una problemática aún </w:t>
      </w:r>
      <w:r>
        <w:rPr>
          <w:spacing w:val="-3"/>
        </w:rPr>
        <w:t>más </w:t>
      </w:r>
      <w:r>
        <w:rPr/>
        <w:t>compleja como venta de plazas, acoso laboral, docentes sin perfil profesional, corrupción, manejo discrecional y político de las plazas,</w:t>
      </w:r>
      <w:r>
        <w:rPr>
          <w:spacing w:val="23"/>
        </w:rPr>
        <w:t> </w:t>
      </w:r>
      <w:r>
        <w:rPr/>
        <w:t>etc.</w:t>
      </w:r>
    </w:p>
    <w:p>
      <w:pPr>
        <w:pStyle w:val="BodyText"/>
        <w:spacing w:line="364" w:lineRule="auto" w:before="10"/>
        <w:ind w:left="116" w:right="107" w:firstLine="686"/>
        <w:jc w:val="both"/>
      </w:pPr>
      <w:r>
        <w:rPr/>
        <w:t>Empero los compromisos entre gobiernos estatales y </w:t>
      </w:r>
      <w:r>
        <w:rPr>
          <w:spacing w:val="-4"/>
        </w:rPr>
        <w:t>la </w:t>
      </w:r>
      <w:r>
        <w:rPr>
          <w:spacing w:val="2"/>
        </w:rPr>
        <w:t>SEP, </w:t>
      </w:r>
      <w:r>
        <w:rPr/>
        <w:t>no tienen amarres normativos ni en las metas ni en los plazos. En este caso, tampoco se establecieron mecanismos burocráticos de seguimiento ni  esquemas administrativos de comunicación para reportar </w:t>
      </w:r>
      <w:r>
        <w:rPr>
          <w:spacing w:val="4"/>
        </w:rPr>
        <w:t>el </w:t>
      </w:r>
      <w:r>
        <w:rPr/>
        <w:t>grado de los avances. Desde </w:t>
      </w:r>
      <w:r>
        <w:rPr>
          <w:spacing w:val="-3"/>
        </w:rPr>
        <w:t>la </w:t>
      </w:r>
      <w:r>
        <w:rPr/>
        <w:t>perspectiva </w:t>
      </w:r>
      <w:r>
        <w:rPr>
          <w:spacing w:val="2"/>
        </w:rPr>
        <w:t>de </w:t>
      </w:r>
      <w:r>
        <w:rPr/>
        <w:t>los “juegos de poder” no había nada que</w:t>
      </w:r>
      <w:r>
        <w:rPr>
          <w:spacing w:val="56"/>
        </w:rPr>
        <w:t> </w:t>
      </w:r>
      <w:r>
        <w:rPr/>
        <w:t>perder.</w:t>
      </w:r>
    </w:p>
    <w:p>
      <w:pPr>
        <w:pStyle w:val="BodyText"/>
        <w:spacing w:line="364" w:lineRule="auto" w:before="10"/>
        <w:ind w:left="116" w:right="103" w:firstLine="686"/>
        <w:jc w:val="both"/>
      </w:pPr>
      <w:r>
        <w:rPr/>
        <w:t>Reconocer el papel de la escuela no es cambiar buscar culpables sino empoderar agentes: a los maestros como a los profesores dignos y no  como peones de apoyos políticos ni como operarios de programas centralistas y a las familias en su adecuada corresponsabilidad.</w:t>
      </w:r>
    </w:p>
    <w:p>
      <w:pPr>
        <w:spacing w:after="0" w:line="364" w:lineRule="auto"/>
        <w:jc w:val="both"/>
        <w:sectPr>
          <w:footerReference w:type="default" r:id="rId123"/>
          <w:pgSz w:w="11910" w:h="16840"/>
          <w:pgMar w:footer="1457" w:header="0" w:top="1580" w:bottom="1640" w:left="1540" w:right="1540"/>
        </w:sectPr>
      </w:pPr>
    </w:p>
    <w:p>
      <w:pPr>
        <w:pStyle w:val="BodyText"/>
        <w:rPr>
          <w:sz w:val="20"/>
        </w:rPr>
      </w:pPr>
    </w:p>
    <w:p>
      <w:pPr>
        <w:pStyle w:val="BodyText"/>
        <w:spacing w:before="2"/>
        <w:rPr>
          <w:sz w:val="16"/>
        </w:rPr>
      </w:pPr>
    </w:p>
    <w:p>
      <w:pPr>
        <w:pStyle w:val="BodyText"/>
        <w:spacing w:line="364" w:lineRule="auto" w:before="74"/>
        <w:ind w:left="116" w:right="115" w:firstLine="686"/>
        <w:jc w:val="both"/>
      </w:pPr>
      <w:r>
        <w:rPr/>
        <w:t>Los actores tradicionales –políticos, funcionarios y líderes gremiales- no bastan para </w:t>
      </w:r>
      <w:r>
        <w:rPr>
          <w:spacing w:val="-4"/>
        </w:rPr>
        <w:t>la </w:t>
      </w:r>
      <w:r>
        <w:rPr/>
        <w:t>transformación educativa; es necesaria la participación de </w:t>
      </w:r>
      <w:r>
        <w:rPr>
          <w:spacing w:val="-2"/>
        </w:rPr>
        <w:t>los</w:t>
      </w:r>
      <w:r>
        <w:rPr>
          <w:spacing w:val="59"/>
        </w:rPr>
        <w:t> </w:t>
      </w:r>
      <w:r>
        <w:rPr/>
        <w:t>actores emergentes: padres, maestros, organizaciones ciudadanas y </w:t>
      </w:r>
      <w:r>
        <w:rPr>
          <w:spacing w:val="-3"/>
        </w:rPr>
        <w:t>los </w:t>
      </w:r>
      <w:r>
        <w:rPr/>
        <w:t>propios alumnos.</w:t>
      </w:r>
    </w:p>
    <w:p>
      <w:pPr>
        <w:pStyle w:val="BodyText"/>
        <w:spacing w:line="364" w:lineRule="auto" w:before="5"/>
        <w:ind w:left="116" w:right="105" w:firstLine="686"/>
        <w:jc w:val="both"/>
      </w:pPr>
      <w:r>
        <w:rPr/>
        <w:t>Y reconocer, </w:t>
      </w:r>
      <w:r>
        <w:rPr>
          <w:spacing w:val="3"/>
        </w:rPr>
        <w:t>si </w:t>
      </w:r>
      <w:r>
        <w:rPr/>
        <w:t>no aceptar, el principio hermenéutico maquiaveliano consistente en entender y explicarlas razones del poder, de </w:t>
      </w:r>
      <w:r>
        <w:rPr>
          <w:spacing w:val="-5"/>
        </w:rPr>
        <w:t>la </w:t>
      </w:r>
      <w:r>
        <w:rPr/>
        <w:t>acción y de  los hechos políticos, </w:t>
      </w:r>
      <w:r>
        <w:rPr>
          <w:spacing w:val="-4"/>
        </w:rPr>
        <w:t>ya </w:t>
      </w:r>
      <w:r>
        <w:rPr/>
        <w:t>que toda práctica política es producto de una correlación de fuerzas y razones, pudiendo las primeras ser más poderosas que las segundas  para los efectos políticos. Conceptualizar el análisis (teoría) en la coyuntura (historia), es porque toda acción y hecho político se constituyen por razones y fuerzas que los producen, de ahí que el pensar político consista siempre en identificar dichas fuerzas y clarificar tales razones, a partir de la articulación entre ambas </w:t>
      </w:r>
      <w:r>
        <w:rPr>
          <w:spacing w:val="-3"/>
        </w:rPr>
        <w:t>es </w:t>
      </w:r>
      <w:r>
        <w:rPr/>
        <w:t>que podemos desarrollar marcos que de vida a trabajos como el que tiene </w:t>
      </w:r>
      <w:r>
        <w:rPr>
          <w:spacing w:val="3"/>
        </w:rPr>
        <w:t>en </w:t>
      </w:r>
      <w:r>
        <w:rPr/>
        <w:t>sus</w:t>
      </w:r>
      <w:r>
        <w:rPr>
          <w:spacing w:val="11"/>
        </w:rPr>
        <w:t> </w:t>
      </w:r>
      <w:r>
        <w:rPr/>
        <w:t>manos.</w:t>
      </w:r>
    </w:p>
    <w:p>
      <w:pPr>
        <w:pStyle w:val="BodyText"/>
        <w:rPr>
          <w:sz w:val="22"/>
        </w:rPr>
      </w:pPr>
    </w:p>
    <w:p>
      <w:pPr>
        <w:spacing w:before="140"/>
        <w:ind w:left="5737" w:right="20" w:firstLine="0"/>
        <w:jc w:val="left"/>
        <w:rPr>
          <w:rFonts w:ascii="Comic Sans MS"/>
          <w:b/>
          <w:i/>
          <w:sz w:val="27"/>
        </w:rPr>
      </w:pPr>
      <w:r>
        <w:rPr>
          <w:rFonts w:ascii="Comic Sans MS"/>
          <w:b/>
          <w:i/>
          <w:spacing w:val="14"/>
          <w:sz w:val="27"/>
        </w:rPr>
        <w:t>Leticia </w:t>
      </w:r>
      <w:r>
        <w:rPr>
          <w:rFonts w:ascii="Comic Sans MS"/>
          <w:b/>
          <w:i/>
          <w:spacing w:val="13"/>
          <w:sz w:val="27"/>
        </w:rPr>
        <w:t>Echen</w:t>
      </w:r>
      <w:r>
        <w:rPr>
          <w:rFonts w:ascii="Comic Sans MS"/>
          <w:b/>
          <w:i/>
          <w:spacing w:val="-74"/>
          <w:sz w:val="27"/>
        </w:rPr>
        <w:t> </w:t>
      </w:r>
      <w:r>
        <w:rPr>
          <w:rFonts w:ascii="Comic Sans MS"/>
          <w:b/>
          <w:i/>
          <w:spacing w:val="7"/>
          <w:sz w:val="27"/>
        </w:rPr>
        <w:t>iq</w:t>
      </w:r>
      <w:r>
        <w:rPr>
          <w:rFonts w:ascii="Comic Sans MS"/>
          <w:b/>
          <w:i/>
          <w:spacing w:val="-82"/>
          <w:sz w:val="27"/>
        </w:rPr>
        <w:t> </w:t>
      </w:r>
      <w:r>
        <w:rPr>
          <w:rFonts w:ascii="Comic Sans MS"/>
          <w:b/>
          <w:i/>
          <w:sz w:val="27"/>
        </w:rPr>
        <w:t>u</w:t>
      </w:r>
      <w:r>
        <w:rPr>
          <w:rFonts w:ascii="Comic Sans MS"/>
          <w:b/>
          <w:i/>
          <w:spacing w:val="-78"/>
          <w:sz w:val="27"/>
        </w:rPr>
        <w:t> </w:t>
      </w:r>
      <w:r>
        <w:rPr>
          <w:rFonts w:ascii="Comic Sans MS"/>
          <w:b/>
          <w:i/>
          <w:sz w:val="27"/>
        </w:rPr>
        <w:t>e V</w:t>
      </w:r>
      <w:r>
        <w:rPr>
          <w:rFonts w:ascii="Comic Sans MS"/>
          <w:b/>
          <w:i/>
          <w:spacing w:val="-63"/>
          <w:sz w:val="27"/>
        </w:rPr>
        <w:t> </w:t>
      </w:r>
      <w:r>
        <w:rPr>
          <w:rFonts w:ascii="Comic Sans MS"/>
          <w:b/>
          <w:i/>
          <w:w w:val="95"/>
          <w:sz w:val="27"/>
        </w:rPr>
        <w:t>.</w:t>
      </w:r>
    </w:p>
    <w:p>
      <w:pPr>
        <w:spacing w:after="0"/>
        <w:jc w:val="left"/>
        <w:rPr>
          <w:rFonts w:ascii="Comic Sans MS"/>
          <w:sz w:val="27"/>
        </w:rPr>
        <w:sectPr>
          <w:footerReference w:type="default" r:id="rId124"/>
          <w:pgSz w:w="11910" w:h="16840"/>
          <w:pgMar w:footer="1457" w:header="0" w:top="1580" w:bottom="1640" w:left="1540" w:right="1540"/>
          <w:pgNumType w:start="261"/>
        </w:sectPr>
      </w:pPr>
    </w:p>
    <w:p>
      <w:pPr>
        <w:pStyle w:val="BodyText"/>
        <w:rPr>
          <w:rFonts w:ascii="Comic Sans MS"/>
          <w:b/>
          <w:i/>
          <w:sz w:val="20"/>
        </w:rPr>
      </w:pPr>
    </w:p>
    <w:p>
      <w:pPr>
        <w:pStyle w:val="BodyText"/>
        <w:spacing w:before="3"/>
        <w:rPr>
          <w:rFonts w:ascii="Comic Sans MS"/>
          <w:b/>
          <w:i/>
          <w:sz w:val="29"/>
        </w:rPr>
      </w:pPr>
    </w:p>
    <w:p>
      <w:pPr>
        <w:spacing w:before="77"/>
        <w:ind w:left="3955" w:right="3960" w:firstLine="0"/>
        <w:jc w:val="center"/>
        <w:rPr>
          <w:b/>
          <w:sz w:val="21"/>
        </w:rPr>
      </w:pPr>
      <w:r>
        <w:rPr>
          <w:b/>
          <w:sz w:val="21"/>
        </w:rPr>
        <w:t>TABLAS</w:t>
      </w:r>
    </w:p>
    <w:p>
      <w:pPr>
        <w:pStyle w:val="BodyText"/>
        <w:spacing w:before="10"/>
        <w:rPr>
          <w:b/>
          <w:sz w:val="24"/>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18"/>
        <w:gridCol w:w="6629"/>
        <w:gridCol w:w="1181"/>
      </w:tblGrid>
      <w:tr>
        <w:trPr>
          <w:trHeight w:val="744" w:hRule="exact"/>
        </w:trPr>
        <w:tc>
          <w:tcPr>
            <w:tcW w:w="1018" w:type="dxa"/>
            <w:tcBorders>
              <w:left w:val="nil"/>
            </w:tcBorders>
          </w:tcPr>
          <w:p>
            <w:pPr>
              <w:pStyle w:val="TableParagraph"/>
              <w:spacing w:line="247" w:lineRule="auto"/>
              <w:ind w:left="153" w:firstLine="67"/>
              <w:rPr>
                <w:b/>
                <w:sz w:val="21"/>
              </w:rPr>
            </w:pPr>
            <w:r>
              <w:rPr>
                <w:b/>
                <w:sz w:val="21"/>
              </w:rPr>
              <w:t>N° DE TABLA</w:t>
            </w:r>
          </w:p>
        </w:tc>
        <w:tc>
          <w:tcPr>
            <w:tcW w:w="6629" w:type="dxa"/>
          </w:tcPr>
          <w:p>
            <w:pPr>
              <w:pStyle w:val="TableParagraph"/>
              <w:spacing w:before="9"/>
              <w:rPr>
                <w:b/>
                <w:sz w:val="20"/>
              </w:rPr>
            </w:pPr>
          </w:p>
          <w:p>
            <w:pPr>
              <w:pStyle w:val="TableParagraph"/>
              <w:spacing w:before="1"/>
              <w:ind w:left="2910" w:right="2910"/>
              <w:jc w:val="center"/>
              <w:rPr>
                <w:b/>
                <w:sz w:val="21"/>
              </w:rPr>
            </w:pPr>
            <w:r>
              <w:rPr>
                <w:b/>
                <w:sz w:val="21"/>
              </w:rPr>
              <w:t>TÍTULO</w:t>
            </w:r>
          </w:p>
        </w:tc>
        <w:tc>
          <w:tcPr>
            <w:tcW w:w="1181" w:type="dxa"/>
            <w:tcBorders>
              <w:right w:val="nil"/>
            </w:tcBorders>
          </w:tcPr>
          <w:p>
            <w:pPr>
              <w:pStyle w:val="TableParagraph"/>
              <w:spacing w:before="9"/>
              <w:rPr>
                <w:b/>
                <w:sz w:val="20"/>
              </w:rPr>
            </w:pPr>
          </w:p>
          <w:p>
            <w:pPr>
              <w:pStyle w:val="TableParagraph"/>
              <w:spacing w:before="1"/>
              <w:ind w:left="156" w:right="163"/>
              <w:jc w:val="center"/>
              <w:rPr>
                <w:b/>
                <w:sz w:val="21"/>
              </w:rPr>
            </w:pPr>
            <w:r>
              <w:rPr>
                <w:b/>
                <w:sz w:val="21"/>
              </w:rPr>
              <w:t>PÁGINA</w:t>
            </w:r>
          </w:p>
        </w:tc>
      </w:tr>
      <w:tr>
        <w:trPr>
          <w:trHeight w:val="260" w:hRule="exact"/>
        </w:trPr>
        <w:tc>
          <w:tcPr>
            <w:tcW w:w="1018" w:type="dxa"/>
            <w:tcBorders>
              <w:left w:val="nil"/>
              <w:bottom w:val="nil"/>
            </w:tcBorders>
          </w:tcPr>
          <w:p>
            <w:pPr>
              <w:pStyle w:val="TableParagraph"/>
              <w:ind w:left="28"/>
              <w:jc w:val="center"/>
              <w:rPr>
                <w:sz w:val="21"/>
              </w:rPr>
            </w:pPr>
            <w:r>
              <w:rPr>
                <w:w w:val="102"/>
                <w:sz w:val="21"/>
              </w:rPr>
              <w:t>1</w:t>
            </w:r>
          </w:p>
        </w:tc>
        <w:tc>
          <w:tcPr>
            <w:tcW w:w="6629" w:type="dxa"/>
            <w:tcBorders>
              <w:bottom w:val="nil"/>
            </w:tcBorders>
          </w:tcPr>
          <w:p>
            <w:pPr>
              <w:pStyle w:val="TableParagraph"/>
              <w:ind w:left="105"/>
              <w:rPr>
                <w:sz w:val="21"/>
              </w:rPr>
            </w:pPr>
            <w:r>
              <w:rPr>
                <w:sz w:val="21"/>
              </w:rPr>
              <w:t>Evolución  de la  oposición  partidista  en  la  Cámara  de Diputados,</w:t>
            </w:r>
          </w:p>
        </w:tc>
        <w:tc>
          <w:tcPr>
            <w:tcW w:w="1181" w:type="dxa"/>
            <w:tcBorders>
              <w:bottom w:val="nil"/>
              <w:right w:val="nil"/>
            </w:tcBorders>
          </w:tcPr>
          <w:p>
            <w:pPr>
              <w:pStyle w:val="TableParagraph"/>
              <w:ind w:left="151" w:right="163"/>
              <w:jc w:val="center"/>
              <w:rPr>
                <w:sz w:val="21"/>
              </w:rPr>
            </w:pPr>
            <w:r>
              <w:rPr>
                <w:sz w:val="21"/>
              </w:rPr>
              <w:t>114</w:t>
            </w:r>
          </w:p>
        </w:tc>
      </w:tr>
      <w:tr>
        <w:trPr>
          <w:trHeight w:val="370" w:hRule="exact"/>
        </w:trPr>
        <w:tc>
          <w:tcPr>
            <w:tcW w:w="1018" w:type="dxa"/>
            <w:tcBorders>
              <w:top w:val="nil"/>
              <w:left w:val="nil"/>
              <w:bottom w:val="nil"/>
            </w:tcBorders>
          </w:tcPr>
          <w:p>
            <w:pPr/>
          </w:p>
        </w:tc>
        <w:tc>
          <w:tcPr>
            <w:tcW w:w="6629" w:type="dxa"/>
            <w:tcBorders>
              <w:top w:val="nil"/>
              <w:bottom w:val="nil"/>
            </w:tcBorders>
          </w:tcPr>
          <w:p>
            <w:pPr>
              <w:pStyle w:val="TableParagraph"/>
              <w:spacing w:line="236" w:lineRule="exact"/>
              <w:ind w:left="105"/>
              <w:rPr>
                <w:sz w:val="21"/>
              </w:rPr>
            </w:pPr>
            <w:r>
              <w:rPr>
                <w:sz w:val="21"/>
              </w:rPr>
              <w:t>1961-2003.</w:t>
            </w:r>
          </w:p>
        </w:tc>
        <w:tc>
          <w:tcPr>
            <w:tcW w:w="1181" w:type="dxa"/>
            <w:tcBorders>
              <w:top w:val="nil"/>
              <w:bottom w:val="nil"/>
              <w:right w:val="nil"/>
            </w:tcBorders>
          </w:tcPr>
          <w:p>
            <w:pPr/>
          </w:p>
        </w:tc>
      </w:tr>
      <w:tr>
        <w:trPr>
          <w:trHeight w:val="370" w:hRule="exact"/>
        </w:trPr>
        <w:tc>
          <w:tcPr>
            <w:tcW w:w="1018" w:type="dxa"/>
            <w:tcBorders>
              <w:top w:val="nil"/>
              <w:left w:val="nil"/>
              <w:bottom w:val="nil"/>
            </w:tcBorders>
          </w:tcPr>
          <w:p>
            <w:pPr>
              <w:pStyle w:val="TableParagraph"/>
              <w:spacing w:before="114"/>
              <w:ind w:left="28"/>
              <w:jc w:val="center"/>
              <w:rPr>
                <w:sz w:val="21"/>
              </w:rPr>
            </w:pPr>
            <w:r>
              <w:rPr>
                <w:w w:val="102"/>
                <w:sz w:val="21"/>
              </w:rPr>
              <w:t>2</w:t>
            </w:r>
          </w:p>
        </w:tc>
        <w:tc>
          <w:tcPr>
            <w:tcW w:w="6629" w:type="dxa"/>
            <w:tcBorders>
              <w:top w:val="nil"/>
              <w:bottom w:val="nil"/>
            </w:tcBorders>
          </w:tcPr>
          <w:p>
            <w:pPr>
              <w:pStyle w:val="TableParagraph"/>
              <w:spacing w:before="114"/>
              <w:ind w:left="105"/>
              <w:rPr>
                <w:sz w:val="21"/>
              </w:rPr>
            </w:pPr>
            <w:r>
              <w:rPr>
                <w:sz w:val="21"/>
              </w:rPr>
              <w:t>Evolución  de  la  oposición  partidista  en la  Cámara  de Senadores</w:t>
            </w:r>
          </w:p>
        </w:tc>
        <w:tc>
          <w:tcPr>
            <w:tcW w:w="1181" w:type="dxa"/>
            <w:tcBorders>
              <w:top w:val="nil"/>
              <w:bottom w:val="nil"/>
              <w:right w:val="nil"/>
            </w:tcBorders>
          </w:tcPr>
          <w:p>
            <w:pPr>
              <w:pStyle w:val="TableParagraph"/>
              <w:spacing w:before="114"/>
              <w:ind w:left="151" w:right="163"/>
              <w:jc w:val="center"/>
              <w:rPr>
                <w:sz w:val="21"/>
              </w:rPr>
            </w:pPr>
            <w:r>
              <w:rPr>
                <w:sz w:val="21"/>
              </w:rPr>
              <w:t>116</w:t>
            </w:r>
          </w:p>
        </w:tc>
      </w:tr>
      <w:tr>
        <w:trPr>
          <w:trHeight w:val="370" w:hRule="exact"/>
        </w:trPr>
        <w:tc>
          <w:tcPr>
            <w:tcW w:w="1018" w:type="dxa"/>
            <w:tcBorders>
              <w:top w:val="nil"/>
              <w:left w:val="nil"/>
              <w:bottom w:val="nil"/>
            </w:tcBorders>
          </w:tcPr>
          <w:p>
            <w:pPr/>
          </w:p>
        </w:tc>
        <w:tc>
          <w:tcPr>
            <w:tcW w:w="6629" w:type="dxa"/>
            <w:tcBorders>
              <w:top w:val="nil"/>
              <w:bottom w:val="nil"/>
            </w:tcBorders>
          </w:tcPr>
          <w:p>
            <w:pPr>
              <w:pStyle w:val="TableParagraph"/>
              <w:spacing w:line="236" w:lineRule="exact"/>
              <w:ind w:left="105"/>
              <w:rPr>
                <w:sz w:val="21"/>
              </w:rPr>
            </w:pPr>
            <w:r>
              <w:rPr>
                <w:sz w:val="21"/>
              </w:rPr>
              <w:t>1988-2003</w:t>
            </w:r>
          </w:p>
        </w:tc>
        <w:tc>
          <w:tcPr>
            <w:tcW w:w="1181" w:type="dxa"/>
            <w:tcBorders>
              <w:top w:val="nil"/>
              <w:bottom w:val="nil"/>
              <w:right w:val="nil"/>
            </w:tcBorders>
          </w:tcPr>
          <w:p>
            <w:pPr/>
          </w:p>
        </w:tc>
      </w:tr>
      <w:tr>
        <w:trPr>
          <w:trHeight w:val="367" w:hRule="exact"/>
        </w:trPr>
        <w:tc>
          <w:tcPr>
            <w:tcW w:w="1018" w:type="dxa"/>
            <w:tcBorders>
              <w:top w:val="nil"/>
              <w:left w:val="nil"/>
              <w:bottom w:val="nil"/>
            </w:tcBorders>
          </w:tcPr>
          <w:p>
            <w:pPr>
              <w:pStyle w:val="TableParagraph"/>
              <w:spacing w:before="114"/>
              <w:ind w:left="28"/>
              <w:jc w:val="center"/>
              <w:rPr>
                <w:sz w:val="21"/>
              </w:rPr>
            </w:pPr>
            <w:r>
              <w:rPr>
                <w:w w:val="102"/>
                <w:sz w:val="21"/>
              </w:rPr>
              <w:t>3</w:t>
            </w:r>
          </w:p>
        </w:tc>
        <w:tc>
          <w:tcPr>
            <w:tcW w:w="6629" w:type="dxa"/>
            <w:tcBorders>
              <w:top w:val="nil"/>
              <w:bottom w:val="nil"/>
            </w:tcBorders>
          </w:tcPr>
          <w:p>
            <w:pPr>
              <w:pStyle w:val="TableParagraph"/>
              <w:spacing w:before="114"/>
              <w:ind w:left="105"/>
              <w:rPr>
                <w:sz w:val="21"/>
              </w:rPr>
            </w:pPr>
            <w:r>
              <w:rPr>
                <w:sz w:val="21"/>
              </w:rPr>
              <w:t>Fortaleza política del partido del presidente en los ámbitos federal</w:t>
            </w:r>
          </w:p>
        </w:tc>
        <w:tc>
          <w:tcPr>
            <w:tcW w:w="1181" w:type="dxa"/>
            <w:tcBorders>
              <w:top w:val="nil"/>
              <w:bottom w:val="nil"/>
              <w:right w:val="nil"/>
            </w:tcBorders>
          </w:tcPr>
          <w:p>
            <w:pPr>
              <w:pStyle w:val="TableParagraph"/>
              <w:spacing w:before="114"/>
              <w:ind w:left="151" w:right="163"/>
              <w:jc w:val="center"/>
              <w:rPr>
                <w:sz w:val="21"/>
              </w:rPr>
            </w:pPr>
            <w:r>
              <w:rPr>
                <w:sz w:val="21"/>
              </w:rPr>
              <w:t>117</w:t>
            </w:r>
          </w:p>
        </w:tc>
      </w:tr>
      <w:tr>
        <w:trPr>
          <w:trHeight w:val="370" w:hRule="exact"/>
        </w:trPr>
        <w:tc>
          <w:tcPr>
            <w:tcW w:w="1018" w:type="dxa"/>
            <w:tcBorders>
              <w:top w:val="nil"/>
              <w:left w:val="nil"/>
              <w:bottom w:val="nil"/>
            </w:tcBorders>
          </w:tcPr>
          <w:p>
            <w:pPr/>
          </w:p>
        </w:tc>
        <w:tc>
          <w:tcPr>
            <w:tcW w:w="6629" w:type="dxa"/>
            <w:tcBorders>
              <w:top w:val="nil"/>
              <w:bottom w:val="nil"/>
            </w:tcBorders>
          </w:tcPr>
          <w:p>
            <w:pPr>
              <w:pStyle w:val="TableParagraph"/>
              <w:spacing w:line="234" w:lineRule="exact"/>
              <w:ind w:left="105"/>
              <w:rPr>
                <w:sz w:val="21"/>
              </w:rPr>
            </w:pPr>
            <w:r>
              <w:rPr>
                <w:sz w:val="21"/>
              </w:rPr>
              <w:t>y local</w:t>
            </w:r>
          </w:p>
        </w:tc>
        <w:tc>
          <w:tcPr>
            <w:tcW w:w="1181" w:type="dxa"/>
            <w:tcBorders>
              <w:top w:val="nil"/>
              <w:bottom w:val="nil"/>
              <w:right w:val="nil"/>
            </w:tcBorders>
          </w:tcPr>
          <w:p>
            <w:pPr/>
          </w:p>
        </w:tc>
      </w:tr>
      <w:tr>
        <w:trPr>
          <w:trHeight w:val="370" w:hRule="exact"/>
        </w:trPr>
        <w:tc>
          <w:tcPr>
            <w:tcW w:w="1018" w:type="dxa"/>
            <w:tcBorders>
              <w:top w:val="nil"/>
              <w:left w:val="nil"/>
              <w:bottom w:val="nil"/>
            </w:tcBorders>
          </w:tcPr>
          <w:p>
            <w:pPr>
              <w:pStyle w:val="TableParagraph"/>
              <w:spacing w:before="117"/>
              <w:ind w:left="28"/>
              <w:jc w:val="center"/>
              <w:rPr>
                <w:sz w:val="21"/>
              </w:rPr>
            </w:pPr>
            <w:r>
              <w:rPr>
                <w:w w:val="102"/>
                <w:sz w:val="21"/>
              </w:rPr>
              <w:t>4</w:t>
            </w:r>
          </w:p>
        </w:tc>
        <w:tc>
          <w:tcPr>
            <w:tcW w:w="6629" w:type="dxa"/>
            <w:tcBorders>
              <w:top w:val="nil"/>
              <w:bottom w:val="nil"/>
            </w:tcBorders>
          </w:tcPr>
          <w:p>
            <w:pPr>
              <w:pStyle w:val="TableParagraph"/>
              <w:spacing w:before="117"/>
              <w:ind w:left="105"/>
              <w:rPr>
                <w:sz w:val="21"/>
              </w:rPr>
            </w:pPr>
            <w:r>
              <w:rPr>
                <w:sz w:val="21"/>
              </w:rPr>
              <w:t>Iniciativas   de   educación  básica   aprobadas   en  las   LVIII  y LIX</w:t>
            </w:r>
          </w:p>
        </w:tc>
        <w:tc>
          <w:tcPr>
            <w:tcW w:w="1181" w:type="dxa"/>
            <w:tcBorders>
              <w:top w:val="nil"/>
              <w:bottom w:val="nil"/>
              <w:right w:val="nil"/>
            </w:tcBorders>
          </w:tcPr>
          <w:p>
            <w:pPr>
              <w:pStyle w:val="TableParagraph"/>
              <w:spacing w:before="117"/>
              <w:ind w:left="151" w:right="163"/>
              <w:jc w:val="center"/>
              <w:rPr>
                <w:sz w:val="21"/>
              </w:rPr>
            </w:pPr>
            <w:r>
              <w:rPr>
                <w:sz w:val="21"/>
              </w:rPr>
              <w:t>120</w:t>
            </w:r>
          </w:p>
        </w:tc>
      </w:tr>
      <w:tr>
        <w:trPr>
          <w:trHeight w:val="370" w:hRule="exact"/>
        </w:trPr>
        <w:tc>
          <w:tcPr>
            <w:tcW w:w="1018" w:type="dxa"/>
            <w:tcBorders>
              <w:top w:val="nil"/>
              <w:left w:val="nil"/>
              <w:bottom w:val="nil"/>
            </w:tcBorders>
          </w:tcPr>
          <w:p>
            <w:pPr/>
          </w:p>
        </w:tc>
        <w:tc>
          <w:tcPr>
            <w:tcW w:w="6629" w:type="dxa"/>
            <w:tcBorders>
              <w:top w:val="nil"/>
              <w:bottom w:val="nil"/>
            </w:tcBorders>
          </w:tcPr>
          <w:p>
            <w:pPr>
              <w:pStyle w:val="TableParagraph"/>
              <w:spacing w:line="234" w:lineRule="exact"/>
              <w:ind w:left="105"/>
              <w:rPr>
                <w:sz w:val="21"/>
              </w:rPr>
            </w:pPr>
            <w:r>
              <w:rPr>
                <w:sz w:val="21"/>
              </w:rPr>
              <w:t>legislaturas de la Cámara de  Diputados</w:t>
            </w:r>
          </w:p>
        </w:tc>
        <w:tc>
          <w:tcPr>
            <w:tcW w:w="1181" w:type="dxa"/>
            <w:tcBorders>
              <w:top w:val="nil"/>
              <w:bottom w:val="nil"/>
              <w:right w:val="nil"/>
            </w:tcBorders>
          </w:tcPr>
          <w:p>
            <w:pPr/>
          </w:p>
        </w:tc>
      </w:tr>
      <w:tr>
        <w:trPr>
          <w:trHeight w:val="370" w:hRule="exact"/>
        </w:trPr>
        <w:tc>
          <w:tcPr>
            <w:tcW w:w="1018" w:type="dxa"/>
            <w:tcBorders>
              <w:top w:val="nil"/>
              <w:left w:val="nil"/>
              <w:bottom w:val="nil"/>
            </w:tcBorders>
          </w:tcPr>
          <w:p>
            <w:pPr>
              <w:pStyle w:val="TableParagraph"/>
              <w:spacing w:before="117"/>
              <w:ind w:left="28"/>
              <w:jc w:val="center"/>
              <w:rPr>
                <w:sz w:val="21"/>
              </w:rPr>
            </w:pPr>
            <w:r>
              <w:rPr>
                <w:w w:val="102"/>
                <w:sz w:val="21"/>
              </w:rPr>
              <w:t>5</w:t>
            </w:r>
          </w:p>
        </w:tc>
        <w:tc>
          <w:tcPr>
            <w:tcW w:w="6629" w:type="dxa"/>
            <w:tcBorders>
              <w:top w:val="nil"/>
              <w:bottom w:val="nil"/>
            </w:tcBorders>
          </w:tcPr>
          <w:p>
            <w:pPr>
              <w:pStyle w:val="TableParagraph"/>
              <w:spacing w:before="117"/>
              <w:ind w:left="105"/>
              <w:rPr>
                <w:sz w:val="21"/>
              </w:rPr>
            </w:pPr>
            <w:r>
              <w:rPr>
                <w:sz w:val="21"/>
              </w:rPr>
              <w:t>Nivel   de   involucramiento   de   </w:t>
            </w:r>
            <w:r>
              <w:rPr>
                <w:spacing w:val="-3"/>
                <w:sz w:val="21"/>
              </w:rPr>
              <w:t>las   </w:t>
            </w:r>
            <w:r>
              <w:rPr>
                <w:sz w:val="21"/>
              </w:rPr>
              <w:t>entidades   federativas   en </w:t>
            </w:r>
            <w:r>
              <w:rPr>
                <w:spacing w:val="52"/>
                <w:sz w:val="21"/>
              </w:rPr>
              <w:t> </w:t>
            </w:r>
            <w:r>
              <w:rPr>
                <w:sz w:val="21"/>
              </w:rPr>
              <w:t>la</w:t>
            </w:r>
          </w:p>
        </w:tc>
        <w:tc>
          <w:tcPr>
            <w:tcW w:w="1181" w:type="dxa"/>
            <w:tcBorders>
              <w:top w:val="nil"/>
              <w:bottom w:val="nil"/>
              <w:right w:val="nil"/>
            </w:tcBorders>
          </w:tcPr>
          <w:p>
            <w:pPr>
              <w:pStyle w:val="TableParagraph"/>
              <w:spacing w:before="117"/>
              <w:ind w:left="151" w:right="163"/>
              <w:jc w:val="center"/>
              <w:rPr>
                <w:sz w:val="21"/>
              </w:rPr>
            </w:pPr>
            <w:r>
              <w:rPr>
                <w:sz w:val="21"/>
              </w:rPr>
              <w:t>129</w:t>
            </w:r>
          </w:p>
        </w:tc>
      </w:tr>
      <w:tr>
        <w:trPr>
          <w:trHeight w:val="370" w:hRule="exact"/>
        </w:trPr>
        <w:tc>
          <w:tcPr>
            <w:tcW w:w="1018" w:type="dxa"/>
            <w:tcBorders>
              <w:top w:val="nil"/>
              <w:left w:val="nil"/>
              <w:bottom w:val="nil"/>
            </w:tcBorders>
          </w:tcPr>
          <w:p>
            <w:pPr/>
          </w:p>
        </w:tc>
        <w:tc>
          <w:tcPr>
            <w:tcW w:w="6629" w:type="dxa"/>
            <w:tcBorders>
              <w:top w:val="nil"/>
              <w:bottom w:val="nil"/>
            </w:tcBorders>
          </w:tcPr>
          <w:p>
            <w:pPr>
              <w:pStyle w:val="TableParagraph"/>
              <w:spacing w:line="234" w:lineRule="exact"/>
              <w:ind w:left="105"/>
              <w:rPr>
                <w:sz w:val="21"/>
              </w:rPr>
            </w:pPr>
            <w:r>
              <w:rPr>
                <w:sz w:val="21"/>
              </w:rPr>
              <w:t>educación básica antes de la  descentralización</w:t>
            </w:r>
          </w:p>
        </w:tc>
        <w:tc>
          <w:tcPr>
            <w:tcW w:w="1181" w:type="dxa"/>
            <w:tcBorders>
              <w:top w:val="nil"/>
              <w:bottom w:val="nil"/>
              <w:right w:val="nil"/>
            </w:tcBorders>
          </w:tcPr>
          <w:p>
            <w:pPr/>
          </w:p>
        </w:tc>
      </w:tr>
      <w:tr>
        <w:trPr>
          <w:trHeight w:val="492" w:hRule="exact"/>
        </w:trPr>
        <w:tc>
          <w:tcPr>
            <w:tcW w:w="1018" w:type="dxa"/>
            <w:tcBorders>
              <w:top w:val="nil"/>
              <w:left w:val="nil"/>
              <w:bottom w:val="nil"/>
            </w:tcBorders>
          </w:tcPr>
          <w:p>
            <w:pPr>
              <w:pStyle w:val="TableParagraph"/>
              <w:spacing w:before="117"/>
              <w:ind w:left="28"/>
              <w:jc w:val="center"/>
              <w:rPr>
                <w:sz w:val="21"/>
              </w:rPr>
            </w:pPr>
            <w:r>
              <w:rPr>
                <w:w w:val="102"/>
                <w:sz w:val="21"/>
              </w:rPr>
              <w:t>6</w:t>
            </w:r>
          </w:p>
        </w:tc>
        <w:tc>
          <w:tcPr>
            <w:tcW w:w="6629" w:type="dxa"/>
            <w:tcBorders>
              <w:top w:val="nil"/>
              <w:bottom w:val="nil"/>
            </w:tcBorders>
          </w:tcPr>
          <w:p>
            <w:pPr>
              <w:pStyle w:val="TableParagraph"/>
              <w:spacing w:before="117"/>
              <w:ind w:left="105"/>
              <w:rPr>
                <w:sz w:val="21"/>
              </w:rPr>
            </w:pPr>
            <w:r>
              <w:rPr>
                <w:sz w:val="21"/>
              </w:rPr>
              <w:t>Gasto nacional en educación por tipo de financiamiento  1993-2011</w:t>
            </w:r>
          </w:p>
        </w:tc>
        <w:tc>
          <w:tcPr>
            <w:tcW w:w="1181" w:type="dxa"/>
            <w:tcBorders>
              <w:top w:val="nil"/>
              <w:bottom w:val="nil"/>
              <w:right w:val="nil"/>
            </w:tcBorders>
          </w:tcPr>
          <w:p>
            <w:pPr>
              <w:pStyle w:val="TableParagraph"/>
              <w:spacing w:before="117"/>
              <w:ind w:left="151" w:right="163"/>
              <w:jc w:val="center"/>
              <w:rPr>
                <w:sz w:val="21"/>
              </w:rPr>
            </w:pPr>
            <w:r>
              <w:rPr>
                <w:sz w:val="21"/>
              </w:rPr>
              <w:t>136</w:t>
            </w:r>
          </w:p>
        </w:tc>
      </w:tr>
      <w:tr>
        <w:trPr>
          <w:trHeight w:val="370" w:hRule="exact"/>
        </w:trPr>
        <w:tc>
          <w:tcPr>
            <w:tcW w:w="1018" w:type="dxa"/>
            <w:tcBorders>
              <w:top w:val="nil"/>
              <w:left w:val="nil"/>
              <w:bottom w:val="nil"/>
            </w:tcBorders>
          </w:tcPr>
          <w:p>
            <w:pPr>
              <w:pStyle w:val="TableParagraph"/>
              <w:spacing w:before="114"/>
              <w:ind w:left="28"/>
              <w:jc w:val="center"/>
              <w:rPr>
                <w:sz w:val="21"/>
              </w:rPr>
            </w:pPr>
            <w:r>
              <w:rPr>
                <w:w w:val="102"/>
                <w:sz w:val="21"/>
              </w:rPr>
              <w:t>7</w:t>
            </w:r>
          </w:p>
        </w:tc>
        <w:tc>
          <w:tcPr>
            <w:tcW w:w="6629" w:type="dxa"/>
            <w:tcBorders>
              <w:top w:val="nil"/>
              <w:bottom w:val="nil"/>
            </w:tcBorders>
          </w:tcPr>
          <w:p>
            <w:pPr>
              <w:pStyle w:val="TableParagraph"/>
              <w:spacing w:before="114"/>
              <w:ind w:left="105"/>
              <w:rPr>
                <w:sz w:val="21"/>
              </w:rPr>
            </w:pPr>
            <w:r>
              <w:rPr>
                <w:sz w:val="21"/>
              </w:rPr>
              <w:t>Niveles   de   reprobación,   deserción   y   eficiencia   terminal  en la</w:t>
            </w:r>
          </w:p>
        </w:tc>
        <w:tc>
          <w:tcPr>
            <w:tcW w:w="1181" w:type="dxa"/>
            <w:tcBorders>
              <w:top w:val="nil"/>
              <w:bottom w:val="nil"/>
              <w:right w:val="nil"/>
            </w:tcBorders>
          </w:tcPr>
          <w:p>
            <w:pPr>
              <w:pStyle w:val="TableParagraph"/>
              <w:spacing w:before="114"/>
              <w:ind w:left="151" w:right="163"/>
              <w:jc w:val="center"/>
              <w:rPr>
                <w:sz w:val="21"/>
              </w:rPr>
            </w:pPr>
            <w:r>
              <w:rPr>
                <w:sz w:val="21"/>
              </w:rPr>
              <w:t>153</w:t>
            </w:r>
          </w:p>
        </w:tc>
      </w:tr>
      <w:tr>
        <w:trPr>
          <w:trHeight w:val="370" w:hRule="exact"/>
        </w:trPr>
        <w:tc>
          <w:tcPr>
            <w:tcW w:w="1018" w:type="dxa"/>
            <w:tcBorders>
              <w:top w:val="nil"/>
              <w:left w:val="nil"/>
              <w:bottom w:val="nil"/>
            </w:tcBorders>
          </w:tcPr>
          <w:p>
            <w:pPr/>
          </w:p>
        </w:tc>
        <w:tc>
          <w:tcPr>
            <w:tcW w:w="6629" w:type="dxa"/>
            <w:tcBorders>
              <w:top w:val="nil"/>
              <w:bottom w:val="nil"/>
            </w:tcBorders>
          </w:tcPr>
          <w:p>
            <w:pPr>
              <w:pStyle w:val="TableParagraph"/>
              <w:spacing w:line="236" w:lineRule="exact"/>
              <w:ind w:left="105"/>
              <w:rPr>
                <w:sz w:val="21"/>
              </w:rPr>
            </w:pPr>
            <w:r>
              <w:rPr>
                <w:sz w:val="21"/>
              </w:rPr>
              <w:t>educación básica (1976-1991)</w:t>
            </w:r>
          </w:p>
        </w:tc>
        <w:tc>
          <w:tcPr>
            <w:tcW w:w="1181" w:type="dxa"/>
            <w:tcBorders>
              <w:top w:val="nil"/>
              <w:bottom w:val="nil"/>
              <w:right w:val="nil"/>
            </w:tcBorders>
          </w:tcPr>
          <w:p>
            <w:pPr/>
          </w:p>
        </w:tc>
      </w:tr>
      <w:tr>
        <w:trPr>
          <w:trHeight w:val="370" w:hRule="exact"/>
        </w:trPr>
        <w:tc>
          <w:tcPr>
            <w:tcW w:w="1018" w:type="dxa"/>
            <w:tcBorders>
              <w:top w:val="nil"/>
              <w:left w:val="nil"/>
              <w:bottom w:val="nil"/>
            </w:tcBorders>
          </w:tcPr>
          <w:p>
            <w:pPr>
              <w:pStyle w:val="TableParagraph"/>
              <w:spacing w:before="114"/>
              <w:ind w:left="28"/>
              <w:jc w:val="center"/>
              <w:rPr>
                <w:sz w:val="21"/>
              </w:rPr>
            </w:pPr>
            <w:r>
              <w:rPr>
                <w:w w:val="102"/>
                <w:sz w:val="21"/>
              </w:rPr>
              <w:t>8</w:t>
            </w:r>
          </w:p>
        </w:tc>
        <w:tc>
          <w:tcPr>
            <w:tcW w:w="6629" w:type="dxa"/>
            <w:tcBorders>
              <w:top w:val="nil"/>
              <w:bottom w:val="nil"/>
            </w:tcBorders>
          </w:tcPr>
          <w:p>
            <w:pPr>
              <w:pStyle w:val="TableParagraph"/>
              <w:spacing w:before="114"/>
              <w:ind w:left="105"/>
              <w:rPr>
                <w:sz w:val="21"/>
              </w:rPr>
            </w:pPr>
            <w:r>
              <w:rPr>
                <w:sz w:val="21"/>
              </w:rPr>
              <w:t>Prueba de competencia  para la vida. Puebla, 1992  (Porcentaje   de</w:t>
            </w:r>
          </w:p>
        </w:tc>
        <w:tc>
          <w:tcPr>
            <w:tcW w:w="1181" w:type="dxa"/>
            <w:tcBorders>
              <w:top w:val="nil"/>
              <w:bottom w:val="nil"/>
              <w:right w:val="nil"/>
            </w:tcBorders>
          </w:tcPr>
          <w:p>
            <w:pPr>
              <w:pStyle w:val="TableParagraph"/>
              <w:spacing w:before="114"/>
              <w:ind w:left="151" w:right="163"/>
              <w:jc w:val="center"/>
              <w:rPr>
                <w:sz w:val="21"/>
              </w:rPr>
            </w:pPr>
            <w:r>
              <w:rPr>
                <w:sz w:val="21"/>
              </w:rPr>
              <w:t>155</w:t>
            </w:r>
          </w:p>
        </w:tc>
      </w:tr>
      <w:tr>
        <w:trPr>
          <w:trHeight w:val="370" w:hRule="exact"/>
        </w:trPr>
        <w:tc>
          <w:tcPr>
            <w:tcW w:w="1018" w:type="dxa"/>
            <w:tcBorders>
              <w:top w:val="nil"/>
              <w:left w:val="nil"/>
              <w:bottom w:val="nil"/>
            </w:tcBorders>
          </w:tcPr>
          <w:p>
            <w:pPr/>
          </w:p>
        </w:tc>
        <w:tc>
          <w:tcPr>
            <w:tcW w:w="6629" w:type="dxa"/>
            <w:tcBorders>
              <w:top w:val="nil"/>
              <w:bottom w:val="nil"/>
            </w:tcBorders>
          </w:tcPr>
          <w:p>
            <w:pPr>
              <w:pStyle w:val="TableParagraph"/>
              <w:spacing w:line="236" w:lineRule="exact"/>
              <w:ind w:left="105"/>
              <w:rPr>
                <w:sz w:val="21"/>
              </w:rPr>
            </w:pPr>
            <w:r>
              <w:rPr>
                <w:sz w:val="21"/>
              </w:rPr>
              <w:t>aciertos)</w:t>
            </w:r>
          </w:p>
        </w:tc>
        <w:tc>
          <w:tcPr>
            <w:tcW w:w="1181" w:type="dxa"/>
            <w:tcBorders>
              <w:top w:val="nil"/>
              <w:bottom w:val="nil"/>
              <w:right w:val="nil"/>
            </w:tcBorders>
          </w:tcPr>
          <w:p>
            <w:pPr/>
          </w:p>
        </w:tc>
      </w:tr>
      <w:tr>
        <w:trPr>
          <w:trHeight w:val="492" w:hRule="exact"/>
        </w:trPr>
        <w:tc>
          <w:tcPr>
            <w:tcW w:w="1018" w:type="dxa"/>
            <w:tcBorders>
              <w:top w:val="nil"/>
              <w:left w:val="nil"/>
              <w:bottom w:val="nil"/>
            </w:tcBorders>
          </w:tcPr>
          <w:p>
            <w:pPr>
              <w:pStyle w:val="TableParagraph"/>
              <w:spacing w:before="114"/>
              <w:ind w:left="28"/>
              <w:jc w:val="center"/>
              <w:rPr>
                <w:sz w:val="21"/>
              </w:rPr>
            </w:pPr>
            <w:r>
              <w:rPr>
                <w:w w:val="102"/>
                <w:sz w:val="21"/>
              </w:rPr>
              <w:t>9</w:t>
            </w:r>
          </w:p>
        </w:tc>
        <w:tc>
          <w:tcPr>
            <w:tcW w:w="6629" w:type="dxa"/>
            <w:tcBorders>
              <w:top w:val="nil"/>
              <w:bottom w:val="nil"/>
            </w:tcBorders>
          </w:tcPr>
          <w:p>
            <w:pPr>
              <w:pStyle w:val="TableParagraph"/>
              <w:spacing w:before="114"/>
              <w:ind w:left="105"/>
              <w:rPr>
                <w:sz w:val="21"/>
              </w:rPr>
            </w:pPr>
            <w:r>
              <w:rPr>
                <w:sz w:val="21"/>
              </w:rPr>
              <w:t>Diferencias entre buenas y malas escuelas en las zonas  urbanas</w:t>
            </w:r>
          </w:p>
        </w:tc>
        <w:tc>
          <w:tcPr>
            <w:tcW w:w="1181" w:type="dxa"/>
            <w:tcBorders>
              <w:top w:val="nil"/>
              <w:bottom w:val="nil"/>
              <w:right w:val="nil"/>
            </w:tcBorders>
          </w:tcPr>
          <w:p>
            <w:pPr>
              <w:pStyle w:val="TableParagraph"/>
              <w:spacing w:before="114"/>
              <w:ind w:left="151" w:right="163"/>
              <w:jc w:val="center"/>
              <w:rPr>
                <w:sz w:val="21"/>
              </w:rPr>
            </w:pPr>
            <w:r>
              <w:rPr>
                <w:sz w:val="21"/>
              </w:rPr>
              <w:t>157</w:t>
            </w:r>
          </w:p>
        </w:tc>
      </w:tr>
      <w:tr>
        <w:trPr>
          <w:trHeight w:val="492" w:hRule="exact"/>
        </w:trPr>
        <w:tc>
          <w:tcPr>
            <w:tcW w:w="1018" w:type="dxa"/>
            <w:tcBorders>
              <w:top w:val="nil"/>
              <w:left w:val="nil"/>
              <w:bottom w:val="nil"/>
            </w:tcBorders>
          </w:tcPr>
          <w:p>
            <w:pPr>
              <w:pStyle w:val="TableParagraph"/>
              <w:spacing w:before="117"/>
              <w:ind w:left="381" w:right="357"/>
              <w:jc w:val="center"/>
              <w:rPr>
                <w:sz w:val="21"/>
              </w:rPr>
            </w:pPr>
            <w:r>
              <w:rPr>
                <w:sz w:val="21"/>
              </w:rPr>
              <w:t>10</w:t>
            </w:r>
          </w:p>
        </w:tc>
        <w:tc>
          <w:tcPr>
            <w:tcW w:w="6629" w:type="dxa"/>
            <w:tcBorders>
              <w:top w:val="nil"/>
              <w:bottom w:val="nil"/>
            </w:tcBorders>
          </w:tcPr>
          <w:p>
            <w:pPr>
              <w:pStyle w:val="TableParagraph"/>
              <w:spacing w:before="117"/>
              <w:ind w:left="105"/>
              <w:rPr>
                <w:sz w:val="21"/>
              </w:rPr>
            </w:pPr>
            <w:r>
              <w:rPr>
                <w:sz w:val="21"/>
              </w:rPr>
              <w:t>Diferencias entre buenas y malas escuelas en zonas  indígenas</w:t>
            </w:r>
          </w:p>
        </w:tc>
        <w:tc>
          <w:tcPr>
            <w:tcW w:w="1181" w:type="dxa"/>
            <w:tcBorders>
              <w:top w:val="nil"/>
              <w:bottom w:val="nil"/>
              <w:right w:val="nil"/>
            </w:tcBorders>
          </w:tcPr>
          <w:p>
            <w:pPr>
              <w:pStyle w:val="TableParagraph"/>
              <w:spacing w:before="117"/>
              <w:ind w:left="151" w:right="163"/>
              <w:jc w:val="center"/>
              <w:rPr>
                <w:sz w:val="21"/>
              </w:rPr>
            </w:pPr>
            <w:r>
              <w:rPr>
                <w:sz w:val="21"/>
              </w:rPr>
              <w:t>158</w:t>
            </w:r>
          </w:p>
        </w:tc>
      </w:tr>
      <w:tr>
        <w:trPr>
          <w:trHeight w:val="490" w:hRule="exact"/>
        </w:trPr>
        <w:tc>
          <w:tcPr>
            <w:tcW w:w="1018" w:type="dxa"/>
            <w:tcBorders>
              <w:top w:val="nil"/>
              <w:left w:val="nil"/>
              <w:bottom w:val="nil"/>
            </w:tcBorders>
          </w:tcPr>
          <w:p>
            <w:pPr>
              <w:pStyle w:val="TableParagraph"/>
              <w:spacing w:before="114"/>
              <w:ind w:left="381" w:right="357"/>
              <w:jc w:val="center"/>
              <w:rPr>
                <w:sz w:val="21"/>
              </w:rPr>
            </w:pPr>
            <w:r>
              <w:rPr>
                <w:sz w:val="21"/>
              </w:rPr>
              <w:t>11</w:t>
            </w:r>
          </w:p>
        </w:tc>
        <w:tc>
          <w:tcPr>
            <w:tcW w:w="6629" w:type="dxa"/>
            <w:tcBorders>
              <w:top w:val="nil"/>
              <w:bottom w:val="nil"/>
            </w:tcBorders>
          </w:tcPr>
          <w:p>
            <w:pPr>
              <w:pStyle w:val="TableParagraph"/>
              <w:spacing w:before="114"/>
              <w:ind w:left="105"/>
              <w:rPr>
                <w:sz w:val="21"/>
              </w:rPr>
            </w:pPr>
            <w:r>
              <w:rPr>
                <w:sz w:val="21"/>
              </w:rPr>
              <w:t>Índice de desempeño educativo incluyente (IDEI) en </w:t>
            </w:r>
            <w:r>
              <w:rPr>
                <w:spacing w:val="-4"/>
                <w:sz w:val="21"/>
              </w:rPr>
              <w:t>los </w:t>
            </w:r>
            <w:r>
              <w:rPr>
                <w:spacing w:val="47"/>
                <w:sz w:val="21"/>
              </w:rPr>
              <w:t> </w:t>
            </w:r>
            <w:r>
              <w:rPr>
                <w:sz w:val="21"/>
              </w:rPr>
              <w:t>estados</w:t>
            </w:r>
          </w:p>
        </w:tc>
        <w:tc>
          <w:tcPr>
            <w:tcW w:w="1181" w:type="dxa"/>
            <w:tcBorders>
              <w:top w:val="nil"/>
              <w:bottom w:val="nil"/>
              <w:right w:val="nil"/>
            </w:tcBorders>
          </w:tcPr>
          <w:p>
            <w:pPr>
              <w:pStyle w:val="TableParagraph"/>
              <w:spacing w:before="114"/>
              <w:ind w:left="151" w:right="163"/>
              <w:jc w:val="center"/>
              <w:rPr>
                <w:sz w:val="21"/>
              </w:rPr>
            </w:pPr>
            <w:r>
              <w:rPr>
                <w:sz w:val="21"/>
              </w:rPr>
              <w:t>161</w:t>
            </w:r>
          </w:p>
        </w:tc>
      </w:tr>
      <w:tr>
        <w:trPr>
          <w:trHeight w:val="370" w:hRule="exact"/>
        </w:trPr>
        <w:tc>
          <w:tcPr>
            <w:tcW w:w="1018" w:type="dxa"/>
            <w:tcBorders>
              <w:top w:val="nil"/>
              <w:left w:val="nil"/>
              <w:bottom w:val="nil"/>
            </w:tcBorders>
          </w:tcPr>
          <w:p>
            <w:pPr>
              <w:pStyle w:val="TableParagraph"/>
              <w:spacing w:before="114"/>
              <w:ind w:left="381" w:right="357"/>
              <w:jc w:val="center"/>
              <w:rPr>
                <w:sz w:val="21"/>
              </w:rPr>
            </w:pPr>
            <w:r>
              <w:rPr>
                <w:sz w:val="21"/>
              </w:rPr>
              <w:t>12</w:t>
            </w:r>
          </w:p>
        </w:tc>
        <w:tc>
          <w:tcPr>
            <w:tcW w:w="6629" w:type="dxa"/>
            <w:tcBorders>
              <w:top w:val="nil"/>
              <w:bottom w:val="nil"/>
            </w:tcBorders>
          </w:tcPr>
          <w:p>
            <w:pPr>
              <w:pStyle w:val="TableParagraph"/>
              <w:spacing w:before="114"/>
              <w:ind w:left="105"/>
              <w:rPr>
                <w:sz w:val="21"/>
              </w:rPr>
            </w:pPr>
            <w:r>
              <w:rPr>
                <w:sz w:val="21"/>
              </w:rPr>
              <w:t>Distribución del gasto educativo por rubro en países de la OCDE</w:t>
            </w:r>
          </w:p>
        </w:tc>
        <w:tc>
          <w:tcPr>
            <w:tcW w:w="1181" w:type="dxa"/>
            <w:tcBorders>
              <w:top w:val="nil"/>
              <w:bottom w:val="nil"/>
              <w:right w:val="nil"/>
            </w:tcBorders>
          </w:tcPr>
          <w:p>
            <w:pPr>
              <w:pStyle w:val="TableParagraph"/>
              <w:spacing w:before="114"/>
              <w:ind w:left="151" w:right="163"/>
              <w:jc w:val="center"/>
              <w:rPr>
                <w:sz w:val="21"/>
              </w:rPr>
            </w:pPr>
            <w:r>
              <w:rPr>
                <w:sz w:val="21"/>
              </w:rPr>
              <w:t>170</w:t>
            </w:r>
          </w:p>
        </w:tc>
      </w:tr>
      <w:tr>
        <w:trPr>
          <w:trHeight w:val="372" w:hRule="exact"/>
        </w:trPr>
        <w:tc>
          <w:tcPr>
            <w:tcW w:w="1018" w:type="dxa"/>
            <w:tcBorders>
              <w:top w:val="nil"/>
              <w:left w:val="nil"/>
              <w:bottom w:val="nil"/>
            </w:tcBorders>
          </w:tcPr>
          <w:p>
            <w:pPr/>
          </w:p>
        </w:tc>
        <w:tc>
          <w:tcPr>
            <w:tcW w:w="6629" w:type="dxa"/>
            <w:tcBorders>
              <w:top w:val="nil"/>
              <w:bottom w:val="nil"/>
            </w:tcBorders>
          </w:tcPr>
          <w:p>
            <w:pPr>
              <w:pStyle w:val="TableParagraph"/>
              <w:spacing w:line="236" w:lineRule="exact"/>
              <w:ind w:left="105"/>
              <w:rPr>
                <w:sz w:val="21"/>
              </w:rPr>
            </w:pPr>
            <w:r>
              <w:rPr>
                <w:sz w:val="21"/>
              </w:rPr>
              <w:t>(2009)</w:t>
            </w:r>
          </w:p>
        </w:tc>
        <w:tc>
          <w:tcPr>
            <w:tcW w:w="1181" w:type="dxa"/>
            <w:tcBorders>
              <w:top w:val="nil"/>
              <w:bottom w:val="nil"/>
              <w:right w:val="nil"/>
            </w:tcBorders>
          </w:tcPr>
          <w:p>
            <w:pPr/>
          </w:p>
        </w:tc>
      </w:tr>
      <w:tr>
        <w:trPr>
          <w:trHeight w:val="492" w:hRule="exact"/>
        </w:trPr>
        <w:tc>
          <w:tcPr>
            <w:tcW w:w="1018" w:type="dxa"/>
            <w:tcBorders>
              <w:top w:val="nil"/>
              <w:left w:val="nil"/>
              <w:bottom w:val="nil"/>
            </w:tcBorders>
          </w:tcPr>
          <w:p>
            <w:pPr>
              <w:pStyle w:val="TableParagraph"/>
              <w:spacing w:before="117"/>
              <w:ind w:left="381" w:right="357"/>
              <w:jc w:val="center"/>
              <w:rPr>
                <w:sz w:val="21"/>
              </w:rPr>
            </w:pPr>
            <w:r>
              <w:rPr>
                <w:sz w:val="21"/>
              </w:rPr>
              <w:t>13</w:t>
            </w:r>
          </w:p>
        </w:tc>
        <w:tc>
          <w:tcPr>
            <w:tcW w:w="6629" w:type="dxa"/>
            <w:tcBorders>
              <w:top w:val="nil"/>
              <w:bottom w:val="nil"/>
            </w:tcBorders>
          </w:tcPr>
          <w:p>
            <w:pPr>
              <w:pStyle w:val="TableParagraph"/>
              <w:spacing w:before="117"/>
              <w:ind w:left="105"/>
              <w:rPr>
                <w:sz w:val="21"/>
              </w:rPr>
            </w:pPr>
            <w:r>
              <w:rPr>
                <w:sz w:val="21"/>
              </w:rPr>
              <w:t>Comportamientos que impiden la enseñanza en diferentes  países</w:t>
            </w:r>
          </w:p>
        </w:tc>
        <w:tc>
          <w:tcPr>
            <w:tcW w:w="1181" w:type="dxa"/>
            <w:tcBorders>
              <w:top w:val="nil"/>
              <w:bottom w:val="nil"/>
              <w:right w:val="nil"/>
            </w:tcBorders>
          </w:tcPr>
          <w:p>
            <w:pPr>
              <w:pStyle w:val="TableParagraph"/>
              <w:spacing w:before="117"/>
              <w:ind w:left="151" w:right="163"/>
              <w:jc w:val="center"/>
              <w:rPr>
                <w:sz w:val="21"/>
              </w:rPr>
            </w:pPr>
            <w:r>
              <w:rPr>
                <w:sz w:val="21"/>
              </w:rPr>
              <w:t>172</w:t>
            </w:r>
          </w:p>
        </w:tc>
      </w:tr>
      <w:tr>
        <w:trPr>
          <w:trHeight w:val="370" w:hRule="exact"/>
        </w:trPr>
        <w:tc>
          <w:tcPr>
            <w:tcW w:w="1018" w:type="dxa"/>
            <w:tcBorders>
              <w:top w:val="nil"/>
              <w:left w:val="nil"/>
              <w:bottom w:val="nil"/>
            </w:tcBorders>
          </w:tcPr>
          <w:p>
            <w:pPr/>
          </w:p>
        </w:tc>
        <w:tc>
          <w:tcPr>
            <w:tcW w:w="6629" w:type="dxa"/>
            <w:tcBorders>
              <w:top w:val="nil"/>
              <w:bottom w:val="nil"/>
            </w:tcBorders>
          </w:tcPr>
          <w:p>
            <w:pPr>
              <w:pStyle w:val="TableParagraph"/>
              <w:spacing w:before="114"/>
              <w:ind w:left="105"/>
              <w:rPr>
                <w:sz w:val="21"/>
              </w:rPr>
            </w:pPr>
            <w:r>
              <w:rPr>
                <w:sz w:val="21"/>
              </w:rPr>
              <w:t>Compromiso Social para la Calidad de la Educación  (2002)</w:t>
            </w:r>
          </w:p>
        </w:tc>
        <w:tc>
          <w:tcPr>
            <w:tcW w:w="1181" w:type="dxa"/>
            <w:tcBorders>
              <w:top w:val="nil"/>
              <w:bottom w:val="nil"/>
              <w:right w:val="nil"/>
            </w:tcBorders>
          </w:tcPr>
          <w:p>
            <w:pPr/>
          </w:p>
        </w:tc>
      </w:tr>
      <w:tr>
        <w:trPr>
          <w:trHeight w:val="247" w:hRule="exact"/>
        </w:trPr>
        <w:tc>
          <w:tcPr>
            <w:tcW w:w="1018" w:type="dxa"/>
            <w:tcBorders>
              <w:top w:val="nil"/>
              <w:left w:val="nil"/>
              <w:bottom w:val="nil"/>
            </w:tcBorders>
          </w:tcPr>
          <w:p>
            <w:pPr>
              <w:pStyle w:val="TableParagraph"/>
              <w:spacing w:line="236" w:lineRule="exact"/>
              <w:ind w:left="381" w:right="357"/>
              <w:jc w:val="center"/>
              <w:rPr>
                <w:sz w:val="21"/>
              </w:rPr>
            </w:pPr>
            <w:r>
              <w:rPr>
                <w:sz w:val="21"/>
              </w:rPr>
              <w:t>14</w:t>
            </w:r>
          </w:p>
        </w:tc>
        <w:tc>
          <w:tcPr>
            <w:tcW w:w="6629" w:type="dxa"/>
            <w:tcBorders>
              <w:top w:val="nil"/>
              <w:bottom w:val="nil"/>
            </w:tcBorders>
          </w:tcPr>
          <w:p>
            <w:pPr>
              <w:pStyle w:val="TableParagraph"/>
              <w:spacing w:line="236" w:lineRule="exact"/>
              <w:ind w:left="105"/>
              <w:rPr>
                <w:sz w:val="21"/>
              </w:rPr>
            </w:pPr>
            <w:r>
              <w:rPr>
                <w:sz w:val="21"/>
              </w:rPr>
              <w:t>Relación  entre   retos,  compromisos  y  actores  sociales  que    los</w:t>
            </w:r>
          </w:p>
        </w:tc>
        <w:tc>
          <w:tcPr>
            <w:tcW w:w="1181" w:type="dxa"/>
            <w:tcBorders>
              <w:top w:val="nil"/>
              <w:bottom w:val="nil"/>
              <w:right w:val="nil"/>
            </w:tcBorders>
          </w:tcPr>
          <w:p>
            <w:pPr>
              <w:pStyle w:val="TableParagraph"/>
              <w:spacing w:line="236" w:lineRule="exact"/>
              <w:ind w:left="151" w:right="163"/>
              <w:jc w:val="center"/>
              <w:rPr>
                <w:sz w:val="21"/>
              </w:rPr>
            </w:pPr>
            <w:r>
              <w:rPr>
                <w:sz w:val="21"/>
              </w:rPr>
              <w:t>185</w:t>
            </w:r>
          </w:p>
        </w:tc>
      </w:tr>
      <w:tr>
        <w:trPr>
          <w:trHeight w:val="370" w:hRule="exact"/>
        </w:trPr>
        <w:tc>
          <w:tcPr>
            <w:tcW w:w="1018" w:type="dxa"/>
            <w:tcBorders>
              <w:top w:val="nil"/>
              <w:left w:val="nil"/>
              <w:bottom w:val="nil"/>
            </w:tcBorders>
          </w:tcPr>
          <w:p>
            <w:pPr/>
          </w:p>
        </w:tc>
        <w:tc>
          <w:tcPr>
            <w:tcW w:w="6629" w:type="dxa"/>
            <w:tcBorders>
              <w:top w:val="nil"/>
              <w:bottom w:val="nil"/>
            </w:tcBorders>
          </w:tcPr>
          <w:p>
            <w:pPr>
              <w:pStyle w:val="TableParagraph"/>
              <w:spacing w:line="234" w:lineRule="exact"/>
              <w:ind w:left="105"/>
              <w:rPr>
                <w:sz w:val="21"/>
              </w:rPr>
            </w:pPr>
            <w:r>
              <w:rPr>
                <w:sz w:val="21"/>
              </w:rPr>
              <w:t>enfrentan.</w:t>
            </w:r>
          </w:p>
        </w:tc>
        <w:tc>
          <w:tcPr>
            <w:tcW w:w="1181" w:type="dxa"/>
            <w:tcBorders>
              <w:top w:val="nil"/>
              <w:bottom w:val="nil"/>
              <w:right w:val="nil"/>
            </w:tcBorders>
          </w:tcPr>
          <w:p>
            <w:pPr/>
          </w:p>
        </w:tc>
      </w:tr>
      <w:tr>
        <w:trPr>
          <w:trHeight w:val="370" w:hRule="exact"/>
        </w:trPr>
        <w:tc>
          <w:tcPr>
            <w:tcW w:w="1018" w:type="dxa"/>
            <w:tcBorders>
              <w:top w:val="nil"/>
              <w:left w:val="nil"/>
              <w:bottom w:val="nil"/>
            </w:tcBorders>
          </w:tcPr>
          <w:p>
            <w:pPr/>
          </w:p>
        </w:tc>
        <w:tc>
          <w:tcPr>
            <w:tcW w:w="6629" w:type="dxa"/>
            <w:tcBorders>
              <w:top w:val="nil"/>
              <w:bottom w:val="nil"/>
            </w:tcBorders>
          </w:tcPr>
          <w:p>
            <w:pPr>
              <w:pStyle w:val="TableParagraph"/>
              <w:spacing w:before="117"/>
              <w:ind w:left="105"/>
              <w:rPr>
                <w:sz w:val="21"/>
              </w:rPr>
            </w:pPr>
            <w:r>
              <w:rPr>
                <w:sz w:val="21"/>
              </w:rPr>
              <w:t>Asignaturas evaluadas por Enlace  (2006-2009)</w:t>
            </w:r>
          </w:p>
        </w:tc>
        <w:tc>
          <w:tcPr>
            <w:tcW w:w="1181" w:type="dxa"/>
            <w:tcBorders>
              <w:top w:val="nil"/>
              <w:bottom w:val="nil"/>
              <w:right w:val="nil"/>
            </w:tcBorders>
          </w:tcPr>
          <w:p>
            <w:pPr>
              <w:pStyle w:val="TableParagraph"/>
              <w:spacing w:before="117"/>
              <w:ind w:left="151" w:right="163"/>
              <w:jc w:val="center"/>
              <w:rPr>
                <w:sz w:val="21"/>
              </w:rPr>
            </w:pPr>
            <w:r>
              <w:rPr>
                <w:sz w:val="21"/>
              </w:rPr>
              <w:t>210</w:t>
            </w:r>
          </w:p>
        </w:tc>
      </w:tr>
      <w:tr>
        <w:trPr>
          <w:trHeight w:val="245" w:hRule="exact"/>
        </w:trPr>
        <w:tc>
          <w:tcPr>
            <w:tcW w:w="1018" w:type="dxa"/>
            <w:tcBorders>
              <w:top w:val="nil"/>
              <w:left w:val="nil"/>
              <w:bottom w:val="nil"/>
            </w:tcBorders>
          </w:tcPr>
          <w:p>
            <w:pPr>
              <w:pStyle w:val="TableParagraph"/>
              <w:spacing w:line="234" w:lineRule="exact"/>
              <w:ind w:left="381" w:right="357"/>
              <w:jc w:val="center"/>
              <w:rPr>
                <w:sz w:val="21"/>
              </w:rPr>
            </w:pPr>
            <w:r>
              <w:rPr>
                <w:sz w:val="21"/>
              </w:rPr>
              <w:t>15</w:t>
            </w:r>
          </w:p>
        </w:tc>
        <w:tc>
          <w:tcPr>
            <w:tcW w:w="6629" w:type="dxa"/>
            <w:tcBorders>
              <w:top w:val="nil"/>
              <w:bottom w:val="nil"/>
            </w:tcBorders>
          </w:tcPr>
          <w:p>
            <w:pPr/>
          </w:p>
        </w:tc>
        <w:tc>
          <w:tcPr>
            <w:tcW w:w="1181" w:type="dxa"/>
            <w:tcBorders>
              <w:top w:val="nil"/>
              <w:bottom w:val="nil"/>
              <w:right w:val="nil"/>
            </w:tcBorders>
          </w:tcPr>
          <w:p>
            <w:pPr/>
          </w:p>
        </w:tc>
      </w:tr>
      <w:tr>
        <w:trPr>
          <w:trHeight w:val="247" w:hRule="exact"/>
        </w:trPr>
        <w:tc>
          <w:tcPr>
            <w:tcW w:w="1018" w:type="dxa"/>
            <w:tcBorders>
              <w:top w:val="nil"/>
              <w:left w:val="nil"/>
              <w:bottom w:val="nil"/>
            </w:tcBorders>
          </w:tcPr>
          <w:p>
            <w:pPr/>
          </w:p>
        </w:tc>
        <w:tc>
          <w:tcPr>
            <w:tcW w:w="6629" w:type="dxa"/>
            <w:tcBorders>
              <w:top w:val="nil"/>
              <w:bottom w:val="nil"/>
            </w:tcBorders>
          </w:tcPr>
          <w:p>
            <w:pPr>
              <w:pStyle w:val="TableParagraph"/>
              <w:tabs>
                <w:tab w:pos="1470" w:val="left" w:leader="none"/>
              </w:tabs>
              <w:spacing w:line="234" w:lineRule="exact"/>
              <w:ind w:left="105"/>
              <w:rPr>
                <w:sz w:val="21"/>
              </w:rPr>
            </w:pPr>
            <w:r>
              <w:rPr>
                <w:sz w:val="21"/>
              </w:rPr>
              <w:t>Distribución</w:t>
              <w:tab/>
              <w:t>porcentual  </w:t>
            </w:r>
            <w:r>
              <w:rPr>
                <w:spacing w:val="-3"/>
                <w:sz w:val="21"/>
              </w:rPr>
              <w:t>de  </w:t>
            </w:r>
            <w:r>
              <w:rPr>
                <w:sz w:val="21"/>
              </w:rPr>
              <w:t>los  estudiantes  entre  los  </w:t>
            </w:r>
            <w:r>
              <w:rPr>
                <w:spacing w:val="47"/>
                <w:sz w:val="21"/>
              </w:rPr>
              <w:t> </w:t>
            </w:r>
            <w:r>
              <w:rPr>
                <w:sz w:val="21"/>
              </w:rPr>
              <w:t>diferentes</w:t>
            </w:r>
          </w:p>
        </w:tc>
        <w:tc>
          <w:tcPr>
            <w:tcW w:w="1181" w:type="dxa"/>
            <w:tcBorders>
              <w:top w:val="nil"/>
              <w:bottom w:val="nil"/>
              <w:right w:val="nil"/>
            </w:tcBorders>
          </w:tcPr>
          <w:p>
            <w:pPr/>
          </w:p>
        </w:tc>
      </w:tr>
      <w:tr>
        <w:trPr>
          <w:trHeight w:val="247" w:hRule="exact"/>
        </w:trPr>
        <w:tc>
          <w:tcPr>
            <w:tcW w:w="1018" w:type="dxa"/>
            <w:tcBorders>
              <w:top w:val="nil"/>
              <w:left w:val="nil"/>
              <w:bottom w:val="nil"/>
            </w:tcBorders>
          </w:tcPr>
          <w:p>
            <w:pPr>
              <w:pStyle w:val="TableParagraph"/>
              <w:spacing w:line="236" w:lineRule="exact"/>
              <w:ind w:left="381" w:right="357"/>
              <w:jc w:val="center"/>
              <w:rPr>
                <w:sz w:val="21"/>
              </w:rPr>
            </w:pPr>
            <w:r>
              <w:rPr>
                <w:sz w:val="21"/>
              </w:rPr>
              <w:t>16</w:t>
            </w:r>
          </w:p>
        </w:tc>
        <w:tc>
          <w:tcPr>
            <w:tcW w:w="6629" w:type="dxa"/>
            <w:tcBorders>
              <w:top w:val="nil"/>
              <w:bottom w:val="nil"/>
            </w:tcBorders>
          </w:tcPr>
          <w:p>
            <w:pPr>
              <w:pStyle w:val="TableParagraph"/>
              <w:spacing w:line="236" w:lineRule="exact"/>
              <w:ind w:left="105"/>
              <w:rPr>
                <w:sz w:val="21"/>
              </w:rPr>
            </w:pPr>
            <w:r>
              <w:rPr>
                <w:sz w:val="21"/>
              </w:rPr>
              <w:t>niveles  de  logro  por  asignatura  en  educación  primaria  (2006    y</w:t>
            </w:r>
          </w:p>
        </w:tc>
        <w:tc>
          <w:tcPr>
            <w:tcW w:w="1181" w:type="dxa"/>
            <w:tcBorders>
              <w:top w:val="nil"/>
              <w:bottom w:val="nil"/>
              <w:right w:val="nil"/>
            </w:tcBorders>
          </w:tcPr>
          <w:p>
            <w:pPr>
              <w:pStyle w:val="TableParagraph"/>
              <w:spacing w:line="236" w:lineRule="exact"/>
              <w:ind w:left="151" w:right="163"/>
              <w:jc w:val="center"/>
              <w:rPr>
                <w:sz w:val="21"/>
              </w:rPr>
            </w:pPr>
            <w:r>
              <w:rPr>
                <w:sz w:val="21"/>
              </w:rPr>
              <w:t>216</w:t>
            </w:r>
          </w:p>
        </w:tc>
      </w:tr>
      <w:tr>
        <w:trPr>
          <w:trHeight w:val="367" w:hRule="exact"/>
        </w:trPr>
        <w:tc>
          <w:tcPr>
            <w:tcW w:w="1018" w:type="dxa"/>
            <w:tcBorders>
              <w:top w:val="nil"/>
              <w:left w:val="nil"/>
              <w:bottom w:val="nil"/>
            </w:tcBorders>
          </w:tcPr>
          <w:p>
            <w:pPr/>
          </w:p>
        </w:tc>
        <w:tc>
          <w:tcPr>
            <w:tcW w:w="6629" w:type="dxa"/>
            <w:tcBorders>
              <w:top w:val="nil"/>
              <w:bottom w:val="nil"/>
            </w:tcBorders>
          </w:tcPr>
          <w:p>
            <w:pPr>
              <w:pStyle w:val="TableParagraph"/>
              <w:spacing w:line="234" w:lineRule="exact"/>
              <w:ind w:left="105"/>
              <w:rPr>
                <w:sz w:val="21"/>
              </w:rPr>
            </w:pPr>
            <w:r>
              <w:rPr>
                <w:sz w:val="21"/>
              </w:rPr>
              <w:t>2010)</w:t>
            </w:r>
          </w:p>
        </w:tc>
        <w:tc>
          <w:tcPr>
            <w:tcW w:w="1181" w:type="dxa"/>
            <w:tcBorders>
              <w:top w:val="nil"/>
              <w:bottom w:val="nil"/>
              <w:right w:val="nil"/>
            </w:tcBorders>
          </w:tcPr>
          <w:p>
            <w:pPr/>
          </w:p>
        </w:tc>
      </w:tr>
      <w:tr>
        <w:trPr>
          <w:trHeight w:val="369" w:hRule="exact"/>
        </w:trPr>
        <w:tc>
          <w:tcPr>
            <w:tcW w:w="1018" w:type="dxa"/>
            <w:tcBorders>
              <w:top w:val="nil"/>
              <w:left w:val="nil"/>
            </w:tcBorders>
          </w:tcPr>
          <w:p>
            <w:pPr>
              <w:pStyle w:val="TableParagraph"/>
              <w:spacing w:before="114"/>
              <w:ind w:left="381" w:right="357"/>
              <w:jc w:val="center"/>
              <w:rPr>
                <w:sz w:val="21"/>
              </w:rPr>
            </w:pPr>
            <w:r>
              <w:rPr>
                <w:sz w:val="21"/>
              </w:rPr>
              <w:t>17</w:t>
            </w:r>
          </w:p>
        </w:tc>
        <w:tc>
          <w:tcPr>
            <w:tcW w:w="6629" w:type="dxa"/>
            <w:tcBorders>
              <w:top w:val="nil"/>
            </w:tcBorders>
          </w:tcPr>
          <w:p>
            <w:pPr>
              <w:pStyle w:val="TableParagraph"/>
              <w:spacing w:before="114"/>
              <w:ind w:left="105"/>
              <w:rPr>
                <w:sz w:val="21"/>
              </w:rPr>
            </w:pPr>
            <w:r>
              <w:rPr>
                <w:sz w:val="21"/>
              </w:rPr>
              <w:t>Distribución porcentual de los estudiantes  de  entre los     diferentes</w:t>
            </w:r>
          </w:p>
        </w:tc>
        <w:tc>
          <w:tcPr>
            <w:tcW w:w="1181" w:type="dxa"/>
            <w:tcBorders>
              <w:top w:val="nil"/>
              <w:right w:val="nil"/>
            </w:tcBorders>
          </w:tcPr>
          <w:p>
            <w:pPr>
              <w:pStyle w:val="TableParagraph"/>
              <w:spacing w:before="114"/>
              <w:ind w:left="151" w:right="163"/>
              <w:jc w:val="center"/>
              <w:rPr>
                <w:sz w:val="21"/>
              </w:rPr>
            </w:pPr>
            <w:r>
              <w:rPr>
                <w:sz w:val="21"/>
              </w:rPr>
              <w:t>216</w:t>
            </w:r>
          </w:p>
        </w:tc>
      </w:tr>
    </w:tbl>
    <w:p>
      <w:pPr>
        <w:spacing w:after="0"/>
        <w:jc w:val="center"/>
        <w:rPr>
          <w:sz w:val="21"/>
        </w:rPr>
        <w:sectPr>
          <w:pgSz w:w="11910" w:h="16840"/>
          <w:pgMar w:header="0" w:footer="1457" w:top="1580" w:bottom="1640" w:left="1420" w:right="1420"/>
        </w:sectPr>
      </w:pPr>
    </w:p>
    <w:p>
      <w:pPr>
        <w:pStyle w:val="BodyText"/>
        <w:rPr>
          <w:rFonts w:ascii="Times New Roman"/>
          <w:sz w:val="20"/>
        </w:rPr>
      </w:pPr>
    </w:p>
    <w:p>
      <w:pPr>
        <w:pStyle w:val="BodyText"/>
        <w:spacing w:before="11"/>
        <w:rPr>
          <w:rFonts w:ascii="Times New Roman"/>
          <w:sz w:val="22"/>
        </w:rPr>
      </w:pPr>
    </w:p>
    <w:tbl>
      <w:tblPr>
        <w:tblW w:w="0" w:type="auto"/>
        <w:jc w:val="left"/>
        <w:tblInd w:w="1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18"/>
        <w:gridCol w:w="6629"/>
        <w:gridCol w:w="1181"/>
      </w:tblGrid>
      <w:tr>
        <w:trPr>
          <w:trHeight w:val="377" w:hRule="exact"/>
        </w:trPr>
        <w:tc>
          <w:tcPr>
            <w:tcW w:w="1018" w:type="dxa"/>
            <w:tcBorders>
              <w:right w:val="single" w:sz="4" w:space="0" w:color="000000"/>
            </w:tcBorders>
          </w:tcPr>
          <w:p>
            <w:pPr/>
          </w:p>
        </w:tc>
        <w:tc>
          <w:tcPr>
            <w:tcW w:w="6629" w:type="dxa"/>
            <w:tcBorders>
              <w:left w:val="single" w:sz="4" w:space="0" w:color="000000"/>
              <w:right w:val="single" w:sz="4" w:space="0" w:color="000000"/>
            </w:tcBorders>
          </w:tcPr>
          <w:p>
            <w:pPr>
              <w:pStyle w:val="TableParagraph"/>
              <w:spacing w:line="241" w:lineRule="exact"/>
              <w:ind w:left="105"/>
              <w:rPr>
                <w:sz w:val="21"/>
              </w:rPr>
            </w:pPr>
            <w:r>
              <w:rPr>
                <w:sz w:val="21"/>
              </w:rPr>
              <w:t>niveles de logro en las asignaturas  en secundaria (2006 y   2010)</w:t>
            </w:r>
          </w:p>
        </w:tc>
        <w:tc>
          <w:tcPr>
            <w:tcW w:w="1181" w:type="dxa"/>
            <w:tcBorders>
              <w:left w:val="single" w:sz="4" w:space="0" w:color="000000"/>
            </w:tcBorders>
          </w:tcPr>
          <w:p>
            <w:pPr/>
          </w:p>
        </w:tc>
      </w:tr>
      <w:tr>
        <w:trPr>
          <w:trHeight w:val="372" w:hRule="exact"/>
        </w:trPr>
        <w:tc>
          <w:tcPr>
            <w:tcW w:w="1018" w:type="dxa"/>
            <w:tcBorders>
              <w:right w:val="single" w:sz="4" w:space="0" w:color="000000"/>
            </w:tcBorders>
          </w:tcPr>
          <w:p>
            <w:pPr>
              <w:pStyle w:val="TableParagraph"/>
              <w:spacing w:before="117"/>
              <w:ind w:left="381" w:right="357"/>
              <w:jc w:val="center"/>
              <w:rPr>
                <w:sz w:val="21"/>
              </w:rPr>
            </w:pPr>
            <w:r>
              <w:rPr>
                <w:sz w:val="21"/>
              </w:rPr>
              <w:t>18</w:t>
            </w:r>
          </w:p>
        </w:tc>
        <w:tc>
          <w:tcPr>
            <w:tcW w:w="6629" w:type="dxa"/>
            <w:tcBorders>
              <w:left w:val="single" w:sz="4" w:space="0" w:color="000000"/>
              <w:right w:val="single" w:sz="4" w:space="0" w:color="000000"/>
            </w:tcBorders>
          </w:tcPr>
          <w:p>
            <w:pPr>
              <w:pStyle w:val="TableParagraph"/>
              <w:spacing w:before="117"/>
              <w:ind w:left="105"/>
              <w:rPr>
                <w:sz w:val="21"/>
              </w:rPr>
            </w:pPr>
            <w:r>
              <w:rPr>
                <w:sz w:val="21"/>
              </w:rPr>
              <w:t>Pruebas  que  fueron  aplicadas  en  el  año  2010,  cuyos resultados</w:t>
            </w:r>
          </w:p>
        </w:tc>
        <w:tc>
          <w:tcPr>
            <w:tcW w:w="1181" w:type="dxa"/>
            <w:tcBorders>
              <w:left w:val="single" w:sz="4" w:space="0" w:color="000000"/>
            </w:tcBorders>
          </w:tcPr>
          <w:p>
            <w:pPr>
              <w:pStyle w:val="TableParagraph"/>
              <w:spacing w:before="117"/>
              <w:ind w:left="151" w:right="163"/>
              <w:jc w:val="center"/>
              <w:rPr>
                <w:sz w:val="21"/>
              </w:rPr>
            </w:pPr>
            <w:r>
              <w:rPr>
                <w:sz w:val="21"/>
              </w:rPr>
              <w:t>217</w:t>
            </w:r>
          </w:p>
        </w:tc>
      </w:tr>
      <w:tr>
        <w:trPr>
          <w:trHeight w:val="245" w:hRule="exact"/>
        </w:trPr>
        <w:tc>
          <w:tcPr>
            <w:tcW w:w="1018" w:type="dxa"/>
            <w:tcBorders>
              <w:right w:val="single" w:sz="4" w:space="0" w:color="000000"/>
            </w:tcBorders>
          </w:tcPr>
          <w:p>
            <w:pPr/>
          </w:p>
        </w:tc>
        <w:tc>
          <w:tcPr>
            <w:tcW w:w="6629" w:type="dxa"/>
            <w:tcBorders>
              <w:left w:val="single" w:sz="4" w:space="0" w:color="000000"/>
              <w:right w:val="single" w:sz="4" w:space="0" w:color="000000"/>
            </w:tcBorders>
          </w:tcPr>
          <w:p>
            <w:pPr>
              <w:pStyle w:val="TableParagraph"/>
              <w:spacing w:line="236" w:lineRule="exact"/>
              <w:ind w:left="105"/>
              <w:rPr>
                <w:sz w:val="21"/>
              </w:rPr>
            </w:pPr>
            <w:r>
              <w:rPr>
                <w:sz w:val="21"/>
              </w:rPr>
              <w:t>mostraron  una  concentración  mayor  del  25%  de  estudiantes con</w:t>
            </w:r>
          </w:p>
        </w:tc>
        <w:tc>
          <w:tcPr>
            <w:tcW w:w="1181" w:type="dxa"/>
            <w:tcBorders>
              <w:left w:val="single" w:sz="4" w:space="0" w:color="000000"/>
            </w:tcBorders>
          </w:tcPr>
          <w:p>
            <w:pPr/>
          </w:p>
        </w:tc>
      </w:tr>
      <w:tr>
        <w:trPr>
          <w:trHeight w:val="370" w:hRule="exact"/>
        </w:trPr>
        <w:tc>
          <w:tcPr>
            <w:tcW w:w="1018" w:type="dxa"/>
            <w:tcBorders>
              <w:right w:val="single" w:sz="4" w:space="0" w:color="000000"/>
            </w:tcBorders>
          </w:tcPr>
          <w:p>
            <w:pPr/>
          </w:p>
        </w:tc>
        <w:tc>
          <w:tcPr>
            <w:tcW w:w="6629" w:type="dxa"/>
            <w:tcBorders>
              <w:left w:val="single" w:sz="4" w:space="0" w:color="000000"/>
              <w:right w:val="single" w:sz="4" w:space="0" w:color="000000"/>
            </w:tcBorders>
          </w:tcPr>
          <w:p>
            <w:pPr>
              <w:pStyle w:val="TableParagraph"/>
              <w:spacing w:line="231" w:lineRule="exact"/>
              <w:ind w:left="105"/>
              <w:rPr>
                <w:sz w:val="21"/>
              </w:rPr>
            </w:pPr>
            <w:r>
              <w:rPr>
                <w:sz w:val="21"/>
              </w:rPr>
              <w:t>“aprovechamiento insuficiente”</w:t>
            </w:r>
          </w:p>
        </w:tc>
        <w:tc>
          <w:tcPr>
            <w:tcW w:w="1181" w:type="dxa"/>
            <w:tcBorders>
              <w:left w:val="single" w:sz="4" w:space="0" w:color="000000"/>
            </w:tcBorders>
          </w:tcPr>
          <w:p>
            <w:pPr/>
          </w:p>
        </w:tc>
      </w:tr>
      <w:tr>
        <w:trPr>
          <w:trHeight w:val="370" w:hRule="exact"/>
        </w:trPr>
        <w:tc>
          <w:tcPr>
            <w:tcW w:w="1018" w:type="dxa"/>
            <w:tcBorders>
              <w:right w:val="single" w:sz="4" w:space="0" w:color="000000"/>
            </w:tcBorders>
          </w:tcPr>
          <w:p>
            <w:pPr/>
          </w:p>
        </w:tc>
        <w:tc>
          <w:tcPr>
            <w:tcW w:w="6629" w:type="dxa"/>
            <w:tcBorders>
              <w:left w:val="single" w:sz="4" w:space="0" w:color="000000"/>
              <w:right w:val="single" w:sz="4" w:space="0" w:color="000000"/>
            </w:tcBorders>
          </w:tcPr>
          <w:p>
            <w:pPr>
              <w:pStyle w:val="TableParagraph"/>
              <w:spacing w:before="119"/>
              <w:ind w:left="105"/>
              <w:rPr>
                <w:sz w:val="21"/>
              </w:rPr>
            </w:pPr>
            <w:r>
              <w:rPr>
                <w:sz w:val="21"/>
              </w:rPr>
              <w:t>Porcentajes de alumnos que obtuvieron en  las pruebas Enlace    los</w:t>
            </w:r>
          </w:p>
        </w:tc>
        <w:tc>
          <w:tcPr>
            <w:tcW w:w="1181" w:type="dxa"/>
            <w:tcBorders>
              <w:left w:val="single" w:sz="4" w:space="0" w:color="000000"/>
            </w:tcBorders>
          </w:tcPr>
          <w:p>
            <w:pPr/>
          </w:p>
        </w:tc>
      </w:tr>
      <w:tr>
        <w:trPr>
          <w:trHeight w:val="245" w:hRule="exact"/>
        </w:trPr>
        <w:tc>
          <w:tcPr>
            <w:tcW w:w="1018" w:type="dxa"/>
            <w:tcBorders>
              <w:right w:val="single" w:sz="4" w:space="0" w:color="000000"/>
            </w:tcBorders>
          </w:tcPr>
          <w:p>
            <w:pPr>
              <w:pStyle w:val="TableParagraph"/>
              <w:spacing w:line="231" w:lineRule="exact"/>
              <w:ind w:left="381" w:right="357"/>
              <w:jc w:val="center"/>
              <w:rPr>
                <w:sz w:val="21"/>
              </w:rPr>
            </w:pPr>
            <w:r>
              <w:rPr>
                <w:sz w:val="21"/>
              </w:rPr>
              <w:t>19</w:t>
            </w:r>
          </w:p>
        </w:tc>
        <w:tc>
          <w:tcPr>
            <w:tcW w:w="6629" w:type="dxa"/>
            <w:tcBorders>
              <w:left w:val="single" w:sz="4" w:space="0" w:color="000000"/>
              <w:right w:val="single" w:sz="4" w:space="0" w:color="000000"/>
            </w:tcBorders>
          </w:tcPr>
          <w:p>
            <w:pPr>
              <w:pStyle w:val="TableParagraph"/>
              <w:tabs>
                <w:tab w:pos="986" w:val="left" w:leader="none"/>
                <w:tab w:pos="1428" w:val="left" w:leader="none"/>
                <w:tab w:pos="3283" w:val="left" w:leader="none"/>
                <w:tab w:pos="3847" w:val="left" w:leader="none"/>
                <w:tab w:pos="4284" w:val="left" w:leader="none"/>
                <w:tab w:pos="5225" w:val="left" w:leader="none"/>
                <w:tab w:pos="5674" w:val="left" w:leader="none"/>
              </w:tabs>
              <w:spacing w:line="231" w:lineRule="exact"/>
              <w:ind w:left="105"/>
              <w:rPr>
                <w:sz w:val="21"/>
              </w:rPr>
            </w:pPr>
            <w:r>
              <w:rPr>
                <w:sz w:val="21"/>
              </w:rPr>
              <w:t>niveles</w:t>
              <w:tab/>
            </w:r>
            <w:r>
              <w:rPr>
                <w:spacing w:val="-4"/>
                <w:sz w:val="21"/>
              </w:rPr>
              <w:t>de</w:t>
              <w:tab/>
            </w:r>
            <w:r>
              <w:rPr>
                <w:sz w:val="21"/>
              </w:rPr>
              <w:t>aprovechamiento</w:t>
              <w:tab/>
              <w:t>que</w:t>
              <w:tab/>
              <w:t>se</w:t>
              <w:tab/>
              <w:t>indican,</w:t>
              <w:tab/>
              <w:t>en</w:t>
              <w:tab/>
              <w:t>escuelas</w:t>
            </w:r>
          </w:p>
        </w:tc>
        <w:tc>
          <w:tcPr>
            <w:tcW w:w="1181" w:type="dxa"/>
            <w:tcBorders>
              <w:left w:val="single" w:sz="4" w:space="0" w:color="000000"/>
            </w:tcBorders>
          </w:tcPr>
          <w:p>
            <w:pPr>
              <w:pStyle w:val="TableParagraph"/>
              <w:spacing w:line="231" w:lineRule="exact"/>
              <w:ind w:left="151" w:right="163"/>
              <w:jc w:val="center"/>
              <w:rPr>
                <w:sz w:val="21"/>
              </w:rPr>
            </w:pPr>
            <w:r>
              <w:rPr>
                <w:sz w:val="21"/>
              </w:rPr>
              <w:t>218</w:t>
            </w:r>
          </w:p>
        </w:tc>
      </w:tr>
      <w:tr>
        <w:trPr>
          <w:trHeight w:val="247" w:hRule="exact"/>
        </w:trPr>
        <w:tc>
          <w:tcPr>
            <w:tcW w:w="1018" w:type="dxa"/>
            <w:tcBorders>
              <w:right w:val="single" w:sz="4" w:space="0" w:color="000000"/>
            </w:tcBorders>
          </w:tcPr>
          <w:p>
            <w:pPr/>
          </w:p>
        </w:tc>
        <w:tc>
          <w:tcPr>
            <w:tcW w:w="6629" w:type="dxa"/>
            <w:tcBorders>
              <w:left w:val="single" w:sz="4" w:space="0" w:color="000000"/>
              <w:right w:val="single" w:sz="4" w:space="0" w:color="000000"/>
            </w:tcBorders>
          </w:tcPr>
          <w:p>
            <w:pPr>
              <w:pStyle w:val="TableParagraph"/>
              <w:spacing w:line="236" w:lineRule="exact"/>
              <w:ind w:left="105"/>
              <w:rPr>
                <w:sz w:val="21"/>
              </w:rPr>
            </w:pPr>
            <w:r>
              <w:rPr>
                <w:sz w:val="21"/>
              </w:rPr>
              <w:t>localizadas   en   entidades   federativas   de   diferentes   índices de</w:t>
            </w:r>
          </w:p>
        </w:tc>
        <w:tc>
          <w:tcPr>
            <w:tcW w:w="1181" w:type="dxa"/>
            <w:tcBorders>
              <w:left w:val="single" w:sz="4" w:space="0" w:color="000000"/>
            </w:tcBorders>
          </w:tcPr>
          <w:p>
            <w:pPr/>
          </w:p>
        </w:tc>
      </w:tr>
      <w:tr>
        <w:trPr>
          <w:trHeight w:val="370" w:hRule="exact"/>
        </w:trPr>
        <w:tc>
          <w:tcPr>
            <w:tcW w:w="1018" w:type="dxa"/>
            <w:tcBorders>
              <w:right w:val="single" w:sz="4" w:space="0" w:color="000000"/>
            </w:tcBorders>
          </w:tcPr>
          <w:p>
            <w:pPr/>
          </w:p>
        </w:tc>
        <w:tc>
          <w:tcPr>
            <w:tcW w:w="6629" w:type="dxa"/>
            <w:tcBorders>
              <w:left w:val="single" w:sz="4" w:space="0" w:color="000000"/>
              <w:right w:val="single" w:sz="4" w:space="0" w:color="000000"/>
            </w:tcBorders>
          </w:tcPr>
          <w:p>
            <w:pPr>
              <w:pStyle w:val="TableParagraph"/>
              <w:spacing w:line="234" w:lineRule="exact"/>
              <w:ind w:left="105"/>
              <w:rPr>
                <w:sz w:val="21"/>
              </w:rPr>
            </w:pPr>
            <w:r>
              <w:rPr>
                <w:sz w:val="21"/>
              </w:rPr>
              <w:t>marginalidad</w:t>
            </w:r>
          </w:p>
        </w:tc>
        <w:tc>
          <w:tcPr>
            <w:tcW w:w="1181" w:type="dxa"/>
            <w:tcBorders>
              <w:left w:val="single" w:sz="4" w:space="0" w:color="000000"/>
            </w:tcBorders>
          </w:tcPr>
          <w:p>
            <w:pPr/>
          </w:p>
        </w:tc>
      </w:tr>
      <w:tr>
        <w:trPr>
          <w:trHeight w:val="494" w:hRule="exact"/>
        </w:trPr>
        <w:tc>
          <w:tcPr>
            <w:tcW w:w="1018" w:type="dxa"/>
            <w:tcBorders>
              <w:right w:val="single" w:sz="4" w:space="0" w:color="000000"/>
            </w:tcBorders>
          </w:tcPr>
          <w:p>
            <w:pPr>
              <w:pStyle w:val="TableParagraph"/>
              <w:spacing w:before="117"/>
              <w:ind w:left="381" w:right="357"/>
              <w:jc w:val="center"/>
              <w:rPr>
                <w:sz w:val="21"/>
              </w:rPr>
            </w:pPr>
            <w:r>
              <w:rPr>
                <w:sz w:val="21"/>
              </w:rPr>
              <w:t>20</w:t>
            </w:r>
          </w:p>
        </w:tc>
        <w:tc>
          <w:tcPr>
            <w:tcW w:w="6629" w:type="dxa"/>
            <w:tcBorders>
              <w:left w:val="single" w:sz="4" w:space="0" w:color="000000"/>
              <w:right w:val="single" w:sz="4" w:space="0" w:color="000000"/>
            </w:tcBorders>
          </w:tcPr>
          <w:p>
            <w:pPr>
              <w:pStyle w:val="TableParagraph"/>
              <w:spacing w:before="117"/>
              <w:ind w:left="105"/>
              <w:rPr>
                <w:sz w:val="21"/>
              </w:rPr>
            </w:pPr>
            <w:r>
              <w:rPr>
                <w:sz w:val="21"/>
              </w:rPr>
              <w:t>Niveles, grados y asignaturas que evalúa  Excale.</w:t>
            </w:r>
          </w:p>
        </w:tc>
        <w:tc>
          <w:tcPr>
            <w:tcW w:w="1181" w:type="dxa"/>
            <w:tcBorders>
              <w:left w:val="single" w:sz="4" w:space="0" w:color="000000"/>
            </w:tcBorders>
          </w:tcPr>
          <w:p>
            <w:pPr>
              <w:pStyle w:val="TableParagraph"/>
              <w:spacing w:before="117"/>
              <w:ind w:left="151" w:right="163"/>
              <w:jc w:val="center"/>
              <w:rPr>
                <w:sz w:val="21"/>
              </w:rPr>
            </w:pPr>
            <w:r>
              <w:rPr>
                <w:sz w:val="21"/>
              </w:rPr>
              <w:t>223</w:t>
            </w:r>
          </w:p>
        </w:tc>
      </w:tr>
      <w:tr>
        <w:trPr>
          <w:trHeight w:val="492" w:hRule="exact"/>
        </w:trPr>
        <w:tc>
          <w:tcPr>
            <w:tcW w:w="1018" w:type="dxa"/>
            <w:tcBorders>
              <w:right w:val="single" w:sz="4" w:space="0" w:color="000000"/>
            </w:tcBorders>
          </w:tcPr>
          <w:p>
            <w:pPr>
              <w:pStyle w:val="TableParagraph"/>
              <w:spacing w:before="117"/>
              <w:ind w:left="381" w:right="357"/>
              <w:jc w:val="center"/>
              <w:rPr>
                <w:sz w:val="21"/>
              </w:rPr>
            </w:pPr>
            <w:r>
              <w:rPr>
                <w:sz w:val="21"/>
              </w:rPr>
              <w:t>21</w:t>
            </w:r>
          </w:p>
        </w:tc>
        <w:tc>
          <w:tcPr>
            <w:tcW w:w="6629" w:type="dxa"/>
            <w:tcBorders>
              <w:left w:val="single" w:sz="4" w:space="0" w:color="000000"/>
              <w:right w:val="single" w:sz="4" w:space="0" w:color="000000"/>
            </w:tcBorders>
          </w:tcPr>
          <w:p>
            <w:pPr>
              <w:pStyle w:val="TableParagraph"/>
              <w:spacing w:before="117"/>
              <w:ind w:left="105"/>
              <w:rPr>
                <w:sz w:val="21"/>
              </w:rPr>
            </w:pPr>
            <w:r>
              <w:rPr>
                <w:sz w:val="21"/>
              </w:rPr>
              <w:t>Plan de Evaluación por grados y asignaturas  escolares.</w:t>
            </w:r>
          </w:p>
        </w:tc>
        <w:tc>
          <w:tcPr>
            <w:tcW w:w="1181" w:type="dxa"/>
            <w:tcBorders>
              <w:left w:val="single" w:sz="4" w:space="0" w:color="000000"/>
            </w:tcBorders>
          </w:tcPr>
          <w:p>
            <w:pPr>
              <w:pStyle w:val="TableParagraph"/>
              <w:spacing w:before="117"/>
              <w:ind w:left="151" w:right="163"/>
              <w:jc w:val="center"/>
              <w:rPr>
                <w:sz w:val="21"/>
              </w:rPr>
            </w:pPr>
            <w:r>
              <w:rPr>
                <w:sz w:val="21"/>
              </w:rPr>
              <w:t>224</w:t>
            </w:r>
          </w:p>
        </w:tc>
      </w:tr>
      <w:tr>
        <w:trPr>
          <w:trHeight w:val="859" w:hRule="exact"/>
        </w:trPr>
        <w:tc>
          <w:tcPr>
            <w:tcW w:w="1018" w:type="dxa"/>
            <w:tcBorders>
              <w:bottom w:val="single" w:sz="4" w:space="0" w:color="000000"/>
              <w:right w:val="single" w:sz="4" w:space="0" w:color="000000"/>
            </w:tcBorders>
          </w:tcPr>
          <w:p>
            <w:pPr>
              <w:pStyle w:val="TableParagraph"/>
              <w:spacing w:before="114"/>
              <w:ind w:left="381" w:right="357"/>
              <w:jc w:val="center"/>
              <w:rPr>
                <w:sz w:val="21"/>
              </w:rPr>
            </w:pPr>
            <w:r>
              <w:rPr>
                <w:sz w:val="21"/>
              </w:rPr>
              <w:t>22</w:t>
            </w:r>
          </w:p>
        </w:tc>
        <w:tc>
          <w:tcPr>
            <w:tcW w:w="6629" w:type="dxa"/>
            <w:tcBorders>
              <w:left w:val="single" w:sz="4" w:space="0" w:color="000000"/>
              <w:bottom w:val="single" w:sz="4" w:space="0" w:color="000000"/>
              <w:right w:val="single" w:sz="4" w:space="0" w:color="000000"/>
            </w:tcBorders>
          </w:tcPr>
          <w:p>
            <w:pPr>
              <w:pStyle w:val="TableParagraph"/>
              <w:spacing w:before="114"/>
              <w:ind w:left="105"/>
              <w:rPr>
                <w:sz w:val="21"/>
              </w:rPr>
            </w:pPr>
            <w:r>
              <w:rPr>
                <w:sz w:val="21"/>
              </w:rPr>
              <w:t>Los niveles de logro que han sido utilizados por el  INEE</w:t>
            </w:r>
          </w:p>
        </w:tc>
        <w:tc>
          <w:tcPr>
            <w:tcW w:w="1181" w:type="dxa"/>
            <w:tcBorders>
              <w:left w:val="single" w:sz="4" w:space="0" w:color="000000"/>
              <w:bottom w:val="single" w:sz="4" w:space="0" w:color="000000"/>
            </w:tcBorders>
          </w:tcPr>
          <w:p>
            <w:pPr>
              <w:pStyle w:val="TableParagraph"/>
              <w:spacing w:before="114"/>
              <w:ind w:left="151" w:right="163"/>
              <w:jc w:val="center"/>
              <w:rPr>
                <w:sz w:val="21"/>
              </w:rPr>
            </w:pPr>
            <w:r>
              <w:rPr>
                <w:sz w:val="21"/>
              </w:rPr>
              <w:t>226</w:t>
            </w:r>
          </w:p>
        </w:tc>
      </w:tr>
    </w:tbl>
    <w:p>
      <w:pPr>
        <w:spacing w:after="0"/>
        <w:jc w:val="center"/>
        <w:rPr>
          <w:sz w:val="21"/>
        </w:rPr>
        <w:sectPr>
          <w:pgSz w:w="11910" w:h="16840"/>
          <w:pgMar w:header="0" w:footer="1457" w:top="1580" w:bottom="1640" w:left="1420" w:right="1420"/>
        </w:sectPr>
      </w:pPr>
    </w:p>
    <w:p>
      <w:pPr>
        <w:pStyle w:val="BodyText"/>
        <w:rPr>
          <w:rFonts w:ascii="Times New Roman"/>
          <w:sz w:val="20"/>
        </w:rPr>
      </w:pPr>
    </w:p>
    <w:p>
      <w:pPr>
        <w:pStyle w:val="BodyText"/>
        <w:spacing w:before="9"/>
        <w:rPr>
          <w:rFonts w:ascii="Times New Roman"/>
          <w:sz w:val="15"/>
        </w:rPr>
      </w:pPr>
    </w:p>
    <w:p>
      <w:pPr>
        <w:spacing w:before="78"/>
        <w:ind w:left="3960" w:right="3960" w:firstLine="0"/>
        <w:jc w:val="center"/>
        <w:rPr>
          <w:b/>
          <w:sz w:val="21"/>
        </w:rPr>
      </w:pPr>
      <w:r>
        <w:rPr>
          <w:b/>
          <w:sz w:val="21"/>
        </w:rPr>
        <w:t>GRÁFICOS</w:t>
      </w:r>
    </w:p>
    <w:p>
      <w:pPr>
        <w:pStyle w:val="BodyText"/>
        <w:spacing w:before="2"/>
        <w:rPr>
          <w:b/>
          <w:sz w:val="21"/>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14"/>
        <w:gridCol w:w="6442"/>
        <w:gridCol w:w="1176"/>
      </w:tblGrid>
      <w:tr>
        <w:trPr>
          <w:trHeight w:val="749" w:hRule="exact"/>
        </w:trPr>
        <w:tc>
          <w:tcPr>
            <w:tcW w:w="1214" w:type="dxa"/>
            <w:tcBorders>
              <w:left w:val="nil"/>
            </w:tcBorders>
          </w:tcPr>
          <w:p>
            <w:pPr>
              <w:pStyle w:val="TableParagraph"/>
              <w:spacing w:line="242" w:lineRule="auto"/>
              <w:ind w:left="124" w:right="97" w:firstLine="187"/>
              <w:rPr>
                <w:b/>
                <w:sz w:val="21"/>
              </w:rPr>
            </w:pPr>
            <w:r>
              <w:rPr>
                <w:b/>
                <w:sz w:val="21"/>
              </w:rPr>
              <w:t>N° DE GRÁFICO</w:t>
            </w:r>
          </w:p>
        </w:tc>
        <w:tc>
          <w:tcPr>
            <w:tcW w:w="6442" w:type="dxa"/>
          </w:tcPr>
          <w:p>
            <w:pPr>
              <w:pStyle w:val="TableParagraph"/>
              <w:spacing w:before="9"/>
              <w:rPr>
                <w:b/>
                <w:sz w:val="20"/>
              </w:rPr>
            </w:pPr>
          </w:p>
          <w:p>
            <w:pPr>
              <w:pStyle w:val="TableParagraph"/>
              <w:spacing w:before="1"/>
              <w:ind w:left="2819" w:right="2813"/>
              <w:jc w:val="center"/>
              <w:rPr>
                <w:b/>
                <w:sz w:val="21"/>
              </w:rPr>
            </w:pPr>
            <w:r>
              <w:rPr>
                <w:b/>
                <w:sz w:val="21"/>
              </w:rPr>
              <w:t>TÍTULO</w:t>
            </w:r>
          </w:p>
        </w:tc>
        <w:tc>
          <w:tcPr>
            <w:tcW w:w="1176" w:type="dxa"/>
            <w:tcBorders>
              <w:right w:val="nil"/>
            </w:tcBorders>
          </w:tcPr>
          <w:p>
            <w:pPr>
              <w:pStyle w:val="TableParagraph"/>
              <w:spacing w:before="9"/>
              <w:rPr>
                <w:b/>
                <w:sz w:val="20"/>
              </w:rPr>
            </w:pPr>
          </w:p>
          <w:p>
            <w:pPr>
              <w:pStyle w:val="TableParagraph"/>
              <w:spacing w:before="1"/>
              <w:ind w:left="156" w:right="158"/>
              <w:jc w:val="center"/>
              <w:rPr>
                <w:b/>
                <w:sz w:val="21"/>
              </w:rPr>
            </w:pPr>
            <w:r>
              <w:rPr>
                <w:b/>
                <w:sz w:val="21"/>
              </w:rPr>
              <w:t>PÁGINA</w:t>
            </w:r>
          </w:p>
        </w:tc>
      </w:tr>
      <w:tr>
        <w:trPr>
          <w:trHeight w:val="380" w:hRule="exact"/>
        </w:trPr>
        <w:tc>
          <w:tcPr>
            <w:tcW w:w="1214" w:type="dxa"/>
            <w:tcBorders>
              <w:left w:val="nil"/>
              <w:bottom w:val="nil"/>
            </w:tcBorders>
          </w:tcPr>
          <w:p>
            <w:pPr>
              <w:pStyle w:val="TableParagraph"/>
              <w:ind w:right="531"/>
              <w:jc w:val="right"/>
              <w:rPr>
                <w:sz w:val="21"/>
              </w:rPr>
            </w:pPr>
            <w:r>
              <w:rPr>
                <w:w w:val="102"/>
                <w:sz w:val="21"/>
              </w:rPr>
              <w:t>1</w:t>
            </w:r>
          </w:p>
        </w:tc>
        <w:tc>
          <w:tcPr>
            <w:tcW w:w="6442" w:type="dxa"/>
            <w:tcBorders>
              <w:bottom w:val="nil"/>
            </w:tcBorders>
          </w:tcPr>
          <w:p>
            <w:pPr>
              <w:pStyle w:val="TableParagraph"/>
              <w:ind w:left="105"/>
              <w:rPr>
                <w:sz w:val="21"/>
              </w:rPr>
            </w:pPr>
            <w:r>
              <w:rPr>
                <w:sz w:val="21"/>
              </w:rPr>
              <w:t>Niveles de logro en EXCALE 2008 y ENLACE  2010</w:t>
            </w:r>
          </w:p>
        </w:tc>
        <w:tc>
          <w:tcPr>
            <w:tcW w:w="1176" w:type="dxa"/>
            <w:tcBorders>
              <w:bottom w:val="nil"/>
              <w:right w:val="nil"/>
            </w:tcBorders>
          </w:tcPr>
          <w:p>
            <w:pPr>
              <w:pStyle w:val="TableParagraph"/>
              <w:ind w:left="151" w:right="158"/>
              <w:jc w:val="center"/>
              <w:rPr>
                <w:sz w:val="21"/>
              </w:rPr>
            </w:pPr>
            <w:r>
              <w:rPr>
                <w:sz w:val="21"/>
              </w:rPr>
              <w:t>165</w:t>
            </w:r>
          </w:p>
        </w:tc>
      </w:tr>
      <w:tr>
        <w:trPr>
          <w:trHeight w:val="370" w:hRule="exact"/>
        </w:trPr>
        <w:tc>
          <w:tcPr>
            <w:tcW w:w="1214" w:type="dxa"/>
            <w:tcBorders>
              <w:top w:val="nil"/>
              <w:left w:val="nil"/>
              <w:bottom w:val="nil"/>
            </w:tcBorders>
          </w:tcPr>
          <w:p>
            <w:pPr>
              <w:pStyle w:val="TableParagraph"/>
              <w:spacing w:before="114"/>
              <w:ind w:right="531"/>
              <w:jc w:val="right"/>
              <w:rPr>
                <w:sz w:val="21"/>
              </w:rPr>
            </w:pPr>
            <w:r>
              <w:rPr>
                <w:w w:val="102"/>
                <w:sz w:val="21"/>
              </w:rPr>
              <w:t>2</w:t>
            </w:r>
          </w:p>
        </w:tc>
        <w:tc>
          <w:tcPr>
            <w:tcW w:w="6442" w:type="dxa"/>
            <w:tcBorders>
              <w:top w:val="nil"/>
              <w:bottom w:val="nil"/>
            </w:tcBorders>
          </w:tcPr>
          <w:p>
            <w:pPr>
              <w:pStyle w:val="TableParagraph"/>
              <w:spacing w:before="114"/>
              <w:ind w:left="105"/>
              <w:rPr>
                <w:sz w:val="21"/>
              </w:rPr>
            </w:pPr>
            <w:r>
              <w:rPr>
                <w:sz w:val="21"/>
              </w:rPr>
              <w:t>Desempeño   de   los   estudiantes    de   15    años   en    México,</w:t>
            </w:r>
          </w:p>
        </w:tc>
        <w:tc>
          <w:tcPr>
            <w:tcW w:w="1176" w:type="dxa"/>
            <w:tcBorders>
              <w:top w:val="nil"/>
              <w:bottom w:val="nil"/>
              <w:right w:val="nil"/>
            </w:tcBorders>
          </w:tcPr>
          <w:p>
            <w:pPr>
              <w:pStyle w:val="TableParagraph"/>
              <w:spacing w:before="114"/>
              <w:ind w:left="151" w:right="158"/>
              <w:jc w:val="center"/>
              <w:rPr>
                <w:sz w:val="21"/>
              </w:rPr>
            </w:pPr>
            <w:r>
              <w:rPr>
                <w:sz w:val="21"/>
              </w:rPr>
              <w:t>166</w:t>
            </w:r>
          </w:p>
        </w:tc>
      </w:tr>
      <w:tr>
        <w:trPr>
          <w:trHeight w:val="247" w:hRule="exact"/>
        </w:trPr>
        <w:tc>
          <w:tcPr>
            <w:tcW w:w="1214" w:type="dxa"/>
            <w:tcBorders>
              <w:top w:val="nil"/>
              <w:left w:val="nil"/>
              <w:bottom w:val="nil"/>
            </w:tcBorders>
          </w:tcPr>
          <w:p>
            <w:pPr/>
          </w:p>
        </w:tc>
        <w:tc>
          <w:tcPr>
            <w:tcW w:w="6442" w:type="dxa"/>
            <w:tcBorders>
              <w:top w:val="nil"/>
              <w:bottom w:val="nil"/>
            </w:tcBorders>
          </w:tcPr>
          <w:p>
            <w:pPr>
              <w:pStyle w:val="TableParagraph"/>
              <w:spacing w:line="236" w:lineRule="exact"/>
              <w:ind w:left="105"/>
              <w:rPr>
                <w:sz w:val="21"/>
              </w:rPr>
            </w:pPr>
            <w:r>
              <w:rPr>
                <w:sz w:val="21"/>
              </w:rPr>
              <w:t>comparado  con  el  promedio  de  los  países  miembros   de    </w:t>
            </w:r>
            <w:r>
              <w:rPr>
                <w:spacing w:val="51"/>
                <w:sz w:val="21"/>
              </w:rPr>
              <w:t> </w:t>
            </w:r>
            <w:r>
              <w:rPr>
                <w:sz w:val="21"/>
              </w:rPr>
              <w:t>la</w:t>
            </w:r>
          </w:p>
        </w:tc>
        <w:tc>
          <w:tcPr>
            <w:tcW w:w="1176" w:type="dxa"/>
            <w:tcBorders>
              <w:top w:val="nil"/>
              <w:bottom w:val="nil"/>
              <w:right w:val="nil"/>
            </w:tcBorders>
          </w:tcPr>
          <w:p>
            <w:pPr/>
          </w:p>
        </w:tc>
      </w:tr>
      <w:tr>
        <w:trPr>
          <w:trHeight w:val="370" w:hRule="exact"/>
        </w:trPr>
        <w:tc>
          <w:tcPr>
            <w:tcW w:w="1214" w:type="dxa"/>
            <w:tcBorders>
              <w:top w:val="nil"/>
              <w:left w:val="nil"/>
              <w:bottom w:val="nil"/>
            </w:tcBorders>
          </w:tcPr>
          <w:p>
            <w:pPr/>
          </w:p>
        </w:tc>
        <w:tc>
          <w:tcPr>
            <w:tcW w:w="6442" w:type="dxa"/>
            <w:tcBorders>
              <w:top w:val="nil"/>
              <w:bottom w:val="nil"/>
            </w:tcBorders>
          </w:tcPr>
          <w:p>
            <w:pPr>
              <w:pStyle w:val="TableParagraph"/>
              <w:spacing w:line="234" w:lineRule="exact"/>
              <w:ind w:left="105"/>
              <w:rPr>
                <w:sz w:val="21"/>
              </w:rPr>
            </w:pPr>
            <w:r>
              <w:rPr>
                <w:sz w:val="21"/>
              </w:rPr>
              <w:t>OCDE, PISA 2006 (ciencias)</w:t>
            </w:r>
          </w:p>
        </w:tc>
        <w:tc>
          <w:tcPr>
            <w:tcW w:w="1176" w:type="dxa"/>
            <w:tcBorders>
              <w:top w:val="nil"/>
              <w:bottom w:val="nil"/>
              <w:right w:val="nil"/>
            </w:tcBorders>
          </w:tcPr>
          <w:p>
            <w:pPr/>
          </w:p>
        </w:tc>
      </w:tr>
      <w:tr>
        <w:trPr>
          <w:trHeight w:val="494" w:hRule="exact"/>
        </w:trPr>
        <w:tc>
          <w:tcPr>
            <w:tcW w:w="1214" w:type="dxa"/>
            <w:tcBorders>
              <w:top w:val="nil"/>
              <w:left w:val="nil"/>
              <w:bottom w:val="nil"/>
            </w:tcBorders>
          </w:tcPr>
          <w:p>
            <w:pPr>
              <w:pStyle w:val="TableParagraph"/>
              <w:spacing w:before="117"/>
              <w:ind w:right="531"/>
              <w:jc w:val="right"/>
              <w:rPr>
                <w:sz w:val="21"/>
              </w:rPr>
            </w:pPr>
            <w:r>
              <w:rPr>
                <w:w w:val="102"/>
                <w:sz w:val="21"/>
              </w:rPr>
              <w:t>3</w:t>
            </w:r>
          </w:p>
        </w:tc>
        <w:tc>
          <w:tcPr>
            <w:tcW w:w="6442" w:type="dxa"/>
            <w:tcBorders>
              <w:top w:val="nil"/>
              <w:bottom w:val="nil"/>
            </w:tcBorders>
          </w:tcPr>
          <w:p>
            <w:pPr>
              <w:pStyle w:val="TableParagraph"/>
              <w:spacing w:before="117"/>
              <w:ind w:left="105"/>
              <w:rPr>
                <w:sz w:val="21"/>
              </w:rPr>
            </w:pPr>
            <w:r>
              <w:rPr>
                <w:sz w:val="21"/>
              </w:rPr>
              <w:t>Porcentaje de alumnos nivel 0 en lectura (PISA  2006)</w:t>
            </w:r>
          </w:p>
        </w:tc>
        <w:tc>
          <w:tcPr>
            <w:tcW w:w="1176" w:type="dxa"/>
            <w:tcBorders>
              <w:top w:val="nil"/>
              <w:bottom w:val="nil"/>
              <w:right w:val="nil"/>
            </w:tcBorders>
          </w:tcPr>
          <w:p>
            <w:pPr>
              <w:pStyle w:val="TableParagraph"/>
              <w:spacing w:before="117"/>
              <w:ind w:left="151" w:right="158"/>
              <w:jc w:val="center"/>
              <w:rPr>
                <w:sz w:val="21"/>
              </w:rPr>
            </w:pPr>
            <w:r>
              <w:rPr>
                <w:sz w:val="21"/>
              </w:rPr>
              <w:t>167</w:t>
            </w:r>
          </w:p>
        </w:tc>
      </w:tr>
      <w:tr>
        <w:trPr>
          <w:trHeight w:val="367" w:hRule="exact"/>
        </w:trPr>
        <w:tc>
          <w:tcPr>
            <w:tcW w:w="1214" w:type="dxa"/>
            <w:tcBorders>
              <w:top w:val="nil"/>
              <w:left w:val="nil"/>
              <w:bottom w:val="nil"/>
            </w:tcBorders>
          </w:tcPr>
          <w:p>
            <w:pPr>
              <w:pStyle w:val="TableParagraph"/>
              <w:spacing w:before="117"/>
              <w:ind w:right="531"/>
              <w:jc w:val="right"/>
              <w:rPr>
                <w:sz w:val="21"/>
              </w:rPr>
            </w:pPr>
            <w:r>
              <w:rPr>
                <w:w w:val="102"/>
                <w:sz w:val="21"/>
              </w:rPr>
              <w:t>4</w:t>
            </w:r>
          </w:p>
        </w:tc>
        <w:tc>
          <w:tcPr>
            <w:tcW w:w="6442" w:type="dxa"/>
            <w:tcBorders>
              <w:top w:val="nil"/>
              <w:bottom w:val="nil"/>
            </w:tcBorders>
          </w:tcPr>
          <w:p>
            <w:pPr>
              <w:pStyle w:val="TableParagraph"/>
              <w:spacing w:before="117"/>
              <w:ind w:left="105"/>
              <w:rPr>
                <w:sz w:val="21"/>
              </w:rPr>
            </w:pPr>
            <w:r>
              <w:rPr>
                <w:sz w:val="21"/>
              </w:rPr>
              <w:t>Distribución  del  gasto  corriente en  instituciones  educativas para</w:t>
            </w:r>
          </w:p>
        </w:tc>
        <w:tc>
          <w:tcPr>
            <w:tcW w:w="1176" w:type="dxa"/>
            <w:tcBorders>
              <w:top w:val="nil"/>
              <w:bottom w:val="nil"/>
              <w:right w:val="nil"/>
            </w:tcBorders>
          </w:tcPr>
          <w:p>
            <w:pPr>
              <w:pStyle w:val="TableParagraph"/>
              <w:spacing w:before="117"/>
              <w:ind w:left="151" w:right="158"/>
              <w:jc w:val="center"/>
              <w:rPr>
                <w:sz w:val="21"/>
              </w:rPr>
            </w:pPr>
            <w:r>
              <w:rPr>
                <w:sz w:val="21"/>
              </w:rPr>
              <w:t>169</w:t>
            </w:r>
          </w:p>
        </w:tc>
      </w:tr>
      <w:tr>
        <w:trPr>
          <w:trHeight w:val="245" w:hRule="exact"/>
        </w:trPr>
        <w:tc>
          <w:tcPr>
            <w:tcW w:w="1214" w:type="dxa"/>
            <w:tcBorders>
              <w:top w:val="nil"/>
              <w:left w:val="nil"/>
              <w:bottom w:val="nil"/>
            </w:tcBorders>
          </w:tcPr>
          <w:p>
            <w:pPr/>
          </w:p>
        </w:tc>
        <w:tc>
          <w:tcPr>
            <w:tcW w:w="6442" w:type="dxa"/>
            <w:tcBorders>
              <w:top w:val="nil"/>
              <w:bottom w:val="nil"/>
            </w:tcBorders>
          </w:tcPr>
          <w:p>
            <w:pPr>
              <w:pStyle w:val="TableParagraph"/>
              <w:spacing w:line="231" w:lineRule="exact"/>
              <w:ind w:left="105"/>
              <w:rPr>
                <w:sz w:val="21"/>
              </w:rPr>
            </w:pPr>
            <w:r>
              <w:rPr>
                <w:sz w:val="21"/>
              </w:rPr>
              <w:t>educación  primaria,  secundaria  y  postsecundaria  no    terciaria,</w:t>
            </w:r>
          </w:p>
        </w:tc>
        <w:tc>
          <w:tcPr>
            <w:tcW w:w="1176" w:type="dxa"/>
            <w:tcBorders>
              <w:top w:val="nil"/>
              <w:bottom w:val="nil"/>
              <w:right w:val="nil"/>
            </w:tcBorders>
          </w:tcPr>
          <w:p>
            <w:pPr/>
          </w:p>
        </w:tc>
      </w:tr>
      <w:tr>
        <w:trPr>
          <w:trHeight w:val="370" w:hRule="exact"/>
        </w:trPr>
        <w:tc>
          <w:tcPr>
            <w:tcW w:w="1214" w:type="dxa"/>
            <w:tcBorders>
              <w:top w:val="nil"/>
              <w:left w:val="nil"/>
              <w:bottom w:val="nil"/>
            </w:tcBorders>
          </w:tcPr>
          <w:p>
            <w:pPr/>
          </w:p>
        </w:tc>
        <w:tc>
          <w:tcPr>
            <w:tcW w:w="6442" w:type="dxa"/>
            <w:tcBorders>
              <w:top w:val="nil"/>
              <w:bottom w:val="nil"/>
            </w:tcBorders>
          </w:tcPr>
          <w:p>
            <w:pPr>
              <w:pStyle w:val="TableParagraph"/>
              <w:spacing w:line="236" w:lineRule="exact"/>
              <w:ind w:left="105"/>
              <w:rPr>
                <w:sz w:val="21"/>
              </w:rPr>
            </w:pPr>
            <w:r>
              <w:rPr>
                <w:sz w:val="21"/>
              </w:rPr>
              <w:t>2007</w:t>
            </w:r>
          </w:p>
        </w:tc>
        <w:tc>
          <w:tcPr>
            <w:tcW w:w="1176" w:type="dxa"/>
            <w:tcBorders>
              <w:top w:val="nil"/>
              <w:bottom w:val="nil"/>
              <w:right w:val="nil"/>
            </w:tcBorders>
          </w:tcPr>
          <w:p>
            <w:pPr/>
          </w:p>
        </w:tc>
      </w:tr>
      <w:tr>
        <w:trPr>
          <w:trHeight w:val="370" w:hRule="exact"/>
        </w:trPr>
        <w:tc>
          <w:tcPr>
            <w:tcW w:w="1214" w:type="dxa"/>
            <w:tcBorders>
              <w:top w:val="nil"/>
              <w:left w:val="nil"/>
              <w:bottom w:val="nil"/>
            </w:tcBorders>
          </w:tcPr>
          <w:p>
            <w:pPr>
              <w:pStyle w:val="TableParagraph"/>
              <w:spacing w:before="114"/>
              <w:ind w:right="531"/>
              <w:jc w:val="right"/>
              <w:rPr>
                <w:sz w:val="21"/>
              </w:rPr>
            </w:pPr>
            <w:r>
              <w:rPr>
                <w:w w:val="102"/>
                <w:sz w:val="21"/>
              </w:rPr>
              <w:t>5</w:t>
            </w:r>
          </w:p>
        </w:tc>
        <w:tc>
          <w:tcPr>
            <w:tcW w:w="6442" w:type="dxa"/>
            <w:tcBorders>
              <w:top w:val="nil"/>
              <w:bottom w:val="nil"/>
            </w:tcBorders>
          </w:tcPr>
          <w:p>
            <w:pPr>
              <w:pStyle w:val="TableParagraph"/>
              <w:tabs>
                <w:tab w:pos="1351" w:val="left" w:leader="none"/>
                <w:tab w:pos="2605" w:val="left" w:leader="none"/>
                <w:tab w:pos="4518" w:val="left" w:leader="none"/>
                <w:tab w:pos="5145" w:val="left" w:leader="none"/>
                <w:tab w:pos="6166" w:val="left" w:leader="none"/>
              </w:tabs>
              <w:spacing w:before="114"/>
              <w:ind w:left="105"/>
              <w:rPr>
                <w:sz w:val="21"/>
              </w:rPr>
            </w:pPr>
            <w:r>
              <w:rPr>
                <w:sz w:val="21"/>
              </w:rPr>
              <w:t>Directores</w:t>
              <w:tab/>
              <w:t>reportaron</w:t>
              <w:tab/>
              <w:t>comportamientos</w:t>
              <w:tab/>
              <w:t>que</w:t>
              <w:tab/>
              <w:t>impiden</w:t>
              <w:tab/>
            </w:r>
            <w:r>
              <w:rPr>
                <w:spacing w:val="-3"/>
                <w:sz w:val="21"/>
              </w:rPr>
              <w:t>la</w:t>
            </w:r>
          </w:p>
        </w:tc>
        <w:tc>
          <w:tcPr>
            <w:tcW w:w="1176" w:type="dxa"/>
            <w:tcBorders>
              <w:top w:val="nil"/>
              <w:bottom w:val="nil"/>
              <w:right w:val="nil"/>
            </w:tcBorders>
          </w:tcPr>
          <w:p>
            <w:pPr>
              <w:pStyle w:val="TableParagraph"/>
              <w:spacing w:before="114"/>
              <w:ind w:left="151" w:right="158"/>
              <w:jc w:val="center"/>
              <w:rPr>
                <w:sz w:val="21"/>
              </w:rPr>
            </w:pPr>
            <w:r>
              <w:rPr>
                <w:sz w:val="21"/>
              </w:rPr>
              <w:t>171</w:t>
            </w:r>
          </w:p>
        </w:tc>
      </w:tr>
      <w:tr>
        <w:trPr>
          <w:trHeight w:val="372" w:hRule="exact"/>
        </w:trPr>
        <w:tc>
          <w:tcPr>
            <w:tcW w:w="1214" w:type="dxa"/>
            <w:tcBorders>
              <w:top w:val="nil"/>
              <w:left w:val="nil"/>
              <w:bottom w:val="nil"/>
            </w:tcBorders>
          </w:tcPr>
          <w:p>
            <w:pPr/>
          </w:p>
        </w:tc>
        <w:tc>
          <w:tcPr>
            <w:tcW w:w="6442" w:type="dxa"/>
            <w:tcBorders>
              <w:top w:val="nil"/>
              <w:bottom w:val="nil"/>
            </w:tcBorders>
          </w:tcPr>
          <w:p>
            <w:pPr>
              <w:pStyle w:val="TableParagraph"/>
              <w:spacing w:line="236" w:lineRule="exact"/>
              <w:ind w:left="105"/>
              <w:rPr>
                <w:sz w:val="21"/>
              </w:rPr>
            </w:pPr>
            <w:r>
              <w:rPr>
                <w:sz w:val="21"/>
              </w:rPr>
              <w:t>enseñanza en la escuela en los diferentes países,  2007-2008</w:t>
            </w:r>
          </w:p>
        </w:tc>
        <w:tc>
          <w:tcPr>
            <w:tcW w:w="1176" w:type="dxa"/>
            <w:tcBorders>
              <w:top w:val="nil"/>
              <w:bottom w:val="nil"/>
              <w:right w:val="nil"/>
            </w:tcBorders>
          </w:tcPr>
          <w:p>
            <w:pPr/>
          </w:p>
        </w:tc>
      </w:tr>
      <w:tr>
        <w:trPr>
          <w:trHeight w:val="492" w:hRule="exact"/>
        </w:trPr>
        <w:tc>
          <w:tcPr>
            <w:tcW w:w="1214" w:type="dxa"/>
            <w:tcBorders>
              <w:top w:val="nil"/>
              <w:left w:val="nil"/>
              <w:bottom w:val="nil"/>
            </w:tcBorders>
          </w:tcPr>
          <w:p>
            <w:pPr>
              <w:pStyle w:val="TableParagraph"/>
              <w:spacing w:before="117"/>
              <w:ind w:right="531"/>
              <w:jc w:val="right"/>
              <w:rPr>
                <w:sz w:val="21"/>
              </w:rPr>
            </w:pPr>
            <w:r>
              <w:rPr>
                <w:w w:val="102"/>
                <w:sz w:val="21"/>
              </w:rPr>
              <w:t>6</w:t>
            </w:r>
          </w:p>
        </w:tc>
        <w:tc>
          <w:tcPr>
            <w:tcW w:w="6442" w:type="dxa"/>
            <w:tcBorders>
              <w:top w:val="nil"/>
              <w:bottom w:val="nil"/>
            </w:tcBorders>
          </w:tcPr>
          <w:p>
            <w:pPr>
              <w:pStyle w:val="TableParagraph"/>
              <w:spacing w:before="117"/>
              <w:ind w:left="105"/>
              <w:rPr>
                <w:sz w:val="21"/>
              </w:rPr>
            </w:pPr>
            <w:r>
              <w:rPr>
                <w:sz w:val="21"/>
              </w:rPr>
              <w:t>Número de plazas por docente en  México</w:t>
            </w:r>
          </w:p>
        </w:tc>
        <w:tc>
          <w:tcPr>
            <w:tcW w:w="1176" w:type="dxa"/>
            <w:tcBorders>
              <w:top w:val="nil"/>
              <w:bottom w:val="nil"/>
              <w:right w:val="nil"/>
            </w:tcBorders>
          </w:tcPr>
          <w:p>
            <w:pPr>
              <w:pStyle w:val="TableParagraph"/>
              <w:spacing w:before="117"/>
              <w:ind w:left="151" w:right="158"/>
              <w:jc w:val="center"/>
              <w:rPr>
                <w:sz w:val="21"/>
              </w:rPr>
            </w:pPr>
            <w:r>
              <w:rPr>
                <w:sz w:val="21"/>
              </w:rPr>
              <w:t>173</w:t>
            </w:r>
          </w:p>
        </w:tc>
      </w:tr>
      <w:tr>
        <w:trPr>
          <w:trHeight w:val="370" w:hRule="exact"/>
        </w:trPr>
        <w:tc>
          <w:tcPr>
            <w:tcW w:w="1214" w:type="dxa"/>
            <w:tcBorders>
              <w:top w:val="nil"/>
              <w:left w:val="nil"/>
              <w:bottom w:val="nil"/>
            </w:tcBorders>
          </w:tcPr>
          <w:p>
            <w:pPr>
              <w:pStyle w:val="TableParagraph"/>
              <w:spacing w:before="114"/>
              <w:ind w:right="531"/>
              <w:jc w:val="right"/>
              <w:rPr>
                <w:sz w:val="21"/>
              </w:rPr>
            </w:pPr>
            <w:r>
              <w:rPr>
                <w:w w:val="102"/>
                <w:sz w:val="21"/>
              </w:rPr>
              <w:t>7</w:t>
            </w:r>
          </w:p>
        </w:tc>
        <w:tc>
          <w:tcPr>
            <w:tcW w:w="6442" w:type="dxa"/>
            <w:tcBorders>
              <w:top w:val="nil"/>
              <w:bottom w:val="nil"/>
            </w:tcBorders>
          </w:tcPr>
          <w:p>
            <w:pPr>
              <w:pStyle w:val="TableParagraph"/>
              <w:spacing w:before="114"/>
              <w:ind w:left="105"/>
              <w:rPr>
                <w:sz w:val="21"/>
              </w:rPr>
            </w:pPr>
            <w:r>
              <w:rPr>
                <w:sz w:val="21"/>
              </w:rPr>
              <w:t>Edad  y  género  </w:t>
            </w:r>
            <w:r>
              <w:rPr>
                <w:spacing w:val="2"/>
                <w:sz w:val="21"/>
              </w:rPr>
              <w:t>de  </w:t>
            </w:r>
            <w:r>
              <w:rPr>
                <w:spacing w:val="-4"/>
                <w:sz w:val="21"/>
              </w:rPr>
              <w:t>los </w:t>
            </w:r>
            <w:r>
              <w:rPr>
                <w:spacing w:val="50"/>
                <w:sz w:val="21"/>
              </w:rPr>
              <w:t> </w:t>
            </w:r>
            <w:r>
              <w:rPr>
                <w:sz w:val="21"/>
              </w:rPr>
              <w:t>docentes  y  directores  de  escuela     </w:t>
            </w:r>
            <w:r>
              <w:rPr>
                <w:spacing w:val="-3"/>
                <w:sz w:val="21"/>
              </w:rPr>
              <w:t>de</w:t>
            </w:r>
          </w:p>
        </w:tc>
        <w:tc>
          <w:tcPr>
            <w:tcW w:w="1176" w:type="dxa"/>
            <w:tcBorders>
              <w:top w:val="nil"/>
              <w:bottom w:val="nil"/>
              <w:right w:val="nil"/>
            </w:tcBorders>
          </w:tcPr>
          <w:p>
            <w:pPr>
              <w:pStyle w:val="TableParagraph"/>
              <w:spacing w:before="114"/>
              <w:ind w:left="151" w:right="158"/>
              <w:jc w:val="center"/>
              <w:rPr>
                <w:sz w:val="21"/>
              </w:rPr>
            </w:pPr>
            <w:r>
              <w:rPr>
                <w:sz w:val="21"/>
              </w:rPr>
              <w:t>174</w:t>
            </w:r>
          </w:p>
        </w:tc>
      </w:tr>
      <w:tr>
        <w:trPr>
          <w:trHeight w:val="370" w:hRule="exact"/>
        </w:trPr>
        <w:tc>
          <w:tcPr>
            <w:tcW w:w="1214" w:type="dxa"/>
            <w:tcBorders>
              <w:top w:val="nil"/>
              <w:left w:val="nil"/>
              <w:bottom w:val="nil"/>
            </w:tcBorders>
          </w:tcPr>
          <w:p>
            <w:pPr/>
          </w:p>
        </w:tc>
        <w:tc>
          <w:tcPr>
            <w:tcW w:w="6442" w:type="dxa"/>
            <w:tcBorders>
              <w:top w:val="nil"/>
              <w:bottom w:val="nil"/>
            </w:tcBorders>
          </w:tcPr>
          <w:p>
            <w:pPr>
              <w:pStyle w:val="TableParagraph"/>
              <w:spacing w:line="236" w:lineRule="exact"/>
              <w:ind w:left="105"/>
              <w:rPr>
                <w:sz w:val="21"/>
              </w:rPr>
            </w:pPr>
            <w:r>
              <w:rPr>
                <w:sz w:val="21"/>
              </w:rPr>
              <w:t>educación media básica</w:t>
            </w:r>
          </w:p>
        </w:tc>
        <w:tc>
          <w:tcPr>
            <w:tcW w:w="1176" w:type="dxa"/>
            <w:tcBorders>
              <w:top w:val="nil"/>
              <w:bottom w:val="nil"/>
              <w:right w:val="nil"/>
            </w:tcBorders>
          </w:tcPr>
          <w:p>
            <w:pPr/>
          </w:p>
        </w:tc>
      </w:tr>
      <w:tr>
        <w:trPr>
          <w:trHeight w:val="490" w:hRule="exact"/>
        </w:trPr>
        <w:tc>
          <w:tcPr>
            <w:tcW w:w="1214" w:type="dxa"/>
            <w:tcBorders>
              <w:top w:val="nil"/>
              <w:left w:val="nil"/>
              <w:bottom w:val="nil"/>
            </w:tcBorders>
          </w:tcPr>
          <w:p>
            <w:pPr>
              <w:pStyle w:val="TableParagraph"/>
              <w:spacing w:before="114"/>
              <w:ind w:right="531"/>
              <w:jc w:val="right"/>
              <w:rPr>
                <w:sz w:val="21"/>
              </w:rPr>
            </w:pPr>
            <w:r>
              <w:rPr>
                <w:w w:val="102"/>
                <w:sz w:val="21"/>
              </w:rPr>
              <w:t>8</w:t>
            </w:r>
          </w:p>
        </w:tc>
        <w:tc>
          <w:tcPr>
            <w:tcW w:w="6442" w:type="dxa"/>
            <w:tcBorders>
              <w:top w:val="nil"/>
              <w:bottom w:val="nil"/>
            </w:tcBorders>
          </w:tcPr>
          <w:p>
            <w:pPr>
              <w:pStyle w:val="TableParagraph"/>
              <w:spacing w:before="114"/>
              <w:ind w:left="105"/>
              <w:rPr>
                <w:sz w:val="21"/>
              </w:rPr>
            </w:pPr>
            <w:r>
              <w:rPr>
                <w:sz w:val="21"/>
              </w:rPr>
              <w:t>Permanencia en el sistema educativo en  México</w:t>
            </w:r>
          </w:p>
        </w:tc>
        <w:tc>
          <w:tcPr>
            <w:tcW w:w="1176" w:type="dxa"/>
            <w:tcBorders>
              <w:top w:val="nil"/>
              <w:bottom w:val="nil"/>
              <w:right w:val="nil"/>
            </w:tcBorders>
          </w:tcPr>
          <w:p>
            <w:pPr>
              <w:pStyle w:val="TableParagraph"/>
              <w:spacing w:before="114"/>
              <w:ind w:left="151" w:right="158"/>
              <w:jc w:val="center"/>
              <w:rPr>
                <w:sz w:val="21"/>
              </w:rPr>
            </w:pPr>
            <w:r>
              <w:rPr>
                <w:sz w:val="21"/>
              </w:rPr>
              <w:t>175</w:t>
            </w:r>
          </w:p>
        </w:tc>
      </w:tr>
      <w:tr>
        <w:trPr>
          <w:trHeight w:val="369" w:hRule="exact"/>
        </w:trPr>
        <w:tc>
          <w:tcPr>
            <w:tcW w:w="1214" w:type="dxa"/>
            <w:tcBorders>
              <w:top w:val="nil"/>
              <w:left w:val="nil"/>
            </w:tcBorders>
          </w:tcPr>
          <w:p>
            <w:pPr>
              <w:pStyle w:val="TableParagraph"/>
              <w:spacing w:before="114"/>
              <w:ind w:right="531"/>
              <w:jc w:val="right"/>
              <w:rPr>
                <w:sz w:val="21"/>
              </w:rPr>
            </w:pPr>
            <w:r>
              <w:rPr>
                <w:w w:val="102"/>
                <w:sz w:val="21"/>
              </w:rPr>
              <w:t>9</w:t>
            </w:r>
          </w:p>
        </w:tc>
        <w:tc>
          <w:tcPr>
            <w:tcW w:w="6442" w:type="dxa"/>
            <w:tcBorders>
              <w:top w:val="nil"/>
            </w:tcBorders>
          </w:tcPr>
          <w:p>
            <w:pPr>
              <w:pStyle w:val="TableParagraph"/>
              <w:spacing w:before="114"/>
              <w:ind w:left="105"/>
              <w:rPr>
                <w:sz w:val="21"/>
              </w:rPr>
            </w:pPr>
            <w:r>
              <w:rPr>
                <w:sz w:val="21"/>
              </w:rPr>
              <w:t>Profesores que presentaron el primer concurso de  plazas</w:t>
            </w:r>
          </w:p>
        </w:tc>
        <w:tc>
          <w:tcPr>
            <w:tcW w:w="1176" w:type="dxa"/>
            <w:tcBorders>
              <w:top w:val="nil"/>
              <w:right w:val="nil"/>
            </w:tcBorders>
          </w:tcPr>
          <w:p>
            <w:pPr>
              <w:pStyle w:val="TableParagraph"/>
              <w:spacing w:before="114"/>
              <w:ind w:left="151" w:right="158"/>
              <w:jc w:val="center"/>
              <w:rPr>
                <w:sz w:val="21"/>
              </w:rPr>
            </w:pPr>
            <w:r>
              <w:rPr>
                <w:sz w:val="21"/>
              </w:rPr>
              <w:t>178</w:t>
            </w:r>
          </w:p>
        </w:tc>
      </w:tr>
    </w:tbl>
    <w:p>
      <w:pPr>
        <w:spacing w:after="0"/>
        <w:jc w:val="center"/>
        <w:rPr>
          <w:sz w:val="21"/>
        </w:rPr>
        <w:sectPr>
          <w:pgSz w:w="11910" w:h="16840"/>
          <w:pgMar w:header="0" w:footer="1457" w:top="1580" w:bottom="1640" w:left="1420" w:right="1420"/>
        </w:sectPr>
      </w:pPr>
    </w:p>
    <w:p>
      <w:pPr>
        <w:pStyle w:val="BodyText"/>
        <w:rPr>
          <w:b/>
          <w:sz w:val="20"/>
        </w:rPr>
      </w:pPr>
    </w:p>
    <w:p>
      <w:pPr>
        <w:pStyle w:val="BodyText"/>
        <w:spacing w:before="2"/>
        <w:rPr>
          <w:b/>
          <w:sz w:val="16"/>
        </w:rPr>
      </w:pPr>
    </w:p>
    <w:p>
      <w:pPr>
        <w:pStyle w:val="Heading3"/>
        <w:spacing w:before="74"/>
        <w:ind w:right="191"/>
        <w:jc w:val="left"/>
      </w:pPr>
      <w:r>
        <w:rPr/>
        <w:t>BIBLIOGRAFÍA GENERAL</w:t>
      </w:r>
    </w:p>
    <w:p>
      <w:pPr>
        <w:pStyle w:val="BodyText"/>
        <w:spacing w:before="6"/>
        <w:rPr>
          <w:b/>
          <w:sz w:val="31"/>
        </w:rPr>
      </w:pPr>
    </w:p>
    <w:p>
      <w:pPr>
        <w:spacing w:before="1"/>
        <w:ind w:left="115" w:right="0" w:firstLine="0"/>
        <w:jc w:val="left"/>
        <w:rPr>
          <w:b/>
          <w:sz w:val="19"/>
        </w:rPr>
      </w:pPr>
      <w:r>
        <w:rPr>
          <w:b/>
          <w:w w:val="103"/>
          <w:sz w:val="19"/>
        </w:rPr>
        <w:t>A</w:t>
      </w:r>
    </w:p>
    <w:p>
      <w:pPr>
        <w:tabs>
          <w:tab w:pos="1501" w:val="left" w:leader="none"/>
          <w:tab w:pos="2142" w:val="left" w:leader="none"/>
          <w:tab w:pos="2978" w:val="left" w:leader="none"/>
          <w:tab w:pos="3429" w:val="left" w:leader="none"/>
          <w:tab w:pos="4171" w:val="left" w:leader="none"/>
          <w:tab w:pos="5313" w:val="left" w:leader="none"/>
          <w:tab w:pos="5745" w:val="left" w:leader="none"/>
          <w:tab w:pos="6110" w:val="left" w:leader="none"/>
          <w:tab w:pos="7218" w:val="left" w:leader="none"/>
          <w:tab w:pos="7828" w:val="left" w:leader="none"/>
          <w:tab w:pos="8194" w:val="left" w:leader="none"/>
        </w:tabs>
        <w:spacing w:line="244" w:lineRule="auto" w:before="2"/>
        <w:ind w:left="115" w:right="101" w:firstLine="0"/>
        <w:jc w:val="left"/>
        <w:rPr>
          <w:sz w:val="19"/>
        </w:rPr>
      </w:pPr>
      <w:r>
        <w:rPr>
          <w:b/>
          <w:w w:val="105"/>
          <w:sz w:val="19"/>
        </w:rPr>
        <w:t>Aguayo </w:t>
      </w:r>
      <w:r>
        <w:rPr>
          <w:w w:val="105"/>
          <w:sz w:val="19"/>
        </w:rPr>
        <w:t>Quezada, Sergio. (2008). “México todo en cifras”. Ed. AGUILAR. México, D.F. </w:t>
      </w:r>
      <w:r>
        <w:rPr>
          <w:b/>
          <w:w w:val="105"/>
          <w:sz w:val="19"/>
        </w:rPr>
        <w:t>Aguerrondo</w:t>
      </w:r>
      <w:r>
        <w:rPr>
          <w:w w:val="105"/>
          <w:sz w:val="19"/>
        </w:rPr>
        <w:t>,</w:t>
        <w:tab/>
        <w:t>Inés.</w:t>
        <w:tab/>
        <w:t>(1999).</w:t>
        <w:tab/>
      </w:r>
      <w:r>
        <w:rPr>
          <w:spacing w:val="-3"/>
          <w:w w:val="105"/>
          <w:sz w:val="19"/>
        </w:rPr>
        <w:t>“El</w:t>
        <w:tab/>
      </w:r>
      <w:r>
        <w:rPr>
          <w:w w:val="105"/>
          <w:sz w:val="19"/>
        </w:rPr>
        <w:t>nuevo</w:t>
        <w:tab/>
        <w:t>paradigma</w:t>
        <w:tab/>
        <w:t>de</w:t>
        <w:tab/>
        <w:t>la</w:t>
        <w:tab/>
        <w:t>educación</w:t>
        <w:tab/>
        <w:t>para</w:t>
        <w:tab/>
        <w:t>el</w:t>
        <w:tab/>
      </w:r>
      <w:r>
        <w:rPr>
          <w:sz w:val="19"/>
        </w:rPr>
        <w:t>siglo”. </w:t>
      </w:r>
      <w:r>
        <w:rPr>
          <w:b/>
          <w:w w:val="105"/>
          <w:sz w:val="19"/>
        </w:rPr>
        <w:t>Organización</w:t>
      </w:r>
      <w:r>
        <w:rPr>
          <w:b/>
          <w:spacing w:val="-28"/>
          <w:w w:val="105"/>
          <w:sz w:val="19"/>
        </w:rPr>
        <w:t> </w:t>
      </w:r>
      <w:r>
        <w:rPr>
          <w:b/>
          <w:w w:val="105"/>
          <w:sz w:val="19"/>
        </w:rPr>
        <w:t>de</w:t>
      </w:r>
      <w:r>
        <w:rPr>
          <w:b/>
          <w:spacing w:val="-28"/>
          <w:w w:val="105"/>
          <w:sz w:val="19"/>
        </w:rPr>
        <w:t> </w:t>
      </w:r>
      <w:r>
        <w:rPr>
          <w:b/>
          <w:w w:val="105"/>
          <w:sz w:val="19"/>
        </w:rPr>
        <w:t>Estados</w:t>
      </w:r>
      <w:r>
        <w:rPr>
          <w:b/>
          <w:spacing w:val="-28"/>
          <w:w w:val="105"/>
          <w:sz w:val="19"/>
        </w:rPr>
        <w:t> </w:t>
      </w:r>
      <w:r>
        <w:rPr>
          <w:b/>
          <w:w w:val="105"/>
          <w:sz w:val="19"/>
        </w:rPr>
        <w:t>Iberoamericanos</w:t>
      </w:r>
      <w:r>
        <w:rPr>
          <w:w w:val="105"/>
          <w:sz w:val="19"/>
        </w:rPr>
        <w:t>.</w:t>
      </w:r>
      <w:r>
        <w:rPr>
          <w:spacing w:val="-31"/>
          <w:w w:val="105"/>
          <w:sz w:val="19"/>
        </w:rPr>
        <w:t> </w:t>
      </w:r>
      <w:r>
        <w:rPr>
          <w:w w:val="105"/>
          <w:sz w:val="19"/>
        </w:rPr>
        <w:t>Puede</w:t>
      </w:r>
      <w:r>
        <w:rPr>
          <w:spacing w:val="-26"/>
          <w:w w:val="105"/>
          <w:sz w:val="19"/>
        </w:rPr>
        <w:t> </w:t>
      </w:r>
      <w:r>
        <w:rPr>
          <w:w w:val="105"/>
          <w:sz w:val="19"/>
        </w:rPr>
        <w:t>consultarse</w:t>
      </w:r>
      <w:r>
        <w:rPr>
          <w:spacing w:val="-26"/>
          <w:w w:val="105"/>
          <w:sz w:val="19"/>
        </w:rPr>
        <w:t> </w:t>
      </w:r>
      <w:r>
        <w:rPr>
          <w:w w:val="105"/>
          <w:sz w:val="19"/>
        </w:rPr>
        <w:t>en:</w:t>
      </w:r>
    </w:p>
    <w:p>
      <w:pPr>
        <w:spacing w:before="3"/>
        <w:ind w:left="163" w:right="191" w:firstLine="0"/>
        <w:jc w:val="left"/>
        <w:rPr>
          <w:sz w:val="19"/>
        </w:rPr>
      </w:pPr>
      <w:hyperlink r:id="rId125">
        <w:r>
          <w:rPr>
            <w:color w:val="0000FF"/>
            <w:w w:val="105"/>
            <w:sz w:val="19"/>
            <w:u w:val="single" w:color="0000FF"/>
          </w:rPr>
          <w:t>http://www.campus-oei.org/administracion/aguerrondo.htm</w:t>
        </w:r>
      </w:hyperlink>
    </w:p>
    <w:p>
      <w:pPr>
        <w:spacing w:line="247" w:lineRule="auto" w:before="2"/>
        <w:ind w:left="115" w:right="191" w:firstLine="0"/>
        <w:jc w:val="left"/>
        <w:rPr>
          <w:sz w:val="19"/>
        </w:rPr>
      </w:pPr>
      <w:r>
        <w:rPr>
          <w:w w:val="105"/>
          <w:sz w:val="19"/>
        </w:rPr>
        <w:t>----------------------- (1999). “La calidad de la educación. Ejes para su definición y evaluación” en Revista Interamericana de Educación. 13 (3)18-20. Puede consultarse en:</w:t>
      </w:r>
    </w:p>
    <w:p>
      <w:pPr>
        <w:spacing w:before="0"/>
        <w:ind w:left="163" w:right="191" w:firstLine="0"/>
        <w:jc w:val="left"/>
        <w:rPr>
          <w:sz w:val="19"/>
        </w:rPr>
      </w:pPr>
      <w:hyperlink r:id="rId126">
        <w:r>
          <w:rPr>
            <w:color w:val="0000FF"/>
            <w:w w:val="105"/>
            <w:sz w:val="19"/>
            <w:u w:val="single" w:color="0000FF"/>
          </w:rPr>
          <w:t>http://www.campus-oei.org/calidad/aguerrondo.htm</w:t>
        </w:r>
      </w:hyperlink>
    </w:p>
    <w:p>
      <w:pPr>
        <w:spacing w:line="247" w:lineRule="auto" w:before="2"/>
        <w:ind w:left="115" w:right="105" w:firstLine="0"/>
        <w:jc w:val="both"/>
        <w:rPr>
          <w:sz w:val="19"/>
        </w:rPr>
      </w:pPr>
      <w:r>
        <w:rPr>
          <w:w w:val="105"/>
          <w:sz w:val="19"/>
        </w:rPr>
        <w:t>------------------------</w:t>
      </w:r>
      <w:r>
        <w:rPr>
          <w:spacing w:val="-19"/>
          <w:w w:val="105"/>
          <w:sz w:val="19"/>
        </w:rPr>
        <w:t> </w:t>
      </w:r>
      <w:r>
        <w:rPr>
          <w:w w:val="105"/>
          <w:sz w:val="19"/>
        </w:rPr>
        <w:t>(2004).</w:t>
      </w:r>
      <w:r>
        <w:rPr>
          <w:spacing w:val="-17"/>
          <w:w w:val="105"/>
          <w:sz w:val="19"/>
        </w:rPr>
        <w:t> </w:t>
      </w:r>
      <w:r>
        <w:rPr>
          <w:w w:val="105"/>
          <w:sz w:val="19"/>
        </w:rPr>
        <w:t>“La</w:t>
      </w:r>
      <w:r>
        <w:rPr>
          <w:spacing w:val="-17"/>
          <w:w w:val="105"/>
          <w:sz w:val="19"/>
        </w:rPr>
        <w:t> </w:t>
      </w:r>
      <w:r>
        <w:rPr>
          <w:w w:val="105"/>
          <w:sz w:val="19"/>
        </w:rPr>
        <w:t>gestión</w:t>
      </w:r>
      <w:r>
        <w:rPr>
          <w:spacing w:val="-17"/>
          <w:w w:val="105"/>
          <w:sz w:val="19"/>
        </w:rPr>
        <w:t> </w:t>
      </w:r>
      <w:r>
        <w:rPr>
          <w:w w:val="105"/>
          <w:sz w:val="19"/>
        </w:rPr>
        <w:t>del</w:t>
      </w:r>
      <w:r>
        <w:rPr>
          <w:spacing w:val="-17"/>
          <w:w w:val="105"/>
          <w:sz w:val="19"/>
        </w:rPr>
        <w:t> </w:t>
      </w:r>
      <w:r>
        <w:rPr>
          <w:w w:val="105"/>
          <w:sz w:val="19"/>
        </w:rPr>
        <w:t>sector</w:t>
      </w:r>
      <w:r>
        <w:rPr>
          <w:spacing w:val="-22"/>
          <w:w w:val="105"/>
          <w:sz w:val="19"/>
        </w:rPr>
        <w:t> </w:t>
      </w:r>
      <w:r>
        <w:rPr>
          <w:w w:val="105"/>
          <w:sz w:val="19"/>
        </w:rPr>
        <w:t>de</w:t>
      </w:r>
      <w:r>
        <w:rPr>
          <w:spacing w:val="-20"/>
          <w:w w:val="105"/>
          <w:sz w:val="19"/>
        </w:rPr>
        <w:t> </w:t>
      </w:r>
      <w:r>
        <w:rPr>
          <w:w w:val="105"/>
          <w:sz w:val="19"/>
        </w:rPr>
        <w:t>educación</w:t>
      </w:r>
      <w:r>
        <w:rPr>
          <w:spacing w:val="-20"/>
          <w:w w:val="105"/>
          <w:sz w:val="19"/>
        </w:rPr>
        <w:t> </w:t>
      </w:r>
      <w:r>
        <w:rPr>
          <w:w w:val="105"/>
          <w:sz w:val="19"/>
        </w:rPr>
        <w:t>en</w:t>
      </w:r>
      <w:r>
        <w:rPr>
          <w:spacing w:val="-20"/>
          <w:w w:val="105"/>
          <w:sz w:val="19"/>
        </w:rPr>
        <w:t> </w:t>
      </w:r>
      <w:r>
        <w:rPr>
          <w:w w:val="105"/>
          <w:sz w:val="19"/>
        </w:rPr>
        <w:t>los</w:t>
      </w:r>
      <w:r>
        <w:rPr>
          <w:spacing w:val="-21"/>
          <w:w w:val="105"/>
          <w:sz w:val="19"/>
        </w:rPr>
        <w:t> </w:t>
      </w:r>
      <w:r>
        <w:rPr>
          <w:w w:val="105"/>
          <w:sz w:val="19"/>
        </w:rPr>
        <w:t>90´s.</w:t>
      </w:r>
      <w:r>
        <w:rPr>
          <w:spacing w:val="-17"/>
          <w:w w:val="105"/>
          <w:sz w:val="19"/>
        </w:rPr>
        <w:t> </w:t>
      </w:r>
      <w:r>
        <w:rPr>
          <w:w w:val="105"/>
          <w:sz w:val="19"/>
        </w:rPr>
        <w:t>Algunas</w:t>
      </w:r>
      <w:r>
        <w:rPr>
          <w:spacing w:val="-23"/>
          <w:w w:val="105"/>
          <w:sz w:val="19"/>
        </w:rPr>
        <w:t> </w:t>
      </w:r>
      <w:r>
        <w:rPr>
          <w:w w:val="105"/>
          <w:sz w:val="19"/>
        </w:rPr>
        <w:t>cuestiones</w:t>
      </w:r>
      <w:r>
        <w:rPr>
          <w:spacing w:val="-22"/>
          <w:w w:val="105"/>
          <w:sz w:val="19"/>
        </w:rPr>
        <w:t> </w:t>
      </w:r>
      <w:r>
        <w:rPr>
          <w:w w:val="105"/>
          <w:sz w:val="19"/>
        </w:rPr>
        <w:t>para mejorar</w:t>
      </w:r>
      <w:r>
        <w:rPr>
          <w:spacing w:val="-14"/>
          <w:w w:val="105"/>
          <w:sz w:val="19"/>
        </w:rPr>
        <w:t> </w:t>
      </w:r>
      <w:r>
        <w:rPr>
          <w:w w:val="105"/>
          <w:sz w:val="19"/>
        </w:rPr>
        <w:t>la</w:t>
      </w:r>
      <w:r>
        <w:rPr>
          <w:spacing w:val="-11"/>
          <w:w w:val="105"/>
          <w:sz w:val="19"/>
        </w:rPr>
        <w:t> </w:t>
      </w:r>
      <w:r>
        <w:rPr>
          <w:w w:val="105"/>
          <w:sz w:val="19"/>
        </w:rPr>
        <w:t>eficacia</w:t>
      </w:r>
      <w:r>
        <w:rPr>
          <w:spacing w:val="-7"/>
          <w:w w:val="105"/>
          <w:sz w:val="19"/>
        </w:rPr>
        <w:t> </w:t>
      </w:r>
      <w:r>
        <w:rPr>
          <w:w w:val="105"/>
          <w:sz w:val="19"/>
        </w:rPr>
        <w:t>educativa”</w:t>
      </w:r>
      <w:r>
        <w:rPr>
          <w:spacing w:val="-6"/>
          <w:w w:val="105"/>
          <w:sz w:val="19"/>
        </w:rPr>
        <w:t> </w:t>
      </w:r>
      <w:r>
        <w:rPr>
          <w:w w:val="105"/>
          <w:sz w:val="19"/>
        </w:rPr>
        <w:t>en</w:t>
      </w:r>
      <w:r>
        <w:rPr>
          <w:spacing w:val="-11"/>
          <w:w w:val="105"/>
          <w:sz w:val="19"/>
        </w:rPr>
        <w:t> </w:t>
      </w:r>
      <w:r>
        <w:rPr>
          <w:w w:val="105"/>
          <w:sz w:val="19"/>
        </w:rPr>
        <w:t>Gestión</w:t>
      </w:r>
      <w:r>
        <w:rPr>
          <w:spacing w:val="-11"/>
          <w:w w:val="105"/>
          <w:sz w:val="19"/>
        </w:rPr>
        <w:t> </w:t>
      </w:r>
      <w:r>
        <w:rPr>
          <w:w w:val="105"/>
          <w:sz w:val="19"/>
        </w:rPr>
        <w:t>de</w:t>
      </w:r>
      <w:r>
        <w:rPr>
          <w:spacing w:val="-11"/>
          <w:w w:val="105"/>
          <w:sz w:val="19"/>
        </w:rPr>
        <w:t> </w:t>
      </w:r>
      <w:r>
        <w:rPr>
          <w:w w:val="105"/>
          <w:sz w:val="19"/>
        </w:rPr>
        <w:t>la</w:t>
      </w:r>
      <w:r>
        <w:rPr>
          <w:spacing w:val="-11"/>
          <w:w w:val="105"/>
          <w:sz w:val="19"/>
        </w:rPr>
        <w:t> </w:t>
      </w:r>
      <w:r>
        <w:rPr>
          <w:w w:val="105"/>
          <w:sz w:val="19"/>
        </w:rPr>
        <w:t>educación</w:t>
      </w:r>
      <w:r>
        <w:rPr>
          <w:spacing w:val="-11"/>
          <w:w w:val="105"/>
          <w:sz w:val="19"/>
        </w:rPr>
        <w:t> </w:t>
      </w:r>
      <w:r>
        <w:rPr>
          <w:w w:val="105"/>
          <w:sz w:val="19"/>
        </w:rPr>
        <w:t>en</w:t>
      </w:r>
      <w:r>
        <w:rPr>
          <w:spacing w:val="-7"/>
          <w:w w:val="105"/>
          <w:sz w:val="19"/>
        </w:rPr>
        <w:t> </w:t>
      </w:r>
      <w:r>
        <w:rPr>
          <w:w w:val="105"/>
          <w:sz w:val="19"/>
        </w:rPr>
        <w:t>América</w:t>
      </w:r>
      <w:r>
        <w:rPr>
          <w:spacing w:val="-11"/>
          <w:w w:val="105"/>
          <w:sz w:val="19"/>
        </w:rPr>
        <w:t> </w:t>
      </w:r>
      <w:r>
        <w:rPr>
          <w:w w:val="105"/>
          <w:sz w:val="19"/>
        </w:rPr>
        <w:t>Latina</w:t>
      </w:r>
      <w:r>
        <w:rPr>
          <w:spacing w:val="-7"/>
          <w:w w:val="105"/>
          <w:sz w:val="19"/>
        </w:rPr>
        <w:t> </w:t>
      </w:r>
      <w:r>
        <w:rPr>
          <w:w w:val="105"/>
          <w:sz w:val="19"/>
        </w:rPr>
        <w:t>y</w:t>
      </w:r>
      <w:r>
        <w:rPr>
          <w:spacing w:val="-11"/>
          <w:w w:val="105"/>
          <w:sz w:val="19"/>
        </w:rPr>
        <w:t> </w:t>
      </w:r>
      <w:r>
        <w:rPr>
          <w:w w:val="105"/>
          <w:sz w:val="19"/>
        </w:rPr>
        <w:t>el</w:t>
      </w:r>
      <w:r>
        <w:rPr>
          <w:spacing w:val="-13"/>
          <w:w w:val="105"/>
          <w:sz w:val="19"/>
        </w:rPr>
        <w:t> </w:t>
      </w:r>
      <w:r>
        <w:rPr>
          <w:w w:val="105"/>
          <w:sz w:val="19"/>
        </w:rPr>
        <w:t>Caribe.</w:t>
      </w:r>
      <w:r>
        <w:rPr>
          <w:spacing w:val="-17"/>
          <w:w w:val="105"/>
          <w:sz w:val="19"/>
        </w:rPr>
        <w:t> </w:t>
      </w:r>
      <w:r>
        <w:rPr>
          <w:w w:val="105"/>
          <w:sz w:val="19"/>
        </w:rPr>
        <w:t>Trigésimo período</w:t>
      </w:r>
      <w:r>
        <w:rPr>
          <w:spacing w:val="-9"/>
          <w:w w:val="105"/>
          <w:sz w:val="19"/>
        </w:rPr>
        <w:t> </w:t>
      </w:r>
      <w:r>
        <w:rPr>
          <w:w w:val="105"/>
          <w:sz w:val="19"/>
        </w:rPr>
        <w:t>de</w:t>
      </w:r>
      <w:r>
        <w:rPr>
          <w:spacing w:val="-14"/>
          <w:w w:val="105"/>
          <w:sz w:val="19"/>
        </w:rPr>
        <w:t> </w:t>
      </w:r>
      <w:r>
        <w:rPr>
          <w:w w:val="105"/>
          <w:sz w:val="19"/>
        </w:rPr>
        <w:t>sesiones</w:t>
      </w:r>
      <w:r>
        <w:rPr>
          <w:spacing w:val="-14"/>
          <w:w w:val="105"/>
          <w:sz w:val="19"/>
        </w:rPr>
        <w:t> </w:t>
      </w:r>
      <w:r>
        <w:rPr>
          <w:w w:val="105"/>
          <w:sz w:val="19"/>
        </w:rPr>
        <w:t>de</w:t>
      </w:r>
      <w:r>
        <w:rPr>
          <w:spacing w:val="-14"/>
          <w:w w:val="105"/>
          <w:sz w:val="19"/>
        </w:rPr>
        <w:t> </w:t>
      </w:r>
      <w:r>
        <w:rPr>
          <w:spacing w:val="-3"/>
          <w:w w:val="105"/>
          <w:sz w:val="19"/>
        </w:rPr>
        <w:t>la</w:t>
      </w:r>
      <w:r>
        <w:rPr>
          <w:spacing w:val="-9"/>
          <w:w w:val="105"/>
          <w:sz w:val="19"/>
        </w:rPr>
        <w:t> </w:t>
      </w:r>
      <w:r>
        <w:rPr>
          <w:w w:val="105"/>
          <w:sz w:val="19"/>
        </w:rPr>
        <w:t>CEPAL.</w:t>
      </w:r>
      <w:r>
        <w:rPr>
          <w:spacing w:val="-19"/>
          <w:w w:val="105"/>
          <w:sz w:val="19"/>
        </w:rPr>
        <w:t> </w:t>
      </w:r>
      <w:r>
        <w:rPr>
          <w:w w:val="105"/>
          <w:sz w:val="19"/>
        </w:rPr>
        <w:t>San</w:t>
      </w:r>
      <w:r>
        <w:rPr>
          <w:spacing w:val="-14"/>
          <w:w w:val="105"/>
          <w:sz w:val="19"/>
        </w:rPr>
        <w:t> </w:t>
      </w:r>
      <w:r>
        <w:rPr>
          <w:w w:val="105"/>
          <w:sz w:val="19"/>
        </w:rPr>
        <w:t>Juan,</w:t>
      </w:r>
      <w:r>
        <w:rPr>
          <w:spacing w:val="-19"/>
          <w:w w:val="105"/>
          <w:sz w:val="19"/>
        </w:rPr>
        <w:t> </w:t>
      </w:r>
      <w:r>
        <w:rPr>
          <w:w w:val="105"/>
          <w:sz w:val="19"/>
        </w:rPr>
        <w:t>Puerto</w:t>
      </w:r>
      <w:r>
        <w:rPr>
          <w:spacing w:val="-14"/>
          <w:w w:val="105"/>
          <w:sz w:val="19"/>
        </w:rPr>
        <w:t> </w:t>
      </w:r>
      <w:r>
        <w:rPr>
          <w:w w:val="105"/>
          <w:sz w:val="19"/>
        </w:rPr>
        <w:t>Rico,</w:t>
      </w:r>
      <w:r>
        <w:rPr>
          <w:spacing w:val="-14"/>
          <w:w w:val="105"/>
          <w:sz w:val="19"/>
        </w:rPr>
        <w:t> </w:t>
      </w:r>
      <w:r>
        <w:rPr>
          <w:w w:val="105"/>
          <w:sz w:val="19"/>
        </w:rPr>
        <w:t>30</w:t>
      </w:r>
      <w:r>
        <w:rPr>
          <w:spacing w:val="-14"/>
          <w:w w:val="105"/>
          <w:sz w:val="19"/>
        </w:rPr>
        <w:t> </w:t>
      </w:r>
      <w:r>
        <w:rPr>
          <w:w w:val="105"/>
          <w:sz w:val="19"/>
        </w:rPr>
        <w:t>de</w:t>
      </w:r>
      <w:r>
        <w:rPr>
          <w:spacing w:val="-14"/>
          <w:w w:val="105"/>
          <w:sz w:val="19"/>
        </w:rPr>
        <w:t> </w:t>
      </w:r>
      <w:r>
        <w:rPr>
          <w:w w:val="105"/>
          <w:sz w:val="19"/>
        </w:rPr>
        <w:t>junio</w:t>
      </w:r>
      <w:r>
        <w:rPr>
          <w:spacing w:val="-14"/>
          <w:w w:val="105"/>
          <w:sz w:val="19"/>
        </w:rPr>
        <w:t> </w:t>
      </w:r>
      <w:r>
        <w:rPr>
          <w:w w:val="105"/>
          <w:sz w:val="19"/>
        </w:rPr>
        <w:t>de</w:t>
      </w:r>
      <w:r>
        <w:rPr>
          <w:spacing w:val="-14"/>
          <w:w w:val="105"/>
          <w:sz w:val="19"/>
        </w:rPr>
        <w:t> </w:t>
      </w:r>
      <w:r>
        <w:rPr>
          <w:w w:val="105"/>
          <w:sz w:val="19"/>
        </w:rPr>
        <w:t>2004.</w:t>
      </w:r>
    </w:p>
    <w:p>
      <w:pPr>
        <w:spacing w:line="242" w:lineRule="auto" w:before="0"/>
        <w:ind w:left="115" w:right="103" w:firstLine="0"/>
        <w:jc w:val="left"/>
        <w:rPr>
          <w:sz w:val="19"/>
        </w:rPr>
      </w:pPr>
      <w:r>
        <w:rPr>
          <w:b/>
          <w:w w:val="105"/>
          <w:sz w:val="19"/>
        </w:rPr>
        <w:t>Aguilar</w:t>
      </w:r>
      <w:r>
        <w:rPr>
          <w:b/>
          <w:spacing w:val="-17"/>
          <w:w w:val="105"/>
          <w:sz w:val="19"/>
        </w:rPr>
        <w:t> </w:t>
      </w:r>
      <w:r>
        <w:rPr>
          <w:w w:val="105"/>
          <w:sz w:val="19"/>
        </w:rPr>
        <w:t>Villanueva,</w:t>
      </w:r>
      <w:r>
        <w:rPr>
          <w:spacing w:val="-20"/>
          <w:w w:val="105"/>
          <w:sz w:val="19"/>
        </w:rPr>
        <w:t> </w:t>
      </w:r>
      <w:r>
        <w:rPr>
          <w:spacing w:val="-3"/>
          <w:w w:val="105"/>
          <w:sz w:val="19"/>
        </w:rPr>
        <w:t>Luis</w:t>
      </w:r>
      <w:r>
        <w:rPr>
          <w:spacing w:val="-16"/>
          <w:w w:val="105"/>
          <w:sz w:val="19"/>
        </w:rPr>
        <w:t> </w:t>
      </w:r>
      <w:r>
        <w:rPr>
          <w:w w:val="105"/>
          <w:sz w:val="19"/>
        </w:rPr>
        <w:t>F.</w:t>
      </w:r>
      <w:r>
        <w:rPr>
          <w:spacing w:val="-20"/>
          <w:w w:val="105"/>
          <w:sz w:val="19"/>
        </w:rPr>
        <w:t> </w:t>
      </w:r>
      <w:r>
        <w:rPr>
          <w:w w:val="105"/>
          <w:sz w:val="19"/>
        </w:rPr>
        <w:t>(2000a),</w:t>
      </w:r>
      <w:r>
        <w:rPr>
          <w:spacing w:val="-16"/>
          <w:w w:val="105"/>
          <w:sz w:val="19"/>
        </w:rPr>
        <w:t> </w:t>
      </w:r>
      <w:r>
        <w:rPr>
          <w:w w:val="105"/>
          <w:sz w:val="19"/>
        </w:rPr>
        <w:t>“Estudio</w:t>
      </w:r>
      <w:r>
        <w:rPr>
          <w:spacing w:val="-14"/>
          <w:w w:val="105"/>
          <w:sz w:val="19"/>
        </w:rPr>
        <w:t> </w:t>
      </w:r>
      <w:r>
        <w:rPr>
          <w:w w:val="105"/>
          <w:sz w:val="19"/>
        </w:rPr>
        <w:t>introductorio”,</w:t>
      </w:r>
      <w:r>
        <w:rPr>
          <w:spacing w:val="-20"/>
          <w:w w:val="105"/>
          <w:sz w:val="19"/>
        </w:rPr>
        <w:t> </w:t>
      </w:r>
      <w:r>
        <w:rPr>
          <w:w w:val="105"/>
          <w:sz w:val="19"/>
        </w:rPr>
        <w:t>en</w:t>
      </w:r>
      <w:r>
        <w:rPr>
          <w:spacing w:val="-14"/>
          <w:w w:val="105"/>
          <w:sz w:val="19"/>
        </w:rPr>
        <w:t> </w:t>
      </w:r>
      <w:r>
        <w:rPr>
          <w:w w:val="105"/>
          <w:sz w:val="19"/>
        </w:rPr>
        <w:t>Aguilar</w:t>
      </w:r>
      <w:r>
        <w:rPr>
          <w:spacing w:val="-16"/>
          <w:w w:val="105"/>
          <w:sz w:val="19"/>
        </w:rPr>
        <w:t> </w:t>
      </w:r>
      <w:r>
        <w:rPr>
          <w:w w:val="105"/>
          <w:sz w:val="19"/>
        </w:rPr>
        <w:t>Villanueva</w:t>
      </w:r>
      <w:r>
        <w:rPr>
          <w:spacing w:val="-16"/>
          <w:w w:val="105"/>
          <w:sz w:val="19"/>
        </w:rPr>
        <w:t> </w:t>
      </w:r>
      <w:r>
        <w:rPr>
          <w:w w:val="105"/>
          <w:sz w:val="19"/>
        </w:rPr>
        <w:t>Luis</w:t>
      </w:r>
      <w:r>
        <w:rPr>
          <w:spacing w:val="-16"/>
          <w:w w:val="105"/>
          <w:sz w:val="19"/>
        </w:rPr>
        <w:t> </w:t>
      </w:r>
      <w:r>
        <w:rPr>
          <w:w w:val="105"/>
          <w:sz w:val="19"/>
        </w:rPr>
        <w:t>F.,</w:t>
      </w:r>
      <w:r>
        <w:rPr>
          <w:spacing w:val="-19"/>
          <w:w w:val="105"/>
          <w:sz w:val="19"/>
        </w:rPr>
        <w:t> </w:t>
      </w:r>
      <w:r>
        <w:rPr>
          <w:i/>
          <w:w w:val="105"/>
          <w:sz w:val="19"/>
        </w:rPr>
        <w:t>El</w:t>
      </w:r>
      <w:r>
        <w:rPr>
          <w:i/>
          <w:spacing w:val="-17"/>
          <w:w w:val="105"/>
          <w:sz w:val="19"/>
        </w:rPr>
        <w:t> </w:t>
      </w:r>
      <w:r>
        <w:rPr>
          <w:i/>
          <w:w w:val="105"/>
          <w:sz w:val="19"/>
        </w:rPr>
        <w:t>estudio </w:t>
      </w:r>
      <w:r>
        <w:rPr>
          <w:i/>
          <w:w w:val="105"/>
          <w:sz w:val="19"/>
        </w:rPr>
        <w:t>de</w:t>
      </w:r>
      <w:r>
        <w:rPr>
          <w:i/>
          <w:spacing w:val="-17"/>
          <w:w w:val="105"/>
          <w:sz w:val="19"/>
        </w:rPr>
        <w:t> </w:t>
      </w:r>
      <w:r>
        <w:rPr>
          <w:i/>
          <w:w w:val="105"/>
          <w:sz w:val="19"/>
        </w:rPr>
        <w:t>las</w:t>
      </w:r>
      <w:r>
        <w:rPr>
          <w:i/>
          <w:spacing w:val="-17"/>
          <w:w w:val="105"/>
          <w:sz w:val="19"/>
        </w:rPr>
        <w:t> </w:t>
      </w:r>
      <w:r>
        <w:rPr>
          <w:i/>
          <w:w w:val="105"/>
          <w:sz w:val="19"/>
        </w:rPr>
        <w:t>políticas</w:t>
      </w:r>
      <w:r>
        <w:rPr>
          <w:i/>
          <w:spacing w:val="-19"/>
          <w:w w:val="105"/>
          <w:sz w:val="19"/>
        </w:rPr>
        <w:t> </w:t>
      </w:r>
      <w:r>
        <w:rPr>
          <w:i/>
          <w:w w:val="105"/>
          <w:sz w:val="19"/>
        </w:rPr>
        <w:t>públicas</w:t>
      </w:r>
      <w:r>
        <w:rPr>
          <w:w w:val="105"/>
          <w:sz w:val="19"/>
        </w:rPr>
        <w:t>,</w:t>
      </w:r>
      <w:r>
        <w:rPr>
          <w:spacing w:val="-23"/>
          <w:w w:val="105"/>
          <w:sz w:val="19"/>
        </w:rPr>
        <w:t> </w:t>
      </w:r>
      <w:r>
        <w:rPr>
          <w:w w:val="105"/>
          <w:sz w:val="19"/>
        </w:rPr>
        <w:t>México,</w:t>
      </w:r>
      <w:r>
        <w:rPr>
          <w:spacing w:val="-23"/>
          <w:w w:val="105"/>
          <w:sz w:val="19"/>
        </w:rPr>
        <w:t> </w:t>
      </w:r>
      <w:r>
        <w:rPr>
          <w:w w:val="105"/>
          <w:sz w:val="19"/>
        </w:rPr>
        <w:t>Ed.</w:t>
      </w:r>
      <w:r>
        <w:rPr>
          <w:spacing w:val="-18"/>
          <w:w w:val="105"/>
          <w:sz w:val="19"/>
        </w:rPr>
        <w:t> </w:t>
      </w:r>
      <w:r>
        <w:rPr>
          <w:w w:val="105"/>
          <w:sz w:val="19"/>
        </w:rPr>
        <w:t>Miguel</w:t>
      </w:r>
      <w:r>
        <w:rPr>
          <w:spacing w:val="-15"/>
          <w:w w:val="105"/>
          <w:sz w:val="19"/>
        </w:rPr>
        <w:t> </w:t>
      </w:r>
      <w:r>
        <w:rPr>
          <w:w w:val="105"/>
          <w:sz w:val="19"/>
        </w:rPr>
        <w:t>Ángel</w:t>
      </w:r>
      <w:r>
        <w:rPr>
          <w:spacing w:val="-18"/>
          <w:w w:val="105"/>
          <w:sz w:val="19"/>
        </w:rPr>
        <w:t> </w:t>
      </w:r>
      <w:r>
        <w:rPr>
          <w:w w:val="105"/>
          <w:sz w:val="19"/>
        </w:rPr>
        <w:t>Porrúa.</w:t>
      </w:r>
    </w:p>
    <w:p>
      <w:pPr>
        <w:spacing w:line="242" w:lineRule="auto" w:before="5"/>
        <w:ind w:left="115" w:right="110" w:firstLine="0"/>
        <w:jc w:val="left"/>
        <w:rPr>
          <w:sz w:val="19"/>
        </w:rPr>
      </w:pPr>
      <w:r>
        <w:rPr>
          <w:w w:val="105"/>
          <w:sz w:val="19"/>
        </w:rPr>
        <w:t>-------------------------.</w:t>
      </w:r>
      <w:r>
        <w:rPr>
          <w:spacing w:val="-12"/>
          <w:w w:val="105"/>
          <w:sz w:val="19"/>
        </w:rPr>
        <w:t> </w:t>
      </w:r>
      <w:r>
        <w:rPr>
          <w:w w:val="105"/>
          <w:sz w:val="19"/>
        </w:rPr>
        <w:t>(2000b),</w:t>
      </w:r>
      <w:r>
        <w:rPr>
          <w:spacing w:val="-17"/>
          <w:w w:val="105"/>
          <w:sz w:val="19"/>
        </w:rPr>
        <w:t> </w:t>
      </w:r>
      <w:r>
        <w:rPr>
          <w:w w:val="105"/>
          <w:sz w:val="19"/>
        </w:rPr>
        <w:t>“Estudio</w:t>
      </w:r>
      <w:r>
        <w:rPr>
          <w:spacing w:val="-12"/>
          <w:w w:val="105"/>
          <w:sz w:val="19"/>
        </w:rPr>
        <w:t> </w:t>
      </w:r>
      <w:r>
        <w:rPr>
          <w:w w:val="105"/>
          <w:sz w:val="19"/>
        </w:rPr>
        <w:t>introductorio”,</w:t>
      </w:r>
      <w:r>
        <w:rPr>
          <w:spacing w:val="-12"/>
          <w:w w:val="105"/>
          <w:sz w:val="19"/>
        </w:rPr>
        <w:t> </w:t>
      </w:r>
      <w:r>
        <w:rPr>
          <w:spacing w:val="-3"/>
          <w:w w:val="105"/>
          <w:sz w:val="19"/>
        </w:rPr>
        <w:t>en</w:t>
      </w:r>
      <w:r>
        <w:rPr>
          <w:spacing w:val="-12"/>
          <w:w w:val="105"/>
          <w:sz w:val="19"/>
        </w:rPr>
        <w:t> </w:t>
      </w:r>
      <w:r>
        <w:rPr>
          <w:w w:val="105"/>
          <w:sz w:val="19"/>
        </w:rPr>
        <w:t>Aguilar</w:t>
      </w:r>
      <w:r>
        <w:rPr>
          <w:spacing w:val="-16"/>
          <w:w w:val="105"/>
          <w:sz w:val="19"/>
        </w:rPr>
        <w:t> </w:t>
      </w:r>
      <w:r>
        <w:rPr>
          <w:w w:val="105"/>
          <w:sz w:val="19"/>
        </w:rPr>
        <w:t>Villanueva</w:t>
      </w:r>
      <w:r>
        <w:rPr>
          <w:spacing w:val="-12"/>
          <w:w w:val="105"/>
          <w:sz w:val="19"/>
        </w:rPr>
        <w:t> </w:t>
      </w:r>
      <w:r>
        <w:rPr>
          <w:spacing w:val="-3"/>
          <w:w w:val="105"/>
          <w:sz w:val="19"/>
        </w:rPr>
        <w:t>Luis</w:t>
      </w:r>
      <w:r>
        <w:rPr>
          <w:spacing w:val="-12"/>
          <w:w w:val="105"/>
          <w:sz w:val="19"/>
        </w:rPr>
        <w:t> </w:t>
      </w:r>
      <w:r>
        <w:rPr>
          <w:w w:val="105"/>
          <w:sz w:val="19"/>
        </w:rPr>
        <w:t>F.,</w:t>
      </w:r>
      <w:r>
        <w:rPr>
          <w:spacing w:val="-14"/>
          <w:w w:val="105"/>
          <w:sz w:val="19"/>
        </w:rPr>
        <w:t> </w:t>
      </w:r>
      <w:r>
        <w:rPr>
          <w:i/>
          <w:w w:val="105"/>
          <w:sz w:val="19"/>
        </w:rPr>
        <w:t>El</w:t>
      </w:r>
      <w:r>
        <w:rPr>
          <w:i/>
          <w:spacing w:val="-14"/>
          <w:w w:val="105"/>
          <w:sz w:val="19"/>
        </w:rPr>
        <w:t> </w:t>
      </w:r>
      <w:r>
        <w:rPr>
          <w:i/>
          <w:w w:val="105"/>
          <w:sz w:val="19"/>
        </w:rPr>
        <w:t>estudio</w:t>
      </w:r>
      <w:r>
        <w:rPr>
          <w:i/>
          <w:spacing w:val="-11"/>
          <w:w w:val="105"/>
          <w:sz w:val="19"/>
        </w:rPr>
        <w:t> </w:t>
      </w:r>
      <w:r>
        <w:rPr>
          <w:i/>
          <w:w w:val="105"/>
          <w:sz w:val="19"/>
        </w:rPr>
        <w:t>de</w:t>
      </w:r>
      <w:r>
        <w:rPr>
          <w:i/>
          <w:spacing w:val="-11"/>
          <w:w w:val="105"/>
          <w:sz w:val="19"/>
        </w:rPr>
        <w:t> </w:t>
      </w:r>
      <w:r>
        <w:rPr>
          <w:i/>
          <w:spacing w:val="-3"/>
          <w:w w:val="105"/>
          <w:sz w:val="19"/>
        </w:rPr>
        <w:t>las </w:t>
      </w:r>
      <w:r>
        <w:rPr>
          <w:i/>
          <w:w w:val="105"/>
          <w:sz w:val="19"/>
        </w:rPr>
        <w:t>políticas</w:t>
      </w:r>
      <w:r>
        <w:rPr>
          <w:i/>
          <w:spacing w:val="-17"/>
          <w:w w:val="105"/>
          <w:sz w:val="19"/>
        </w:rPr>
        <w:t> </w:t>
      </w:r>
      <w:r>
        <w:rPr>
          <w:i/>
          <w:w w:val="105"/>
          <w:sz w:val="19"/>
        </w:rPr>
        <w:t>públicas</w:t>
      </w:r>
      <w:r>
        <w:rPr>
          <w:w w:val="105"/>
          <w:sz w:val="19"/>
        </w:rPr>
        <w:t>,</w:t>
      </w:r>
      <w:r>
        <w:rPr>
          <w:spacing w:val="-20"/>
          <w:w w:val="105"/>
          <w:sz w:val="19"/>
        </w:rPr>
        <w:t> </w:t>
      </w:r>
      <w:r>
        <w:rPr>
          <w:w w:val="105"/>
          <w:sz w:val="19"/>
        </w:rPr>
        <w:t>Libro</w:t>
      </w:r>
      <w:r>
        <w:rPr>
          <w:spacing w:val="-17"/>
          <w:w w:val="105"/>
          <w:sz w:val="19"/>
        </w:rPr>
        <w:t> </w:t>
      </w:r>
      <w:r>
        <w:rPr>
          <w:spacing w:val="-4"/>
          <w:w w:val="105"/>
          <w:sz w:val="19"/>
        </w:rPr>
        <w:t>II</w:t>
      </w:r>
      <w:r>
        <w:rPr>
          <w:spacing w:val="-17"/>
          <w:w w:val="105"/>
          <w:sz w:val="19"/>
        </w:rPr>
        <w:t> </w:t>
      </w:r>
      <w:r>
        <w:rPr>
          <w:w w:val="105"/>
          <w:sz w:val="19"/>
        </w:rPr>
        <w:t>México,</w:t>
      </w:r>
      <w:r>
        <w:rPr>
          <w:spacing w:val="-17"/>
          <w:w w:val="105"/>
          <w:sz w:val="19"/>
        </w:rPr>
        <w:t> </w:t>
      </w:r>
      <w:r>
        <w:rPr>
          <w:w w:val="105"/>
          <w:sz w:val="19"/>
        </w:rPr>
        <w:t>Ed.</w:t>
      </w:r>
      <w:r>
        <w:rPr>
          <w:spacing w:val="-17"/>
          <w:w w:val="105"/>
          <w:sz w:val="19"/>
        </w:rPr>
        <w:t> </w:t>
      </w:r>
      <w:r>
        <w:rPr>
          <w:w w:val="105"/>
          <w:sz w:val="19"/>
        </w:rPr>
        <w:t>Miguel</w:t>
      </w:r>
      <w:r>
        <w:rPr>
          <w:spacing w:val="-17"/>
          <w:w w:val="105"/>
          <w:sz w:val="19"/>
        </w:rPr>
        <w:t> </w:t>
      </w:r>
      <w:r>
        <w:rPr>
          <w:w w:val="105"/>
          <w:sz w:val="19"/>
        </w:rPr>
        <w:t>Ángel</w:t>
      </w:r>
      <w:r>
        <w:rPr>
          <w:spacing w:val="-17"/>
          <w:w w:val="105"/>
          <w:sz w:val="19"/>
        </w:rPr>
        <w:t> </w:t>
      </w:r>
      <w:r>
        <w:rPr>
          <w:w w:val="105"/>
          <w:sz w:val="19"/>
        </w:rPr>
        <w:t>Porrúa.</w:t>
      </w:r>
    </w:p>
    <w:p>
      <w:pPr>
        <w:spacing w:line="247" w:lineRule="auto" w:before="5"/>
        <w:ind w:left="115" w:right="191" w:firstLine="0"/>
        <w:jc w:val="left"/>
        <w:rPr>
          <w:sz w:val="19"/>
        </w:rPr>
      </w:pPr>
      <w:r>
        <w:rPr>
          <w:color w:val="19161A"/>
          <w:w w:val="105"/>
          <w:sz w:val="19"/>
        </w:rPr>
        <w:t>--------------------------. (2003). “La hechura de las políticas públicas”. Grupo Editorial Miguel Ángel </w:t>
      </w:r>
      <w:r>
        <w:rPr>
          <w:color w:val="19161A"/>
          <w:sz w:val="19"/>
        </w:rPr>
        <w:t>Porrúa. México.</w:t>
      </w:r>
    </w:p>
    <w:p>
      <w:pPr>
        <w:spacing w:line="244" w:lineRule="auto" w:before="0"/>
        <w:ind w:left="115" w:right="100" w:firstLine="0"/>
        <w:jc w:val="both"/>
        <w:rPr>
          <w:sz w:val="19"/>
        </w:rPr>
      </w:pPr>
      <w:r>
        <w:rPr>
          <w:w w:val="105"/>
          <w:sz w:val="19"/>
        </w:rPr>
        <w:t>--------------------------. (2004). “La gestión del sector de educación en los 90´s. Algunas cuestiones para mejorar la eficacia educativa” en Gestión de la educación en América Latina y el Caribe. Trigésimo período de sesiones de la CEPAL. San Juan, Puerto Rico, 30 de junio de 2004.</w:t>
      </w:r>
    </w:p>
    <w:p>
      <w:pPr>
        <w:spacing w:line="247" w:lineRule="auto" w:before="3"/>
        <w:ind w:left="115" w:right="110" w:firstLine="0"/>
        <w:jc w:val="left"/>
        <w:rPr>
          <w:sz w:val="19"/>
        </w:rPr>
      </w:pPr>
      <w:r>
        <w:rPr>
          <w:w w:val="105"/>
          <w:sz w:val="19"/>
        </w:rPr>
        <w:t>---------------------------.</w:t>
      </w:r>
      <w:r>
        <w:rPr>
          <w:spacing w:val="-19"/>
          <w:w w:val="105"/>
          <w:sz w:val="19"/>
        </w:rPr>
        <w:t> </w:t>
      </w:r>
      <w:r>
        <w:rPr>
          <w:w w:val="105"/>
          <w:sz w:val="19"/>
        </w:rPr>
        <w:t>(2004).</w:t>
      </w:r>
      <w:r>
        <w:rPr>
          <w:spacing w:val="-20"/>
          <w:w w:val="105"/>
          <w:sz w:val="19"/>
        </w:rPr>
        <w:t> </w:t>
      </w:r>
      <w:r>
        <w:rPr>
          <w:w w:val="105"/>
          <w:sz w:val="19"/>
        </w:rPr>
        <w:t>“Recepción</w:t>
      </w:r>
      <w:r>
        <w:rPr>
          <w:spacing w:val="-15"/>
          <w:w w:val="105"/>
          <w:sz w:val="19"/>
        </w:rPr>
        <w:t> </w:t>
      </w:r>
      <w:r>
        <w:rPr>
          <w:w w:val="105"/>
          <w:sz w:val="19"/>
        </w:rPr>
        <w:t>y</w:t>
      </w:r>
      <w:r>
        <w:rPr>
          <w:spacing w:val="-19"/>
          <w:w w:val="105"/>
          <w:sz w:val="19"/>
        </w:rPr>
        <w:t> </w:t>
      </w:r>
      <w:r>
        <w:rPr>
          <w:w w:val="105"/>
          <w:sz w:val="19"/>
        </w:rPr>
        <w:t>desarrollo</w:t>
      </w:r>
      <w:r>
        <w:rPr>
          <w:spacing w:val="-15"/>
          <w:w w:val="105"/>
          <w:sz w:val="19"/>
        </w:rPr>
        <w:t> </w:t>
      </w:r>
      <w:r>
        <w:rPr>
          <w:w w:val="105"/>
          <w:sz w:val="19"/>
        </w:rPr>
        <w:t>de</w:t>
      </w:r>
      <w:r>
        <w:rPr>
          <w:spacing w:val="-11"/>
          <w:w w:val="105"/>
          <w:sz w:val="19"/>
        </w:rPr>
        <w:t> </w:t>
      </w:r>
      <w:r>
        <w:rPr>
          <w:spacing w:val="-3"/>
          <w:w w:val="105"/>
          <w:sz w:val="19"/>
        </w:rPr>
        <w:t>la</w:t>
      </w:r>
      <w:r>
        <w:rPr>
          <w:spacing w:val="-15"/>
          <w:w w:val="105"/>
          <w:sz w:val="19"/>
        </w:rPr>
        <w:t> </w:t>
      </w:r>
      <w:r>
        <w:rPr>
          <w:w w:val="105"/>
          <w:sz w:val="19"/>
        </w:rPr>
        <w:t>disciplina</w:t>
      </w:r>
      <w:r>
        <w:rPr>
          <w:spacing w:val="-18"/>
          <w:w w:val="105"/>
          <w:sz w:val="19"/>
        </w:rPr>
        <w:t> </w:t>
      </w:r>
      <w:r>
        <w:rPr>
          <w:w w:val="105"/>
          <w:sz w:val="19"/>
        </w:rPr>
        <w:t>de</w:t>
      </w:r>
      <w:r>
        <w:rPr>
          <w:spacing w:val="-15"/>
          <w:w w:val="105"/>
          <w:sz w:val="19"/>
        </w:rPr>
        <w:t> </w:t>
      </w:r>
      <w:r>
        <w:rPr>
          <w:w w:val="105"/>
          <w:sz w:val="19"/>
        </w:rPr>
        <w:t>Política</w:t>
      </w:r>
      <w:r>
        <w:rPr>
          <w:spacing w:val="-15"/>
          <w:w w:val="105"/>
          <w:sz w:val="19"/>
        </w:rPr>
        <w:t> </w:t>
      </w:r>
      <w:r>
        <w:rPr>
          <w:w w:val="105"/>
          <w:sz w:val="19"/>
        </w:rPr>
        <w:t>Pública</w:t>
      </w:r>
      <w:r>
        <w:rPr>
          <w:spacing w:val="-15"/>
          <w:w w:val="105"/>
          <w:sz w:val="19"/>
        </w:rPr>
        <w:t> </w:t>
      </w:r>
      <w:r>
        <w:rPr>
          <w:spacing w:val="-4"/>
          <w:w w:val="105"/>
          <w:sz w:val="19"/>
        </w:rPr>
        <w:t>en</w:t>
      </w:r>
      <w:r>
        <w:rPr>
          <w:spacing w:val="-15"/>
          <w:w w:val="105"/>
          <w:sz w:val="19"/>
        </w:rPr>
        <w:t> </w:t>
      </w:r>
      <w:r>
        <w:rPr>
          <w:w w:val="105"/>
          <w:sz w:val="19"/>
        </w:rPr>
        <w:t>México. Un</w:t>
      </w:r>
      <w:r>
        <w:rPr>
          <w:spacing w:val="-18"/>
          <w:w w:val="105"/>
          <w:sz w:val="19"/>
        </w:rPr>
        <w:t> </w:t>
      </w:r>
      <w:r>
        <w:rPr>
          <w:w w:val="105"/>
          <w:sz w:val="19"/>
        </w:rPr>
        <w:t>estudio</w:t>
      </w:r>
      <w:r>
        <w:rPr>
          <w:spacing w:val="-18"/>
          <w:w w:val="105"/>
          <w:sz w:val="19"/>
        </w:rPr>
        <w:t> </w:t>
      </w:r>
      <w:r>
        <w:rPr>
          <w:w w:val="105"/>
          <w:sz w:val="19"/>
        </w:rPr>
        <w:t>introductorio”.</w:t>
      </w:r>
      <w:r>
        <w:rPr>
          <w:spacing w:val="20"/>
          <w:w w:val="105"/>
          <w:sz w:val="19"/>
        </w:rPr>
        <w:t> </w:t>
      </w:r>
      <w:r>
        <w:rPr>
          <w:w w:val="105"/>
          <w:sz w:val="19"/>
        </w:rPr>
        <w:t>Revista</w:t>
      </w:r>
      <w:r>
        <w:rPr>
          <w:spacing w:val="-18"/>
          <w:w w:val="105"/>
          <w:sz w:val="19"/>
        </w:rPr>
        <w:t> </w:t>
      </w:r>
      <w:r>
        <w:rPr>
          <w:w w:val="105"/>
          <w:sz w:val="19"/>
        </w:rPr>
        <w:t>Sociológica,</w:t>
      </w:r>
      <w:r>
        <w:rPr>
          <w:spacing w:val="-23"/>
          <w:w w:val="105"/>
          <w:sz w:val="19"/>
        </w:rPr>
        <w:t> </w:t>
      </w:r>
      <w:r>
        <w:rPr>
          <w:w w:val="105"/>
          <w:sz w:val="19"/>
        </w:rPr>
        <w:t>año</w:t>
      </w:r>
      <w:r>
        <w:rPr>
          <w:spacing w:val="-18"/>
          <w:w w:val="105"/>
          <w:sz w:val="19"/>
        </w:rPr>
        <w:t> </w:t>
      </w:r>
      <w:r>
        <w:rPr>
          <w:w w:val="105"/>
          <w:sz w:val="19"/>
        </w:rPr>
        <w:t>19</w:t>
      </w:r>
      <w:r>
        <w:rPr>
          <w:spacing w:val="-18"/>
          <w:w w:val="105"/>
          <w:sz w:val="19"/>
        </w:rPr>
        <w:t> </w:t>
      </w:r>
      <w:r>
        <w:rPr>
          <w:w w:val="105"/>
          <w:sz w:val="19"/>
        </w:rPr>
        <w:t>No.</w:t>
      </w:r>
      <w:r>
        <w:rPr>
          <w:spacing w:val="-18"/>
          <w:w w:val="105"/>
          <w:sz w:val="19"/>
        </w:rPr>
        <w:t> </w:t>
      </w:r>
      <w:r>
        <w:rPr>
          <w:w w:val="105"/>
          <w:sz w:val="19"/>
        </w:rPr>
        <w:t>54,</w:t>
      </w:r>
      <w:r>
        <w:rPr>
          <w:spacing w:val="-21"/>
          <w:w w:val="105"/>
          <w:sz w:val="19"/>
        </w:rPr>
        <w:t> </w:t>
      </w:r>
      <w:r>
        <w:rPr>
          <w:w w:val="105"/>
          <w:sz w:val="19"/>
        </w:rPr>
        <w:t>enero-abril,</w:t>
      </w:r>
      <w:r>
        <w:rPr>
          <w:spacing w:val="-21"/>
          <w:w w:val="105"/>
          <w:sz w:val="19"/>
        </w:rPr>
        <w:t> </w:t>
      </w:r>
      <w:r>
        <w:rPr>
          <w:w w:val="105"/>
          <w:sz w:val="19"/>
        </w:rPr>
        <w:t>pp.</w:t>
      </w:r>
      <w:r>
        <w:rPr>
          <w:spacing w:val="-18"/>
          <w:w w:val="105"/>
          <w:sz w:val="19"/>
        </w:rPr>
        <w:t> </w:t>
      </w:r>
      <w:r>
        <w:rPr>
          <w:w w:val="105"/>
          <w:sz w:val="19"/>
        </w:rPr>
        <w:t>15-37</w:t>
      </w:r>
    </w:p>
    <w:p>
      <w:pPr>
        <w:spacing w:line="247" w:lineRule="auto" w:before="0"/>
        <w:ind w:left="115" w:right="20" w:firstLine="0"/>
        <w:jc w:val="left"/>
        <w:rPr>
          <w:sz w:val="19"/>
        </w:rPr>
      </w:pPr>
      <w:r>
        <w:rPr>
          <w:w w:val="105"/>
          <w:sz w:val="19"/>
        </w:rPr>
        <w:t>--------------------------. (2000 y 2003). “El estudio de las políticas públicas”. Colección Antologías de Política Pública, Primera Antología. México: Miguel Ángel Porrúa.</w:t>
      </w:r>
    </w:p>
    <w:p>
      <w:pPr>
        <w:spacing w:line="242" w:lineRule="auto" w:before="0"/>
        <w:ind w:left="115" w:right="20" w:firstLine="0"/>
        <w:jc w:val="left"/>
        <w:rPr>
          <w:sz w:val="19"/>
        </w:rPr>
      </w:pPr>
      <w:r>
        <w:rPr>
          <w:w w:val="105"/>
          <w:sz w:val="19"/>
        </w:rPr>
        <w:t>--------------------------. (2004) “Recepción y desarrollo de la disciplina de Política Pública en México. Un estudio introductorio”, en Revista Sociológica, año 19 No. 54, enero-abril, pp. 15-37</w:t>
      </w:r>
    </w:p>
    <w:p>
      <w:pPr>
        <w:spacing w:before="0"/>
        <w:ind w:left="115" w:right="191" w:firstLine="0"/>
        <w:jc w:val="left"/>
        <w:rPr>
          <w:sz w:val="19"/>
        </w:rPr>
      </w:pPr>
      <w:r>
        <w:rPr>
          <w:b/>
          <w:w w:val="105"/>
          <w:sz w:val="19"/>
        </w:rPr>
        <w:t>Alcántara</w:t>
      </w:r>
      <w:r>
        <w:rPr>
          <w:w w:val="105"/>
          <w:sz w:val="19"/>
        </w:rPr>
        <w:t>, Armando. (2006). “25 años de políticas educativas en México”. IISUE-UNAM.</w:t>
      </w:r>
    </w:p>
    <w:p>
      <w:pPr>
        <w:spacing w:line="247" w:lineRule="auto" w:before="7"/>
        <w:ind w:left="115" w:right="110" w:firstLine="0"/>
        <w:jc w:val="left"/>
        <w:rPr>
          <w:sz w:val="19"/>
        </w:rPr>
      </w:pPr>
      <w:r>
        <w:rPr>
          <w:b/>
          <w:w w:val="105"/>
          <w:sz w:val="19"/>
        </w:rPr>
        <w:t>Alviño</w:t>
      </w:r>
      <w:r>
        <w:rPr>
          <w:w w:val="105"/>
          <w:sz w:val="19"/>
        </w:rPr>
        <w:t>,</w:t>
      </w:r>
      <w:r>
        <w:rPr>
          <w:spacing w:val="-13"/>
          <w:w w:val="105"/>
          <w:sz w:val="19"/>
        </w:rPr>
        <w:t> </w:t>
      </w:r>
      <w:r>
        <w:rPr>
          <w:w w:val="105"/>
          <w:sz w:val="19"/>
        </w:rPr>
        <w:t>C,</w:t>
      </w:r>
      <w:r>
        <w:rPr>
          <w:spacing w:val="-13"/>
          <w:w w:val="105"/>
          <w:sz w:val="19"/>
        </w:rPr>
        <w:t> </w:t>
      </w:r>
      <w:r>
        <w:rPr>
          <w:w w:val="105"/>
          <w:sz w:val="19"/>
        </w:rPr>
        <w:t>Bruner</w:t>
      </w:r>
      <w:r>
        <w:rPr>
          <w:spacing w:val="-17"/>
          <w:w w:val="105"/>
          <w:sz w:val="19"/>
        </w:rPr>
        <w:t> </w:t>
      </w:r>
      <w:r>
        <w:rPr>
          <w:w w:val="105"/>
          <w:sz w:val="19"/>
        </w:rPr>
        <w:t>J.J.</w:t>
      </w:r>
      <w:r>
        <w:rPr>
          <w:spacing w:val="-18"/>
          <w:w w:val="105"/>
          <w:sz w:val="19"/>
        </w:rPr>
        <w:t> </w:t>
      </w:r>
      <w:r>
        <w:rPr>
          <w:w w:val="105"/>
          <w:sz w:val="19"/>
        </w:rPr>
        <w:t>Recart</w:t>
      </w:r>
      <w:r>
        <w:rPr>
          <w:spacing w:val="-13"/>
          <w:w w:val="105"/>
          <w:sz w:val="19"/>
        </w:rPr>
        <w:t> </w:t>
      </w:r>
      <w:r>
        <w:rPr>
          <w:spacing w:val="-2"/>
          <w:w w:val="105"/>
          <w:sz w:val="19"/>
        </w:rPr>
        <w:t>M.O</w:t>
      </w:r>
      <w:r>
        <w:rPr>
          <w:spacing w:val="-13"/>
          <w:w w:val="105"/>
          <w:sz w:val="19"/>
        </w:rPr>
        <w:t> </w:t>
      </w:r>
      <w:r>
        <w:rPr>
          <w:w w:val="105"/>
          <w:sz w:val="19"/>
        </w:rPr>
        <w:t>(2000).</w:t>
      </w:r>
      <w:r>
        <w:rPr>
          <w:spacing w:val="-13"/>
          <w:w w:val="105"/>
          <w:sz w:val="19"/>
        </w:rPr>
        <w:t> </w:t>
      </w:r>
      <w:r>
        <w:rPr>
          <w:w w:val="105"/>
          <w:sz w:val="19"/>
        </w:rPr>
        <w:t>“Revisando</w:t>
      </w:r>
      <w:r>
        <w:rPr>
          <w:spacing w:val="-10"/>
          <w:w w:val="105"/>
          <w:sz w:val="19"/>
        </w:rPr>
        <w:t> </w:t>
      </w:r>
      <w:r>
        <w:rPr>
          <w:w w:val="105"/>
          <w:sz w:val="19"/>
        </w:rPr>
        <w:t>experiencias</w:t>
      </w:r>
      <w:r>
        <w:rPr>
          <w:spacing w:val="-16"/>
          <w:w w:val="105"/>
          <w:sz w:val="19"/>
        </w:rPr>
        <w:t> </w:t>
      </w:r>
      <w:r>
        <w:rPr>
          <w:w w:val="105"/>
          <w:sz w:val="19"/>
        </w:rPr>
        <w:t>chilenas</w:t>
      </w:r>
      <w:r>
        <w:rPr>
          <w:spacing w:val="-13"/>
          <w:w w:val="105"/>
          <w:sz w:val="19"/>
        </w:rPr>
        <w:t> </w:t>
      </w:r>
      <w:r>
        <w:rPr>
          <w:w w:val="105"/>
          <w:sz w:val="19"/>
        </w:rPr>
        <w:t>en</w:t>
      </w:r>
      <w:r>
        <w:rPr>
          <w:spacing w:val="-13"/>
          <w:w w:val="105"/>
          <w:sz w:val="19"/>
        </w:rPr>
        <w:t> </w:t>
      </w:r>
      <w:r>
        <w:rPr>
          <w:w w:val="105"/>
          <w:sz w:val="19"/>
        </w:rPr>
        <w:t>gestión</w:t>
      </w:r>
      <w:r>
        <w:rPr>
          <w:spacing w:val="-13"/>
          <w:w w:val="105"/>
          <w:sz w:val="19"/>
        </w:rPr>
        <w:t> </w:t>
      </w:r>
      <w:r>
        <w:rPr>
          <w:w w:val="105"/>
          <w:sz w:val="19"/>
        </w:rPr>
        <w:t>escolar”</w:t>
      </w:r>
      <w:r>
        <w:rPr>
          <w:spacing w:val="-13"/>
          <w:w w:val="105"/>
          <w:sz w:val="19"/>
        </w:rPr>
        <w:t> </w:t>
      </w:r>
      <w:r>
        <w:rPr>
          <w:w w:val="105"/>
          <w:sz w:val="19"/>
        </w:rPr>
        <w:t>en Paideia Revista </w:t>
      </w:r>
      <w:r>
        <w:rPr>
          <w:spacing w:val="2"/>
          <w:w w:val="105"/>
          <w:sz w:val="19"/>
        </w:rPr>
        <w:t>de </w:t>
      </w:r>
      <w:r>
        <w:rPr>
          <w:w w:val="105"/>
          <w:sz w:val="19"/>
        </w:rPr>
        <w:t>Educación, num. 029. Universidad de Concepción. Chile. pp. 63-87. Puede consultarse en: </w:t>
      </w:r>
      <w:hyperlink r:id="rId127">
        <w:r>
          <w:rPr>
            <w:color w:val="0000FF"/>
            <w:w w:val="105"/>
            <w:sz w:val="19"/>
            <w:u w:val="single" w:color="0000FF"/>
          </w:rPr>
          <w:t>http://redalyc.uaemex.mx/redalyc/src/inicio/ArtPdfRed.jsp?iCve=15002905&amp;iCveNum=14</w:t>
        </w:r>
      </w:hyperlink>
    </w:p>
    <w:p>
      <w:pPr>
        <w:spacing w:line="247" w:lineRule="auto" w:before="1"/>
        <w:ind w:left="115" w:right="191" w:firstLine="0"/>
        <w:jc w:val="left"/>
        <w:rPr>
          <w:sz w:val="19"/>
        </w:rPr>
      </w:pPr>
      <w:r>
        <w:rPr>
          <w:b/>
          <w:w w:val="105"/>
          <w:sz w:val="19"/>
        </w:rPr>
        <w:t>Andere</w:t>
      </w:r>
      <w:r>
        <w:rPr>
          <w:w w:val="105"/>
          <w:sz w:val="19"/>
        </w:rPr>
        <w:t>, Eduardo. (2006). “México Sigue en Riesgo: El Monumental Reto de la Educación.” México: Editorial Planeta.</w:t>
      </w:r>
    </w:p>
    <w:p>
      <w:pPr>
        <w:spacing w:line="247" w:lineRule="auto" w:before="0"/>
        <w:ind w:left="115" w:right="109" w:firstLine="0"/>
        <w:jc w:val="both"/>
        <w:rPr>
          <w:sz w:val="19"/>
        </w:rPr>
      </w:pPr>
      <w:r>
        <w:rPr>
          <w:b/>
          <w:w w:val="105"/>
          <w:sz w:val="19"/>
        </w:rPr>
        <w:t>Arellano</w:t>
      </w:r>
      <w:r>
        <w:rPr>
          <w:w w:val="105"/>
          <w:sz w:val="19"/>
        </w:rPr>
        <w:t>,</w:t>
      </w:r>
      <w:r>
        <w:rPr>
          <w:spacing w:val="-12"/>
          <w:w w:val="105"/>
          <w:sz w:val="19"/>
        </w:rPr>
        <w:t> </w:t>
      </w:r>
      <w:r>
        <w:rPr>
          <w:w w:val="105"/>
          <w:sz w:val="19"/>
        </w:rPr>
        <w:t>Duque</w:t>
      </w:r>
      <w:r>
        <w:rPr>
          <w:spacing w:val="-6"/>
          <w:w w:val="105"/>
          <w:sz w:val="19"/>
        </w:rPr>
        <w:t> </w:t>
      </w:r>
      <w:r>
        <w:rPr>
          <w:w w:val="105"/>
          <w:sz w:val="19"/>
        </w:rPr>
        <w:t>Antonio,</w:t>
      </w:r>
      <w:r>
        <w:rPr>
          <w:spacing w:val="-9"/>
          <w:w w:val="105"/>
          <w:sz w:val="19"/>
        </w:rPr>
        <w:t> </w:t>
      </w:r>
      <w:r>
        <w:rPr>
          <w:w w:val="105"/>
          <w:sz w:val="19"/>
        </w:rPr>
        <w:t>Bello,</w:t>
      </w:r>
      <w:r>
        <w:rPr>
          <w:spacing w:val="-14"/>
          <w:w w:val="105"/>
          <w:sz w:val="19"/>
        </w:rPr>
        <w:t> </w:t>
      </w:r>
      <w:r>
        <w:rPr>
          <w:w w:val="105"/>
          <w:sz w:val="19"/>
        </w:rPr>
        <w:t>R.</w:t>
      </w:r>
      <w:r>
        <w:rPr>
          <w:spacing w:val="-6"/>
          <w:w w:val="105"/>
          <w:sz w:val="19"/>
        </w:rPr>
        <w:t> </w:t>
      </w:r>
      <w:r>
        <w:rPr>
          <w:w w:val="105"/>
          <w:sz w:val="19"/>
        </w:rPr>
        <w:t>María</w:t>
      </w:r>
      <w:r>
        <w:rPr>
          <w:spacing w:val="-6"/>
          <w:w w:val="105"/>
          <w:sz w:val="19"/>
        </w:rPr>
        <w:t> </w:t>
      </w:r>
      <w:r>
        <w:rPr>
          <w:spacing w:val="-3"/>
          <w:w w:val="105"/>
          <w:sz w:val="19"/>
        </w:rPr>
        <w:t>Eugenia</w:t>
      </w:r>
      <w:r>
        <w:rPr>
          <w:spacing w:val="-2"/>
          <w:w w:val="105"/>
          <w:sz w:val="19"/>
        </w:rPr>
        <w:t> </w:t>
      </w:r>
      <w:r>
        <w:rPr>
          <w:w w:val="105"/>
          <w:sz w:val="19"/>
        </w:rPr>
        <w:t>(1997).</w:t>
      </w:r>
      <w:r>
        <w:rPr>
          <w:spacing w:val="-6"/>
          <w:w w:val="105"/>
          <w:sz w:val="19"/>
        </w:rPr>
        <w:t> </w:t>
      </w:r>
      <w:r>
        <w:rPr>
          <w:w w:val="105"/>
          <w:sz w:val="19"/>
        </w:rPr>
        <w:t>“Recuperar</w:t>
      </w:r>
      <w:r>
        <w:rPr>
          <w:spacing w:val="-15"/>
          <w:w w:val="105"/>
          <w:sz w:val="19"/>
        </w:rPr>
        <w:t> </w:t>
      </w:r>
      <w:r>
        <w:rPr>
          <w:w w:val="105"/>
          <w:sz w:val="19"/>
        </w:rPr>
        <w:t>la</w:t>
      </w:r>
      <w:r>
        <w:rPr>
          <w:spacing w:val="-10"/>
          <w:w w:val="105"/>
          <w:sz w:val="19"/>
        </w:rPr>
        <w:t> </w:t>
      </w:r>
      <w:r>
        <w:rPr>
          <w:w w:val="105"/>
          <w:sz w:val="19"/>
        </w:rPr>
        <w:t>pedagogía</w:t>
      </w:r>
      <w:r>
        <w:rPr>
          <w:spacing w:val="-6"/>
          <w:w w:val="105"/>
          <w:sz w:val="19"/>
        </w:rPr>
        <w:t> </w:t>
      </w:r>
      <w:r>
        <w:rPr>
          <w:w w:val="105"/>
          <w:sz w:val="19"/>
        </w:rPr>
        <w:t>en</w:t>
      </w:r>
      <w:r>
        <w:rPr>
          <w:spacing w:val="-6"/>
          <w:w w:val="105"/>
          <w:sz w:val="19"/>
        </w:rPr>
        <w:t> </w:t>
      </w:r>
      <w:r>
        <w:rPr>
          <w:spacing w:val="-3"/>
          <w:w w:val="105"/>
          <w:sz w:val="19"/>
        </w:rPr>
        <w:t>el</w:t>
      </w:r>
      <w:r>
        <w:rPr>
          <w:spacing w:val="-6"/>
          <w:w w:val="105"/>
          <w:sz w:val="19"/>
        </w:rPr>
        <w:t> </w:t>
      </w:r>
      <w:r>
        <w:rPr>
          <w:w w:val="105"/>
          <w:sz w:val="19"/>
        </w:rPr>
        <w:t>contexto del</w:t>
      </w:r>
      <w:r>
        <w:rPr>
          <w:spacing w:val="-14"/>
          <w:w w:val="105"/>
          <w:sz w:val="19"/>
        </w:rPr>
        <w:t> </w:t>
      </w:r>
      <w:r>
        <w:rPr>
          <w:w w:val="105"/>
          <w:sz w:val="19"/>
        </w:rPr>
        <w:t>discurso</w:t>
      </w:r>
      <w:r>
        <w:rPr>
          <w:spacing w:val="-14"/>
          <w:w w:val="105"/>
          <w:sz w:val="19"/>
        </w:rPr>
        <w:t> </w:t>
      </w:r>
      <w:r>
        <w:rPr>
          <w:w w:val="105"/>
          <w:sz w:val="19"/>
        </w:rPr>
        <w:t>de</w:t>
      </w:r>
      <w:r>
        <w:rPr>
          <w:spacing w:val="-14"/>
          <w:w w:val="105"/>
          <w:sz w:val="19"/>
        </w:rPr>
        <w:t> </w:t>
      </w:r>
      <w:r>
        <w:rPr>
          <w:w w:val="105"/>
          <w:sz w:val="19"/>
        </w:rPr>
        <w:t>la</w:t>
      </w:r>
      <w:r>
        <w:rPr>
          <w:spacing w:val="-14"/>
          <w:w w:val="105"/>
          <w:sz w:val="19"/>
        </w:rPr>
        <w:t> </w:t>
      </w:r>
      <w:r>
        <w:rPr>
          <w:w w:val="105"/>
          <w:sz w:val="19"/>
        </w:rPr>
        <w:t>calidad</w:t>
      </w:r>
      <w:r>
        <w:rPr>
          <w:spacing w:val="-14"/>
          <w:w w:val="105"/>
          <w:sz w:val="19"/>
        </w:rPr>
        <w:t> </w:t>
      </w:r>
      <w:r>
        <w:rPr>
          <w:spacing w:val="-3"/>
          <w:w w:val="105"/>
          <w:sz w:val="19"/>
        </w:rPr>
        <w:t>de</w:t>
      </w:r>
      <w:r>
        <w:rPr>
          <w:spacing w:val="-11"/>
          <w:w w:val="105"/>
          <w:sz w:val="19"/>
        </w:rPr>
        <w:t> </w:t>
      </w:r>
      <w:r>
        <w:rPr>
          <w:w w:val="105"/>
          <w:sz w:val="19"/>
        </w:rPr>
        <w:t>la</w:t>
      </w:r>
      <w:r>
        <w:rPr>
          <w:spacing w:val="-14"/>
          <w:w w:val="105"/>
          <w:sz w:val="19"/>
        </w:rPr>
        <w:t> </w:t>
      </w:r>
      <w:r>
        <w:rPr>
          <w:w w:val="105"/>
          <w:sz w:val="19"/>
        </w:rPr>
        <w:t>educación”</w:t>
      </w:r>
      <w:r>
        <w:rPr>
          <w:spacing w:val="-17"/>
          <w:w w:val="105"/>
          <w:sz w:val="19"/>
        </w:rPr>
        <w:t> </w:t>
      </w:r>
      <w:r>
        <w:rPr>
          <w:spacing w:val="2"/>
          <w:w w:val="105"/>
          <w:sz w:val="19"/>
        </w:rPr>
        <w:t>en</w:t>
      </w:r>
      <w:r>
        <w:rPr>
          <w:spacing w:val="-14"/>
          <w:w w:val="105"/>
          <w:sz w:val="19"/>
        </w:rPr>
        <w:t> </w:t>
      </w:r>
      <w:r>
        <w:rPr>
          <w:spacing w:val="-3"/>
          <w:w w:val="105"/>
          <w:sz w:val="19"/>
        </w:rPr>
        <w:t>Revista</w:t>
      </w:r>
      <w:r>
        <w:rPr>
          <w:spacing w:val="-7"/>
          <w:w w:val="105"/>
          <w:sz w:val="19"/>
        </w:rPr>
        <w:t> </w:t>
      </w:r>
      <w:r>
        <w:rPr>
          <w:w w:val="105"/>
          <w:sz w:val="19"/>
        </w:rPr>
        <w:t>Iberoamericana</w:t>
      </w:r>
      <w:r>
        <w:rPr>
          <w:spacing w:val="-14"/>
          <w:w w:val="105"/>
          <w:sz w:val="19"/>
        </w:rPr>
        <w:t> </w:t>
      </w:r>
      <w:r>
        <w:rPr>
          <w:spacing w:val="-3"/>
          <w:w w:val="105"/>
          <w:sz w:val="19"/>
        </w:rPr>
        <w:t>de</w:t>
      </w:r>
      <w:r>
        <w:rPr>
          <w:spacing w:val="-11"/>
          <w:w w:val="105"/>
          <w:sz w:val="19"/>
        </w:rPr>
        <w:t> </w:t>
      </w:r>
      <w:r>
        <w:rPr>
          <w:w w:val="105"/>
          <w:sz w:val="19"/>
        </w:rPr>
        <w:t>Educación.,</w:t>
      </w:r>
      <w:r>
        <w:rPr>
          <w:spacing w:val="-16"/>
          <w:w w:val="105"/>
          <w:sz w:val="19"/>
        </w:rPr>
        <w:t> </w:t>
      </w:r>
      <w:r>
        <w:rPr>
          <w:i/>
          <w:spacing w:val="-3"/>
          <w:w w:val="105"/>
          <w:sz w:val="19"/>
        </w:rPr>
        <w:t>OEI.</w:t>
      </w:r>
      <w:r>
        <w:rPr>
          <w:i/>
          <w:spacing w:val="-17"/>
          <w:w w:val="105"/>
          <w:sz w:val="19"/>
        </w:rPr>
        <w:t> </w:t>
      </w:r>
      <w:r>
        <w:rPr>
          <w:w w:val="105"/>
          <w:sz w:val="19"/>
        </w:rPr>
        <w:t>Número 14,</w:t>
      </w:r>
      <w:r>
        <w:rPr>
          <w:spacing w:val="-23"/>
          <w:w w:val="105"/>
          <w:sz w:val="19"/>
        </w:rPr>
        <w:t> </w:t>
      </w:r>
      <w:r>
        <w:rPr>
          <w:w w:val="105"/>
          <w:sz w:val="19"/>
        </w:rPr>
        <w:t>mayo-agosto</w:t>
      </w:r>
      <w:r>
        <w:rPr>
          <w:spacing w:val="-20"/>
          <w:w w:val="105"/>
          <w:sz w:val="19"/>
        </w:rPr>
        <w:t> </w:t>
      </w:r>
      <w:r>
        <w:rPr>
          <w:w w:val="105"/>
          <w:sz w:val="19"/>
        </w:rPr>
        <w:t>1997.</w:t>
      </w:r>
      <w:r>
        <w:rPr>
          <w:spacing w:val="-20"/>
          <w:w w:val="105"/>
          <w:sz w:val="19"/>
        </w:rPr>
        <w:t> </w:t>
      </w:r>
      <w:r>
        <w:rPr>
          <w:spacing w:val="-3"/>
          <w:w w:val="105"/>
          <w:sz w:val="19"/>
        </w:rPr>
        <w:t>Puede</w:t>
      </w:r>
      <w:r>
        <w:rPr>
          <w:spacing w:val="-20"/>
          <w:w w:val="105"/>
          <w:sz w:val="19"/>
        </w:rPr>
        <w:t> </w:t>
      </w:r>
      <w:r>
        <w:rPr>
          <w:w w:val="105"/>
          <w:sz w:val="19"/>
        </w:rPr>
        <w:t>consultarse</w:t>
      </w:r>
      <w:r>
        <w:rPr>
          <w:spacing w:val="-20"/>
          <w:w w:val="105"/>
          <w:sz w:val="19"/>
        </w:rPr>
        <w:t> </w:t>
      </w:r>
      <w:r>
        <w:rPr>
          <w:w w:val="105"/>
          <w:sz w:val="19"/>
        </w:rPr>
        <w:t>en:</w:t>
      </w:r>
    </w:p>
    <w:p>
      <w:pPr>
        <w:spacing w:line="217" w:lineRule="exact" w:before="0"/>
        <w:ind w:left="115" w:right="191" w:firstLine="0"/>
        <w:jc w:val="left"/>
        <w:rPr>
          <w:sz w:val="19"/>
        </w:rPr>
      </w:pPr>
      <w:hyperlink r:id="rId128">
        <w:r>
          <w:rPr>
            <w:color w:val="0000FF"/>
            <w:w w:val="105"/>
            <w:sz w:val="19"/>
            <w:u w:val="single" w:color="0000FF"/>
          </w:rPr>
          <w:t>http://www.campus-oei.org/oeivirt/rie14a05.pdf</w:t>
        </w:r>
      </w:hyperlink>
    </w:p>
    <w:p>
      <w:pPr>
        <w:spacing w:line="247" w:lineRule="auto" w:before="0"/>
        <w:ind w:left="115" w:right="108" w:firstLine="0"/>
        <w:jc w:val="left"/>
        <w:rPr>
          <w:sz w:val="19"/>
        </w:rPr>
      </w:pPr>
      <w:r>
        <w:rPr>
          <w:b/>
          <w:w w:val="105"/>
          <w:sz w:val="19"/>
        </w:rPr>
        <w:t>Arias</w:t>
      </w:r>
      <w:r>
        <w:rPr>
          <w:w w:val="105"/>
          <w:sz w:val="19"/>
        </w:rPr>
        <w:t>, Eduardo y Bazdresch, Miguel. (2003). “México: compromiso social por la calidad de la educación”. Sinéctica N° 22. Febrero-julio Año 2003. Puede consultarse en : </w:t>
      </w:r>
      <w:hyperlink r:id="rId129">
        <w:r>
          <w:rPr>
            <w:w w:val="105"/>
            <w:sz w:val="19"/>
          </w:rPr>
          <w:t>http://portal.iteso.mx/portal/page/portal/Sinectica/Politicas_educativas/Resenas/22%20Arias-</w:t>
        </w:r>
      </w:hyperlink>
      <w:r>
        <w:rPr>
          <w:w w:val="105"/>
          <w:sz w:val="19"/>
        </w:rPr>
        <w:t> Basdresch-Puertos.pdf</w:t>
      </w:r>
    </w:p>
    <w:p>
      <w:pPr>
        <w:spacing w:line="247" w:lineRule="auto" w:before="0"/>
        <w:ind w:left="115" w:right="90" w:firstLine="0"/>
        <w:jc w:val="left"/>
        <w:rPr>
          <w:sz w:val="19"/>
        </w:rPr>
      </w:pPr>
      <w:r>
        <w:rPr>
          <w:b/>
          <w:w w:val="105"/>
          <w:sz w:val="19"/>
        </w:rPr>
        <w:t>Arregui</w:t>
      </w:r>
      <w:r>
        <w:rPr>
          <w:w w:val="105"/>
          <w:sz w:val="19"/>
        </w:rPr>
        <w:t>, Patricia y Ferrer, Guillermo J. (2003). “Las pruebas internacionales de aprendizaje en América Latina y su impacto en la calidad de la educación: criterios para guiar futuras aplicaciones”. OPREAL. Programa de promoción de la Reforma Educativa en América Latina y el Caribe. Puede consultarse en: </w:t>
      </w:r>
      <w:hyperlink r:id="rId130">
        <w:r>
          <w:rPr>
            <w:color w:val="0000FF"/>
            <w:sz w:val="19"/>
            <w:u w:val="single" w:color="0000FF"/>
          </w:rPr>
          <w:t>http://www.oei.es/evaluacioneducativa/pruebas_internacionales_aprendizaje_AL_arregui_ferrer.pdf</w:t>
        </w:r>
      </w:hyperlink>
      <w:r>
        <w:rPr>
          <w:color w:val="0000FF"/>
          <w:sz w:val="19"/>
          <w:u w:val="single" w:color="0000FF"/>
        </w:rPr>
        <w:t> </w:t>
      </w:r>
      <w:r>
        <w:rPr>
          <w:b/>
          <w:w w:val="105"/>
          <w:sz w:val="19"/>
        </w:rPr>
        <w:t>Arnaut </w:t>
      </w:r>
      <w:r>
        <w:rPr>
          <w:w w:val="105"/>
          <w:sz w:val="19"/>
        </w:rPr>
        <w:t>Salgado, Alberto. (1996). “Historia de una profesión. Los maestros de educación primaria en México 1887-1994”</w:t>
      </w:r>
      <w:r>
        <w:rPr>
          <w:i/>
          <w:w w:val="105"/>
          <w:sz w:val="19"/>
        </w:rPr>
        <w:t>, </w:t>
      </w:r>
      <w:r>
        <w:rPr>
          <w:w w:val="105"/>
          <w:sz w:val="19"/>
        </w:rPr>
        <w:t>México, CIDE.</w:t>
      </w:r>
    </w:p>
    <w:p>
      <w:pPr>
        <w:spacing w:line="247" w:lineRule="auto" w:before="0"/>
        <w:ind w:left="115" w:right="107" w:firstLine="0"/>
        <w:jc w:val="both"/>
        <w:rPr>
          <w:sz w:val="19"/>
        </w:rPr>
      </w:pPr>
      <w:r>
        <w:rPr>
          <w:w w:val="105"/>
          <w:sz w:val="19"/>
        </w:rPr>
        <w:t>------------------------------- . (1999). </w:t>
      </w:r>
      <w:r>
        <w:rPr>
          <w:spacing w:val="-4"/>
          <w:w w:val="105"/>
          <w:sz w:val="19"/>
        </w:rPr>
        <w:t>“La </w:t>
      </w:r>
      <w:r>
        <w:rPr>
          <w:w w:val="105"/>
          <w:sz w:val="19"/>
        </w:rPr>
        <w:t>federalización educativa y </w:t>
      </w:r>
      <w:r>
        <w:rPr>
          <w:spacing w:val="2"/>
          <w:w w:val="105"/>
          <w:sz w:val="19"/>
        </w:rPr>
        <w:t>el </w:t>
      </w:r>
      <w:r>
        <w:rPr>
          <w:w w:val="105"/>
          <w:sz w:val="19"/>
        </w:rPr>
        <w:t>Sindicato Nacional </w:t>
      </w:r>
      <w:r>
        <w:rPr>
          <w:spacing w:val="-3"/>
          <w:w w:val="105"/>
          <w:sz w:val="19"/>
        </w:rPr>
        <w:t>de </w:t>
      </w:r>
      <w:r>
        <w:rPr>
          <w:w w:val="105"/>
          <w:sz w:val="19"/>
        </w:rPr>
        <w:t>Trabajadores</w:t>
      </w:r>
      <w:r>
        <w:rPr>
          <w:spacing w:val="-9"/>
          <w:w w:val="105"/>
          <w:sz w:val="19"/>
        </w:rPr>
        <w:t> </w:t>
      </w:r>
      <w:r>
        <w:rPr>
          <w:w w:val="105"/>
          <w:sz w:val="19"/>
        </w:rPr>
        <w:t>de</w:t>
      </w:r>
      <w:r>
        <w:rPr>
          <w:spacing w:val="-9"/>
          <w:w w:val="105"/>
          <w:sz w:val="19"/>
        </w:rPr>
        <w:t> </w:t>
      </w:r>
      <w:r>
        <w:rPr>
          <w:w w:val="105"/>
          <w:sz w:val="19"/>
        </w:rPr>
        <w:t>la</w:t>
      </w:r>
      <w:r>
        <w:rPr>
          <w:spacing w:val="-9"/>
          <w:w w:val="105"/>
          <w:sz w:val="19"/>
        </w:rPr>
        <w:t> </w:t>
      </w:r>
      <w:r>
        <w:rPr>
          <w:w w:val="105"/>
          <w:sz w:val="19"/>
        </w:rPr>
        <w:t>Educación”</w:t>
      </w:r>
      <w:r>
        <w:rPr>
          <w:spacing w:val="-13"/>
          <w:w w:val="105"/>
          <w:sz w:val="19"/>
        </w:rPr>
        <w:t> </w:t>
      </w:r>
      <w:r>
        <w:rPr>
          <w:w w:val="105"/>
          <w:sz w:val="19"/>
        </w:rPr>
        <w:t>en</w:t>
      </w:r>
      <w:r>
        <w:rPr>
          <w:spacing w:val="-6"/>
          <w:w w:val="105"/>
          <w:sz w:val="19"/>
        </w:rPr>
        <w:t> </w:t>
      </w:r>
      <w:r>
        <w:rPr>
          <w:w w:val="105"/>
          <w:sz w:val="19"/>
        </w:rPr>
        <w:t>María</w:t>
      </w:r>
      <w:r>
        <w:rPr>
          <w:spacing w:val="-9"/>
          <w:w w:val="105"/>
          <w:sz w:val="19"/>
        </w:rPr>
        <w:t> </w:t>
      </w:r>
      <w:r>
        <w:rPr>
          <w:w w:val="105"/>
          <w:sz w:val="19"/>
        </w:rPr>
        <w:t>del</w:t>
      </w:r>
      <w:r>
        <w:rPr>
          <w:spacing w:val="-9"/>
          <w:w w:val="105"/>
          <w:sz w:val="19"/>
        </w:rPr>
        <w:t> </w:t>
      </w:r>
      <w:r>
        <w:rPr>
          <w:w w:val="105"/>
          <w:sz w:val="19"/>
        </w:rPr>
        <w:t>Carmen</w:t>
      </w:r>
      <w:r>
        <w:rPr>
          <w:spacing w:val="-9"/>
          <w:w w:val="105"/>
          <w:sz w:val="19"/>
        </w:rPr>
        <w:t> </w:t>
      </w:r>
      <w:r>
        <w:rPr>
          <w:w w:val="105"/>
          <w:sz w:val="19"/>
        </w:rPr>
        <w:t>Pardo</w:t>
      </w:r>
      <w:r>
        <w:rPr>
          <w:spacing w:val="-6"/>
          <w:w w:val="105"/>
          <w:sz w:val="19"/>
        </w:rPr>
        <w:t> </w:t>
      </w:r>
      <w:r>
        <w:rPr>
          <w:w w:val="105"/>
          <w:sz w:val="19"/>
        </w:rPr>
        <w:t>Federalización</w:t>
      </w:r>
      <w:r>
        <w:rPr>
          <w:spacing w:val="-9"/>
          <w:w w:val="105"/>
          <w:sz w:val="19"/>
        </w:rPr>
        <w:t> </w:t>
      </w:r>
      <w:r>
        <w:rPr>
          <w:w w:val="105"/>
          <w:sz w:val="19"/>
        </w:rPr>
        <w:t>e</w:t>
      </w:r>
      <w:r>
        <w:rPr>
          <w:spacing w:val="-7"/>
          <w:w w:val="105"/>
          <w:sz w:val="19"/>
        </w:rPr>
        <w:t> </w:t>
      </w:r>
      <w:r>
        <w:rPr>
          <w:w w:val="105"/>
          <w:sz w:val="19"/>
        </w:rPr>
        <w:t>innovación</w:t>
      </w:r>
      <w:r>
        <w:rPr>
          <w:spacing w:val="-9"/>
          <w:w w:val="105"/>
          <w:sz w:val="19"/>
        </w:rPr>
        <w:t> </w:t>
      </w:r>
      <w:r>
        <w:rPr>
          <w:w w:val="105"/>
          <w:sz w:val="19"/>
        </w:rPr>
        <w:t>educativa en</w:t>
      </w:r>
      <w:r>
        <w:rPr>
          <w:spacing w:val="-22"/>
          <w:w w:val="105"/>
          <w:sz w:val="19"/>
        </w:rPr>
        <w:t> </w:t>
      </w:r>
      <w:r>
        <w:rPr>
          <w:w w:val="105"/>
          <w:sz w:val="19"/>
        </w:rPr>
        <w:t>México,</w:t>
      </w:r>
      <w:r>
        <w:rPr>
          <w:spacing w:val="-25"/>
          <w:w w:val="105"/>
          <w:sz w:val="19"/>
        </w:rPr>
        <w:t> </w:t>
      </w:r>
      <w:r>
        <w:rPr>
          <w:w w:val="105"/>
          <w:sz w:val="19"/>
        </w:rPr>
        <w:t>México,</w:t>
      </w:r>
      <w:r>
        <w:rPr>
          <w:spacing w:val="-24"/>
          <w:w w:val="105"/>
          <w:sz w:val="19"/>
        </w:rPr>
        <w:t> </w:t>
      </w:r>
      <w:r>
        <w:rPr>
          <w:w w:val="105"/>
          <w:sz w:val="19"/>
        </w:rPr>
        <w:t>COLMEX.</w:t>
      </w:r>
    </w:p>
    <w:p>
      <w:pPr>
        <w:pStyle w:val="BodyText"/>
        <w:spacing w:before="3"/>
        <w:rPr>
          <w:sz w:val="19"/>
        </w:rPr>
      </w:pPr>
    </w:p>
    <w:p>
      <w:pPr>
        <w:spacing w:before="0"/>
        <w:ind w:left="115" w:right="0" w:firstLine="0"/>
        <w:jc w:val="left"/>
        <w:rPr>
          <w:b/>
          <w:sz w:val="19"/>
        </w:rPr>
      </w:pPr>
      <w:r>
        <w:rPr>
          <w:b/>
          <w:w w:val="103"/>
          <w:sz w:val="19"/>
        </w:rPr>
        <w:t>B</w:t>
      </w:r>
    </w:p>
    <w:p>
      <w:pPr>
        <w:spacing w:after="0"/>
        <w:jc w:val="left"/>
        <w:rPr>
          <w:sz w:val="19"/>
        </w:rPr>
        <w:sectPr>
          <w:pgSz w:w="11910" w:h="16840"/>
          <w:pgMar w:header="0" w:footer="1457" w:top="1580" w:bottom="1640" w:left="1540" w:right="1540"/>
        </w:sectPr>
      </w:pPr>
    </w:p>
    <w:p>
      <w:pPr>
        <w:pStyle w:val="BodyText"/>
        <w:rPr>
          <w:b/>
          <w:sz w:val="20"/>
        </w:rPr>
      </w:pPr>
    </w:p>
    <w:p>
      <w:pPr>
        <w:pStyle w:val="BodyText"/>
        <w:spacing w:before="10"/>
        <w:rPr>
          <w:b/>
          <w:sz w:val="15"/>
        </w:rPr>
      </w:pPr>
    </w:p>
    <w:p>
      <w:pPr>
        <w:spacing w:line="247" w:lineRule="auto" w:before="81"/>
        <w:ind w:left="115" w:right="99" w:firstLine="0"/>
        <w:jc w:val="both"/>
        <w:rPr>
          <w:sz w:val="19"/>
        </w:rPr>
      </w:pPr>
      <w:r>
        <w:rPr>
          <w:b/>
          <w:w w:val="105"/>
          <w:sz w:val="19"/>
        </w:rPr>
        <w:t>Barba</w:t>
      </w:r>
      <w:r>
        <w:rPr>
          <w:b/>
          <w:spacing w:val="-12"/>
          <w:w w:val="105"/>
          <w:sz w:val="19"/>
        </w:rPr>
        <w:t> </w:t>
      </w:r>
      <w:r>
        <w:rPr>
          <w:w w:val="105"/>
          <w:sz w:val="19"/>
        </w:rPr>
        <w:t>Casillas,</w:t>
      </w:r>
      <w:r>
        <w:rPr>
          <w:spacing w:val="-12"/>
          <w:w w:val="105"/>
          <w:sz w:val="19"/>
        </w:rPr>
        <w:t> </w:t>
      </w:r>
      <w:r>
        <w:rPr>
          <w:w w:val="105"/>
          <w:sz w:val="19"/>
        </w:rPr>
        <w:t>Bonifacio.</w:t>
      </w:r>
      <w:r>
        <w:rPr>
          <w:spacing w:val="-15"/>
          <w:w w:val="105"/>
          <w:sz w:val="19"/>
        </w:rPr>
        <w:t> </w:t>
      </w:r>
      <w:r>
        <w:rPr>
          <w:w w:val="105"/>
          <w:sz w:val="19"/>
        </w:rPr>
        <w:t>(2007).</w:t>
      </w:r>
      <w:r>
        <w:rPr>
          <w:spacing w:val="-15"/>
          <w:w w:val="105"/>
          <w:sz w:val="19"/>
        </w:rPr>
        <w:t> </w:t>
      </w:r>
      <w:r>
        <w:rPr>
          <w:w w:val="105"/>
          <w:sz w:val="19"/>
        </w:rPr>
        <w:t>“Entre</w:t>
      </w:r>
      <w:r>
        <w:rPr>
          <w:spacing w:val="-12"/>
          <w:w w:val="105"/>
          <w:sz w:val="19"/>
        </w:rPr>
        <w:t> </w:t>
      </w:r>
      <w:r>
        <w:rPr>
          <w:w w:val="105"/>
          <w:sz w:val="19"/>
        </w:rPr>
        <w:t>las</w:t>
      </w:r>
      <w:r>
        <w:rPr>
          <w:spacing w:val="-12"/>
          <w:w w:val="105"/>
          <w:sz w:val="19"/>
        </w:rPr>
        <w:t> </w:t>
      </w:r>
      <w:r>
        <w:rPr>
          <w:w w:val="105"/>
          <w:sz w:val="19"/>
        </w:rPr>
        <w:t>revoluciones</w:t>
      </w:r>
      <w:r>
        <w:rPr>
          <w:spacing w:val="-12"/>
          <w:w w:val="105"/>
          <w:sz w:val="19"/>
        </w:rPr>
        <w:t> </w:t>
      </w:r>
      <w:r>
        <w:rPr>
          <w:w w:val="105"/>
          <w:sz w:val="19"/>
        </w:rPr>
        <w:t>y</w:t>
      </w:r>
      <w:r>
        <w:rPr>
          <w:spacing w:val="-16"/>
          <w:w w:val="105"/>
          <w:sz w:val="19"/>
        </w:rPr>
        <w:t> </w:t>
      </w:r>
      <w:r>
        <w:rPr>
          <w:w w:val="105"/>
          <w:sz w:val="19"/>
        </w:rPr>
        <w:t>la</w:t>
      </w:r>
      <w:r>
        <w:rPr>
          <w:spacing w:val="-12"/>
          <w:w w:val="105"/>
          <w:sz w:val="19"/>
        </w:rPr>
        <w:t> </w:t>
      </w:r>
      <w:r>
        <w:rPr>
          <w:w w:val="105"/>
          <w:sz w:val="19"/>
        </w:rPr>
        <w:t>burocracia.</w:t>
      </w:r>
      <w:r>
        <w:rPr>
          <w:spacing w:val="-12"/>
          <w:w w:val="105"/>
          <w:sz w:val="19"/>
        </w:rPr>
        <w:t> </w:t>
      </w:r>
      <w:r>
        <w:rPr>
          <w:w w:val="105"/>
          <w:sz w:val="19"/>
        </w:rPr>
        <w:t>Gobernar</w:t>
      </w:r>
      <w:r>
        <w:rPr>
          <w:spacing w:val="-12"/>
          <w:w w:val="105"/>
          <w:sz w:val="19"/>
        </w:rPr>
        <w:t> </w:t>
      </w:r>
      <w:r>
        <w:rPr>
          <w:w w:val="105"/>
          <w:sz w:val="19"/>
        </w:rPr>
        <w:t>para</w:t>
      </w:r>
      <w:r>
        <w:rPr>
          <w:spacing w:val="-12"/>
          <w:w w:val="105"/>
          <w:sz w:val="19"/>
        </w:rPr>
        <w:t> </w:t>
      </w:r>
      <w:r>
        <w:rPr>
          <w:w w:val="105"/>
          <w:sz w:val="19"/>
        </w:rPr>
        <w:t>la</w:t>
      </w:r>
      <w:r>
        <w:rPr>
          <w:spacing w:val="-15"/>
          <w:w w:val="105"/>
          <w:sz w:val="19"/>
        </w:rPr>
        <w:t> </w:t>
      </w:r>
      <w:r>
        <w:rPr>
          <w:w w:val="105"/>
          <w:sz w:val="19"/>
        </w:rPr>
        <w:t>calidad de </w:t>
      </w:r>
      <w:r>
        <w:rPr>
          <w:spacing w:val="3"/>
          <w:w w:val="105"/>
          <w:sz w:val="19"/>
        </w:rPr>
        <w:t>la </w:t>
      </w:r>
      <w:r>
        <w:rPr>
          <w:w w:val="105"/>
          <w:sz w:val="19"/>
        </w:rPr>
        <w:t>educación”. REICE. Revista Electrónica Iberoamericana sobre Calidad, Eficiencia y Cambio en Educación, año/vol. </w:t>
      </w:r>
      <w:r>
        <w:rPr>
          <w:spacing w:val="2"/>
          <w:w w:val="105"/>
          <w:sz w:val="19"/>
        </w:rPr>
        <w:t>5, </w:t>
      </w:r>
      <w:r>
        <w:rPr>
          <w:w w:val="105"/>
          <w:sz w:val="19"/>
        </w:rPr>
        <w:t>número 003. Red Iberoamericana </w:t>
      </w:r>
      <w:r>
        <w:rPr>
          <w:spacing w:val="-3"/>
          <w:w w:val="105"/>
          <w:sz w:val="19"/>
        </w:rPr>
        <w:t>de </w:t>
      </w:r>
      <w:r>
        <w:rPr>
          <w:w w:val="105"/>
          <w:sz w:val="19"/>
        </w:rPr>
        <w:t>Investigación sobre Cambio y Eficacia</w:t>
      </w:r>
      <w:r>
        <w:rPr>
          <w:spacing w:val="-20"/>
          <w:w w:val="105"/>
          <w:sz w:val="19"/>
        </w:rPr>
        <w:t> </w:t>
      </w:r>
      <w:r>
        <w:rPr>
          <w:w w:val="105"/>
          <w:sz w:val="19"/>
        </w:rPr>
        <w:t>Escolar.</w:t>
      </w:r>
      <w:r>
        <w:rPr>
          <w:spacing w:val="-25"/>
          <w:w w:val="105"/>
          <w:sz w:val="19"/>
        </w:rPr>
        <w:t> </w:t>
      </w:r>
      <w:r>
        <w:rPr>
          <w:w w:val="105"/>
          <w:sz w:val="19"/>
        </w:rPr>
        <w:t>Madrid,</w:t>
      </w:r>
      <w:r>
        <w:rPr>
          <w:spacing w:val="-24"/>
          <w:w w:val="105"/>
          <w:sz w:val="19"/>
        </w:rPr>
        <w:t> </w:t>
      </w:r>
      <w:r>
        <w:rPr>
          <w:w w:val="105"/>
          <w:sz w:val="19"/>
        </w:rPr>
        <w:t>España,</w:t>
      </w:r>
      <w:r>
        <w:rPr>
          <w:spacing w:val="-20"/>
          <w:w w:val="105"/>
          <w:sz w:val="19"/>
        </w:rPr>
        <w:t> </w:t>
      </w:r>
      <w:r>
        <w:rPr>
          <w:w w:val="105"/>
          <w:sz w:val="19"/>
        </w:rPr>
        <w:t>pp.</w:t>
      </w:r>
      <w:r>
        <w:rPr>
          <w:spacing w:val="-22"/>
          <w:w w:val="105"/>
          <w:sz w:val="19"/>
        </w:rPr>
        <w:t> </w:t>
      </w:r>
      <w:r>
        <w:rPr>
          <w:w w:val="105"/>
          <w:sz w:val="19"/>
        </w:rPr>
        <w:t>22-25.</w:t>
      </w:r>
    </w:p>
    <w:p>
      <w:pPr>
        <w:spacing w:line="247" w:lineRule="auto" w:before="0"/>
        <w:ind w:left="115" w:right="110" w:firstLine="0"/>
        <w:jc w:val="left"/>
        <w:rPr>
          <w:sz w:val="19"/>
        </w:rPr>
      </w:pPr>
      <w:r>
        <w:rPr>
          <w:b/>
          <w:w w:val="105"/>
          <w:sz w:val="19"/>
        </w:rPr>
        <w:t>Bardach</w:t>
      </w:r>
      <w:r>
        <w:rPr>
          <w:w w:val="105"/>
          <w:sz w:val="19"/>
        </w:rPr>
        <w:t>,</w:t>
      </w:r>
      <w:r>
        <w:rPr>
          <w:spacing w:val="-18"/>
          <w:w w:val="105"/>
          <w:sz w:val="19"/>
        </w:rPr>
        <w:t> </w:t>
      </w:r>
      <w:r>
        <w:rPr>
          <w:w w:val="105"/>
          <w:sz w:val="19"/>
        </w:rPr>
        <w:t>Eugene.</w:t>
      </w:r>
      <w:r>
        <w:rPr>
          <w:spacing w:val="-18"/>
          <w:w w:val="105"/>
          <w:sz w:val="19"/>
        </w:rPr>
        <w:t> </w:t>
      </w:r>
      <w:r>
        <w:rPr>
          <w:w w:val="105"/>
          <w:sz w:val="19"/>
        </w:rPr>
        <w:t>(2008).</w:t>
      </w:r>
      <w:r>
        <w:rPr>
          <w:spacing w:val="-18"/>
          <w:w w:val="105"/>
          <w:sz w:val="19"/>
        </w:rPr>
        <w:t> </w:t>
      </w:r>
      <w:r>
        <w:rPr>
          <w:w w:val="105"/>
          <w:sz w:val="19"/>
        </w:rPr>
        <w:t>“Los</w:t>
      </w:r>
      <w:r>
        <w:rPr>
          <w:spacing w:val="-18"/>
          <w:w w:val="105"/>
          <w:sz w:val="19"/>
        </w:rPr>
        <w:t> </w:t>
      </w:r>
      <w:r>
        <w:rPr>
          <w:w w:val="105"/>
          <w:sz w:val="19"/>
        </w:rPr>
        <w:t>ocho</w:t>
      </w:r>
      <w:r>
        <w:rPr>
          <w:spacing w:val="-14"/>
          <w:w w:val="105"/>
          <w:sz w:val="19"/>
        </w:rPr>
        <w:t> </w:t>
      </w:r>
      <w:r>
        <w:rPr>
          <w:w w:val="105"/>
          <w:sz w:val="19"/>
        </w:rPr>
        <w:t>pasos</w:t>
      </w:r>
      <w:r>
        <w:rPr>
          <w:spacing w:val="-18"/>
          <w:w w:val="105"/>
          <w:sz w:val="19"/>
        </w:rPr>
        <w:t> </w:t>
      </w:r>
      <w:r>
        <w:rPr>
          <w:w w:val="105"/>
          <w:sz w:val="19"/>
        </w:rPr>
        <w:t>para</w:t>
      </w:r>
      <w:r>
        <w:rPr>
          <w:spacing w:val="-14"/>
          <w:w w:val="105"/>
          <w:sz w:val="19"/>
        </w:rPr>
        <w:t> </w:t>
      </w:r>
      <w:r>
        <w:rPr>
          <w:w w:val="105"/>
          <w:sz w:val="19"/>
        </w:rPr>
        <w:t>el</w:t>
      </w:r>
      <w:r>
        <w:rPr>
          <w:spacing w:val="-18"/>
          <w:w w:val="105"/>
          <w:sz w:val="19"/>
        </w:rPr>
        <w:t> </w:t>
      </w:r>
      <w:r>
        <w:rPr>
          <w:w w:val="105"/>
          <w:sz w:val="19"/>
        </w:rPr>
        <w:t>análisis</w:t>
      </w:r>
      <w:r>
        <w:rPr>
          <w:spacing w:val="-15"/>
          <w:w w:val="105"/>
          <w:sz w:val="19"/>
        </w:rPr>
        <w:t> </w:t>
      </w:r>
      <w:r>
        <w:rPr>
          <w:w w:val="105"/>
          <w:sz w:val="19"/>
        </w:rPr>
        <w:t>de</w:t>
      </w:r>
      <w:r>
        <w:rPr>
          <w:spacing w:val="-11"/>
          <w:w w:val="105"/>
          <w:sz w:val="19"/>
        </w:rPr>
        <w:t> </w:t>
      </w:r>
      <w:r>
        <w:rPr>
          <w:w w:val="105"/>
          <w:sz w:val="19"/>
        </w:rPr>
        <w:t>Política</w:t>
      </w:r>
      <w:r>
        <w:rPr>
          <w:spacing w:val="-14"/>
          <w:w w:val="105"/>
          <w:sz w:val="19"/>
        </w:rPr>
        <w:t> </w:t>
      </w:r>
      <w:r>
        <w:rPr>
          <w:w w:val="105"/>
          <w:sz w:val="19"/>
        </w:rPr>
        <w:t>Públicas.</w:t>
      </w:r>
      <w:r>
        <w:rPr>
          <w:spacing w:val="-12"/>
          <w:w w:val="105"/>
          <w:sz w:val="19"/>
        </w:rPr>
        <w:t> </w:t>
      </w:r>
      <w:r>
        <w:rPr>
          <w:w w:val="105"/>
          <w:sz w:val="19"/>
        </w:rPr>
        <w:t>Un</w:t>
      </w:r>
      <w:r>
        <w:rPr>
          <w:spacing w:val="-13"/>
          <w:w w:val="105"/>
          <w:sz w:val="19"/>
        </w:rPr>
        <w:t> </w:t>
      </w:r>
      <w:r>
        <w:rPr>
          <w:w w:val="105"/>
          <w:sz w:val="19"/>
        </w:rPr>
        <w:t>manual</w:t>
      </w:r>
      <w:r>
        <w:rPr>
          <w:spacing w:val="-12"/>
          <w:w w:val="105"/>
          <w:sz w:val="19"/>
        </w:rPr>
        <w:t> </w:t>
      </w:r>
      <w:r>
        <w:rPr>
          <w:w w:val="105"/>
          <w:sz w:val="19"/>
        </w:rPr>
        <w:t>para</w:t>
      </w:r>
      <w:r>
        <w:rPr>
          <w:spacing w:val="-14"/>
          <w:w w:val="105"/>
          <w:sz w:val="19"/>
        </w:rPr>
        <w:t> </w:t>
      </w:r>
      <w:r>
        <w:rPr>
          <w:w w:val="105"/>
          <w:sz w:val="19"/>
        </w:rPr>
        <w:t>la práctica”.</w:t>
      </w:r>
      <w:r>
        <w:rPr>
          <w:spacing w:val="-22"/>
          <w:w w:val="105"/>
          <w:sz w:val="19"/>
        </w:rPr>
        <w:t> </w:t>
      </w:r>
      <w:r>
        <w:rPr>
          <w:w w:val="105"/>
          <w:sz w:val="19"/>
        </w:rPr>
        <w:t>Ed.</w:t>
      </w:r>
      <w:r>
        <w:rPr>
          <w:spacing w:val="-22"/>
          <w:w w:val="105"/>
          <w:sz w:val="19"/>
        </w:rPr>
        <w:t> </w:t>
      </w:r>
      <w:r>
        <w:rPr>
          <w:w w:val="105"/>
          <w:sz w:val="19"/>
        </w:rPr>
        <w:t>Miguel</w:t>
      </w:r>
      <w:r>
        <w:rPr>
          <w:spacing w:val="-22"/>
          <w:w w:val="105"/>
          <w:sz w:val="19"/>
        </w:rPr>
        <w:t> </w:t>
      </w:r>
      <w:r>
        <w:rPr>
          <w:w w:val="105"/>
          <w:sz w:val="19"/>
        </w:rPr>
        <w:t>Ángel</w:t>
      </w:r>
      <w:r>
        <w:rPr>
          <w:spacing w:val="-22"/>
          <w:w w:val="105"/>
          <w:sz w:val="19"/>
        </w:rPr>
        <w:t> </w:t>
      </w:r>
      <w:r>
        <w:rPr>
          <w:w w:val="105"/>
          <w:sz w:val="19"/>
        </w:rPr>
        <w:t>Porrúa.</w:t>
      </w:r>
      <w:r>
        <w:rPr>
          <w:spacing w:val="-25"/>
          <w:w w:val="105"/>
          <w:sz w:val="19"/>
        </w:rPr>
        <w:t> </w:t>
      </w:r>
      <w:r>
        <w:rPr>
          <w:w w:val="105"/>
          <w:sz w:val="19"/>
        </w:rPr>
        <w:t>CIDE.</w:t>
      </w:r>
    </w:p>
    <w:p>
      <w:pPr>
        <w:spacing w:line="214" w:lineRule="exact" w:before="0"/>
        <w:ind w:left="115" w:right="0" w:firstLine="0"/>
        <w:jc w:val="both"/>
        <w:rPr>
          <w:sz w:val="19"/>
        </w:rPr>
      </w:pPr>
      <w:r>
        <w:rPr>
          <w:b/>
          <w:w w:val="105"/>
          <w:sz w:val="19"/>
        </w:rPr>
        <w:t>Bauman</w:t>
      </w:r>
      <w:r>
        <w:rPr>
          <w:w w:val="105"/>
          <w:sz w:val="19"/>
        </w:rPr>
        <w:t>, Zygmunt. 2011. Modernidad y ambivalencia. Anthropos Editorial. Barcelona.</w:t>
      </w:r>
    </w:p>
    <w:p>
      <w:pPr>
        <w:spacing w:line="247" w:lineRule="auto" w:before="7"/>
        <w:ind w:left="115" w:right="191" w:firstLine="0"/>
        <w:jc w:val="left"/>
        <w:rPr>
          <w:sz w:val="19"/>
        </w:rPr>
      </w:pPr>
      <w:r>
        <w:rPr>
          <w:b/>
          <w:w w:val="105"/>
          <w:sz w:val="19"/>
        </w:rPr>
        <w:t>Bazua</w:t>
      </w:r>
      <w:r>
        <w:rPr>
          <w:w w:val="105"/>
          <w:sz w:val="19"/>
        </w:rPr>
        <w:t>, Fernando y Valenti, Giovanna (1993), “Hacia un enfoque amplio de política pública”, en Revista de Administración Pública, Núm. 84 INAP A. C.</w:t>
      </w:r>
    </w:p>
    <w:p>
      <w:pPr>
        <w:spacing w:line="242" w:lineRule="auto" w:before="0"/>
        <w:ind w:left="115" w:right="110" w:firstLine="0"/>
        <w:jc w:val="left"/>
        <w:rPr>
          <w:sz w:val="19"/>
        </w:rPr>
      </w:pPr>
      <w:r>
        <w:rPr>
          <w:w w:val="105"/>
          <w:sz w:val="19"/>
        </w:rPr>
        <w:t>Bello, María Eugenia (1999). “La calidad de la educación en el discurso educativo internacional”. Acción Pedagógica, Vol. 8, N°. 2/ 1999. Universidad de los Andes. DOSSIER.</w:t>
      </w:r>
    </w:p>
    <w:p>
      <w:pPr>
        <w:spacing w:line="247" w:lineRule="auto" w:before="0"/>
        <w:ind w:left="115" w:right="99" w:firstLine="0"/>
        <w:jc w:val="both"/>
        <w:rPr>
          <w:sz w:val="19"/>
        </w:rPr>
      </w:pPr>
      <w:r>
        <w:rPr>
          <w:w w:val="105"/>
          <w:sz w:val="19"/>
        </w:rPr>
        <w:t>------------------------------ (2001). “Reformas y políticas educativas en América Latina”. Acción Pedagógica, Vol. 10, pp. 14-25. Universidad de los Andes. Puede consultarse en: </w:t>
      </w:r>
      <w:hyperlink r:id="rId131">
        <w:r>
          <w:rPr>
            <w:color w:val="0000FF"/>
            <w:w w:val="105"/>
            <w:sz w:val="19"/>
            <w:u w:val="single" w:color="0000FF"/>
          </w:rPr>
          <w:t>http://www.saber.ula.ve/accionpe/</w:t>
        </w:r>
      </w:hyperlink>
    </w:p>
    <w:p>
      <w:pPr>
        <w:spacing w:line="247" w:lineRule="auto" w:before="0"/>
        <w:ind w:left="115" w:right="191" w:firstLine="0"/>
        <w:jc w:val="left"/>
        <w:rPr>
          <w:sz w:val="19"/>
        </w:rPr>
      </w:pPr>
      <w:r>
        <w:rPr>
          <w:w w:val="105"/>
          <w:sz w:val="19"/>
        </w:rPr>
        <w:t>Benavides, Eulalia y Velasco, Guillermo (coords.). (1992). “Sindicato Magisterial en México”, México: Instituto de Proposiciones Estratégicas.</w:t>
      </w:r>
    </w:p>
    <w:p>
      <w:pPr>
        <w:spacing w:line="242" w:lineRule="auto" w:before="0"/>
        <w:ind w:left="115" w:right="106" w:firstLine="0"/>
        <w:jc w:val="left"/>
        <w:rPr>
          <w:sz w:val="19"/>
        </w:rPr>
      </w:pPr>
      <w:r>
        <w:rPr>
          <w:b/>
          <w:w w:val="105"/>
          <w:sz w:val="19"/>
        </w:rPr>
        <w:t>Bensusán</w:t>
      </w:r>
      <w:r>
        <w:rPr>
          <w:w w:val="105"/>
          <w:sz w:val="19"/>
        </w:rPr>
        <w:t>,</w:t>
      </w:r>
      <w:r>
        <w:rPr>
          <w:spacing w:val="-12"/>
          <w:w w:val="105"/>
          <w:sz w:val="19"/>
        </w:rPr>
        <w:t> </w:t>
      </w:r>
      <w:r>
        <w:rPr>
          <w:w w:val="105"/>
          <w:sz w:val="19"/>
        </w:rPr>
        <w:t>Graciela.</w:t>
      </w:r>
      <w:r>
        <w:rPr>
          <w:spacing w:val="-12"/>
          <w:w w:val="105"/>
          <w:sz w:val="19"/>
        </w:rPr>
        <w:t> </w:t>
      </w:r>
      <w:r>
        <w:rPr>
          <w:w w:val="105"/>
          <w:sz w:val="19"/>
        </w:rPr>
        <w:t>(2000a).</w:t>
      </w:r>
      <w:r>
        <w:rPr>
          <w:spacing w:val="-14"/>
          <w:w w:val="105"/>
          <w:sz w:val="19"/>
        </w:rPr>
        <w:t> </w:t>
      </w:r>
      <w:r>
        <w:rPr>
          <w:w w:val="105"/>
          <w:sz w:val="19"/>
        </w:rPr>
        <w:t>“El</w:t>
      </w:r>
      <w:r>
        <w:rPr>
          <w:spacing w:val="-12"/>
          <w:w w:val="105"/>
          <w:sz w:val="19"/>
        </w:rPr>
        <w:t> </w:t>
      </w:r>
      <w:r>
        <w:rPr>
          <w:w w:val="105"/>
          <w:sz w:val="19"/>
        </w:rPr>
        <w:t>modelo</w:t>
      </w:r>
      <w:r>
        <w:rPr>
          <w:spacing w:val="-17"/>
          <w:w w:val="105"/>
          <w:sz w:val="19"/>
        </w:rPr>
        <w:t> </w:t>
      </w:r>
      <w:r>
        <w:rPr>
          <w:w w:val="105"/>
          <w:sz w:val="19"/>
        </w:rPr>
        <w:t>mexicano</w:t>
      </w:r>
      <w:r>
        <w:rPr>
          <w:spacing w:val="-12"/>
          <w:w w:val="105"/>
          <w:sz w:val="19"/>
        </w:rPr>
        <w:t> </w:t>
      </w:r>
      <w:r>
        <w:rPr>
          <w:w w:val="105"/>
          <w:sz w:val="19"/>
        </w:rPr>
        <w:t>de</w:t>
      </w:r>
      <w:r>
        <w:rPr>
          <w:spacing w:val="-12"/>
          <w:w w:val="105"/>
          <w:sz w:val="19"/>
        </w:rPr>
        <w:t> </w:t>
      </w:r>
      <w:r>
        <w:rPr>
          <w:w w:val="105"/>
          <w:sz w:val="19"/>
        </w:rPr>
        <w:t>regulación</w:t>
      </w:r>
      <w:r>
        <w:rPr>
          <w:spacing w:val="-12"/>
          <w:w w:val="105"/>
          <w:sz w:val="19"/>
        </w:rPr>
        <w:t> </w:t>
      </w:r>
      <w:r>
        <w:rPr>
          <w:w w:val="105"/>
          <w:sz w:val="19"/>
        </w:rPr>
        <w:t>laboral”,</w:t>
      </w:r>
      <w:r>
        <w:rPr>
          <w:spacing w:val="-14"/>
          <w:w w:val="105"/>
          <w:sz w:val="19"/>
        </w:rPr>
        <w:t> </w:t>
      </w:r>
      <w:r>
        <w:rPr>
          <w:w w:val="105"/>
          <w:sz w:val="19"/>
        </w:rPr>
        <w:t>México:</w:t>
      </w:r>
      <w:r>
        <w:rPr>
          <w:spacing w:val="-12"/>
          <w:w w:val="105"/>
          <w:sz w:val="19"/>
        </w:rPr>
        <w:t> </w:t>
      </w:r>
      <w:r>
        <w:rPr>
          <w:w w:val="105"/>
          <w:sz w:val="19"/>
        </w:rPr>
        <w:t>FLACSO-sede México/UAM-Xochimilco/Fundación</w:t>
      </w:r>
      <w:r>
        <w:rPr>
          <w:spacing w:val="-37"/>
          <w:w w:val="105"/>
          <w:sz w:val="19"/>
        </w:rPr>
        <w:t> </w:t>
      </w:r>
      <w:r>
        <w:rPr>
          <w:w w:val="105"/>
          <w:sz w:val="19"/>
        </w:rPr>
        <w:t>Friedrich</w:t>
      </w:r>
      <w:r>
        <w:rPr>
          <w:spacing w:val="-37"/>
          <w:w w:val="105"/>
          <w:sz w:val="19"/>
        </w:rPr>
        <w:t> </w:t>
      </w:r>
      <w:r>
        <w:rPr>
          <w:w w:val="105"/>
          <w:sz w:val="19"/>
        </w:rPr>
        <w:t>Ebert/Plaza</w:t>
      </w:r>
      <w:r>
        <w:rPr>
          <w:spacing w:val="-37"/>
          <w:w w:val="105"/>
          <w:sz w:val="19"/>
        </w:rPr>
        <w:t> </w:t>
      </w:r>
      <w:r>
        <w:rPr>
          <w:w w:val="105"/>
          <w:sz w:val="19"/>
        </w:rPr>
        <w:t>y</w:t>
      </w:r>
      <w:r>
        <w:rPr>
          <w:spacing w:val="-38"/>
          <w:w w:val="105"/>
          <w:sz w:val="19"/>
        </w:rPr>
        <w:t> </w:t>
      </w:r>
      <w:r>
        <w:rPr>
          <w:w w:val="105"/>
          <w:sz w:val="19"/>
        </w:rPr>
        <w:t>Valdés</w:t>
      </w:r>
      <w:r>
        <w:rPr>
          <w:spacing w:val="-37"/>
          <w:w w:val="105"/>
          <w:sz w:val="19"/>
        </w:rPr>
        <w:t> </w:t>
      </w:r>
      <w:r>
        <w:rPr>
          <w:w w:val="105"/>
          <w:sz w:val="19"/>
        </w:rPr>
        <w:t>Editores.</w:t>
      </w:r>
    </w:p>
    <w:p>
      <w:pPr>
        <w:spacing w:line="247" w:lineRule="auto" w:before="5"/>
        <w:ind w:left="115" w:right="20" w:firstLine="0"/>
        <w:jc w:val="left"/>
        <w:rPr>
          <w:sz w:val="19"/>
        </w:rPr>
      </w:pPr>
      <w:r>
        <w:rPr>
          <w:b/>
          <w:w w:val="105"/>
          <w:sz w:val="19"/>
        </w:rPr>
        <w:t>Bertoni</w:t>
      </w:r>
      <w:r>
        <w:rPr>
          <w:w w:val="105"/>
          <w:sz w:val="19"/>
        </w:rPr>
        <w:t>,</w:t>
      </w:r>
      <w:r>
        <w:rPr>
          <w:spacing w:val="-20"/>
          <w:w w:val="105"/>
          <w:sz w:val="19"/>
        </w:rPr>
        <w:t> </w:t>
      </w:r>
      <w:r>
        <w:rPr>
          <w:w w:val="105"/>
          <w:sz w:val="19"/>
        </w:rPr>
        <w:t>Alicia</w:t>
      </w:r>
      <w:r>
        <w:rPr>
          <w:spacing w:val="-17"/>
          <w:w w:val="105"/>
          <w:sz w:val="19"/>
        </w:rPr>
        <w:t> </w:t>
      </w:r>
      <w:r>
        <w:rPr>
          <w:w w:val="105"/>
          <w:sz w:val="19"/>
        </w:rPr>
        <w:t>L.</w:t>
      </w:r>
      <w:r>
        <w:rPr>
          <w:spacing w:val="-17"/>
          <w:w w:val="105"/>
          <w:sz w:val="19"/>
        </w:rPr>
        <w:t> </w:t>
      </w:r>
      <w:r>
        <w:rPr>
          <w:w w:val="105"/>
          <w:sz w:val="19"/>
        </w:rPr>
        <w:t>de;</w:t>
      </w:r>
      <w:r>
        <w:rPr>
          <w:spacing w:val="-20"/>
          <w:w w:val="105"/>
          <w:sz w:val="19"/>
        </w:rPr>
        <w:t> </w:t>
      </w:r>
      <w:r>
        <w:rPr>
          <w:w w:val="105"/>
          <w:sz w:val="19"/>
        </w:rPr>
        <w:t>Poggi,</w:t>
      </w:r>
      <w:r>
        <w:rPr>
          <w:spacing w:val="-17"/>
          <w:w w:val="105"/>
          <w:sz w:val="19"/>
        </w:rPr>
        <w:t> </w:t>
      </w:r>
      <w:r>
        <w:rPr>
          <w:w w:val="105"/>
          <w:sz w:val="19"/>
        </w:rPr>
        <w:t>Margarita;</w:t>
      </w:r>
      <w:r>
        <w:rPr>
          <w:spacing w:val="-24"/>
          <w:w w:val="105"/>
          <w:sz w:val="19"/>
        </w:rPr>
        <w:t> </w:t>
      </w:r>
      <w:r>
        <w:rPr>
          <w:w w:val="105"/>
          <w:sz w:val="19"/>
        </w:rPr>
        <w:t>Teobaldo,</w:t>
      </w:r>
      <w:r>
        <w:rPr>
          <w:spacing w:val="-20"/>
          <w:w w:val="105"/>
          <w:sz w:val="19"/>
        </w:rPr>
        <w:t> </w:t>
      </w:r>
      <w:r>
        <w:rPr>
          <w:w w:val="105"/>
          <w:sz w:val="19"/>
        </w:rPr>
        <w:t>Marta</w:t>
      </w:r>
      <w:r>
        <w:rPr>
          <w:spacing w:val="-17"/>
          <w:w w:val="105"/>
          <w:sz w:val="19"/>
        </w:rPr>
        <w:t> </w:t>
      </w:r>
      <w:r>
        <w:rPr>
          <w:w w:val="105"/>
          <w:sz w:val="19"/>
        </w:rPr>
        <w:t>E.</w:t>
      </w:r>
      <w:r>
        <w:rPr>
          <w:spacing w:val="-20"/>
          <w:w w:val="105"/>
          <w:sz w:val="19"/>
        </w:rPr>
        <w:t> </w:t>
      </w:r>
      <w:r>
        <w:rPr>
          <w:w w:val="105"/>
          <w:sz w:val="19"/>
        </w:rPr>
        <w:t>(1997).</w:t>
      </w:r>
      <w:r>
        <w:rPr>
          <w:spacing w:val="-17"/>
          <w:w w:val="105"/>
          <w:sz w:val="19"/>
        </w:rPr>
        <w:t> </w:t>
      </w:r>
      <w:r>
        <w:rPr>
          <w:w w:val="105"/>
          <w:sz w:val="19"/>
        </w:rPr>
        <w:t>“Evaluación,</w:t>
      </w:r>
      <w:r>
        <w:rPr>
          <w:spacing w:val="-24"/>
          <w:w w:val="105"/>
          <w:sz w:val="19"/>
        </w:rPr>
        <w:t> </w:t>
      </w:r>
      <w:r>
        <w:rPr>
          <w:w w:val="105"/>
          <w:sz w:val="19"/>
        </w:rPr>
        <w:t>nuevos</w:t>
      </w:r>
      <w:r>
        <w:rPr>
          <w:spacing w:val="-17"/>
          <w:w w:val="105"/>
          <w:sz w:val="19"/>
        </w:rPr>
        <w:t> </w:t>
      </w:r>
      <w:r>
        <w:rPr>
          <w:w w:val="105"/>
          <w:sz w:val="19"/>
        </w:rPr>
        <w:t>significados para</w:t>
      </w:r>
      <w:r>
        <w:rPr>
          <w:spacing w:val="-19"/>
          <w:w w:val="105"/>
          <w:sz w:val="19"/>
        </w:rPr>
        <w:t> </w:t>
      </w:r>
      <w:r>
        <w:rPr>
          <w:w w:val="105"/>
          <w:sz w:val="19"/>
        </w:rPr>
        <w:t>hacer</w:t>
      </w:r>
      <w:r>
        <w:rPr>
          <w:spacing w:val="-21"/>
          <w:w w:val="105"/>
          <w:sz w:val="19"/>
        </w:rPr>
        <w:t> </w:t>
      </w:r>
      <w:r>
        <w:rPr>
          <w:w w:val="105"/>
          <w:sz w:val="19"/>
        </w:rPr>
        <w:t>una</w:t>
      </w:r>
      <w:r>
        <w:rPr>
          <w:spacing w:val="-19"/>
          <w:w w:val="105"/>
          <w:sz w:val="19"/>
        </w:rPr>
        <w:t> </w:t>
      </w:r>
      <w:r>
        <w:rPr>
          <w:w w:val="105"/>
          <w:sz w:val="19"/>
        </w:rPr>
        <w:t>práctica</w:t>
      </w:r>
      <w:r>
        <w:rPr>
          <w:spacing w:val="-22"/>
          <w:w w:val="105"/>
          <w:sz w:val="19"/>
        </w:rPr>
        <w:t> </w:t>
      </w:r>
      <w:r>
        <w:rPr>
          <w:w w:val="105"/>
          <w:sz w:val="19"/>
        </w:rPr>
        <w:t>compleja”.</w:t>
      </w:r>
      <w:r>
        <w:rPr>
          <w:spacing w:val="-24"/>
          <w:w w:val="105"/>
          <w:sz w:val="19"/>
        </w:rPr>
        <w:t> </w:t>
      </w:r>
      <w:r>
        <w:rPr>
          <w:w w:val="105"/>
          <w:sz w:val="19"/>
        </w:rPr>
        <w:t>Ed.</w:t>
      </w:r>
      <w:r>
        <w:rPr>
          <w:spacing w:val="-22"/>
          <w:w w:val="105"/>
          <w:sz w:val="19"/>
        </w:rPr>
        <w:t> </w:t>
      </w:r>
      <w:r>
        <w:rPr>
          <w:w w:val="105"/>
          <w:sz w:val="19"/>
        </w:rPr>
        <w:t>Kapelusz.</w:t>
      </w:r>
      <w:r>
        <w:rPr>
          <w:spacing w:val="-24"/>
          <w:w w:val="105"/>
          <w:sz w:val="19"/>
        </w:rPr>
        <w:t> </w:t>
      </w:r>
      <w:r>
        <w:rPr>
          <w:w w:val="105"/>
          <w:sz w:val="19"/>
        </w:rPr>
        <w:t>Buenos</w:t>
      </w:r>
      <w:r>
        <w:rPr>
          <w:spacing w:val="-19"/>
          <w:w w:val="105"/>
          <w:sz w:val="19"/>
        </w:rPr>
        <w:t> </w:t>
      </w:r>
      <w:r>
        <w:rPr>
          <w:w w:val="105"/>
          <w:sz w:val="19"/>
        </w:rPr>
        <w:t>Aires,</w:t>
      </w:r>
      <w:r>
        <w:rPr>
          <w:spacing w:val="-22"/>
          <w:w w:val="105"/>
          <w:sz w:val="19"/>
        </w:rPr>
        <w:t> </w:t>
      </w:r>
      <w:r>
        <w:rPr>
          <w:w w:val="105"/>
          <w:sz w:val="19"/>
        </w:rPr>
        <w:t>Argentina.</w:t>
      </w:r>
    </w:p>
    <w:p>
      <w:pPr>
        <w:spacing w:line="242" w:lineRule="auto" w:before="0"/>
        <w:ind w:left="115" w:right="103" w:firstLine="0"/>
        <w:jc w:val="left"/>
        <w:rPr>
          <w:sz w:val="19"/>
        </w:rPr>
      </w:pPr>
      <w:r>
        <w:rPr>
          <w:b/>
          <w:w w:val="105"/>
          <w:sz w:val="19"/>
        </w:rPr>
        <w:t>BID</w:t>
      </w:r>
      <w:r>
        <w:rPr>
          <w:b/>
          <w:spacing w:val="-14"/>
          <w:w w:val="105"/>
          <w:sz w:val="19"/>
        </w:rPr>
        <w:t> </w:t>
      </w:r>
      <w:r>
        <w:rPr>
          <w:w w:val="105"/>
          <w:sz w:val="19"/>
        </w:rPr>
        <w:t>(Banco</w:t>
      </w:r>
      <w:r>
        <w:rPr>
          <w:spacing w:val="-12"/>
          <w:w w:val="105"/>
          <w:sz w:val="19"/>
        </w:rPr>
        <w:t> </w:t>
      </w:r>
      <w:r>
        <w:rPr>
          <w:w w:val="105"/>
          <w:sz w:val="19"/>
        </w:rPr>
        <w:t>Interamericano</w:t>
      </w:r>
      <w:r>
        <w:rPr>
          <w:spacing w:val="-15"/>
          <w:w w:val="105"/>
          <w:sz w:val="19"/>
        </w:rPr>
        <w:t> </w:t>
      </w:r>
      <w:r>
        <w:rPr>
          <w:spacing w:val="-3"/>
          <w:w w:val="105"/>
          <w:sz w:val="19"/>
        </w:rPr>
        <w:t>de</w:t>
      </w:r>
      <w:r>
        <w:rPr>
          <w:spacing w:val="-12"/>
          <w:w w:val="105"/>
          <w:sz w:val="19"/>
        </w:rPr>
        <w:t> </w:t>
      </w:r>
      <w:r>
        <w:rPr>
          <w:w w:val="105"/>
          <w:sz w:val="19"/>
        </w:rPr>
        <w:t>Desarrollo).</w:t>
      </w:r>
      <w:r>
        <w:rPr>
          <w:spacing w:val="-18"/>
          <w:w w:val="105"/>
          <w:sz w:val="19"/>
        </w:rPr>
        <w:t> </w:t>
      </w:r>
      <w:r>
        <w:rPr>
          <w:w w:val="105"/>
          <w:sz w:val="19"/>
        </w:rPr>
        <w:t>(2005).</w:t>
      </w:r>
      <w:r>
        <w:rPr>
          <w:spacing w:val="-18"/>
          <w:w w:val="105"/>
          <w:sz w:val="19"/>
        </w:rPr>
        <w:t> </w:t>
      </w:r>
      <w:r>
        <w:rPr>
          <w:w w:val="105"/>
          <w:sz w:val="19"/>
        </w:rPr>
        <w:t>“La</w:t>
      </w:r>
      <w:r>
        <w:rPr>
          <w:spacing w:val="-12"/>
          <w:w w:val="105"/>
          <w:sz w:val="19"/>
        </w:rPr>
        <w:t> </w:t>
      </w:r>
      <w:r>
        <w:rPr>
          <w:w w:val="105"/>
          <w:sz w:val="19"/>
        </w:rPr>
        <w:t>política</w:t>
      </w:r>
      <w:r>
        <w:rPr>
          <w:spacing w:val="-11"/>
          <w:w w:val="105"/>
          <w:sz w:val="19"/>
        </w:rPr>
        <w:t> </w:t>
      </w:r>
      <w:r>
        <w:rPr>
          <w:w w:val="105"/>
          <w:sz w:val="19"/>
        </w:rPr>
        <w:t>de</w:t>
      </w:r>
      <w:r>
        <w:rPr>
          <w:spacing w:val="-12"/>
          <w:w w:val="105"/>
          <w:sz w:val="19"/>
        </w:rPr>
        <w:t> </w:t>
      </w:r>
      <w:r>
        <w:rPr>
          <w:w w:val="105"/>
          <w:sz w:val="19"/>
        </w:rPr>
        <w:t>las</w:t>
      </w:r>
      <w:r>
        <w:rPr>
          <w:spacing w:val="-19"/>
          <w:w w:val="105"/>
          <w:sz w:val="19"/>
        </w:rPr>
        <w:t> </w:t>
      </w:r>
      <w:r>
        <w:rPr>
          <w:w w:val="105"/>
          <w:sz w:val="19"/>
        </w:rPr>
        <w:t>políticas</w:t>
      </w:r>
      <w:r>
        <w:rPr>
          <w:spacing w:val="22"/>
          <w:w w:val="105"/>
          <w:sz w:val="19"/>
        </w:rPr>
        <w:t> </w:t>
      </w:r>
      <w:r>
        <w:rPr>
          <w:w w:val="105"/>
          <w:sz w:val="19"/>
        </w:rPr>
        <w:t>públicas.</w:t>
      </w:r>
      <w:r>
        <w:rPr>
          <w:spacing w:val="-15"/>
          <w:w w:val="105"/>
          <w:sz w:val="19"/>
        </w:rPr>
        <w:t> </w:t>
      </w:r>
      <w:r>
        <w:rPr>
          <w:w w:val="105"/>
          <w:sz w:val="19"/>
        </w:rPr>
        <w:t>Informe</w:t>
      </w:r>
      <w:r>
        <w:rPr>
          <w:spacing w:val="-18"/>
          <w:w w:val="105"/>
          <w:sz w:val="19"/>
        </w:rPr>
        <w:t> </w:t>
      </w:r>
      <w:r>
        <w:rPr>
          <w:w w:val="105"/>
          <w:sz w:val="19"/>
        </w:rPr>
        <w:t>de Progreso</w:t>
      </w:r>
      <w:r>
        <w:rPr>
          <w:spacing w:val="-23"/>
          <w:w w:val="105"/>
          <w:sz w:val="19"/>
        </w:rPr>
        <w:t> </w:t>
      </w:r>
      <w:r>
        <w:rPr>
          <w:w w:val="105"/>
          <w:sz w:val="19"/>
        </w:rPr>
        <w:t>Económico</w:t>
      </w:r>
      <w:r>
        <w:rPr>
          <w:spacing w:val="-23"/>
          <w:w w:val="105"/>
          <w:sz w:val="19"/>
        </w:rPr>
        <w:t> </w:t>
      </w:r>
      <w:r>
        <w:rPr>
          <w:w w:val="105"/>
          <w:sz w:val="19"/>
        </w:rPr>
        <w:t>y</w:t>
      </w:r>
      <w:r>
        <w:rPr>
          <w:spacing w:val="-26"/>
          <w:w w:val="105"/>
          <w:sz w:val="19"/>
        </w:rPr>
        <w:t> </w:t>
      </w:r>
      <w:r>
        <w:rPr>
          <w:w w:val="105"/>
          <w:sz w:val="19"/>
        </w:rPr>
        <w:t>Social</w:t>
      </w:r>
      <w:r>
        <w:rPr>
          <w:spacing w:val="-21"/>
          <w:w w:val="105"/>
          <w:sz w:val="19"/>
        </w:rPr>
        <w:t> </w:t>
      </w:r>
      <w:r>
        <w:rPr>
          <w:w w:val="105"/>
          <w:sz w:val="19"/>
        </w:rPr>
        <w:t>2006”.</w:t>
      </w:r>
      <w:r>
        <w:rPr>
          <w:spacing w:val="-27"/>
          <w:w w:val="105"/>
          <w:sz w:val="19"/>
        </w:rPr>
        <w:t> </w:t>
      </w:r>
      <w:r>
        <w:rPr>
          <w:w w:val="105"/>
          <w:sz w:val="19"/>
        </w:rPr>
        <w:t>Washington,</w:t>
      </w:r>
      <w:r>
        <w:rPr>
          <w:spacing w:val="-23"/>
          <w:w w:val="105"/>
          <w:sz w:val="19"/>
        </w:rPr>
        <w:t> </w:t>
      </w:r>
      <w:r>
        <w:rPr>
          <w:w w:val="105"/>
          <w:sz w:val="19"/>
        </w:rPr>
        <w:t>D.C.:</w:t>
      </w:r>
      <w:r>
        <w:rPr>
          <w:spacing w:val="-29"/>
          <w:w w:val="105"/>
          <w:sz w:val="19"/>
        </w:rPr>
        <w:t> </w:t>
      </w:r>
      <w:r>
        <w:rPr>
          <w:w w:val="105"/>
          <w:sz w:val="19"/>
        </w:rPr>
        <w:t>Banco</w:t>
      </w:r>
      <w:r>
        <w:rPr>
          <w:spacing w:val="-20"/>
          <w:w w:val="105"/>
          <w:sz w:val="19"/>
        </w:rPr>
        <w:t> </w:t>
      </w:r>
      <w:r>
        <w:rPr>
          <w:w w:val="105"/>
          <w:sz w:val="19"/>
        </w:rPr>
        <w:t>Interamericano</w:t>
      </w:r>
      <w:r>
        <w:rPr>
          <w:spacing w:val="-23"/>
          <w:w w:val="105"/>
          <w:sz w:val="19"/>
        </w:rPr>
        <w:t> </w:t>
      </w:r>
      <w:r>
        <w:rPr>
          <w:w w:val="105"/>
          <w:sz w:val="19"/>
        </w:rPr>
        <w:t>de</w:t>
      </w:r>
      <w:r>
        <w:rPr>
          <w:spacing w:val="-23"/>
          <w:w w:val="105"/>
          <w:sz w:val="19"/>
        </w:rPr>
        <w:t> </w:t>
      </w:r>
      <w:r>
        <w:rPr>
          <w:w w:val="105"/>
          <w:sz w:val="19"/>
        </w:rPr>
        <w:t>Desarrollo.</w:t>
      </w:r>
    </w:p>
    <w:p>
      <w:pPr>
        <w:spacing w:line="244" w:lineRule="auto" w:before="0"/>
        <w:ind w:left="115" w:right="103" w:firstLine="0"/>
        <w:jc w:val="both"/>
        <w:rPr>
          <w:sz w:val="19"/>
        </w:rPr>
      </w:pPr>
      <w:r>
        <w:rPr>
          <w:b/>
          <w:w w:val="105"/>
          <w:sz w:val="19"/>
        </w:rPr>
        <w:t>Blanco </w:t>
      </w:r>
      <w:r>
        <w:rPr>
          <w:w w:val="105"/>
          <w:sz w:val="19"/>
        </w:rPr>
        <w:t>Bosco, Emilio. (2008). “Factores escolares asociados a los aprendizajes en la educación primaria mexicana: un análisis multinivel”. REICE. Revista Iberoamericana sobre Calidad, Eficiencia y Cambio en Educación. Año/vol. 6, número 001.</w:t>
      </w:r>
    </w:p>
    <w:p>
      <w:pPr>
        <w:spacing w:line="247" w:lineRule="auto" w:before="3"/>
        <w:ind w:left="115" w:right="20" w:firstLine="0"/>
        <w:jc w:val="left"/>
        <w:rPr>
          <w:sz w:val="19"/>
        </w:rPr>
      </w:pPr>
      <w:r>
        <w:rPr>
          <w:b/>
          <w:w w:val="105"/>
          <w:sz w:val="19"/>
        </w:rPr>
        <w:t>Bondarenko </w:t>
      </w:r>
      <w:r>
        <w:rPr>
          <w:w w:val="105"/>
          <w:sz w:val="19"/>
        </w:rPr>
        <w:t>Pisemskaya, Natalia (2007). “Acerca de las definiciones de la calidad de la educación”. </w:t>
      </w:r>
      <w:r>
        <w:rPr>
          <w:i/>
          <w:w w:val="105"/>
          <w:sz w:val="19"/>
        </w:rPr>
        <w:t>EDUCERE. </w:t>
      </w:r>
      <w:r>
        <w:rPr>
          <w:w w:val="105"/>
          <w:sz w:val="19"/>
        </w:rPr>
        <w:t>Puede consultarse en: </w:t>
      </w:r>
      <w:hyperlink r:id="rId132">
        <w:r>
          <w:rPr>
            <w:w w:val="105"/>
            <w:sz w:val="19"/>
          </w:rPr>
          <w:t>http://www.scielo.org.ve/pdf/edu/v11n39/art05.pdf</w:t>
        </w:r>
      </w:hyperlink>
      <w:r>
        <w:rPr>
          <w:w w:val="105"/>
          <w:sz w:val="19"/>
        </w:rPr>
        <w:t> </w:t>
      </w:r>
      <w:r>
        <w:rPr>
          <w:b/>
          <w:w w:val="105"/>
          <w:sz w:val="19"/>
        </w:rPr>
        <w:t>Bottani</w:t>
      </w:r>
      <w:r>
        <w:rPr>
          <w:w w:val="105"/>
          <w:sz w:val="19"/>
        </w:rPr>
        <w:t>, N. y Tuijnman, A. (1994). “International educational indicators: Framework, development and interpretation”. Making Education Count. Developing and using international indicators. CIRE. </w:t>
      </w:r>
      <w:r>
        <w:rPr>
          <w:sz w:val="19"/>
        </w:rPr>
        <w:t>OCDE, Paris.</w:t>
      </w:r>
    </w:p>
    <w:p>
      <w:pPr>
        <w:spacing w:line="252" w:lineRule="auto" w:before="0"/>
        <w:ind w:left="115" w:right="103" w:firstLine="0"/>
        <w:jc w:val="left"/>
        <w:rPr>
          <w:sz w:val="19"/>
        </w:rPr>
      </w:pPr>
      <w:r>
        <w:rPr>
          <w:b/>
          <w:w w:val="105"/>
          <w:sz w:val="19"/>
        </w:rPr>
        <w:t>Bouzas</w:t>
      </w:r>
      <w:r>
        <w:rPr>
          <w:w w:val="105"/>
          <w:sz w:val="19"/>
        </w:rPr>
        <w:t>,</w:t>
      </w:r>
      <w:r>
        <w:rPr>
          <w:spacing w:val="-20"/>
          <w:w w:val="105"/>
          <w:sz w:val="19"/>
        </w:rPr>
        <w:t> </w:t>
      </w:r>
      <w:r>
        <w:rPr>
          <w:w w:val="105"/>
          <w:sz w:val="19"/>
        </w:rPr>
        <w:t>Arturo</w:t>
      </w:r>
      <w:r>
        <w:rPr>
          <w:spacing w:val="-18"/>
          <w:w w:val="105"/>
          <w:sz w:val="19"/>
        </w:rPr>
        <w:t> </w:t>
      </w:r>
      <w:r>
        <w:rPr>
          <w:w w:val="105"/>
          <w:sz w:val="19"/>
        </w:rPr>
        <w:t>(2003).</w:t>
      </w:r>
      <w:r>
        <w:rPr>
          <w:spacing w:val="-17"/>
          <w:w w:val="105"/>
          <w:sz w:val="19"/>
        </w:rPr>
        <w:t> </w:t>
      </w:r>
      <w:r>
        <w:rPr>
          <w:spacing w:val="-3"/>
          <w:w w:val="105"/>
          <w:sz w:val="19"/>
        </w:rPr>
        <w:t>“El</w:t>
      </w:r>
      <w:r>
        <w:rPr>
          <w:spacing w:val="-17"/>
          <w:w w:val="105"/>
          <w:sz w:val="19"/>
        </w:rPr>
        <w:t> </w:t>
      </w:r>
      <w:r>
        <w:rPr>
          <w:w w:val="105"/>
          <w:sz w:val="19"/>
        </w:rPr>
        <w:t>papel</w:t>
      </w:r>
      <w:r>
        <w:rPr>
          <w:spacing w:val="-20"/>
          <w:w w:val="105"/>
          <w:sz w:val="19"/>
        </w:rPr>
        <w:t> </w:t>
      </w:r>
      <w:r>
        <w:rPr>
          <w:w w:val="105"/>
          <w:sz w:val="19"/>
        </w:rPr>
        <w:t>de</w:t>
      </w:r>
      <w:r>
        <w:rPr>
          <w:spacing w:val="-20"/>
          <w:w w:val="105"/>
          <w:sz w:val="19"/>
        </w:rPr>
        <w:t> </w:t>
      </w:r>
      <w:r>
        <w:rPr>
          <w:w w:val="105"/>
          <w:sz w:val="19"/>
        </w:rPr>
        <w:t>los</w:t>
      </w:r>
      <w:r>
        <w:rPr>
          <w:spacing w:val="-20"/>
          <w:w w:val="105"/>
          <w:sz w:val="19"/>
        </w:rPr>
        <w:t> </w:t>
      </w:r>
      <w:r>
        <w:rPr>
          <w:w w:val="105"/>
          <w:sz w:val="19"/>
        </w:rPr>
        <w:t>exámenes</w:t>
      </w:r>
      <w:r>
        <w:rPr>
          <w:spacing w:val="-20"/>
          <w:w w:val="105"/>
          <w:sz w:val="19"/>
        </w:rPr>
        <w:t> </w:t>
      </w:r>
      <w:r>
        <w:rPr>
          <w:w w:val="105"/>
          <w:sz w:val="19"/>
        </w:rPr>
        <w:t>de</w:t>
      </w:r>
      <w:r>
        <w:rPr>
          <w:spacing w:val="-20"/>
          <w:w w:val="105"/>
          <w:sz w:val="19"/>
        </w:rPr>
        <w:t> </w:t>
      </w:r>
      <w:r>
        <w:rPr>
          <w:w w:val="105"/>
          <w:sz w:val="19"/>
        </w:rPr>
        <w:t>egreso”</w:t>
      </w:r>
      <w:r>
        <w:rPr>
          <w:spacing w:val="-18"/>
          <w:w w:val="105"/>
          <w:sz w:val="19"/>
        </w:rPr>
        <w:t> </w:t>
      </w:r>
      <w:r>
        <w:rPr>
          <w:w w:val="105"/>
          <w:sz w:val="19"/>
        </w:rPr>
        <w:t>en</w:t>
      </w:r>
      <w:r>
        <w:rPr>
          <w:spacing w:val="-12"/>
          <w:w w:val="105"/>
          <w:sz w:val="19"/>
        </w:rPr>
        <w:t> </w:t>
      </w:r>
      <w:r>
        <w:rPr>
          <w:i/>
          <w:w w:val="105"/>
          <w:sz w:val="19"/>
        </w:rPr>
        <w:t>Boletín</w:t>
      </w:r>
      <w:r>
        <w:rPr>
          <w:i/>
          <w:spacing w:val="-15"/>
          <w:w w:val="105"/>
          <w:sz w:val="19"/>
        </w:rPr>
        <w:t> </w:t>
      </w:r>
      <w:r>
        <w:rPr>
          <w:i/>
          <w:w w:val="105"/>
          <w:sz w:val="19"/>
        </w:rPr>
        <w:t>Ceneval</w:t>
      </w:r>
      <w:r>
        <w:rPr>
          <w:w w:val="105"/>
          <w:sz w:val="19"/>
        </w:rPr>
        <w:t>.</w:t>
      </w:r>
      <w:r>
        <w:rPr>
          <w:spacing w:val="-20"/>
          <w:w w:val="105"/>
          <w:sz w:val="19"/>
        </w:rPr>
        <w:t> </w:t>
      </w:r>
      <w:r>
        <w:rPr>
          <w:w w:val="105"/>
          <w:sz w:val="19"/>
        </w:rPr>
        <w:t>Julio-Septiembre 2003,</w:t>
      </w:r>
      <w:r>
        <w:rPr>
          <w:spacing w:val="-17"/>
          <w:w w:val="105"/>
          <w:sz w:val="19"/>
        </w:rPr>
        <w:t> </w:t>
      </w:r>
      <w:r>
        <w:rPr>
          <w:w w:val="105"/>
          <w:sz w:val="19"/>
        </w:rPr>
        <w:t>Núm.</w:t>
      </w:r>
      <w:r>
        <w:rPr>
          <w:spacing w:val="-17"/>
          <w:w w:val="105"/>
          <w:sz w:val="19"/>
        </w:rPr>
        <w:t> </w:t>
      </w:r>
      <w:r>
        <w:rPr>
          <w:w w:val="105"/>
          <w:sz w:val="19"/>
        </w:rPr>
        <w:t>2.</w:t>
      </w:r>
      <w:r>
        <w:rPr>
          <w:spacing w:val="-22"/>
          <w:w w:val="105"/>
          <w:sz w:val="19"/>
        </w:rPr>
        <w:t> </w:t>
      </w:r>
      <w:r>
        <w:rPr>
          <w:w w:val="105"/>
          <w:sz w:val="19"/>
        </w:rPr>
        <w:t>Puede</w:t>
      </w:r>
      <w:r>
        <w:rPr>
          <w:spacing w:val="-21"/>
          <w:w w:val="105"/>
          <w:sz w:val="19"/>
        </w:rPr>
        <w:t> </w:t>
      </w:r>
      <w:r>
        <w:rPr>
          <w:w w:val="105"/>
          <w:sz w:val="19"/>
        </w:rPr>
        <w:t>consultarse</w:t>
      </w:r>
      <w:r>
        <w:rPr>
          <w:spacing w:val="-17"/>
          <w:w w:val="105"/>
          <w:sz w:val="19"/>
        </w:rPr>
        <w:t> </w:t>
      </w:r>
      <w:r>
        <w:rPr>
          <w:w w:val="105"/>
          <w:sz w:val="19"/>
        </w:rPr>
        <w:t>en:</w:t>
      </w:r>
    </w:p>
    <w:p>
      <w:pPr>
        <w:spacing w:line="210" w:lineRule="exact" w:before="0"/>
        <w:ind w:left="115" w:right="0" w:firstLine="0"/>
        <w:jc w:val="both"/>
        <w:rPr>
          <w:sz w:val="19"/>
        </w:rPr>
      </w:pPr>
      <w:hyperlink r:id="rId133">
        <w:r>
          <w:rPr>
            <w:color w:val="0000FF"/>
            <w:w w:val="105"/>
            <w:sz w:val="19"/>
            <w:u w:val="single" w:color="0000FF"/>
          </w:rPr>
          <w:t>http://www.ceneval.edu.mx/portalceneval/docs/0/boletin2.pdf</w:t>
        </w:r>
      </w:hyperlink>
    </w:p>
    <w:p>
      <w:pPr>
        <w:spacing w:line="242" w:lineRule="auto" w:before="7"/>
        <w:ind w:left="115" w:right="191" w:firstLine="0"/>
        <w:jc w:val="left"/>
        <w:rPr>
          <w:sz w:val="19"/>
        </w:rPr>
      </w:pPr>
      <w:r>
        <w:rPr>
          <w:b/>
          <w:w w:val="105"/>
          <w:sz w:val="19"/>
        </w:rPr>
        <w:t>Bouckaert</w:t>
      </w:r>
      <w:r>
        <w:rPr>
          <w:w w:val="105"/>
          <w:sz w:val="19"/>
        </w:rPr>
        <w:t>, B. (1995), ‘Measuring Quality’, in Pollitt, C. and Bouckart, G. (eds.), Quality </w:t>
      </w:r>
      <w:r>
        <w:rPr>
          <w:sz w:val="19"/>
        </w:rPr>
        <w:t>Improvement in</w:t>
      </w:r>
    </w:p>
    <w:p>
      <w:pPr>
        <w:spacing w:line="247" w:lineRule="auto" w:before="0"/>
        <w:ind w:left="115" w:right="102" w:firstLine="0"/>
        <w:jc w:val="left"/>
        <w:rPr>
          <w:sz w:val="19"/>
        </w:rPr>
      </w:pPr>
      <w:r>
        <w:rPr>
          <w:b/>
          <w:w w:val="105"/>
          <w:sz w:val="19"/>
        </w:rPr>
        <w:t>European</w:t>
      </w:r>
      <w:r>
        <w:rPr>
          <w:b/>
          <w:spacing w:val="-14"/>
          <w:w w:val="105"/>
          <w:sz w:val="19"/>
        </w:rPr>
        <w:t> </w:t>
      </w:r>
      <w:r>
        <w:rPr>
          <w:b/>
          <w:spacing w:val="-3"/>
          <w:w w:val="105"/>
          <w:sz w:val="19"/>
        </w:rPr>
        <w:t>Public</w:t>
      </w:r>
      <w:r>
        <w:rPr>
          <w:b/>
          <w:spacing w:val="-10"/>
          <w:w w:val="105"/>
          <w:sz w:val="19"/>
        </w:rPr>
        <w:t> </w:t>
      </w:r>
      <w:r>
        <w:rPr>
          <w:b/>
          <w:w w:val="105"/>
          <w:sz w:val="19"/>
        </w:rPr>
        <w:t>Services.</w:t>
      </w:r>
      <w:r>
        <w:rPr>
          <w:b/>
          <w:spacing w:val="-19"/>
          <w:w w:val="105"/>
          <w:sz w:val="19"/>
        </w:rPr>
        <w:t> </w:t>
      </w:r>
      <w:r>
        <w:rPr>
          <w:b/>
          <w:w w:val="105"/>
          <w:sz w:val="19"/>
        </w:rPr>
        <w:t>Concepts</w:t>
      </w:r>
      <w:r>
        <w:rPr>
          <w:w w:val="105"/>
          <w:sz w:val="19"/>
        </w:rPr>
        <w:t>,</w:t>
      </w:r>
      <w:r>
        <w:rPr>
          <w:spacing w:val="-15"/>
          <w:w w:val="105"/>
          <w:sz w:val="19"/>
        </w:rPr>
        <w:t> </w:t>
      </w:r>
      <w:r>
        <w:rPr>
          <w:w w:val="105"/>
          <w:sz w:val="19"/>
        </w:rPr>
        <w:t>Cases</w:t>
      </w:r>
      <w:r>
        <w:rPr>
          <w:spacing w:val="-16"/>
          <w:w w:val="105"/>
          <w:sz w:val="19"/>
        </w:rPr>
        <w:t> </w:t>
      </w:r>
      <w:r>
        <w:rPr>
          <w:w w:val="105"/>
          <w:sz w:val="19"/>
        </w:rPr>
        <w:t>and</w:t>
      </w:r>
      <w:r>
        <w:rPr>
          <w:spacing w:val="-13"/>
          <w:w w:val="105"/>
          <w:sz w:val="19"/>
        </w:rPr>
        <w:t> </w:t>
      </w:r>
      <w:r>
        <w:rPr>
          <w:w w:val="105"/>
          <w:sz w:val="19"/>
        </w:rPr>
        <w:t>Commentary.</w:t>
      </w:r>
      <w:r>
        <w:rPr>
          <w:spacing w:val="-17"/>
          <w:w w:val="105"/>
          <w:sz w:val="19"/>
        </w:rPr>
        <w:t> </w:t>
      </w:r>
      <w:r>
        <w:rPr>
          <w:w w:val="105"/>
          <w:sz w:val="19"/>
        </w:rPr>
        <w:t>Sage</w:t>
      </w:r>
      <w:r>
        <w:rPr>
          <w:spacing w:val="-13"/>
          <w:w w:val="105"/>
          <w:sz w:val="19"/>
        </w:rPr>
        <w:t> </w:t>
      </w:r>
      <w:r>
        <w:rPr>
          <w:w w:val="105"/>
          <w:sz w:val="19"/>
        </w:rPr>
        <w:t>Publications:</w:t>
      </w:r>
      <w:r>
        <w:rPr>
          <w:spacing w:val="-18"/>
          <w:w w:val="105"/>
          <w:sz w:val="19"/>
        </w:rPr>
        <w:t> </w:t>
      </w:r>
      <w:r>
        <w:rPr>
          <w:w w:val="105"/>
          <w:sz w:val="19"/>
        </w:rPr>
        <w:t>London</w:t>
      </w:r>
      <w:r>
        <w:rPr>
          <w:spacing w:val="-13"/>
          <w:w w:val="105"/>
          <w:sz w:val="19"/>
        </w:rPr>
        <w:t> </w:t>
      </w:r>
      <w:r>
        <w:rPr>
          <w:spacing w:val="3"/>
          <w:w w:val="105"/>
          <w:sz w:val="19"/>
        </w:rPr>
        <w:t>et</w:t>
      </w:r>
      <w:r>
        <w:rPr>
          <w:spacing w:val="-19"/>
          <w:w w:val="105"/>
          <w:sz w:val="19"/>
        </w:rPr>
        <w:t> </w:t>
      </w:r>
      <w:r>
        <w:rPr>
          <w:w w:val="105"/>
          <w:sz w:val="19"/>
        </w:rPr>
        <w:t>al.: 22-32</w:t>
      </w:r>
    </w:p>
    <w:p>
      <w:pPr>
        <w:spacing w:line="247" w:lineRule="auto" w:before="0"/>
        <w:ind w:left="115" w:right="114" w:firstLine="0"/>
        <w:jc w:val="left"/>
        <w:rPr>
          <w:sz w:val="19"/>
        </w:rPr>
      </w:pPr>
      <w:r>
        <w:rPr>
          <w:b/>
          <w:w w:val="105"/>
          <w:sz w:val="19"/>
        </w:rPr>
        <w:t>Brechas </w:t>
      </w:r>
      <w:r>
        <w:rPr>
          <w:w w:val="105"/>
          <w:sz w:val="19"/>
        </w:rPr>
        <w:t>(2010). “Estado de la Educación en México 2011”. Puede consultarse en </w:t>
      </w:r>
      <w:hyperlink r:id="rId134">
        <w:r>
          <w:rPr>
            <w:w w:val="105"/>
            <w:sz w:val="19"/>
          </w:rPr>
          <w:t>http://www.mexicanosprimero.org/images/stories/Brechas_2010_-_Datos_de_impacto_-</w:t>
        </w:r>
      </w:hyperlink>
    </w:p>
    <w:p>
      <w:pPr>
        <w:spacing w:line="214" w:lineRule="exact" w:before="0"/>
        <w:ind w:left="115" w:right="0" w:firstLine="0"/>
        <w:jc w:val="both"/>
        <w:rPr>
          <w:sz w:val="19"/>
        </w:rPr>
      </w:pPr>
      <w:r>
        <w:rPr>
          <w:w w:val="105"/>
          <w:sz w:val="19"/>
        </w:rPr>
        <w:t>_noviembre2010.pdf</w:t>
      </w:r>
    </w:p>
    <w:p>
      <w:pPr>
        <w:spacing w:line="244" w:lineRule="auto" w:before="7"/>
        <w:ind w:left="115" w:right="103" w:firstLine="0"/>
        <w:jc w:val="left"/>
        <w:rPr>
          <w:sz w:val="19"/>
        </w:rPr>
      </w:pPr>
      <w:r>
        <w:rPr>
          <w:b/>
          <w:w w:val="105"/>
          <w:sz w:val="19"/>
        </w:rPr>
        <w:t>Bracho</w:t>
      </w:r>
      <w:r>
        <w:rPr>
          <w:w w:val="105"/>
          <w:sz w:val="19"/>
        </w:rPr>
        <w:t>, Teresa (coord.) (2004). “El Programa Escuelas de Calidad. PEC 2001-2003: Evaluación Externa”</w:t>
      </w:r>
      <w:r>
        <w:rPr>
          <w:i/>
          <w:w w:val="105"/>
          <w:sz w:val="19"/>
        </w:rPr>
        <w:t>. </w:t>
      </w:r>
      <w:r>
        <w:rPr>
          <w:w w:val="105"/>
          <w:sz w:val="19"/>
        </w:rPr>
        <w:t>CIDE. México. Puede consultarse en: </w:t>
      </w:r>
      <w:hyperlink r:id="rId135">
        <w:r>
          <w:rPr>
            <w:color w:val="0000FF"/>
            <w:w w:val="105"/>
            <w:sz w:val="19"/>
            <w:u w:val="single" w:color="0000FF"/>
          </w:rPr>
          <w:t>http://basica.sep.gob.mx/dgdgie/escuelasdecalidad/pdfs/CIDE2003.pdf</w:t>
        </w:r>
      </w:hyperlink>
    </w:p>
    <w:p>
      <w:pPr>
        <w:spacing w:line="247" w:lineRule="auto" w:before="3"/>
        <w:ind w:left="115" w:right="20" w:firstLine="0"/>
        <w:jc w:val="left"/>
        <w:rPr>
          <w:sz w:val="19"/>
        </w:rPr>
      </w:pPr>
      <w:r>
        <w:rPr>
          <w:w w:val="105"/>
          <w:sz w:val="19"/>
        </w:rPr>
        <w:t>-------------------(coord.).</w:t>
      </w:r>
      <w:r>
        <w:rPr>
          <w:spacing w:val="-22"/>
          <w:w w:val="105"/>
          <w:sz w:val="19"/>
        </w:rPr>
        <w:t> </w:t>
      </w:r>
      <w:r>
        <w:rPr>
          <w:w w:val="105"/>
          <w:sz w:val="19"/>
        </w:rPr>
        <w:t>(2009).</w:t>
      </w:r>
      <w:r>
        <w:rPr>
          <w:spacing w:val="-22"/>
          <w:w w:val="105"/>
          <w:sz w:val="19"/>
        </w:rPr>
        <w:t> </w:t>
      </w:r>
      <w:r>
        <w:rPr>
          <w:w w:val="105"/>
          <w:sz w:val="19"/>
        </w:rPr>
        <w:t>“Innovación</w:t>
      </w:r>
      <w:r>
        <w:rPr>
          <w:spacing w:val="-19"/>
          <w:w w:val="105"/>
          <w:sz w:val="19"/>
        </w:rPr>
        <w:t> </w:t>
      </w:r>
      <w:r>
        <w:rPr>
          <w:w w:val="105"/>
          <w:sz w:val="19"/>
        </w:rPr>
        <w:t>en</w:t>
      </w:r>
      <w:r>
        <w:rPr>
          <w:spacing w:val="-19"/>
          <w:w w:val="105"/>
          <w:sz w:val="19"/>
        </w:rPr>
        <w:t> </w:t>
      </w:r>
      <w:r>
        <w:rPr>
          <w:spacing w:val="-3"/>
          <w:w w:val="105"/>
          <w:sz w:val="19"/>
        </w:rPr>
        <w:t>la</w:t>
      </w:r>
      <w:r>
        <w:rPr>
          <w:spacing w:val="-18"/>
          <w:w w:val="105"/>
          <w:sz w:val="19"/>
        </w:rPr>
        <w:t> </w:t>
      </w:r>
      <w:r>
        <w:rPr>
          <w:w w:val="105"/>
          <w:sz w:val="19"/>
        </w:rPr>
        <w:t>política</w:t>
      </w:r>
      <w:r>
        <w:rPr>
          <w:spacing w:val="-18"/>
          <w:w w:val="105"/>
          <w:sz w:val="19"/>
        </w:rPr>
        <w:t> </w:t>
      </w:r>
      <w:r>
        <w:rPr>
          <w:w w:val="105"/>
          <w:sz w:val="19"/>
        </w:rPr>
        <w:t>educativa.</w:t>
      </w:r>
      <w:r>
        <w:rPr>
          <w:spacing w:val="-22"/>
          <w:w w:val="105"/>
          <w:sz w:val="19"/>
        </w:rPr>
        <w:t> </w:t>
      </w:r>
      <w:r>
        <w:rPr>
          <w:w w:val="105"/>
          <w:sz w:val="19"/>
        </w:rPr>
        <w:t>Escuelas</w:t>
      </w:r>
      <w:r>
        <w:rPr>
          <w:spacing w:val="-24"/>
          <w:w w:val="105"/>
          <w:sz w:val="19"/>
        </w:rPr>
        <w:t> </w:t>
      </w:r>
      <w:r>
        <w:rPr>
          <w:w w:val="105"/>
          <w:sz w:val="19"/>
        </w:rPr>
        <w:t>de</w:t>
      </w:r>
      <w:r>
        <w:rPr>
          <w:spacing w:val="-19"/>
          <w:w w:val="105"/>
          <w:sz w:val="19"/>
        </w:rPr>
        <w:t> </w:t>
      </w:r>
      <w:r>
        <w:rPr>
          <w:w w:val="105"/>
          <w:sz w:val="19"/>
        </w:rPr>
        <w:t>calidad.”</w:t>
      </w:r>
      <w:r>
        <w:rPr>
          <w:spacing w:val="-19"/>
          <w:w w:val="105"/>
          <w:sz w:val="19"/>
        </w:rPr>
        <w:t> </w:t>
      </w:r>
      <w:r>
        <w:rPr>
          <w:w w:val="105"/>
          <w:sz w:val="19"/>
        </w:rPr>
        <w:t>FLACSO, México.</w:t>
      </w:r>
    </w:p>
    <w:p>
      <w:pPr>
        <w:spacing w:line="214" w:lineRule="exact" w:before="0"/>
        <w:ind w:left="115" w:right="0" w:firstLine="0"/>
        <w:jc w:val="both"/>
        <w:rPr>
          <w:sz w:val="19"/>
        </w:rPr>
      </w:pPr>
      <w:r>
        <w:rPr>
          <w:b/>
          <w:w w:val="105"/>
          <w:sz w:val="19"/>
        </w:rPr>
        <w:t>Benavides </w:t>
      </w:r>
      <w:r>
        <w:rPr>
          <w:w w:val="105"/>
          <w:sz w:val="19"/>
        </w:rPr>
        <w:t>Velasco, C.A. (1998). Tecnología, innovación y empresa, Pirámide, Madrid.</w:t>
      </w:r>
    </w:p>
    <w:p>
      <w:pPr>
        <w:spacing w:line="247" w:lineRule="auto" w:before="2"/>
        <w:ind w:left="115" w:right="191" w:firstLine="0"/>
        <w:jc w:val="left"/>
        <w:rPr>
          <w:sz w:val="19"/>
        </w:rPr>
      </w:pPr>
      <w:r>
        <w:rPr>
          <w:b/>
          <w:w w:val="105"/>
          <w:sz w:val="19"/>
        </w:rPr>
        <w:t>Brugué</w:t>
      </w:r>
      <w:r>
        <w:rPr>
          <w:w w:val="105"/>
          <w:sz w:val="19"/>
        </w:rPr>
        <w:t>, Q. y Subirats, J. (1996). “Lecturas de Gestión Pública”. INAP-Ministerios para las Administraciones Públicas; Madrid, 1ª ed.</w:t>
      </w:r>
    </w:p>
    <w:p>
      <w:pPr>
        <w:spacing w:before="0"/>
        <w:ind w:left="115" w:right="0" w:firstLine="0"/>
        <w:jc w:val="both"/>
        <w:rPr>
          <w:sz w:val="19"/>
        </w:rPr>
      </w:pPr>
      <w:r>
        <w:rPr>
          <w:b/>
          <w:w w:val="105"/>
          <w:sz w:val="19"/>
        </w:rPr>
        <w:t>Brullet</w:t>
      </w:r>
      <w:r>
        <w:rPr>
          <w:w w:val="105"/>
          <w:sz w:val="19"/>
        </w:rPr>
        <w:t>, C. y Subirats, M. (1991). “La Coeducación”. MEC- Instituto Andaluz de la Mujer. Sevilla.</w:t>
      </w:r>
    </w:p>
    <w:p>
      <w:pPr>
        <w:pStyle w:val="BodyText"/>
        <w:spacing w:before="9"/>
        <w:rPr>
          <w:sz w:val="19"/>
        </w:rPr>
      </w:pPr>
    </w:p>
    <w:p>
      <w:pPr>
        <w:spacing w:before="0"/>
        <w:ind w:left="115" w:right="0" w:firstLine="0"/>
        <w:jc w:val="both"/>
        <w:rPr>
          <w:b/>
          <w:sz w:val="19"/>
        </w:rPr>
      </w:pPr>
      <w:r>
        <w:rPr>
          <w:b/>
          <w:w w:val="103"/>
          <w:sz w:val="19"/>
        </w:rPr>
        <w:t>C</w:t>
      </w:r>
    </w:p>
    <w:p>
      <w:pPr>
        <w:spacing w:line="247" w:lineRule="auto" w:before="7"/>
        <w:ind w:left="115" w:right="110" w:firstLine="0"/>
        <w:jc w:val="left"/>
        <w:rPr>
          <w:sz w:val="19"/>
        </w:rPr>
      </w:pPr>
      <w:r>
        <w:rPr>
          <w:b/>
          <w:w w:val="105"/>
          <w:sz w:val="19"/>
        </w:rPr>
        <w:t>Cabrero</w:t>
      </w:r>
      <w:r>
        <w:rPr>
          <w:b/>
          <w:spacing w:val="-17"/>
          <w:w w:val="105"/>
          <w:sz w:val="19"/>
        </w:rPr>
        <w:t> </w:t>
      </w:r>
      <w:r>
        <w:rPr>
          <w:w w:val="105"/>
          <w:sz w:val="19"/>
        </w:rPr>
        <w:t>E.,</w:t>
      </w:r>
      <w:r>
        <w:rPr>
          <w:spacing w:val="-18"/>
          <w:w w:val="105"/>
          <w:sz w:val="19"/>
        </w:rPr>
        <w:t> </w:t>
      </w:r>
      <w:r>
        <w:rPr>
          <w:w w:val="105"/>
          <w:sz w:val="19"/>
        </w:rPr>
        <w:t>Flamand</w:t>
      </w:r>
      <w:r>
        <w:rPr>
          <w:spacing w:val="-19"/>
          <w:w w:val="105"/>
          <w:sz w:val="19"/>
        </w:rPr>
        <w:t> </w:t>
      </w:r>
      <w:r>
        <w:rPr>
          <w:w w:val="105"/>
          <w:sz w:val="19"/>
        </w:rPr>
        <w:t>L.,</w:t>
      </w:r>
      <w:r>
        <w:rPr>
          <w:spacing w:val="-18"/>
          <w:w w:val="105"/>
          <w:sz w:val="19"/>
        </w:rPr>
        <w:t> </w:t>
      </w:r>
      <w:r>
        <w:rPr>
          <w:w w:val="105"/>
          <w:sz w:val="19"/>
        </w:rPr>
        <w:t>Santizo</w:t>
      </w:r>
      <w:r>
        <w:rPr>
          <w:spacing w:val="-15"/>
          <w:w w:val="105"/>
          <w:sz w:val="19"/>
        </w:rPr>
        <w:t> </w:t>
      </w:r>
      <w:r>
        <w:rPr>
          <w:w w:val="105"/>
          <w:sz w:val="19"/>
        </w:rPr>
        <w:t>C</w:t>
      </w:r>
      <w:r>
        <w:rPr>
          <w:spacing w:val="-11"/>
          <w:w w:val="105"/>
          <w:sz w:val="19"/>
        </w:rPr>
        <w:t> </w:t>
      </w:r>
      <w:r>
        <w:rPr>
          <w:w w:val="105"/>
          <w:sz w:val="19"/>
        </w:rPr>
        <w:t>y</w:t>
      </w:r>
      <w:r>
        <w:rPr>
          <w:spacing w:val="-19"/>
          <w:w w:val="105"/>
          <w:sz w:val="19"/>
        </w:rPr>
        <w:t> </w:t>
      </w:r>
      <w:r>
        <w:rPr>
          <w:spacing w:val="-3"/>
          <w:w w:val="105"/>
          <w:sz w:val="19"/>
        </w:rPr>
        <w:t>Vega</w:t>
      </w:r>
      <w:r>
        <w:rPr>
          <w:spacing w:val="-13"/>
          <w:w w:val="105"/>
          <w:sz w:val="19"/>
        </w:rPr>
        <w:t> </w:t>
      </w:r>
      <w:r>
        <w:rPr>
          <w:w w:val="105"/>
          <w:sz w:val="19"/>
        </w:rPr>
        <w:t>A.</w:t>
      </w:r>
      <w:r>
        <w:rPr>
          <w:spacing w:val="-15"/>
          <w:w w:val="105"/>
          <w:sz w:val="19"/>
        </w:rPr>
        <w:t> </w:t>
      </w:r>
      <w:r>
        <w:rPr>
          <w:w w:val="105"/>
          <w:sz w:val="19"/>
        </w:rPr>
        <w:t>(1997).</w:t>
      </w:r>
      <w:r>
        <w:rPr>
          <w:spacing w:val="-18"/>
          <w:w w:val="105"/>
          <w:sz w:val="19"/>
        </w:rPr>
        <w:t> </w:t>
      </w:r>
      <w:r>
        <w:rPr>
          <w:w w:val="105"/>
          <w:sz w:val="19"/>
        </w:rPr>
        <w:t>“Claroscuros</w:t>
      </w:r>
      <w:r>
        <w:rPr>
          <w:spacing w:val="-19"/>
          <w:w w:val="105"/>
          <w:sz w:val="19"/>
        </w:rPr>
        <w:t> </w:t>
      </w:r>
      <w:r>
        <w:rPr>
          <w:w w:val="105"/>
          <w:sz w:val="19"/>
        </w:rPr>
        <w:t>del</w:t>
      </w:r>
      <w:r>
        <w:rPr>
          <w:spacing w:val="-15"/>
          <w:w w:val="105"/>
          <w:sz w:val="19"/>
        </w:rPr>
        <w:t> </w:t>
      </w:r>
      <w:r>
        <w:rPr>
          <w:w w:val="105"/>
          <w:sz w:val="19"/>
        </w:rPr>
        <w:t>nuevo</w:t>
      </w:r>
      <w:r>
        <w:rPr>
          <w:spacing w:val="-15"/>
          <w:w w:val="105"/>
          <w:sz w:val="19"/>
        </w:rPr>
        <w:t> </w:t>
      </w:r>
      <w:r>
        <w:rPr>
          <w:w w:val="105"/>
          <w:sz w:val="19"/>
        </w:rPr>
        <w:t>federalismo</w:t>
      </w:r>
      <w:r>
        <w:rPr>
          <w:spacing w:val="-15"/>
          <w:w w:val="105"/>
          <w:sz w:val="19"/>
        </w:rPr>
        <w:t> </w:t>
      </w:r>
      <w:r>
        <w:rPr>
          <w:w w:val="105"/>
          <w:sz w:val="19"/>
        </w:rPr>
        <w:t>educativo mexicano”.</w:t>
      </w:r>
      <w:r>
        <w:rPr>
          <w:spacing w:val="-18"/>
          <w:w w:val="105"/>
          <w:sz w:val="19"/>
        </w:rPr>
        <w:t> </w:t>
      </w:r>
      <w:r>
        <w:rPr>
          <w:w w:val="105"/>
          <w:sz w:val="19"/>
        </w:rPr>
        <w:t>Gestión</w:t>
      </w:r>
      <w:r>
        <w:rPr>
          <w:spacing w:val="-15"/>
          <w:w w:val="105"/>
          <w:sz w:val="19"/>
        </w:rPr>
        <w:t> </w:t>
      </w:r>
      <w:r>
        <w:rPr>
          <w:w w:val="105"/>
          <w:sz w:val="19"/>
        </w:rPr>
        <w:t>y</w:t>
      </w:r>
      <w:r>
        <w:rPr>
          <w:spacing w:val="-21"/>
          <w:w w:val="105"/>
          <w:sz w:val="19"/>
        </w:rPr>
        <w:t> </w:t>
      </w:r>
      <w:r>
        <w:rPr>
          <w:w w:val="105"/>
          <w:sz w:val="19"/>
        </w:rPr>
        <w:t>Política</w:t>
      </w:r>
      <w:r>
        <w:rPr>
          <w:spacing w:val="-15"/>
          <w:w w:val="105"/>
          <w:sz w:val="19"/>
        </w:rPr>
        <w:t> </w:t>
      </w:r>
      <w:r>
        <w:rPr>
          <w:w w:val="105"/>
          <w:sz w:val="19"/>
        </w:rPr>
        <w:t>Pública,</w:t>
      </w:r>
      <w:r>
        <w:rPr>
          <w:spacing w:val="-18"/>
          <w:w w:val="105"/>
          <w:sz w:val="19"/>
        </w:rPr>
        <w:t> </w:t>
      </w:r>
      <w:r>
        <w:rPr>
          <w:w w:val="105"/>
          <w:sz w:val="19"/>
        </w:rPr>
        <w:t>Vol.</w:t>
      </w:r>
      <w:r>
        <w:rPr>
          <w:spacing w:val="-21"/>
          <w:w w:val="105"/>
          <w:sz w:val="19"/>
        </w:rPr>
        <w:t> </w:t>
      </w:r>
      <w:r>
        <w:rPr>
          <w:w w:val="105"/>
          <w:sz w:val="19"/>
        </w:rPr>
        <w:t>VI,</w:t>
      </w:r>
      <w:r>
        <w:rPr>
          <w:spacing w:val="-14"/>
          <w:w w:val="105"/>
          <w:sz w:val="19"/>
        </w:rPr>
        <w:t> </w:t>
      </w:r>
      <w:r>
        <w:rPr>
          <w:w w:val="105"/>
          <w:sz w:val="19"/>
        </w:rPr>
        <w:t>Núm.</w:t>
      </w:r>
      <w:r>
        <w:rPr>
          <w:spacing w:val="-18"/>
          <w:w w:val="105"/>
          <w:sz w:val="19"/>
        </w:rPr>
        <w:t> </w:t>
      </w:r>
      <w:r>
        <w:rPr>
          <w:w w:val="105"/>
          <w:sz w:val="19"/>
        </w:rPr>
        <w:t>2.</w:t>
      </w:r>
    </w:p>
    <w:p>
      <w:pPr>
        <w:spacing w:line="247" w:lineRule="auto" w:before="0"/>
        <w:ind w:left="115" w:right="20" w:firstLine="0"/>
        <w:jc w:val="left"/>
        <w:rPr>
          <w:sz w:val="19"/>
        </w:rPr>
      </w:pPr>
      <w:r>
        <w:rPr>
          <w:b/>
          <w:w w:val="105"/>
          <w:sz w:val="19"/>
        </w:rPr>
        <w:t>Cabrero</w:t>
      </w:r>
      <w:r>
        <w:rPr>
          <w:w w:val="105"/>
          <w:sz w:val="19"/>
        </w:rPr>
        <w:t>,</w:t>
      </w:r>
      <w:r>
        <w:rPr>
          <w:spacing w:val="-10"/>
          <w:w w:val="105"/>
          <w:sz w:val="19"/>
        </w:rPr>
        <w:t> </w:t>
      </w:r>
      <w:r>
        <w:rPr>
          <w:w w:val="105"/>
          <w:sz w:val="19"/>
        </w:rPr>
        <w:t>Enrique.</w:t>
      </w:r>
      <w:r>
        <w:rPr>
          <w:spacing w:val="-13"/>
          <w:w w:val="105"/>
          <w:sz w:val="19"/>
        </w:rPr>
        <w:t> </w:t>
      </w:r>
      <w:r>
        <w:rPr>
          <w:w w:val="105"/>
          <w:sz w:val="19"/>
        </w:rPr>
        <w:t>(1998).</w:t>
      </w:r>
      <w:r>
        <w:rPr>
          <w:spacing w:val="-13"/>
          <w:w w:val="105"/>
          <w:sz w:val="19"/>
        </w:rPr>
        <w:t> </w:t>
      </w:r>
      <w:r>
        <w:rPr>
          <w:w w:val="105"/>
          <w:sz w:val="19"/>
        </w:rPr>
        <w:t>“La</w:t>
      </w:r>
      <w:r>
        <w:rPr>
          <w:spacing w:val="-10"/>
          <w:w w:val="105"/>
          <w:sz w:val="19"/>
        </w:rPr>
        <w:t> </w:t>
      </w:r>
      <w:r>
        <w:rPr>
          <w:w w:val="105"/>
          <w:sz w:val="19"/>
        </w:rPr>
        <w:t>ola</w:t>
      </w:r>
      <w:r>
        <w:rPr>
          <w:spacing w:val="-10"/>
          <w:w w:val="105"/>
          <w:sz w:val="19"/>
        </w:rPr>
        <w:t> </w:t>
      </w:r>
      <w:r>
        <w:rPr>
          <w:w w:val="105"/>
          <w:sz w:val="19"/>
        </w:rPr>
        <w:t>descentralizadora:</w:t>
      </w:r>
      <w:r>
        <w:rPr>
          <w:spacing w:val="-13"/>
          <w:w w:val="105"/>
          <w:sz w:val="19"/>
        </w:rPr>
        <w:t> </w:t>
      </w:r>
      <w:r>
        <w:rPr>
          <w:w w:val="105"/>
          <w:sz w:val="19"/>
        </w:rPr>
        <w:t>un</w:t>
      </w:r>
      <w:r>
        <w:rPr>
          <w:spacing w:val="-8"/>
          <w:w w:val="105"/>
          <w:sz w:val="19"/>
        </w:rPr>
        <w:t> </w:t>
      </w:r>
      <w:r>
        <w:rPr>
          <w:w w:val="105"/>
          <w:sz w:val="19"/>
        </w:rPr>
        <w:t>análisis</w:t>
      </w:r>
      <w:r>
        <w:rPr>
          <w:spacing w:val="-10"/>
          <w:w w:val="105"/>
          <w:sz w:val="19"/>
        </w:rPr>
        <w:t> </w:t>
      </w:r>
      <w:r>
        <w:rPr>
          <w:spacing w:val="3"/>
          <w:w w:val="105"/>
          <w:sz w:val="19"/>
        </w:rPr>
        <w:t>de</w:t>
      </w:r>
      <w:r>
        <w:rPr>
          <w:spacing w:val="-8"/>
          <w:w w:val="105"/>
          <w:sz w:val="19"/>
        </w:rPr>
        <w:t> </w:t>
      </w:r>
      <w:r>
        <w:rPr>
          <w:w w:val="105"/>
          <w:sz w:val="19"/>
        </w:rPr>
        <w:t>tendencias</w:t>
      </w:r>
      <w:r>
        <w:rPr>
          <w:spacing w:val="-10"/>
          <w:w w:val="105"/>
          <w:sz w:val="19"/>
        </w:rPr>
        <w:t> </w:t>
      </w:r>
      <w:r>
        <w:rPr>
          <w:w w:val="105"/>
          <w:sz w:val="19"/>
        </w:rPr>
        <w:t>y</w:t>
      </w:r>
      <w:r>
        <w:rPr>
          <w:spacing w:val="-14"/>
          <w:w w:val="105"/>
          <w:sz w:val="19"/>
        </w:rPr>
        <w:t> </w:t>
      </w:r>
      <w:r>
        <w:rPr>
          <w:w w:val="105"/>
          <w:sz w:val="19"/>
        </w:rPr>
        <w:t>obstáculos</w:t>
      </w:r>
      <w:r>
        <w:rPr>
          <w:spacing w:val="-10"/>
          <w:w w:val="105"/>
          <w:sz w:val="19"/>
        </w:rPr>
        <w:t> </w:t>
      </w:r>
      <w:r>
        <w:rPr>
          <w:w w:val="105"/>
          <w:sz w:val="19"/>
        </w:rPr>
        <w:t>de</w:t>
      </w:r>
      <w:r>
        <w:rPr>
          <w:spacing w:val="-8"/>
          <w:w w:val="105"/>
          <w:sz w:val="19"/>
        </w:rPr>
        <w:t> </w:t>
      </w:r>
      <w:r>
        <w:rPr>
          <w:w w:val="105"/>
          <w:sz w:val="19"/>
        </w:rPr>
        <w:t>las políticas descentralizadoras en el ámbito internacional”, en “Las políticas descentralizadoras  </w:t>
      </w:r>
      <w:r>
        <w:rPr>
          <w:spacing w:val="25"/>
          <w:w w:val="105"/>
          <w:sz w:val="19"/>
        </w:rPr>
        <w:t> </w:t>
      </w:r>
      <w:r>
        <w:rPr>
          <w:spacing w:val="-3"/>
          <w:w w:val="105"/>
          <w:sz w:val="19"/>
        </w:rPr>
        <w:t>en</w:t>
      </w:r>
    </w:p>
    <w:p>
      <w:pPr>
        <w:spacing w:after="0" w:line="247" w:lineRule="auto"/>
        <w:jc w:val="left"/>
        <w:rPr>
          <w:sz w:val="19"/>
        </w:rPr>
        <w:sectPr>
          <w:pgSz w:w="11910" w:h="16840"/>
          <w:pgMar w:header="0" w:footer="1457" w:top="1580" w:bottom="1640" w:left="1540" w:right="1540"/>
        </w:sectPr>
      </w:pPr>
    </w:p>
    <w:p>
      <w:pPr>
        <w:pStyle w:val="BodyText"/>
        <w:rPr>
          <w:sz w:val="20"/>
        </w:rPr>
      </w:pPr>
    </w:p>
    <w:p>
      <w:pPr>
        <w:pStyle w:val="BodyText"/>
        <w:spacing w:before="10"/>
        <w:rPr>
          <w:sz w:val="15"/>
        </w:rPr>
      </w:pPr>
    </w:p>
    <w:p>
      <w:pPr>
        <w:spacing w:line="247" w:lineRule="auto" w:before="81"/>
        <w:ind w:left="115" w:right="127" w:firstLine="0"/>
        <w:jc w:val="left"/>
        <w:rPr>
          <w:sz w:val="19"/>
        </w:rPr>
      </w:pPr>
      <w:r>
        <w:rPr>
          <w:w w:val="105"/>
          <w:sz w:val="19"/>
        </w:rPr>
        <w:t>México</w:t>
      </w:r>
      <w:r>
        <w:rPr>
          <w:spacing w:val="-14"/>
          <w:w w:val="105"/>
          <w:sz w:val="19"/>
        </w:rPr>
        <w:t> </w:t>
      </w:r>
      <w:r>
        <w:rPr>
          <w:w w:val="105"/>
          <w:sz w:val="19"/>
        </w:rPr>
        <w:t>(1983-1993):</w:t>
      </w:r>
      <w:r>
        <w:rPr>
          <w:spacing w:val="-17"/>
          <w:w w:val="105"/>
          <w:sz w:val="19"/>
        </w:rPr>
        <w:t> </w:t>
      </w:r>
      <w:r>
        <w:rPr>
          <w:w w:val="105"/>
          <w:sz w:val="19"/>
        </w:rPr>
        <w:t>logros</w:t>
      </w:r>
      <w:r>
        <w:rPr>
          <w:spacing w:val="-14"/>
          <w:w w:val="105"/>
          <w:sz w:val="19"/>
        </w:rPr>
        <w:t> </w:t>
      </w:r>
      <w:r>
        <w:rPr>
          <w:w w:val="105"/>
          <w:sz w:val="19"/>
        </w:rPr>
        <w:t>y</w:t>
      </w:r>
      <w:r>
        <w:rPr>
          <w:spacing w:val="-22"/>
          <w:w w:val="105"/>
          <w:sz w:val="19"/>
        </w:rPr>
        <w:t> </w:t>
      </w:r>
      <w:r>
        <w:rPr>
          <w:w w:val="105"/>
          <w:sz w:val="19"/>
        </w:rPr>
        <w:t>desencantos”,</w:t>
      </w:r>
      <w:r>
        <w:rPr>
          <w:spacing w:val="-17"/>
          <w:w w:val="105"/>
          <w:sz w:val="19"/>
        </w:rPr>
        <w:t> </w:t>
      </w:r>
      <w:r>
        <w:rPr>
          <w:w w:val="105"/>
          <w:sz w:val="19"/>
        </w:rPr>
        <w:t>E.</w:t>
      </w:r>
      <w:r>
        <w:rPr>
          <w:spacing w:val="-19"/>
          <w:w w:val="105"/>
          <w:sz w:val="19"/>
        </w:rPr>
        <w:t> </w:t>
      </w:r>
      <w:r>
        <w:rPr>
          <w:w w:val="105"/>
          <w:sz w:val="19"/>
        </w:rPr>
        <w:t>Cabrero</w:t>
      </w:r>
      <w:r>
        <w:rPr>
          <w:spacing w:val="-14"/>
          <w:w w:val="105"/>
          <w:sz w:val="19"/>
        </w:rPr>
        <w:t> </w:t>
      </w:r>
      <w:r>
        <w:rPr>
          <w:w w:val="105"/>
          <w:sz w:val="19"/>
        </w:rPr>
        <w:t>(coord.),</w:t>
      </w:r>
      <w:r>
        <w:rPr>
          <w:spacing w:val="-17"/>
          <w:w w:val="105"/>
          <w:sz w:val="19"/>
        </w:rPr>
        <w:t> </w:t>
      </w:r>
      <w:r>
        <w:rPr>
          <w:w w:val="105"/>
          <w:sz w:val="19"/>
        </w:rPr>
        <w:t>México,</w:t>
      </w:r>
      <w:r>
        <w:rPr>
          <w:spacing w:val="-17"/>
          <w:w w:val="105"/>
          <w:sz w:val="19"/>
        </w:rPr>
        <w:t> </w:t>
      </w:r>
      <w:r>
        <w:rPr>
          <w:w w:val="105"/>
          <w:sz w:val="19"/>
        </w:rPr>
        <w:t>Centro</w:t>
      </w:r>
      <w:r>
        <w:rPr>
          <w:spacing w:val="-14"/>
          <w:w w:val="105"/>
          <w:sz w:val="19"/>
        </w:rPr>
        <w:t> </w:t>
      </w:r>
      <w:r>
        <w:rPr>
          <w:w w:val="105"/>
          <w:sz w:val="19"/>
        </w:rPr>
        <w:t>de</w:t>
      </w:r>
      <w:r>
        <w:rPr>
          <w:spacing w:val="-14"/>
          <w:w w:val="105"/>
          <w:sz w:val="19"/>
        </w:rPr>
        <w:t> </w:t>
      </w:r>
      <w:r>
        <w:rPr>
          <w:w w:val="105"/>
          <w:sz w:val="19"/>
        </w:rPr>
        <w:t>Investigación</w:t>
      </w:r>
      <w:r>
        <w:rPr>
          <w:spacing w:val="-14"/>
          <w:w w:val="105"/>
          <w:sz w:val="19"/>
        </w:rPr>
        <w:t> </w:t>
      </w:r>
      <w:r>
        <w:rPr>
          <w:w w:val="105"/>
          <w:sz w:val="19"/>
        </w:rPr>
        <w:t>y Docencia</w:t>
      </w:r>
      <w:r>
        <w:rPr>
          <w:spacing w:val="-25"/>
          <w:w w:val="105"/>
          <w:sz w:val="19"/>
        </w:rPr>
        <w:t> </w:t>
      </w:r>
      <w:r>
        <w:rPr>
          <w:w w:val="105"/>
          <w:sz w:val="19"/>
        </w:rPr>
        <w:t>Económicas,</w:t>
      </w:r>
      <w:r>
        <w:rPr>
          <w:spacing w:val="-25"/>
          <w:w w:val="105"/>
          <w:sz w:val="19"/>
        </w:rPr>
        <w:t> </w:t>
      </w:r>
      <w:r>
        <w:rPr>
          <w:w w:val="105"/>
          <w:sz w:val="19"/>
        </w:rPr>
        <w:t>Miguel</w:t>
      </w:r>
      <w:r>
        <w:rPr>
          <w:spacing w:val="-25"/>
          <w:w w:val="105"/>
          <w:sz w:val="19"/>
        </w:rPr>
        <w:t> </w:t>
      </w:r>
      <w:r>
        <w:rPr>
          <w:w w:val="105"/>
          <w:sz w:val="19"/>
        </w:rPr>
        <w:t>Ángel</w:t>
      </w:r>
      <w:r>
        <w:rPr>
          <w:spacing w:val="-25"/>
          <w:w w:val="105"/>
          <w:sz w:val="19"/>
        </w:rPr>
        <w:t> </w:t>
      </w:r>
      <w:r>
        <w:rPr>
          <w:w w:val="105"/>
          <w:sz w:val="19"/>
        </w:rPr>
        <w:t>Porrúa</w:t>
      </w:r>
      <w:r>
        <w:rPr>
          <w:spacing w:val="-25"/>
          <w:w w:val="105"/>
          <w:sz w:val="19"/>
        </w:rPr>
        <w:t> </w:t>
      </w:r>
      <w:r>
        <w:rPr>
          <w:w w:val="105"/>
          <w:sz w:val="19"/>
        </w:rPr>
        <w:t>(Colección</w:t>
      </w:r>
      <w:r>
        <w:rPr>
          <w:spacing w:val="-25"/>
          <w:w w:val="105"/>
          <w:sz w:val="19"/>
        </w:rPr>
        <w:t> </w:t>
      </w:r>
      <w:r>
        <w:rPr>
          <w:w w:val="105"/>
          <w:sz w:val="19"/>
        </w:rPr>
        <w:t>Las</w:t>
      </w:r>
      <w:r>
        <w:rPr>
          <w:spacing w:val="-27"/>
          <w:w w:val="105"/>
          <w:sz w:val="19"/>
        </w:rPr>
        <w:t> </w:t>
      </w:r>
      <w:r>
        <w:rPr>
          <w:w w:val="105"/>
          <w:sz w:val="19"/>
        </w:rPr>
        <w:t>Ciencias</w:t>
      </w:r>
      <w:r>
        <w:rPr>
          <w:spacing w:val="-25"/>
          <w:w w:val="105"/>
          <w:sz w:val="19"/>
        </w:rPr>
        <w:t> </w:t>
      </w:r>
      <w:r>
        <w:rPr>
          <w:w w:val="105"/>
          <w:sz w:val="19"/>
        </w:rPr>
        <w:t>Sociales).</w:t>
      </w:r>
    </w:p>
    <w:p>
      <w:pPr>
        <w:spacing w:line="242" w:lineRule="auto" w:before="0"/>
        <w:ind w:left="115" w:right="127" w:firstLine="0"/>
        <w:jc w:val="left"/>
        <w:rPr>
          <w:sz w:val="19"/>
        </w:rPr>
      </w:pPr>
      <w:r>
        <w:rPr>
          <w:b/>
          <w:w w:val="105"/>
          <w:sz w:val="19"/>
        </w:rPr>
        <w:t>Cabrero, </w:t>
      </w:r>
      <w:r>
        <w:rPr>
          <w:w w:val="105"/>
          <w:sz w:val="19"/>
        </w:rPr>
        <w:t>Enrique (coord.) (1998), “Políticas descentralizadoras en México 1983-1993.Logros y desencantos”, México, cide-Miguel Ángel Porrúa.</w:t>
      </w:r>
    </w:p>
    <w:p>
      <w:pPr>
        <w:spacing w:line="252" w:lineRule="auto" w:before="0"/>
        <w:ind w:left="115" w:right="127" w:firstLine="0"/>
        <w:jc w:val="left"/>
        <w:rPr>
          <w:sz w:val="19"/>
        </w:rPr>
      </w:pPr>
      <w:r>
        <w:rPr>
          <w:b/>
          <w:w w:val="105"/>
          <w:sz w:val="19"/>
        </w:rPr>
        <w:t>Canales, </w:t>
      </w:r>
      <w:r>
        <w:rPr>
          <w:w w:val="105"/>
          <w:sz w:val="19"/>
        </w:rPr>
        <w:t>Alejandro </w:t>
      </w:r>
      <w:r>
        <w:rPr>
          <w:i/>
          <w:w w:val="105"/>
          <w:sz w:val="19"/>
        </w:rPr>
        <w:t>et. al. </w:t>
      </w:r>
      <w:r>
        <w:rPr>
          <w:w w:val="105"/>
          <w:sz w:val="19"/>
        </w:rPr>
        <w:t>(2002) </w:t>
      </w:r>
      <w:r>
        <w:rPr>
          <w:i/>
          <w:w w:val="105"/>
          <w:sz w:val="19"/>
        </w:rPr>
        <w:t>Compromiso Social por la Calidad de la Educación. </w:t>
      </w:r>
      <w:r>
        <w:rPr>
          <w:w w:val="105"/>
          <w:sz w:val="19"/>
        </w:rPr>
        <w:t>México. Observatorio Ciudadano de la Educación.</w:t>
      </w:r>
    </w:p>
    <w:p>
      <w:pPr>
        <w:spacing w:line="247" w:lineRule="auto" w:before="0"/>
        <w:ind w:left="115" w:right="41" w:firstLine="0"/>
        <w:jc w:val="left"/>
        <w:rPr>
          <w:sz w:val="19"/>
        </w:rPr>
      </w:pPr>
      <w:r>
        <w:rPr>
          <w:b/>
          <w:w w:val="105"/>
          <w:sz w:val="19"/>
        </w:rPr>
        <w:t>Carey</w:t>
      </w:r>
      <w:r>
        <w:rPr>
          <w:w w:val="105"/>
          <w:sz w:val="19"/>
        </w:rPr>
        <w:t>, John</w:t>
      </w:r>
      <w:r>
        <w:rPr>
          <w:spacing w:val="-3"/>
          <w:w w:val="105"/>
          <w:sz w:val="19"/>
        </w:rPr>
        <w:t> M. </w:t>
      </w:r>
      <w:r>
        <w:rPr>
          <w:w w:val="105"/>
          <w:sz w:val="19"/>
        </w:rPr>
        <w:t>y Matthew S. Shugart. (1998). “Calling out the Tanks or Filling Out the Forms?” </w:t>
      </w:r>
      <w:r>
        <w:rPr>
          <w:spacing w:val="-4"/>
          <w:w w:val="105"/>
          <w:sz w:val="19"/>
        </w:rPr>
        <w:t>En </w:t>
      </w:r>
      <w:r>
        <w:rPr>
          <w:w w:val="105"/>
          <w:sz w:val="19"/>
        </w:rPr>
        <w:t>“Executive Decree authority”, editado por John </w:t>
      </w:r>
      <w:r>
        <w:rPr>
          <w:spacing w:val="-3"/>
          <w:w w:val="105"/>
          <w:sz w:val="19"/>
        </w:rPr>
        <w:t>M. </w:t>
      </w:r>
      <w:r>
        <w:rPr>
          <w:w w:val="105"/>
          <w:sz w:val="19"/>
        </w:rPr>
        <w:t>Carey y MatthewSoberg.</w:t>
      </w:r>
    </w:p>
    <w:p>
      <w:pPr>
        <w:spacing w:line="247" w:lineRule="auto" w:before="0"/>
        <w:ind w:left="115" w:right="127" w:firstLine="0"/>
        <w:jc w:val="left"/>
        <w:rPr>
          <w:sz w:val="19"/>
        </w:rPr>
      </w:pPr>
      <w:r>
        <w:rPr>
          <w:b/>
          <w:w w:val="105"/>
          <w:sz w:val="19"/>
        </w:rPr>
        <w:t>Carmona </w:t>
      </w:r>
      <w:r>
        <w:rPr>
          <w:w w:val="105"/>
          <w:sz w:val="19"/>
        </w:rPr>
        <w:t>León, Raymundo (2011). “La Educación en el Informe de Gobierno, </w:t>
      </w:r>
      <w:r>
        <w:rPr>
          <w:spacing w:val="-4"/>
          <w:w w:val="105"/>
          <w:sz w:val="19"/>
        </w:rPr>
        <w:t>un </w:t>
      </w:r>
      <w:r>
        <w:rPr>
          <w:w w:val="105"/>
          <w:sz w:val="19"/>
        </w:rPr>
        <w:t>propósito no alcanzado”.</w:t>
      </w:r>
      <w:r>
        <w:rPr>
          <w:spacing w:val="-19"/>
          <w:w w:val="105"/>
          <w:sz w:val="19"/>
        </w:rPr>
        <w:t> </w:t>
      </w:r>
      <w:r>
        <w:rPr>
          <w:spacing w:val="-3"/>
          <w:w w:val="105"/>
          <w:sz w:val="19"/>
        </w:rPr>
        <w:t>Revista</w:t>
      </w:r>
      <w:r>
        <w:rPr>
          <w:spacing w:val="-11"/>
          <w:w w:val="105"/>
          <w:sz w:val="19"/>
        </w:rPr>
        <w:t> </w:t>
      </w:r>
      <w:r>
        <w:rPr>
          <w:w w:val="105"/>
          <w:sz w:val="19"/>
        </w:rPr>
        <w:t>Educación</w:t>
      </w:r>
      <w:r>
        <w:rPr>
          <w:spacing w:val="-17"/>
          <w:w w:val="105"/>
          <w:sz w:val="19"/>
        </w:rPr>
        <w:t> </w:t>
      </w:r>
      <w:r>
        <w:rPr>
          <w:w w:val="105"/>
          <w:sz w:val="19"/>
        </w:rPr>
        <w:t>2001.</w:t>
      </w:r>
      <w:r>
        <w:rPr>
          <w:spacing w:val="-19"/>
          <w:w w:val="105"/>
          <w:sz w:val="19"/>
        </w:rPr>
        <w:t> </w:t>
      </w:r>
      <w:r>
        <w:rPr>
          <w:w w:val="105"/>
          <w:sz w:val="19"/>
        </w:rPr>
        <w:t>Vol.</w:t>
      </w:r>
      <w:r>
        <w:rPr>
          <w:spacing w:val="-17"/>
          <w:w w:val="105"/>
          <w:sz w:val="19"/>
        </w:rPr>
        <w:t> </w:t>
      </w:r>
      <w:r>
        <w:rPr>
          <w:w w:val="105"/>
          <w:sz w:val="19"/>
        </w:rPr>
        <w:t>197/</w:t>
      </w:r>
      <w:r>
        <w:rPr>
          <w:spacing w:val="-19"/>
          <w:w w:val="105"/>
          <w:sz w:val="19"/>
        </w:rPr>
        <w:t> </w:t>
      </w:r>
      <w:r>
        <w:rPr>
          <w:w w:val="105"/>
          <w:sz w:val="19"/>
        </w:rPr>
        <w:t>Octubre</w:t>
      </w:r>
      <w:r>
        <w:rPr>
          <w:spacing w:val="-17"/>
          <w:w w:val="105"/>
          <w:sz w:val="19"/>
        </w:rPr>
        <w:t> </w:t>
      </w:r>
      <w:r>
        <w:rPr>
          <w:spacing w:val="-3"/>
          <w:w w:val="105"/>
          <w:sz w:val="19"/>
        </w:rPr>
        <w:t>de</w:t>
      </w:r>
      <w:r>
        <w:rPr>
          <w:spacing w:val="-17"/>
          <w:w w:val="105"/>
          <w:sz w:val="19"/>
        </w:rPr>
        <w:t> </w:t>
      </w:r>
      <w:r>
        <w:rPr>
          <w:w w:val="105"/>
          <w:sz w:val="19"/>
        </w:rPr>
        <w:t>2011.</w:t>
      </w:r>
      <w:r>
        <w:rPr>
          <w:spacing w:val="-21"/>
          <w:w w:val="105"/>
          <w:sz w:val="19"/>
        </w:rPr>
        <w:t> </w:t>
      </w:r>
      <w:r>
        <w:rPr>
          <w:w w:val="105"/>
          <w:sz w:val="19"/>
        </w:rPr>
        <w:t>Ed.</w:t>
      </w:r>
      <w:r>
        <w:rPr>
          <w:spacing w:val="-22"/>
          <w:w w:val="105"/>
          <w:sz w:val="19"/>
        </w:rPr>
        <w:t> </w:t>
      </w:r>
      <w:r>
        <w:rPr>
          <w:w w:val="105"/>
          <w:sz w:val="19"/>
        </w:rPr>
        <w:t>Impresora</w:t>
      </w:r>
      <w:r>
        <w:rPr>
          <w:spacing w:val="-14"/>
          <w:w w:val="105"/>
          <w:sz w:val="19"/>
        </w:rPr>
        <w:t> </w:t>
      </w:r>
      <w:r>
        <w:rPr>
          <w:w w:val="105"/>
          <w:sz w:val="19"/>
        </w:rPr>
        <w:t>y</w:t>
      </w:r>
      <w:r>
        <w:rPr>
          <w:spacing w:val="-20"/>
          <w:w w:val="105"/>
          <w:sz w:val="19"/>
        </w:rPr>
        <w:t> </w:t>
      </w:r>
      <w:r>
        <w:rPr>
          <w:w w:val="105"/>
          <w:sz w:val="19"/>
        </w:rPr>
        <w:t>Editora</w:t>
      </w:r>
      <w:r>
        <w:rPr>
          <w:spacing w:val="-14"/>
          <w:w w:val="105"/>
          <w:sz w:val="19"/>
        </w:rPr>
        <w:t> </w:t>
      </w:r>
      <w:r>
        <w:rPr>
          <w:w w:val="105"/>
          <w:sz w:val="19"/>
        </w:rPr>
        <w:t>ANGEMA</w:t>
      </w:r>
    </w:p>
    <w:p>
      <w:pPr>
        <w:spacing w:line="214" w:lineRule="exact" w:before="0"/>
        <w:ind w:left="115" w:right="127" w:firstLine="0"/>
        <w:jc w:val="left"/>
        <w:rPr>
          <w:sz w:val="19"/>
        </w:rPr>
      </w:pPr>
      <w:r>
        <w:rPr>
          <w:w w:val="105"/>
          <w:sz w:val="19"/>
        </w:rPr>
        <w:t>S.A de C.V.</w:t>
      </w:r>
    </w:p>
    <w:p>
      <w:pPr>
        <w:spacing w:line="247" w:lineRule="auto" w:before="2"/>
        <w:ind w:left="115" w:right="125" w:firstLine="0"/>
        <w:jc w:val="both"/>
        <w:rPr>
          <w:sz w:val="19"/>
        </w:rPr>
      </w:pPr>
      <w:r>
        <w:rPr>
          <w:b/>
          <w:w w:val="105"/>
          <w:sz w:val="19"/>
        </w:rPr>
        <w:t>Carmona</w:t>
      </w:r>
      <w:r>
        <w:rPr>
          <w:b/>
          <w:spacing w:val="-3"/>
          <w:w w:val="105"/>
          <w:sz w:val="19"/>
        </w:rPr>
        <w:t> </w:t>
      </w:r>
      <w:r>
        <w:rPr>
          <w:w w:val="105"/>
          <w:sz w:val="19"/>
        </w:rPr>
        <w:t>León,</w:t>
      </w:r>
      <w:r>
        <w:rPr>
          <w:spacing w:val="-10"/>
          <w:w w:val="105"/>
          <w:sz w:val="19"/>
        </w:rPr>
        <w:t> </w:t>
      </w:r>
      <w:r>
        <w:rPr>
          <w:w w:val="105"/>
          <w:sz w:val="19"/>
        </w:rPr>
        <w:t>Raymundo</w:t>
      </w:r>
      <w:r>
        <w:rPr>
          <w:spacing w:val="1"/>
          <w:w w:val="105"/>
          <w:sz w:val="19"/>
        </w:rPr>
        <w:t> </w:t>
      </w:r>
      <w:r>
        <w:rPr>
          <w:w w:val="105"/>
          <w:sz w:val="19"/>
        </w:rPr>
        <w:t>y</w:t>
      </w:r>
      <w:r>
        <w:rPr>
          <w:spacing w:val="-6"/>
          <w:w w:val="105"/>
          <w:sz w:val="19"/>
        </w:rPr>
        <w:t> </w:t>
      </w:r>
      <w:r>
        <w:rPr>
          <w:w w:val="105"/>
          <w:sz w:val="19"/>
        </w:rPr>
        <w:t>Pavón</w:t>
      </w:r>
      <w:r>
        <w:rPr>
          <w:spacing w:val="-3"/>
          <w:w w:val="105"/>
          <w:sz w:val="19"/>
        </w:rPr>
        <w:t> </w:t>
      </w:r>
      <w:r>
        <w:rPr>
          <w:w w:val="105"/>
          <w:sz w:val="19"/>
        </w:rPr>
        <w:t>Toledo,</w:t>
      </w:r>
      <w:r>
        <w:rPr>
          <w:spacing w:val="-3"/>
          <w:w w:val="105"/>
          <w:sz w:val="19"/>
        </w:rPr>
        <w:t> </w:t>
      </w:r>
      <w:r>
        <w:rPr>
          <w:w w:val="105"/>
          <w:sz w:val="19"/>
        </w:rPr>
        <w:t>Maira</w:t>
      </w:r>
      <w:r>
        <w:rPr>
          <w:spacing w:val="-3"/>
          <w:w w:val="105"/>
          <w:sz w:val="19"/>
        </w:rPr>
        <w:t> </w:t>
      </w:r>
      <w:r>
        <w:rPr>
          <w:w w:val="105"/>
          <w:sz w:val="19"/>
        </w:rPr>
        <w:t>Fernanda</w:t>
      </w:r>
      <w:r>
        <w:rPr>
          <w:spacing w:val="-3"/>
          <w:w w:val="105"/>
          <w:sz w:val="19"/>
        </w:rPr>
        <w:t> </w:t>
      </w:r>
      <w:r>
        <w:rPr>
          <w:w w:val="105"/>
          <w:sz w:val="19"/>
        </w:rPr>
        <w:t>(2012).</w:t>
      </w:r>
      <w:r>
        <w:rPr>
          <w:spacing w:val="-3"/>
          <w:w w:val="105"/>
          <w:sz w:val="19"/>
        </w:rPr>
        <w:t> </w:t>
      </w:r>
      <w:r>
        <w:rPr>
          <w:w w:val="105"/>
          <w:sz w:val="19"/>
        </w:rPr>
        <w:t>“Al</w:t>
      </w:r>
      <w:r>
        <w:rPr>
          <w:spacing w:val="-6"/>
          <w:w w:val="105"/>
          <w:sz w:val="19"/>
        </w:rPr>
        <w:t> </w:t>
      </w:r>
      <w:r>
        <w:rPr>
          <w:w w:val="105"/>
          <w:sz w:val="19"/>
        </w:rPr>
        <w:t>cierre</w:t>
      </w:r>
      <w:r>
        <w:rPr>
          <w:spacing w:val="-3"/>
          <w:w w:val="105"/>
          <w:sz w:val="19"/>
        </w:rPr>
        <w:t> </w:t>
      </w:r>
      <w:r>
        <w:rPr>
          <w:w w:val="105"/>
          <w:sz w:val="19"/>
        </w:rPr>
        <w:t>del</w:t>
      </w:r>
      <w:r>
        <w:rPr>
          <w:spacing w:val="-3"/>
          <w:w w:val="105"/>
          <w:sz w:val="19"/>
        </w:rPr>
        <w:t> </w:t>
      </w:r>
      <w:r>
        <w:rPr>
          <w:w w:val="105"/>
          <w:sz w:val="19"/>
        </w:rPr>
        <w:t>sexenio:</w:t>
      </w:r>
      <w:r>
        <w:rPr>
          <w:spacing w:val="-6"/>
          <w:w w:val="105"/>
          <w:sz w:val="19"/>
        </w:rPr>
        <w:t> </w:t>
      </w:r>
      <w:r>
        <w:rPr>
          <w:w w:val="105"/>
          <w:sz w:val="19"/>
        </w:rPr>
        <w:t>¿Qué pasó </w:t>
      </w:r>
      <w:r>
        <w:rPr>
          <w:spacing w:val="-3"/>
          <w:w w:val="105"/>
          <w:sz w:val="19"/>
        </w:rPr>
        <w:t>con </w:t>
      </w:r>
      <w:r>
        <w:rPr>
          <w:w w:val="105"/>
          <w:sz w:val="19"/>
        </w:rPr>
        <w:t>la educación?”. </w:t>
      </w:r>
      <w:r>
        <w:rPr>
          <w:spacing w:val="-3"/>
          <w:w w:val="105"/>
          <w:sz w:val="19"/>
        </w:rPr>
        <w:t>Revista </w:t>
      </w:r>
      <w:r>
        <w:rPr>
          <w:w w:val="105"/>
          <w:sz w:val="19"/>
        </w:rPr>
        <w:t>Educación 2001. Vol. 203/ Abril. Ed. Impresora y Editora ANGEMA</w:t>
      </w:r>
      <w:r>
        <w:rPr>
          <w:spacing w:val="-23"/>
          <w:w w:val="105"/>
          <w:sz w:val="19"/>
        </w:rPr>
        <w:t> </w:t>
      </w:r>
      <w:r>
        <w:rPr>
          <w:w w:val="105"/>
          <w:sz w:val="19"/>
        </w:rPr>
        <w:t>S.A</w:t>
      </w:r>
      <w:r>
        <w:rPr>
          <w:spacing w:val="-21"/>
          <w:w w:val="105"/>
          <w:sz w:val="19"/>
        </w:rPr>
        <w:t> </w:t>
      </w:r>
      <w:r>
        <w:rPr>
          <w:spacing w:val="3"/>
          <w:w w:val="105"/>
          <w:sz w:val="19"/>
        </w:rPr>
        <w:t>de</w:t>
      </w:r>
      <w:r>
        <w:rPr>
          <w:spacing w:val="-19"/>
          <w:w w:val="105"/>
          <w:sz w:val="19"/>
        </w:rPr>
        <w:t> </w:t>
      </w:r>
      <w:r>
        <w:rPr>
          <w:w w:val="105"/>
          <w:sz w:val="19"/>
        </w:rPr>
        <w:t>C.V.</w:t>
      </w:r>
    </w:p>
    <w:p>
      <w:pPr>
        <w:spacing w:line="247" w:lineRule="auto" w:before="0"/>
        <w:ind w:left="115" w:right="127" w:firstLine="0"/>
        <w:jc w:val="left"/>
        <w:rPr>
          <w:sz w:val="19"/>
        </w:rPr>
      </w:pPr>
      <w:r>
        <w:rPr>
          <w:b/>
          <w:w w:val="105"/>
          <w:sz w:val="19"/>
        </w:rPr>
        <w:t>Casanova</w:t>
      </w:r>
      <w:r>
        <w:rPr>
          <w:w w:val="105"/>
          <w:sz w:val="19"/>
        </w:rPr>
        <w:t>, M. A. (1998). “La evaluación educativa”. Colección Escuela Básica, Ed. </w:t>
      </w:r>
      <w:r>
        <w:rPr>
          <w:sz w:val="19"/>
        </w:rPr>
        <w:t>SEP/Cooperación  Española/Muralla, México.</w:t>
      </w:r>
    </w:p>
    <w:p>
      <w:pPr>
        <w:spacing w:before="0"/>
        <w:ind w:left="115" w:right="127" w:firstLine="0"/>
        <w:jc w:val="left"/>
        <w:rPr>
          <w:sz w:val="19"/>
        </w:rPr>
      </w:pPr>
      <w:r>
        <w:rPr>
          <w:w w:val="105"/>
          <w:sz w:val="19"/>
        </w:rPr>
        <w:t>CENEVAL (2003). “Boletín Ceneval” Abril-junio 2003, Núm. 1.</w:t>
      </w:r>
    </w:p>
    <w:p>
      <w:pPr>
        <w:spacing w:before="2"/>
        <w:ind w:left="115" w:right="127" w:firstLine="0"/>
        <w:jc w:val="left"/>
        <w:rPr>
          <w:sz w:val="19"/>
        </w:rPr>
      </w:pPr>
      <w:r>
        <w:rPr>
          <w:w w:val="105"/>
          <w:sz w:val="19"/>
        </w:rPr>
        <w:t>-------------- (2003). “Boletín Ceneval”. Octubre-diciembre 2003, Núm. 3.</w:t>
      </w:r>
    </w:p>
    <w:p>
      <w:pPr>
        <w:spacing w:line="244" w:lineRule="auto" w:before="7"/>
        <w:ind w:left="115" w:right="124" w:firstLine="0"/>
        <w:jc w:val="left"/>
        <w:rPr>
          <w:sz w:val="19"/>
        </w:rPr>
      </w:pPr>
      <w:r>
        <w:rPr>
          <w:w w:val="105"/>
          <w:sz w:val="19"/>
        </w:rPr>
        <w:t>CEPAL. (2004). “Financiamiento y gestión de la educación en América Latina y el Caribe”. Trigésimo período de sesiones de la CEPAL. San Juan, Puerto Rico, 28 de junio al 2 de julio de 2004. Puede consultarse en: </w:t>
      </w:r>
      <w:hyperlink r:id="rId136">
        <w:r>
          <w:rPr>
            <w:color w:val="0000FF"/>
            <w:w w:val="105"/>
            <w:sz w:val="19"/>
            <w:u w:val="single" w:color="0000FF"/>
          </w:rPr>
          <w:t>http://www.eclac.cl/publicaciones/SecretariaEjecutiva/4/LCG2249SES3014/DGE-2249-SES30-</w:t>
        </w:r>
      </w:hyperlink>
      <w:r>
        <w:rPr>
          <w:color w:val="0000FF"/>
          <w:w w:val="105"/>
          <w:sz w:val="19"/>
          <w:u w:val="single" w:color="0000FF"/>
        </w:rPr>
        <w:t> 14.pdf</w:t>
      </w:r>
    </w:p>
    <w:p>
      <w:pPr>
        <w:spacing w:line="247" w:lineRule="auto" w:before="3"/>
        <w:ind w:left="115" w:right="127" w:firstLine="0"/>
        <w:jc w:val="left"/>
        <w:rPr>
          <w:sz w:val="19"/>
        </w:rPr>
      </w:pPr>
      <w:r>
        <w:rPr>
          <w:b/>
          <w:w w:val="105"/>
          <w:sz w:val="19"/>
        </w:rPr>
        <w:t>Cohen</w:t>
      </w:r>
      <w:r>
        <w:rPr>
          <w:w w:val="105"/>
          <w:sz w:val="19"/>
        </w:rPr>
        <w:t>, Ernesto. (2002). “Educación, eficiencia y equidad: una difícil convivencia” en Revista Iberoamericana</w:t>
      </w:r>
      <w:r>
        <w:rPr>
          <w:spacing w:val="-22"/>
          <w:w w:val="105"/>
          <w:sz w:val="19"/>
        </w:rPr>
        <w:t> </w:t>
      </w:r>
      <w:r>
        <w:rPr>
          <w:w w:val="105"/>
          <w:sz w:val="19"/>
        </w:rPr>
        <w:t>de</w:t>
      </w:r>
      <w:r>
        <w:rPr>
          <w:spacing w:val="-22"/>
          <w:w w:val="105"/>
          <w:sz w:val="19"/>
        </w:rPr>
        <w:t> </w:t>
      </w:r>
      <w:r>
        <w:rPr>
          <w:w w:val="105"/>
          <w:sz w:val="19"/>
        </w:rPr>
        <w:t>Educación</w:t>
      </w:r>
      <w:r>
        <w:rPr>
          <w:spacing w:val="-22"/>
          <w:w w:val="105"/>
          <w:sz w:val="19"/>
        </w:rPr>
        <w:t> </w:t>
      </w:r>
      <w:r>
        <w:rPr>
          <w:w w:val="105"/>
          <w:sz w:val="19"/>
        </w:rPr>
        <w:t>OEI</w:t>
      </w:r>
      <w:r>
        <w:rPr>
          <w:i/>
          <w:w w:val="105"/>
          <w:sz w:val="19"/>
        </w:rPr>
        <w:t>.</w:t>
      </w:r>
      <w:r>
        <w:rPr>
          <w:i/>
          <w:spacing w:val="-23"/>
          <w:w w:val="105"/>
          <w:sz w:val="19"/>
        </w:rPr>
        <w:t> </w:t>
      </w:r>
      <w:r>
        <w:rPr>
          <w:w w:val="105"/>
          <w:sz w:val="19"/>
        </w:rPr>
        <w:t>Número</w:t>
      </w:r>
      <w:r>
        <w:rPr>
          <w:spacing w:val="-22"/>
          <w:w w:val="105"/>
          <w:sz w:val="19"/>
        </w:rPr>
        <w:t> </w:t>
      </w:r>
      <w:r>
        <w:rPr>
          <w:w w:val="105"/>
          <w:sz w:val="19"/>
        </w:rPr>
        <w:t>30,</w:t>
      </w:r>
      <w:r>
        <w:rPr>
          <w:spacing w:val="-22"/>
          <w:w w:val="105"/>
          <w:sz w:val="19"/>
        </w:rPr>
        <w:t> </w:t>
      </w:r>
      <w:r>
        <w:rPr>
          <w:w w:val="105"/>
          <w:sz w:val="19"/>
        </w:rPr>
        <w:t>septiembre-diciembre</w:t>
      </w:r>
      <w:r>
        <w:rPr>
          <w:spacing w:val="-22"/>
          <w:w w:val="105"/>
          <w:sz w:val="19"/>
        </w:rPr>
        <w:t> </w:t>
      </w:r>
      <w:r>
        <w:rPr>
          <w:w w:val="105"/>
          <w:sz w:val="19"/>
        </w:rPr>
        <w:t>2002.</w:t>
      </w:r>
      <w:r>
        <w:rPr>
          <w:spacing w:val="-22"/>
          <w:w w:val="105"/>
          <w:sz w:val="19"/>
        </w:rPr>
        <w:t> </w:t>
      </w:r>
      <w:r>
        <w:rPr>
          <w:w w:val="105"/>
          <w:sz w:val="19"/>
        </w:rPr>
        <w:t>Puede</w:t>
      </w:r>
      <w:r>
        <w:rPr>
          <w:spacing w:val="-22"/>
          <w:w w:val="105"/>
          <w:sz w:val="19"/>
        </w:rPr>
        <w:t> </w:t>
      </w:r>
      <w:r>
        <w:rPr>
          <w:w w:val="105"/>
          <w:sz w:val="19"/>
        </w:rPr>
        <w:t>consultarse</w:t>
      </w:r>
      <w:r>
        <w:rPr>
          <w:spacing w:val="-22"/>
          <w:w w:val="105"/>
          <w:sz w:val="19"/>
        </w:rPr>
        <w:t> </w:t>
      </w:r>
      <w:r>
        <w:rPr>
          <w:w w:val="105"/>
          <w:sz w:val="19"/>
        </w:rPr>
        <w:t>en: </w:t>
      </w:r>
      <w:hyperlink r:id="rId137">
        <w:r>
          <w:rPr>
            <w:color w:val="0000FF"/>
            <w:spacing w:val="-1"/>
            <w:sz w:val="19"/>
            <w:u w:val="single" w:color="0000FF"/>
          </w:rPr>
          <w:t>http://www.reduc.cl/raes.nsf/4211b585503d5ece04256843007c08e2/6d0515b9b10a439d04256839</w:t>
        </w:r>
      </w:hyperlink>
      <w:r>
        <w:rPr>
          <w:color w:val="0000FF"/>
          <w:spacing w:val="-1"/>
          <w:sz w:val="19"/>
          <w:u w:val="single" w:color="0000FF"/>
        </w:rPr>
        <w:t> </w:t>
      </w:r>
      <w:r>
        <w:rPr>
          <w:color w:val="0000FF"/>
          <w:w w:val="105"/>
          <w:sz w:val="19"/>
          <w:u w:val="single" w:color="0000FF"/>
        </w:rPr>
        <w:t>0075cd5a/$FILE/rae08.251.pdf</w:t>
      </w:r>
    </w:p>
    <w:p>
      <w:pPr>
        <w:spacing w:line="242" w:lineRule="auto" w:before="0"/>
        <w:ind w:left="115" w:right="41" w:firstLine="0"/>
        <w:jc w:val="left"/>
        <w:rPr>
          <w:sz w:val="19"/>
        </w:rPr>
      </w:pPr>
      <w:r>
        <w:rPr>
          <w:b/>
          <w:w w:val="105"/>
          <w:sz w:val="19"/>
        </w:rPr>
        <w:t>Congreso</w:t>
      </w:r>
      <w:r>
        <w:rPr>
          <w:b/>
          <w:spacing w:val="-8"/>
          <w:w w:val="105"/>
          <w:sz w:val="19"/>
        </w:rPr>
        <w:t> </w:t>
      </w:r>
      <w:r>
        <w:rPr>
          <w:b/>
          <w:spacing w:val="-3"/>
          <w:w w:val="105"/>
          <w:sz w:val="19"/>
        </w:rPr>
        <w:t>de</w:t>
      </w:r>
      <w:r>
        <w:rPr>
          <w:b/>
          <w:spacing w:val="-8"/>
          <w:w w:val="105"/>
          <w:sz w:val="19"/>
        </w:rPr>
        <w:t> </w:t>
      </w:r>
      <w:r>
        <w:rPr>
          <w:b/>
          <w:w w:val="105"/>
          <w:sz w:val="19"/>
        </w:rPr>
        <w:t>la</w:t>
      </w:r>
      <w:r>
        <w:rPr>
          <w:b/>
          <w:spacing w:val="-12"/>
          <w:w w:val="105"/>
          <w:sz w:val="19"/>
        </w:rPr>
        <w:t> </w:t>
      </w:r>
      <w:r>
        <w:rPr>
          <w:b/>
          <w:w w:val="105"/>
          <w:sz w:val="19"/>
        </w:rPr>
        <w:t>Unión</w:t>
      </w:r>
      <w:r>
        <w:rPr>
          <w:w w:val="105"/>
          <w:sz w:val="19"/>
        </w:rPr>
        <w:t>,</w:t>
      </w:r>
      <w:r>
        <w:rPr>
          <w:spacing w:val="-13"/>
          <w:w w:val="105"/>
          <w:sz w:val="19"/>
        </w:rPr>
        <w:t> </w:t>
      </w:r>
      <w:r>
        <w:rPr>
          <w:w w:val="105"/>
          <w:sz w:val="19"/>
        </w:rPr>
        <w:t>LVIII</w:t>
      </w:r>
      <w:r>
        <w:rPr>
          <w:spacing w:val="-13"/>
          <w:w w:val="105"/>
          <w:sz w:val="19"/>
        </w:rPr>
        <w:t> </w:t>
      </w:r>
      <w:r>
        <w:rPr>
          <w:w w:val="105"/>
          <w:sz w:val="19"/>
        </w:rPr>
        <w:t>Legislatura</w:t>
      </w:r>
      <w:r>
        <w:rPr>
          <w:spacing w:val="-9"/>
          <w:w w:val="105"/>
          <w:sz w:val="19"/>
        </w:rPr>
        <w:t> </w:t>
      </w:r>
      <w:r>
        <w:rPr>
          <w:w w:val="105"/>
          <w:sz w:val="19"/>
        </w:rPr>
        <w:t>y</w:t>
      </w:r>
      <w:r>
        <w:rPr>
          <w:spacing w:val="-12"/>
          <w:w w:val="105"/>
          <w:sz w:val="19"/>
        </w:rPr>
        <w:t> </w:t>
      </w:r>
      <w:r>
        <w:rPr>
          <w:w w:val="105"/>
          <w:sz w:val="19"/>
        </w:rPr>
        <w:t>Secretaría</w:t>
      </w:r>
      <w:r>
        <w:rPr>
          <w:spacing w:val="-9"/>
          <w:w w:val="105"/>
          <w:sz w:val="19"/>
        </w:rPr>
        <w:t> </w:t>
      </w:r>
      <w:r>
        <w:rPr>
          <w:w w:val="105"/>
          <w:sz w:val="19"/>
        </w:rPr>
        <w:t>de</w:t>
      </w:r>
      <w:r>
        <w:rPr>
          <w:spacing w:val="-9"/>
          <w:w w:val="105"/>
          <w:sz w:val="19"/>
        </w:rPr>
        <w:t> </w:t>
      </w:r>
      <w:r>
        <w:rPr>
          <w:w w:val="105"/>
          <w:sz w:val="19"/>
        </w:rPr>
        <w:t>Educación</w:t>
      </w:r>
      <w:r>
        <w:rPr>
          <w:spacing w:val="-9"/>
          <w:w w:val="105"/>
          <w:sz w:val="19"/>
        </w:rPr>
        <w:t> </w:t>
      </w:r>
      <w:r>
        <w:rPr>
          <w:w w:val="105"/>
          <w:sz w:val="19"/>
        </w:rPr>
        <w:t>Pública</w:t>
      </w:r>
      <w:r>
        <w:rPr>
          <w:spacing w:val="-6"/>
          <w:w w:val="105"/>
          <w:sz w:val="19"/>
        </w:rPr>
        <w:t> </w:t>
      </w:r>
      <w:r>
        <w:rPr>
          <w:w w:val="105"/>
          <w:sz w:val="19"/>
        </w:rPr>
        <w:t>(2002).</w:t>
      </w:r>
      <w:r>
        <w:rPr>
          <w:spacing w:val="-9"/>
          <w:w w:val="105"/>
          <w:sz w:val="19"/>
        </w:rPr>
        <w:t> </w:t>
      </w:r>
      <w:r>
        <w:rPr>
          <w:w w:val="105"/>
          <w:sz w:val="19"/>
        </w:rPr>
        <w:t>“La</w:t>
      </w:r>
      <w:r>
        <w:rPr>
          <w:spacing w:val="-9"/>
          <w:w w:val="105"/>
          <w:sz w:val="19"/>
        </w:rPr>
        <w:t> </w:t>
      </w:r>
      <w:r>
        <w:rPr>
          <w:w w:val="105"/>
          <w:sz w:val="19"/>
        </w:rPr>
        <w:t>calidad</w:t>
      </w:r>
      <w:r>
        <w:rPr>
          <w:spacing w:val="-9"/>
          <w:w w:val="105"/>
          <w:sz w:val="19"/>
        </w:rPr>
        <w:t> </w:t>
      </w:r>
      <w:r>
        <w:rPr>
          <w:w w:val="105"/>
          <w:sz w:val="19"/>
        </w:rPr>
        <w:t>de </w:t>
      </w:r>
      <w:r>
        <w:rPr>
          <w:spacing w:val="-3"/>
          <w:w w:val="105"/>
          <w:sz w:val="19"/>
        </w:rPr>
        <w:t>la</w:t>
      </w:r>
      <w:r>
        <w:rPr>
          <w:spacing w:val="-17"/>
          <w:w w:val="105"/>
          <w:sz w:val="19"/>
        </w:rPr>
        <w:t> </w:t>
      </w:r>
      <w:r>
        <w:rPr>
          <w:w w:val="105"/>
          <w:sz w:val="19"/>
        </w:rPr>
        <w:t>educación</w:t>
      </w:r>
      <w:r>
        <w:rPr>
          <w:spacing w:val="-18"/>
          <w:w w:val="105"/>
          <w:sz w:val="19"/>
        </w:rPr>
        <w:t> </w:t>
      </w:r>
      <w:r>
        <w:rPr>
          <w:w w:val="105"/>
          <w:sz w:val="19"/>
        </w:rPr>
        <w:t>en</w:t>
      </w:r>
      <w:r>
        <w:rPr>
          <w:spacing w:val="-18"/>
          <w:w w:val="105"/>
          <w:sz w:val="19"/>
        </w:rPr>
        <w:t> </w:t>
      </w:r>
      <w:r>
        <w:rPr>
          <w:w w:val="105"/>
          <w:sz w:val="19"/>
        </w:rPr>
        <w:t>México:</w:t>
      </w:r>
      <w:r>
        <w:rPr>
          <w:spacing w:val="-21"/>
          <w:w w:val="105"/>
          <w:sz w:val="19"/>
        </w:rPr>
        <w:t> </w:t>
      </w:r>
      <w:r>
        <w:rPr>
          <w:w w:val="105"/>
          <w:sz w:val="19"/>
        </w:rPr>
        <w:t>Perspectivas,</w:t>
      </w:r>
      <w:r>
        <w:rPr>
          <w:spacing w:val="-21"/>
          <w:w w:val="105"/>
          <w:sz w:val="19"/>
        </w:rPr>
        <w:t> </w:t>
      </w:r>
      <w:r>
        <w:rPr>
          <w:w w:val="105"/>
          <w:sz w:val="19"/>
        </w:rPr>
        <w:t>análisis</w:t>
      </w:r>
      <w:r>
        <w:rPr>
          <w:spacing w:val="-13"/>
          <w:w w:val="105"/>
          <w:sz w:val="19"/>
        </w:rPr>
        <w:t> </w:t>
      </w:r>
      <w:r>
        <w:rPr>
          <w:w w:val="105"/>
          <w:sz w:val="19"/>
        </w:rPr>
        <w:t>y</w:t>
      </w:r>
      <w:r>
        <w:rPr>
          <w:spacing w:val="-21"/>
          <w:w w:val="105"/>
          <w:sz w:val="19"/>
        </w:rPr>
        <w:t> </w:t>
      </w:r>
      <w:r>
        <w:rPr>
          <w:w w:val="105"/>
          <w:sz w:val="19"/>
        </w:rPr>
        <w:t>evaluación”.</w:t>
      </w:r>
      <w:r>
        <w:rPr>
          <w:spacing w:val="-21"/>
          <w:w w:val="105"/>
          <w:sz w:val="19"/>
        </w:rPr>
        <w:t> </w:t>
      </w:r>
      <w:r>
        <w:rPr>
          <w:w w:val="105"/>
          <w:sz w:val="19"/>
        </w:rPr>
        <w:t>Ed.</w:t>
      </w:r>
      <w:r>
        <w:rPr>
          <w:spacing w:val="-21"/>
          <w:w w:val="105"/>
          <w:sz w:val="19"/>
        </w:rPr>
        <w:t> </w:t>
      </w:r>
      <w:r>
        <w:rPr>
          <w:w w:val="105"/>
          <w:sz w:val="19"/>
        </w:rPr>
        <w:t>Porrúa,</w:t>
      </w:r>
      <w:r>
        <w:rPr>
          <w:spacing w:val="-21"/>
          <w:w w:val="105"/>
          <w:sz w:val="19"/>
        </w:rPr>
        <w:t> </w:t>
      </w:r>
      <w:r>
        <w:rPr>
          <w:w w:val="105"/>
          <w:sz w:val="19"/>
        </w:rPr>
        <w:t>México,</w:t>
      </w:r>
      <w:r>
        <w:rPr>
          <w:spacing w:val="-21"/>
          <w:w w:val="105"/>
          <w:sz w:val="19"/>
        </w:rPr>
        <w:t> </w:t>
      </w:r>
      <w:r>
        <w:rPr>
          <w:w w:val="105"/>
          <w:sz w:val="19"/>
        </w:rPr>
        <w:t>D.</w:t>
      </w:r>
      <w:r>
        <w:rPr>
          <w:spacing w:val="-18"/>
          <w:w w:val="105"/>
          <w:sz w:val="19"/>
        </w:rPr>
        <w:t> </w:t>
      </w:r>
      <w:r>
        <w:rPr>
          <w:w w:val="105"/>
          <w:sz w:val="19"/>
        </w:rPr>
        <w:t>F.</w:t>
      </w:r>
    </w:p>
    <w:p>
      <w:pPr>
        <w:spacing w:line="247" w:lineRule="auto" w:before="5"/>
        <w:ind w:left="115" w:right="127" w:firstLine="0"/>
        <w:jc w:val="left"/>
        <w:rPr>
          <w:sz w:val="19"/>
        </w:rPr>
      </w:pPr>
      <w:r>
        <w:rPr>
          <w:b/>
          <w:w w:val="105"/>
          <w:sz w:val="19"/>
        </w:rPr>
        <w:t>Consejo Nacional Técnico de la Educación</w:t>
      </w:r>
      <w:r>
        <w:rPr>
          <w:w w:val="105"/>
          <w:sz w:val="19"/>
        </w:rPr>
        <w:t>. “Plan de Estudios y Programas de la Educación Primaria”, México, Secretaría de Educación Pública, 1973. En Ornelas: 2011: 144-146</w:t>
      </w:r>
    </w:p>
    <w:p>
      <w:pPr>
        <w:spacing w:before="0"/>
        <w:ind w:left="115" w:right="-1" w:firstLine="0"/>
        <w:jc w:val="left"/>
        <w:rPr>
          <w:sz w:val="19"/>
        </w:rPr>
      </w:pPr>
      <w:r>
        <w:rPr>
          <w:b/>
          <w:w w:val="105"/>
          <w:sz w:val="19"/>
        </w:rPr>
        <w:t>“Contra la pared”</w:t>
      </w:r>
      <w:r>
        <w:rPr>
          <w:w w:val="105"/>
          <w:sz w:val="19"/>
        </w:rPr>
        <w:t>. Estado de la Educación en México 2009. Resumen Ejecutivo (parte 1). (2009).</w:t>
      </w:r>
    </w:p>
    <w:p>
      <w:pPr>
        <w:spacing w:line="247" w:lineRule="auto" w:before="2"/>
        <w:ind w:left="163" w:right="3815" w:hanging="48"/>
        <w:jc w:val="left"/>
        <w:rPr>
          <w:sz w:val="19"/>
        </w:rPr>
      </w:pPr>
      <w:r>
        <w:rPr>
          <w:w w:val="105"/>
          <w:sz w:val="19"/>
        </w:rPr>
        <w:t>Mexicanos primero. Puede consultarse en </w:t>
      </w:r>
      <w:hyperlink r:id="rId138">
        <w:r>
          <w:rPr>
            <w:color w:val="0000FF"/>
            <w:sz w:val="19"/>
            <w:u w:val="single" w:color="0000FF"/>
          </w:rPr>
          <w:t>http://www.mexicanosprimero.org/images/stories/1-8.pdf</w:t>
        </w:r>
      </w:hyperlink>
    </w:p>
    <w:p>
      <w:pPr>
        <w:pStyle w:val="BodyText"/>
        <w:spacing w:before="9"/>
        <w:rPr>
          <w:sz w:val="11"/>
        </w:rPr>
      </w:pPr>
    </w:p>
    <w:p>
      <w:pPr>
        <w:spacing w:line="247" w:lineRule="auto" w:before="81"/>
        <w:ind w:left="115" w:right="40" w:firstLine="0"/>
        <w:jc w:val="left"/>
        <w:rPr>
          <w:sz w:val="19"/>
        </w:rPr>
      </w:pPr>
      <w:r>
        <w:rPr>
          <w:w w:val="105"/>
          <w:sz w:val="19"/>
        </w:rPr>
        <w:t>-----------------------. (2009). “Estado de </w:t>
      </w:r>
      <w:r>
        <w:rPr>
          <w:spacing w:val="-3"/>
          <w:w w:val="105"/>
          <w:sz w:val="19"/>
        </w:rPr>
        <w:t>la </w:t>
      </w:r>
      <w:r>
        <w:rPr>
          <w:w w:val="105"/>
          <w:sz w:val="19"/>
        </w:rPr>
        <w:t>Educación en México 2009”. Resumen </w:t>
      </w:r>
      <w:r>
        <w:rPr>
          <w:spacing w:val="-3"/>
          <w:w w:val="105"/>
          <w:sz w:val="19"/>
        </w:rPr>
        <w:t>Ejecutivo </w:t>
      </w:r>
      <w:r>
        <w:rPr>
          <w:w w:val="105"/>
          <w:sz w:val="19"/>
        </w:rPr>
        <w:t>(parte 2). (2009). Puede consultarse </w:t>
      </w:r>
      <w:r>
        <w:rPr>
          <w:spacing w:val="3"/>
          <w:w w:val="105"/>
          <w:sz w:val="19"/>
        </w:rPr>
        <w:t>en:</w:t>
      </w:r>
    </w:p>
    <w:p>
      <w:pPr>
        <w:spacing w:before="0"/>
        <w:ind w:left="115" w:right="127" w:firstLine="0"/>
        <w:jc w:val="left"/>
        <w:rPr>
          <w:sz w:val="19"/>
        </w:rPr>
      </w:pPr>
      <w:hyperlink r:id="rId139">
        <w:r>
          <w:rPr>
            <w:color w:val="0000FF"/>
            <w:w w:val="105"/>
            <w:sz w:val="19"/>
            <w:u w:val="single" w:color="0000FF"/>
          </w:rPr>
          <w:t>http://www.mexicanosprimero.org/images/stories/9-16.pdf</w:t>
        </w:r>
      </w:hyperlink>
    </w:p>
    <w:p>
      <w:pPr>
        <w:spacing w:line="244" w:lineRule="auto" w:before="7"/>
        <w:ind w:left="115" w:right="127" w:firstLine="0"/>
        <w:jc w:val="left"/>
        <w:rPr>
          <w:sz w:val="19"/>
        </w:rPr>
      </w:pPr>
      <w:r>
        <w:rPr>
          <w:w w:val="105"/>
          <w:sz w:val="19"/>
        </w:rPr>
        <w:t>------------------------. (2009). “Estado de la Educación en México 2009. Datos de impacto” Puede consultarse en: </w:t>
      </w:r>
      <w:hyperlink r:id="rId140">
        <w:r>
          <w:rPr>
            <w:w w:val="105"/>
            <w:sz w:val="19"/>
          </w:rPr>
          <w:t>http://www.mexicanosprimero.org/images/stories/Contra_la_pared_datos_de_impacto.pdf</w:t>
        </w:r>
      </w:hyperlink>
    </w:p>
    <w:p>
      <w:pPr>
        <w:spacing w:line="242" w:lineRule="auto" w:before="3"/>
        <w:ind w:left="115" w:right="127" w:firstLine="0"/>
        <w:jc w:val="left"/>
        <w:rPr>
          <w:sz w:val="19"/>
        </w:rPr>
      </w:pPr>
      <w:r>
        <w:rPr>
          <w:b/>
          <w:w w:val="105"/>
          <w:sz w:val="19"/>
        </w:rPr>
        <w:t>Cortés</w:t>
      </w:r>
      <w:r>
        <w:rPr>
          <w:b/>
          <w:spacing w:val="-12"/>
          <w:w w:val="105"/>
          <w:sz w:val="19"/>
        </w:rPr>
        <w:t> </w:t>
      </w:r>
      <w:r>
        <w:rPr>
          <w:w w:val="105"/>
          <w:sz w:val="19"/>
        </w:rPr>
        <w:t>Campos,</w:t>
      </w:r>
      <w:r>
        <w:rPr>
          <w:spacing w:val="-17"/>
          <w:w w:val="105"/>
          <w:sz w:val="19"/>
        </w:rPr>
        <w:t> </w:t>
      </w:r>
      <w:r>
        <w:rPr>
          <w:w w:val="105"/>
          <w:sz w:val="19"/>
        </w:rPr>
        <w:t>Josefina</w:t>
      </w:r>
      <w:r>
        <w:rPr>
          <w:spacing w:val="-9"/>
          <w:w w:val="105"/>
          <w:sz w:val="19"/>
        </w:rPr>
        <w:t> </w:t>
      </w:r>
      <w:r>
        <w:rPr>
          <w:w w:val="105"/>
          <w:sz w:val="19"/>
        </w:rPr>
        <w:t>y</w:t>
      </w:r>
      <w:r>
        <w:rPr>
          <w:spacing w:val="-15"/>
          <w:w w:val="105"/>
          <w:sz w:val="19"/>
        </w:rPr>
        <w:t> </w:t>
      </w:r>
      <w:r>
        <w:rPr>
          <w:w w:val="105"/>
          <w:sz w:val="19"/>
        </w:rPr>
        <w:t>Raigosa</w:t>
      </w:r>
      <w:r>
        <w:rPr>
          <w:spacing w:val="-12"/>
          <w:w w:val="105"/>
          <w:sz w:val="19"/>
        </w:rPr>
        <w:t> </w:t>
      </w:r>
      <w:r>
        <w:rPr>
          <w:w w:val="105"/>
          <w:sz w:val="19"/>
        </w:rPr>
        <w:t>Sotelo,</w:t>
      </w:r>
      <w:r>
        <w:rPr>
          <w:spacing w:val="-15"/>
          <w:w w:val="105"/>
          <w:sz w:val="19"/>
        </w:rPr>
        <w:t> </w:t>
      </w:r>
      <w:r>
        <w:rPr>
          <w:w w:val="105"/>
          <w:sz w:val="19"/>
        </w:rPr>
        <w:t>Luis.</w:t>
      </w:r>
      <w:r>
        <w:rPr>
          <w:spacing w:val="-12"/>
          <w:w w:val="105"/>
          <w:sz w:val="19"/>
        </w:rPr>
        <w:t> </w:t>
      </w:r>
      <w:r>
        <w:rPr>
          <w:w w:val="105"/>
          <w:sz w:val="19"/>
        </w:rPr>
        <w:t>(2003).</w:t>
      </w:r>
      <w:r>
        <w:rPr>
          <w:spacing w:val="-12"/>
          <w:w w:val="105"/>
          <w:sz w:val="19"/>
        </w:rPr>
        <w:t> </w:t>
      </w:r>
      <w:r>
        <w:rPr>
          <w:w w:val="105"/>
          <w:sz w:val="19"/>
        </w:rPr>
        <w:t>“Las</w:t>
      </w:r>
      <w:r>
        <w:rPr>
          <w:spacing w:val="-15"/>
          <w:w w:val="105"/>
          <w:sz w:val="19"/>
        </w:rPr>
        <w:t> </w:t>
      </w:r>
      <w:r>
        <w:rPr>
          <w:w w:val="105"/>
          <w:sz w:val="19"/>
        </w:rPr>
        <w:t>facultades</w:t>
      </w:r>
      <w:r>
        <w:rPr>
          <w:spacing w:val="-18"/>
          <w:w w:val="105"/>
          <w:sz w:val="19"/>
        </w:rPr>
        <w:t> </w:t>
      </w:r>
      <w:r>
        <w:rPr>
          <w:w w:val="105"/>
          <w:sz w:val="19"/>
        </w:rPr>
        <w:t>de</w:t>
      </w:r>
      <w:r>
        <w:rPr>
          <w:spacing w:val="-15"/>
          <w:w w:val="105"/>
          <w:sz w:val="19"/>
        </w:rPr>
        <w:t> </w:t>
      </w:r>
      <w:r>
        <w:rPr>
          <w:w w:val="105"/>
          <w:sz w:val="19"/>
        </w:rPr>
        <w:t>control</w:t>
      </w:r>
      <w:r>
        <w:rPr>
          <w:spacing w:val="-12"/>
          <w:w w:val="105"/>
          <w:sz w:val="19"/>
        </w:rPr>
        <w:t> </w:t>
      </w:r>
      <w:r>
        <w:rPr>
          <w:w w:val="105"/>
          <w:sz w:val="19"/>
        </w:rPr>
        <w:t>del</w:t>
      </w:r>
      <w:r>
        <w:rPr>
          <w:spacing w:val="-6"/>
          <w:w w:val="105"/>
          <w:sz w:val="19"/>
        </w:rPr>
        <w:t> </w:t>
      </w:r>
      <w:r>
        <w:rPr>
          <w:w w:val="105"/>
          <w:sz w:val="19"/>
        </w:rPr>
        <w:t>Senado</w:t>
      </w:r>
      <w:r>
        <w:rPr>
          <w:spacing w:val="-15"/>
          <w:w w:val="105"/>
          <w:sz w:val="19"/>
        </w:rPr>
        <w:t> </w:t>
      </w:r>
      <w:r>
        <w:rPr>
          <w:w w:val="105"/>
          <w:sz w:val="19"/>
        </w:rPr>
        <w:t>de </w:t>
      </w:r>
      <w:r>
        <w:rPr>
          <w:spacing w:val="-3"/>
          <w:w w:val="105"/>
          <w:sz w:val="19"/>
        </w:rPr>
        <w:t>la</w:t>
      </w:r>
      <w:r>
        <w:rPr>
          <w:spacing w:val="-24"/>
          <w:w w:val="105"/>
          <w:sz w:val="19"/>
        </w:rPr>
        <w:t> </w:t>
      </w:r>
      <w:r>
        <w:rPr>
          <w:w w:val="105"/>
          <w:sz w:val="19"/>
        </w:rPr>
        <w:t>República”,</w:t>
      </w:r>
      <w:r>
        <w:rPr>
          <w:spacing w:val="-24"/>
          <w:w w:val="105"/>
          <w:sz w:val="19"/>
        </w:rPr>
        <w:t> </w:t>
      </w:r>
      <w:r>
        <w:rPr>
          <w:w w:val="105"/>
          <w:sz w:val="19"/>
        </w:rPr>
        <w:t>ITAM-Miguel</w:t>
      </w:r>
      <w:r>
        <w:rPr>
          <w:spacing w:val="-22"/>
          <w:w w:val="105"/>
          <w:sz w:val="19"/>
        </w:rPr>
        <w:t> </w:t>
      </w:r>
      <w:r>
        <w:rPr>
          <w:w w:val="105"/>
          <w:sz w:val="19"/>
        </w:rPr>
        <w:t>Ángel</w:t>
      </w:r>
      <w:r>
        <w:rPr>
          <w:spacing w:val="-22"/>
          <w:w w:val="105"/>
          <w:sz w:val="19"/>
        </w:rPr>
        <w:t> </w:t>
      </w:r>
      <w:r>
        <w:rPr>
          <w:w w:val="105"/>
          <w:sz w:val="19"/>
        </w:rPr>
        <w:t>Porrúa,</w:t>
      </w:r>
      <w:r>
        <w:rPr>
          <w:spacing w:val="-24"/>
          <w:w w:val="105"/>
          <w:sz w:val="19"/>
        </w:rPr>
        <w:t> </w:t>
      </w:r>
      <w:r>
        <w:rPr>
          <w:w w:val="105"/>
          <w:sz w:val="19"/>
        </w:rPr>
        <w:t>2003.</w:t>
      </w:r>
    </w:p>
    <w:p>
      <w:pPr>
        <w:spacing w:line="247" w:lineRule="auto" w:before="5"/>
        <w:ind w:left="115" w:right="32" w:firstLine="0"/>
        <w:jc w:val="left"/>
        <w:rPr>
          <w:sz w:val="19"/>
        </w:rPr>
      </w:pPr>
      <w:r>
        <w:rPr>
          <w:b/>
          <w:w w:val="105"/>
          <w:sz w:val="19"/>
        </w:rPr>
        <w:t>Cox</w:t>
      </w:r>
      <w:r>
        <w:rPr>
          <w:w w:val="105"/>
          <w:sz w:val="19"/>
        </w:rPr>
        <w:t>, Gary y Matthew McCubbins. (1994). “Bonding, Structure, and the Stability of Political Parties: Party Government in the House”. Legislative Studies Quarterly.</w:t>
      </w:r>
    </w:p>
    <w:p>
      <w:pPr>
        <w:spacing w:line="247" w:lineRule="auto" w:before="0"/>
        <w:ind w:left="115" w:right="127" w:firstLine="0"/>
        <w:jc w:val="left"/>
        <w:rPr>
          <w:sz w:val="19"/>
        </w:rPr>
      </w:pPr>
      <w:r>
        <w:rPr>
          <w:b/>
          <w:w w:val="105"/>
          <w:sz w:val="19"/>
        </w:rPr>
        <w:t>Cox</w:t>
      </w:r>
      <w:r>
        <w:rPr>
          <w:w w:val="105"/>
          <w:sz w:val="19"/>
        </w:rPr>
        <w:t>, G. y M. McCubbins (2001) </w:t>
      </w:r>
      <w:r>
        <w:rPr>
          <w:spacing w:val="-3"/>
          <w:w w:val="105"/>
          <w:sz w:val="19"/>
        </w:rPr>
        <w:t>“The </w:t>
      </w:r>
      <w:r>
        <w:rPr>
          <w:w w:val="105"/>
          <w:sz w:val="19"/>
        </w:rPr>
        <w:t>Institutional Determinants of </w:t>
      </w:r>
      <w:r>
        <w:rPr>
          <w:spacing w:val="-3"/>
          <w:w w:val="105"/>
          <w:sz w:val="19"/>
        </w:rPr>
        <w:t>Economic </w:t>
      </w:r>
      <w:r>
        <w:rPr>
          <w:w w:val="105"/>
          <w:sz w:val="19"/>
        </w:rPr>
        <w:t>Polcy Outcomes” </w:t>
      </w:r>
      <w:r>
        <w:rPr>
          <w:spacing w:val="-4"/>
          <w:w w:val="105"/>
          <w:sz w:val="19"/>
        </w:rPr>
        <w:t>in </w:t>
      </w:r>
      <w:r>
        <w:rPr>
          <w:w w:val="105"/>
          <w:sz w:val="19"/>
        </w:rPr>
        <w:t>Haggard,</w:t>
      </w:r>
      <w:r>
        <w:rPr>
          <w:spacing w:val="-21"/>
          <w:w w:val="105"/>
          <w:sz w:val="19"/>
        </w:rPr>
        <w:t> </w:t>
      </w:r>
      <w:r>
        <w:rPr>
          <w:w w:val="105"/>
          <w:sz w:val="19"/>
        </w:rPr>
        <w:t>S.</w:t>
      </w:r>
      <w:r>
        <w:rPr>
          <w:spacing w:val="-25"/>
          <w:w w:val="105"/>
          <w:sz w:val="19"/>
        </w:rPr>
        <w:t> </w:t>
      </w:r>
      <w:r>
        <w:rPr>
          <w:w w:val="105"/>
          <w:sz w:val="19"/>
        </w:rPr>
        <w:t>and</w:t>
      </w:r>
      <w:r>
        <w:rPr>
          <w:spacing w:val="-21"/>
          <w:w w:val="105"/>
          <w:sz w:val="19"/>
        </w:rPr>
        <w:t> </w:t>
      </w:r>
      <w:r>
        <w:rPr>
          <w:w w:val="105"/>
          <w:sz w:val="19"/>
        </w:rPr>
        <w:t>M.McCubbins.</w:t>
      </w:r>
      <w:r>
        <w:rPr>
          <w:spacing w:val="-21"/>
          <w:w w:val="105"/>
          <w:sz w:val="19"/>
        </w:rPr>
        <w:t> </w:t>
      </w:r>
      <w:r>
        <w:rPr>
          <w:w w:val="105"/>
          <w:sz w:val="19"/>
        </w:rPr>
        <w:t>“Presidents,</w:t>
      </w:r>
      <w:r>
        <w:rPr>
          <w:spacing w:val="-21"/>
          <w:w w:val="105"/>
          <w:sz w:val="19"/>
        </w:rPr>
        <w:t> </w:t>
      </w:r>
      <w:r>
        <w:rPr>
          <w:w w:val="105"/>
          <w:sz w:val="19"/>
        </w:rPr>
        <w:t>Parliaments,</w:t>
      </w:r>
      <w:r>
        <w:rPr>
          <w:spacing w:val="-21"/>
          <w:w w:val="105"/>
          <w:sz w:val="19"/>
        </w:rPr>
        <w:t> </w:t>
      </w:r>
      <w:r>
        <w:rPr>
          <w:w w:val="105"/>
          <w:sz w:val="19"/>
        </w:rPr>
        <w:t>and</w:t>
      </w:r>
      <w:r>
        <w:rPr>
          <w:spacing w:val="-21"/>
          <w:w w:val="105"/>
          <w:sz w:val="19"/>
        </w:rPr>
        <w:t> </w:t>
      </w:r>
      <w:r>
        <w:rPr>
          <w:w w:val="105"/>
          <w:sz w:val="19"/>
        </w:rPr>
        <w:t>Policy”</w:t>
      </w:r>
      <w:r>
        <w:rPr>
          <w:i/>
          <w:w w:val="105"/>
          <w:sz w:val="19"/>
        </w:rPr>
        <w:t>.</w:t>
      </w:r>
      <w:r>
        <w:rPr>
          <w:i/>
          <w:spacing w:val="-25"/>
          <w:w w:val="105"/>
          <w:sz w:val="19"/>
        </w:rPr>
        <w:t> </w:t>
      </w:r>
      <w:r>
        <w:rPr>
          <w:w w:val="105"/>
          <w:sz w:val="19"/>
        </w:rPr>
        <w:t>Cambridge</w:t>
      </w:r>
      <w:r>
        <w:rPr>
          <w:spacing w:val="-21"/>
          <w:w w:val="105"/>
          <w:sz w:val="19"/>
        </w:rPr>
        <w:t> </w:t>
      </w:r>
      <w:r>
        <w:rPr>
          <w:w w:val="105"/>
          <w:sz w:val="19"/>
        </w:rPr>
        <w:t>University</w:t>
      </w:r>
      <w:r>
        <w:rPr>
          <w:spacing w:val="-21"/>
          <w:w w:val="105"/>
          <w:sz w:val="19"/>
        </w:rPr>
        <w:t> </w:t>
      </w:r>
      <w:r>
        <w:rPr>
          <w:w w:val="105"/>
          <w:sz w:val="19"/>
        </w:rPr>
        <w:t>Press. </w:t>
      </w:r>
      <w:r>
        <w:rPr>
          <w:b/>
          <w:w w:val="105"/>
          <w:sz w:val="19"/>
        </w:rPr>
        <w:t>Cox</w:t>
      </w:r>
      <w:r>
        <w:rPr>
          <w:w w:val="105"/>
          <w:sz w:val="19"/>
        </w:rPr>
        <w:t>,</w:t>
      </w:r>
      <w:r>
        <w:rPr>
          <w:spacing w:val="-5"/>
          <w:w w:val="105"/>
          <w:sz w:val="19"/>
        </w:rPr>
        <w:t> </w:t>
      </w:r>
      <w:r>
        <w:rPr>
          <w:w w:val="105"/>
          <w:sz w:val="19"/>
        </w:rPr>
        <w:t>Gary.</w:t>
      </w:r>
      <w:r>
        <w:rPr>
          <w:spacing w:val="-5"/>
          <w:w w:val="105"/>
          <w:sz w:val="19"/>
        </w:rPr>
        <w:t> </w:t>
      </w:r>
      <w:r>
        <w:rPr>
          <w:w w:val="105"/>
          <w:sz w:val="19"/>
        </w:rPr>
        <w:t>(2006):</w:t>
      </w:r>
      <w:r>
        <w:rPr>
          <w:spacing w:val="-5"/>
          <w:w w:val="105"/>
          <w:sz w:val="19"/>
        </w:rPr>
        <w:t> </w:t>
      </w:r>
      <w:r>
        <w:rPr>
          <w:w w:val="105"/>
          <w:sz w:val="19"/>
        </w:rPr>
        <w:t>“The</w:t>
      </w:r>
      <w:r>
        <w:rPr>
          <w:spacing w:val="-3"/>
          <w:w w:val="105"/>
          <w:sz w:val="19"/>
        </w:rPr>
        <w:t> </w:t>
      </w:r>
      <w:r>
        <w:rPr>
          <w:w w:val="105"/>
          <w:sz w:val="19"/>
        </w:rPr>
        <w:t>Organization</w:t>
      </w:r>
      <w:r>
        <w:rPr>
          <w:spacing w:val="-5"/>
          <w:w w:val="105"/>
          <w:sz w:val="19"/>
        </w:rPr>
        <w:t> </w:t>
      </w:r>
      <w:r>
        <w:rPr>
          <w:w w:val="105"/>
          <w:sz w:val="19"/>
        </w:rPr>
        <w:t>of</w:t>
      </w:r>
      <w:r>
        <w:rPr>
          <w:spacing w:val="-9"/>
          <w:w w:val="105"/>
          <w:sz w:val="19"/>
        </w:rPr>
        <w:t> </w:t>
      </w:r>
      <w:r>
        <w:rPr>
          <w:w w:val="105"/>
          <w:sz w:val="19"/>
        </w:rPr>
        <w:t>Democratic</w:t>
      </w:r>
      <w:r>
        <w:rPr>
          <w:spacing w:val="-2"/>
          <w:w w:val="105"/>
          <w:sz w:val="19"/>
        </w:rPr>
        <w:t> </w:t>
      </w:r>
      <w:r>
        <w:rPr>
          <w:w w:val="105"/>
          <w:sz w:val="19"/>
        </w:rPr>
        <w:t>Legislatures”</w:t>
      </w:r>
      <w:r>
        <w:rPr>
          <w:spacing w:val="-5"/>
          <w:w w:val="105"/>
          <w:sz w:val="19"/>
        </w:rPr>
        <w:t> </w:t>
      </w:r>
      <w:r>
        <w:rPr>
          <w:w w:val="105"/>
          <w:sz w:val="19"/>
        </w:rPr>
        <w:t>en</w:t>
      </w:r>
      <w:r>
        <w:rPr>
          <w:spacing w:val="-5"/>
          <w:w w:val="105"/>
          <w:sz w:val="19"/>
        </w:rPr>
        <w:t> </w:t>
      </w:r>
      <w:r>
        <w:rPr>
          <w:w w:val="105"/>
          <w:sz w:val="19"/>
        </w:rPr>
        <w:t>B.</w:t>
      </w:r>
      <w:r>
        <w:rPr>
          <w:spacing w:val="-10"/>
          <w:w w:val="105"/>
          <w:sz w:val="19"/>
        </w:rPr>
        <w:t> </w:t>
      </w:r>
      <w:r>
        <w:rPr>
          <w:w w:val="105"/>
          <w:sz w:val="19"/>
        </w:rPr>
        <w:t>Weingast</w:t>
      </w:r>
      <w:r>
        <w:rPr>
          <w:spacing w:val="-9"/>
          <w:w w:val="105"/>
          <w:sz w:val="19"/>
        </w:rPr>
        <w:t> </w:t>
      </w:r>
      <w:r>
        <w:rPr>
          <w:w w:val="105"/>
          <w:sz w:val="19"/>
        </w:rPr>
        <w:t>and</w:t>
      </w:r>
      <w:r>
        <w:rPr>
          <w:spacing w:val="-3"/>
          <w:w w:val="105"/>
          <w:sz w:val="19"/>
        </w:rPr>
        <w:t> </w:t>
      </w:r>
      <w:r>
        <w:rPr>
          <w:w w:val="105"/>
          <w:sz w:val="19"/>
        </w:rPr>
        <w:t>D.</w:t>
      </w:r>
      <w:r>
        <w:rPr>
          <w:spacing w:val="-8"/>
          <w:w w:val="105"/>
          <w:sz w:val="19"/>
        </w:rPr>
        <w:t> </w:t>
      </w:r>
      <w:r>
        <w:rPr>
          <w:w w:val="105"/>
          <w:sz w:val="19"/>
        </w:rPr>
        <w:t>Wittman (edit.)</w:t>
      </w:r>
      <w:r>
        <w:rPr>
          <w:spacing w:val="-22"/>
          <w:w w:val="105"/>
          <w:sz w:val="19"/>
        </w:rPr>
        <w:t> </w:t>
      </w:r>
      <w:r>
        <w:rPr>
          <w:w w:val="105"/>
          <w:sz w:val="19"/>
        </w:rPr>
        <w:t>Oxford</w:t>
      </w:r>
      <w:r>
        <w:rPr>
          <w:spacing w:val="-19"/>
          <w:w w:val="105"/>
          <w:sz w:val="19"/>
        </w:rPr>
        <w:t> </w:t>
      </w:r>
      <w:r>
        <w:rPr>
          <w:w w:val="105"/>
          <w:sz w:val="19"/>
        </w:rPr>
        <w:t>Handbook</w:t>
      </w:r>
      <w:r>
        <w:rPr>
          <w:spacing w:val="-22"/>
          <w:w w:val="105"/>
          <w:sz w:val="19"/>
        </w:rPr>
        <w:t> </w:t>
      </w:r>
      <w:r>
        <w:rPr>
          <w:w w:val="105"/>
          <w:sz w:val="19"/>
        </w:rPr>
        <w:t>of</w:t>
      </w:r>
      <w:r>
        <w:rPr>
          <w:spacing w:val="-22"/>
          <w:w w:val="105"/>
          <w:sz w:val="19"/>
        </w:rPr>
        <w:t> </w:t>
      </w:r>
      <w:r>
        <w:rPr>
          <w:w w:val="105"/>
          <w:sz w:val="19"/>
        </w:rPr>
        <w:t>Political</w:t>
      </w:r>
      <w:r>
        <w:rPr>
          <w:spacing w:val="-22"/>
          <w:w w:val="105"/>
          <w:sz w:val="19"/>
        </w:rPr>
        <w:t> </w:t>
      </w:r>
      <w:r>
        <w:rPr>
          <w:w w:val="105"/>
          <w:sz w:val="19"/>
        </w:rPr>
        <w:t>Economy.</w:t>
      </w:r>
      <w:r>
        <w:rPr>
          <w:spacing w:val="-22"/>
          <w:w w:val="105"/>
          <w:sz w:val="19"/>
        </w:rPr>
        <w:t> </w:t>
      </w:r>
      <w:r>
        <w:rPr>
          <w:w w:val="105"/>
          <w:sz w:val="19"/>
        </w:rPr>
        <w:t>New</w:t>
      </w:r>
      <w:r>
        <w:rPr>
          <w:spacing w:val="-22"/>
          <w:w w:val="105"/>
          <w:sz w:val="19"/>
        </w:rPr>
        <w:t> </w:t>
      </w:r>
      <w:r>
        <w:rPr>
          <w:w w:val="105"/>
          <w:sz w:val="19"/>
        </w:rPr>
        <w:t>York:</w:t>
      </w:r>
      <w:r>
        <w:rPr>
          <w:spacing w:val="-25"/>
          <w:w w:val="105"/>
          <w:sz w:val="19"/>
        </w:rPr>
        <w:t> </w:t>
      </w:r>
      <w:r>
        <w:rPr>
          <w:w w:val="105"/>
          <w:sz w:val="19"/>
        </w:rPr>
        <w:t>Oxford</w:t>
      </w:r>
      <w:r>
        <w:rPr>
          <w:spacing w:val="-19"/>
          <w:w w:val="105"/>
          <w:sz w:val="19"/>
        </w:rPr>
        <w:t> </w:t>
      </w:r>
      <w:r>
        <w:rPr>
          <w:w w:val="105"/>
          <w:sz w:val="19"/>
        </w:rPr>
        <w:t>University</w:t>
      </w:r>
      <w:r>
        <w:rPr>
          <w:spacing w:val="-19"/>
          <w:w w:val="105"/>
          <w:sz w:val="19"/>
        </w:rPr>
        <w:t> </w:t>
      </w:r>
      <w:r>
        <w:rPr>
          <w:w w:val="105"/>
          <w:sz w:val="19"/>
        </w:rPr>
        <w:t>Press.</w:t>
      </w:r>
    </w:p>
    <w:p>
      <w:pPr>
        <w:spacing w:line="242" w:lineRule="auto" w:before="0"/>
        <w:ind w:left="115" w:right="41" w:firstLine="0"/>
        <w:jc w:val="left"/>
        <w:rPr>
          <w:sz w:val="19"/>
        </w:rPr>
      </w:pPr>
      <w:r>
        <w:rPr>
          <w:b/>
          <w:w w:val="105"/>
          <w:sz w:val="19"/>
        </w:rPr>
        <w:t>Crosby</w:t>
      </w:r>
      <w:r>
        <w:rPr>
          <w:w w:val="105"/>
          <w:sz w:val="19"/>
        </w:rPr>
        <w:t>, P. C. (1979), “Quality is free. The Art of Making Quality Certain”. Mc Graw-Hill: New York et al.</w:t>
      </w:r>
    </w:p>
    <w:p>
      <w:pPr>
        <w:spacing w:line="244" w:lineRule="auto" w:before="5"/>
        <w:ind w:left="115" w:right="122" w:firstLine="0"/>
        <w:jc w:val="both"/>
        <w:rPr>
          <w:sz w:val="19"/>
        </w:rPr>
      </w:pPr>
      <w:r>
        <w:rPr>
          <w:b/>
          <w:w w:val="105"/>
          <w:sz w:val="19"/>
        </w:rPr>
        <w:t>Cruz </w:t>
      </w:r>
      <w:r>
        <w:rPr>
          <w:w w:val="105"/>
          <w:sz w:val="19"/>
        </w:rPr>
        <w:t>Bustos Rodolfo. (2008). “Innovación, formación docente y políticas educativas </w:t>
      </w:r>
      <w:r>
        <w:rPr>
          <w:spacing w:val="-3"/>
          <w:w w:val="105"/>
          <w:sz w:val="19"/>
        </w:rPr>
        <w:t>en </w:t>
      </w:r>
      <w:r>
        <w:rPr>
          <w:w w:val="105"/>
          <w:sz w:val="19"/>
        </w:rPr>
        <w:t>México. Hacia</w:t>
      </w:r>
      <w:r>
        <w:rPr>
          <w:spacing w:val="-4"/>
          <w:w w:val="105"/>
          <w:sz w:val="19"/>
        </w:rPr>
        <w:t> </w:t>
      </w:r>
      <w:r>
        <w:rPr>
          <w:w w:val="105"/>
          <w:sz w:val="19"/>
        </w:rPr>
        <w:t>una</w:t>
      </w:r>
      <w:r>
        <w:rPr>
          <w:spacing w:val="-4"/>
          <w:w w:val="105"/>
          <w:sz w:val="19"/>
        </w:rPr>
        <w:t> </w:t>
      </w:r>
      <w:r>
        <w:rPr>
          <w:w w:val="105"/>
          <w:sz w:val="19"/>
        </w:rPr>
        <w:t>reconstrucción</w:t>
      </w:r>
      <w:r>
        <w:rPr>
          <w:spacing w:val="-4"/>
          <w:w w:val="105"/>
          <w:sz w:val="19"/>
        </w:rPr>
        <w:t> </w:t>
      </w:r>
      <w:r>
        <w:rPr>
          <w:w w:val="105"/>
          <w:sz w:val="19"/>
        </w:rPr>
        <w:t>desde</w:t>
      </w:r>
      <w:r>
        <w:rPr>
          <w:spacing w:val="-4"/>
          <w:w w:val="105"/>
          <w:sz w:val="19"/>
        </w:rPr>
        <w:t> </w:t>
      </w:r>
      <w:r>
        <w:rPr>
          <w:w w:val="105"/>
          <w:sz w:val="19"/>
        </w:rPr>
        <w:t>el</w:t>
      </w:r>
      <w:r>
        <w:rPr>
          <w:spacing w:val="-1"/>
          <w:w w:val="105"/>
          <w:sz w:val="19"/>
        </w:rPr>
        <w:t> </w:t>
      </w:r>
      <w:r>
        <w:rPr>
          <w:w w:val="105"/>
          <w:sz w:val="19"/>
        </w:rPr>
        <w:t>sujeto”.</w:t>
      </w:r>
      <w:r>
        <w:rPr>
          <w:spacing w:val="-11"/>
          <w:w w:val="105"/>
          <w:sz w:val="19"/>
        </w:rPr>
        <w:t> </w:t>
      </w:r>
      <w:r>
        <w:rPr>
          <w:w w:val="105"/>
          <w:sz w:val="19"/>
        </w:rPr>
        <w:t>Tiempo</w:t>
      </w:r>
      <w:r>
        <w:rPr>
          <w:spacing w:val="-6"/>
          <w:w w:val="105"/>
          <w:sz w:val="19"/>
        </w:rPr>
        <w:t> </w:t>
      </w:r>
      <w:r>
        <w:rPr>
          <w:w w:val="105"/>
          <w:sz w:val="19"/>
        </w:rPr>
        <w:t>de</w:t>
      </w:r>
      <w:r>
        <w:rPr>
          <w:spacing w:val="-6"/>
          <w:w w:val="105"/>
          <w:sz w:val="19"/>
        </w:rPr>
        <w:t> </w:t>
      </w:r>
      <w:r>
        <w:rPr>
          <w:w w:val="105"/>
          <w:sz w:val="19"/>
        </w:rPr>
        <w:t>educar</w:t>
      </w:r>
      <w:r>
        <w:rPr>
          <w:i/>
          <w:w w:val="105"/>
          <w:sz w:val="19"/>
        </w:rPr>
        <w:t>,</w:t>
      </w:r>
      <w:r>
        <w:rPr>
          <w:i/>
          <w:spacing w:val="-8"/>
          <w:w w:val="105"/>
          <w:sz w:val="19"/>
        </w:rPr>
        <w:t> </w:t>
      </w:r>
      <w:r>
        <w:rPr>
          <w:w w:val="105"/>
          <w:sz w:val="19"/>
        </w:rPr>
        <w:t>año</w:t>
      </w:r>
      <w:r>
        <w:rPr>
          <w:spacing w:val="-5"/>
          <w:w w:val="105"/>
          <w:sz w:val="19"/>
        </w:rPr>
        <w:t> </w:t>
      </w:r>
      <w:r>
        <w:rPr>
          <w:w w:val="105"/>
          <w:sz w:val="19"/>
        </w:rPr>
        <w:t>9,</w:t>
      </w:r>
      <w:r>
        <w:rPr>
          <w:spacing w:val="-5"/>
          <w:w w:val="105"/>
          <w:sz w:val="19"/>
        </w:rPr>
        <w:t> </w:t>
      </w:r>
      <w:r>
        <w:rPr>
          <w:w w:val="105"/>
          <w:sz w:val="19"/>
        </w:rPr>
        <w:t>segunda</w:t>
      </w:r>
      <w:r>
        <w:rPr>
          <w:spacing w:val="-5"/>
          <w:w w:val="105"/>
          <w:sz w:val="19"/>
        </w:rPr>
        <w:t> </w:t>
      </w:r>
      <w:r>
        <w:rPr>
          <w:w w:val="105"/>
          <w:sz w:val="19"/>
        </w:rPr>
        <w:t>época,</w:t>
      </w:r>
      <w:r>
        <w:rPr>
          <w:spacing w:val="-5"/>
          <w:w w:val="105"/>
          <w:sz w:val="19"/>
        </w:rPr>
        <w:t> </w:t>
      </w:r>
      <w:r>
        <w:rPr>
          <w:w w:val="105"/>
          <w:sz w:val="19"/>
        </w:rPr>
        <w:t>número</w:t>
      </w:r>
      <w:r>
        <w:rPr>
          <w:spacing w:val="-5"/>
          <w:w w:val="105"/>
          <w:sz w:val="19"/>
        </w:rPr>
        <w:t> </w:t>
      </w:r>
      <w:r>
        <w:rPr>
          <w:w w:val="105"/>
          <w:sz w:val="19"/>
        </w:rPr>
        <w:t>17, enero-junio</w:t>
      </w:r>
      <w:r>
        <w:rPr>
          <w:spacing w:val="-25"/>
          <w:w w:val="105"/>
          <w:sz w:val="19"/>
        </w:rPr>
        <w:t> </w:t>
      </w:r>
      <w:r>
        <w:rPr>
          <w:w w:val="105"/>
          <w:sz w:val="19"/>
        </w:rPr>
        <w:t>de</w:t>
      </w:r>
      <w:r>
        <w:rPr>
          <w:spacing w:val="-25"/>
          <w:w w:val="105"/>
          <w:sz w:val="19"/>
        </w:rPr>
        <w:t> </w:t>
      </w:r>
      <w:r>
        <w:rPr>
          <w:w w:val="105"/>
          <w:sz w:val="19"/>
        </w:rPr>
        <w:t>2008</w:t>
      </w:r>
    </w:p>
    <w:p>
      <w:pPr>
        <w:spacing w:line="247" w:lineRule="auto" w:before="3"/>
        <w:ind w:left="115" w:right="525" w:firstLine="0"/>
        <w:jc w:val="left"/>
        <w:rPr>
          <w:sz w:val="19"/>
        </w:rPr>
      </w:pPr>
      <w:r>
        <w:rPr>
          <w:b/>
          <w:w w:val="105"/>
          <w:sz w:val="19"/>
        </w:rPr>
        <w:t>Cumbre Iberoamericana</w:t>
      </w:r>
      <w:r>
        <w:rPr>
          <w:w w:val="105"/>
          <w:sz w:val="19"/>
        </w:rPr>
        <w:t>. Memoria. Puede consultarse en: </w:t>
      </w:r>
      <w:hyperlink r:id="rId141">
        <w:r>
          <w:rPr>
            <w:sz w:val="19"/>
            <w:u w:val="single"/>
          </w:rPr>
          <w:t>http://www.calidadeducativa.edusanluis.com.ar/2008/10/calidad-de-la-educacion-y-gestion.html</w:t>
        </w:r>
      </w:hyperlink>
    </w:p>
    <w:p>
      <w:pPr>
        <w:spacing w:after="0" w:line="247" w:lineRule="auto"/>
        <w:jc w:val="left"/>
        <w:rPr>
          <w:sz w:val="19"/>
        </w:rPr>
        <w:sectPr>
          <w:pgSz w:w="11910" w:h="16840"/>
          <w:pgMar w:header="0" w:footer="1457" w:top="1580" w:bottom="1640" w:left="1540" w:right="1520"/>
        </w:sectPr>
      </w:pPr>
    </w:p>
    <w:p>
      <w:pPr>
        <w:pStyle w:val="BodyText"/>
        <w:rPr>
          <w:sz w:val="20"/>
        </w:rPr>
      </w:pPr>
    </w:p>
    <w:p>
      <w:pPr>
        <w:pStyle w:val="BodyText"/>
        <w:rPr>
          <w:sz w:val="20"/>
        </w:rPr>
      </w:pPr>
    </w:p>
    <w:p>
      <w:pPr>
        <w:pStyle w:val="BodyText"/>
        <w:spacing w:before="6"/>
        <w:rPr>
          <w:sz w:val="22"/>
        </w:rPr>
      </w:pPr>
    </w:p>
    <w:p>
      <w:pPr>
        <w:spacing w:line="247" w:lineRule="auto" w:before="0"/>
        <w:ind w:left="115" w:right="8322" w:firstLine="0"/>
        <w:jc w:val="left"/>
        <w:rPr>
          <w:b/>
          <w:sz w:val="19"/>
        </w:rPr>
      </w:pPr>
      <w:r>
        <w:rPr>
          <w:b/>
          <w:w w:val="105"/>
          <w:sz w:val="19"/>
        </w:rPr>
        <w:t>CH D</w:t>
      </w:r>
    </w:p>
    <w:p>
      <w:pPr>
        <w:spacing w:line="247" w:lineRule="auto" w:before="0"/>
        <w:ind w:left="115" w:right="41" w:firstLine="0"/>
        <w:jc w:val="left"/>
        <w:rPr>
          <w:sz w:val="19"/>
        </w:rPr>
      </w:pPr>
      <w:r>
        <w:rPr>
          <w:b/>
          <w:w w:val="105"/>
          <w:sz w:val="19"/>
        </w:rPr>
        <w:t>Dahlberg</w:t>
      </w:r>
      <w:r>
        <w:rPr>
          <w:w w:val="105"/>
          <w:sz w:val="19"/>
        </w:rPr>
        <w:t>,</w:t>
      </w:r>
      <w:r>
        <w:rPr>
          <w:spacing w:val="-16"/>
          <w:w w:val="105"/>
          <w:sz w:val="19"/>
        </w:rPr>
        <w:t> </w:t>
      </w:r>
      <w:r>
        <w:rPr>
          <w:w w:val="105"/>
          <w:sz w:val="19"/>
        </w:rPr>
        <w:t>Gunilla</w:t>
      </w:r>
      <w:r>
        <w:rPr>
          <w:spacing w:val="-7"/>
          <w:w w:val="105"/>
          <w:sz w:val="19"/>
        </w:rPr>
        <w:t> </w:t>
      </w:r>
      <w:r>
        <w:rPr>
          <w:w w:val="105"/>
          <w:sz w:val="19"/>
        </w:rPr>
        <w:t>y</w:t>
      </w:r>
      <w:r>
        <w:rPr>
          <w:spacing w:val="-13"/>
          <w:w w:val="105"/>
          <w:sz w:val="19"/>
        </w:rPr>
        <w:t> </w:t>
      </w:r>
      <w:r>
        <w:rPr>
          <w:w w:val="105"/>
          <w:sz w:val="19"/>
        </w:rPr>
        <w:t>Pence,</w:t>
      </w:r>
      <w:r>
        <w:rPr>
          <w:spacing w:val="-9"/>
          <w:w w:val="105"/>
          <w:sz w:val="19"/>
        </w:rPr>
        <w:t> </w:t>
      </w:r>
      <w:r>
        <w:rPr>
          <w:w w:val="105"/>
          <w:sz w:val="19"/>
        </w:rPr>
        <w:t>Moss</w:t>
      </w:r>
      <w:r>
        <w:rPr>
          <w:spacing w:val="-9"/>
          <w:w w:val="105"/>
          <w:sz w:val="19"/>
        </w:rPr>
        <w:t> </w:t>
      </w:r>
      <w:r>
        <w:rPr>
          <w:w w:val="105"/>
          <w:sz w:val="19"/>
        </w:rPr>
        <w:t>(2005).</w:t>
      </w:r>
      <w:r>
        <w:rPr>
          <w:spacing w:val="-9"/>
          <w:w w:val="105"/>
          <w:sz w:val="19"/>
        </w:rPr>
        <w:t> </w:t>
      </w:r>
      <w:r>
        <w:rPr>
          <w:w w:val="105"/>
          <w:sz w:val="19"/>
        </w:rPr>
        <w:t>“Más</w:t>
      </w:r>
      <w:r>
        <w:rPr>
          <w:spacing w:val="-13"/>
          <w:w w:val="105"/>
          <w:sz w:val="19"/>
        </w:rPr>
        <w:t> </w:t>
      </w:r>
      <w:r>
        <w:rPr>
          <w:w w:val="105"/>
          <w:sz w:val="19"/>
        </w:rPr>
        <w:t>allá</w:t>
      </w:r>
      <w:r>
        <w:rPr>
          <w:spacing w:val="-9"/>
          <w:w w:val="105"/>
          <w:sz w:val="19"/>
        </w:rPr>
        <w:t> </w:t>
      </w:r>
      <w:r>
        <w:rPr>
          <w:spacing w:val="-3"/>
          <w:w w:val="105"/>
          <w:sz w:val="19"/>
        </w:rPr>
        <w:t>de</w:t>
      </w:r>
      <w:r>
        <w:rPr>
          <w:spacing w:val="-9"/>
          <w:w w:val="105"/>
          <w:sz w:val="19"/>
        </w:rPr>
        <w:t> </w:t>
      </w:r>
      <w:r>
        <w:rPr>
          <w:w w:val="105"/>
          <w:sz w:val="19"/>
        </w:rPr>
        <w:t>la</w:t>
      </w:r>
      <w:r>
        <w:rPr>
          <w:spacing w:val="-12"/>
          <w:w w:val="105"/>
          <w:sz w:val="19"/>
        </w:rPr>
        <w:t> </w:t>
      </w:r>
      <w:r>
        <w:rPr>
          <w:w w:val="105"/>
          <w:sz w:val="19"/>
        </w:rPr>
        <w:t>calidad</w:t>
      </w:r>
      <w:r>
        <w:rPr>
          <w:spacing w:val="-9"/>
          <w:w w:val="105"/>
          <w:sz w:val="19"/>
        </w:rPr>
        <w:t> </w:t>
      </w:r>
      <w:r>
        <w:rPr>
          <w:w w:val="105"/>
          <w:sz w:val="19"/>
        </w:rPr>
        <w:t>en</w:t>
      </w:r>
      <w:r>
        <w:rPr>
          <w:spacing w:val="-9"/>
          <w:w w:val="105"/>
          <w:sz w:val="19"/>
        </w:rPr>
        <w:t> </w:t>
      </w:r>
      <w:r>
        <w:rPr>
          <w:w w:val="105"/>
          <w:sz w:val="19"/>
        </w:rPr>
        <w:t>educación</w:t>
      </w:r>
      <w:r>
        <w:rPr>
          <w:spacing w:val="-9"/>
          <w:w w:val="105"/>
          <w:sz w:val="19"/>
        </w:rPr>
        <w:t> </w:t>
      </w:r>
      <w:r>
        <w:rPr>
          <w:w w:val="105"/>
          <w:sz w:val="19"/>
        </w:rPr>
        <w:t>infantil”.</w:t>
      </w:r>
      <w:r>
        <w:rPr>
          <w:spacing w:val="-12"/>
          <w:w w:val="105"/>
          <w:sz w:val="19"/>
        </w:rPr>
        <w:t> </w:t>
      </w:r>
      <w:r>
        <w:rPr>
          <w:w w:val="105"/>
          <w:sz w:val="19"/>
        </w:rPr>
        <w:t>Ed.</w:t>
      </w:r>
      <w:r>
        <w:rPr>
          <w:spacing w:val="-9"/>
          <w:w w:val="105"/>
          <w:sz w:val="19"/>
        </w:rPr>
        <w:t> </w:t>
      </w:r>
      <w:r>
        <w:rPr>
          <w:w w:val="105"/>
          <w:sz w:val="19"/>
        </w:rPr>
        <w:t>GRAO, Barcelona.</w:t>
      </w:r>
    </w:p>
    <w:p>
      <w:pPr>
        <w:spacing w:line="242" w:lineRule="auto" w:before="0"/>
        <w:ind w:left="115" w:right="41" w:firstLine="0"/>
        <w:jc w:val="left"/>
        <w:rPr>
          <w:sz w:val="19"/>
        </w:rPr>
      </w:pPr>
      <w:r>
        <w:rPr>
          <w:b/>
          <w:w w:val="105"/>
          <w:sz w:val="19"/>
        </w:rPr>
        <w:t>Dale</w:t>
      </w:r>
      <w:r>
        <w:rPr>
          <w:w w:val="105"/>
          <w:sz w:val="19"/>
        </w:rPr>
        <w:t>,</w:t>
      </w:r>
      <w:r>
        <w:rPr>
          <w:spacing w:val="-10"/>
          <w:w w:val="105"/>
          <w:sz w:val="19"/>
        </w:rPr>
        <w:t> </w:t>
      </w:r>
      <w:r>
        <w:rPr>
          <w:w w:val="105"/>
          <w:sz w:val="19"/>
        </w:rPr>
        <w:t>Robert</w:t>
      </w:r>
      <w:r>
        <w:rPr>
          <w:spacing w:val="-14"/>
          <w:w w:val="105"/>
          <w:sz w:val="19"/>
        </w:rPr>
        <w:t> </w:t>
      </w:r>
      <w:r>
        <w:rPr>
          <w:w w:val="105"/>
          <w:sz w:val="19"/>
        </w:rPr>
        <w:t>(2001).</w:t>
      </w:r>
      <w:r>
        <w:rPr>
          <w:spacing w:val="-14"/>
          <w:w w:val="105"/>
          <w:sz w:val="19"/>
        </w:rPr>
        <w:t> </w:t>
      </w:r>
      <w:r>
        <w:rPr>
          <w:w w:val="105"/>
          <w:sz w:val="19"/>
        </w:rPr>
        <w:t>“Globalización:</w:t>
      </w:r>
      <w:r>
        <w:rPr>
          <w:spacing w:val="-14"/>
          <w:w w:val="105"/>
          <w:sz w:val="19"/>
        </w:rPr>
        <w:t> </w:t>
      </w:r>
      <w:r>
        <w:rPr>
          <w:w w:val="105"/>
          <w:sz w:val="19"/>
        </w:rPr>
        <w:t>un</w:t>
      </w:r>
      <w:r>
        <w:rPr>
          <w:spacing w:val="-10"/>
          <w:w w:val="105"/>
          <w:sz w:val="19"/>
        </w:rPr>
        <w:t> </w:t>
      </w:r>
      <w:r>
        <w:rPr>
          <w:w w:val="105"/>
          <w:sz w:val="19"/>
        </w:rPr>
        <w:t>nuevo</w:t>
      </w:r>
      <w:r>
        <w:rPr>
          <w:spacing w:val="-10"/>
          <w:w w:val="105"/>
          <w:sz w:val="19"/>
        </w:rPr>
        <w:t> </w:t>
      </w:r>
      <w:r>
        <w:rPr>
          <w:w w:val="105"/>
          <w:sz w:val="19"/>
        </w:rPr>
        <w:t>mundo</w:t>
      </w:r>
      <w:r>
        <w:rPr>
          <w:spacing w:val="-10"/>
          <w:w w:val="105"/>
          <w:sz w:val="19"/>
        </w:rPr>
        <w:t> </w:t>
      </w:r>
      <w:r>
        <w:rPr>
          <w:w w:val="105"/>
          <w:sz w:val="19"/>
        </w:rPr>
        <w:t>para</w:t>
      </w:r>
      <w:r>
        <w:rPr>
          <w:spacing w:val="-10"/>
          <w:w w:val="105"/>
          <w:sz w:val="19"/>
        </w:rPr>
        <w:t> </w:t>
      </w:r>
      <w:r>
        <w:rPr>
          <w:w w:val="105"/>
          <w:sz w:val="19"/>
        </w:rPr>
        <w:t>la</w:t>
      </w:r>
      <w:r>
        <w:rPr>
          <w:spacing w:val="-8"/>
          <w:w w:val="105"/>
          <w:sz w:val="19"/>
        </w:rPr>
        <w:t> </w:t>
      </w:r>
      <w:r>
        <w:rPr>
          <w:w w:val="105"/>
          <w:sz w:val="19"/>
        </w:rPr>
        <w:t>educación</w:t>
      </w:r>
      <w:r>
        <w:rPr>
          <w:spacing w:val="-10"/>
          <w:w w:val="105"/>
          <w:sz w:val="19"/>
        </w:rPr>
        <w:t> </w:t>
      </w:r>
      <w:r>
        <w:rPr>
          <w:w w:val="105"/>
          <w:sz w:val="19"/>
        </w:rPr>
        <w:t>comparada?”,</w:t>
      </w:r>
      <w:r>
        <w:rPr>
          <w:spacing w:val="-14"/>
          <w:w w:val="105"/>
          <w:sz w:val="19"/>
        </w:rPr>
        <w:t> </w:t>
      </w:r>
      <w:r>
        <w:rPr>
          <w:w w:val="105"/>
          <w:sz w:val="19"/>
        </w:rPr>
        <w:t>en</w:t>
      </w:r>
      <w:r>
        <w:rPr>
          <w:spacing w:val="-10"/>
          <w:w w:val="105"/>
          <w:sz w:val="19"/>
        </w:rPr>
        <w:t> </w:t>
      </w:r>
      <w:r>
        <w:rPr>
          <w:w w:val="105"/>
          <w:sz w:val="19"/>
        </w:rPr>
        <w:t>Jüergen Schriwer,</w:t>
      </w:r>
      <w:r>
        <w:rPr>
          <w:spacing w:val="-23"/>
          <w:w w:val="105"/>
          <w:sz w:val="19"/>
        </w:rPr>
        <w:t> </w:t>
      </w:r>
      <w:r>
        <w:rPr>
          <w:w w:val="105"/>
          <w:sz w:val="19"/>
        </w:rPr>
        <w:t>coord.,</w:t>
      </w:r>
      <w:r>
        <w:rPr>
          <w:spacing w:val="-27"/>
          <w:w w:val="105"/>
          <w:sz w:val="19"/>
        </w:rPr>
        <w:t> </w:t>
      </w:r>
      <w:r>
        <w:rPr>
          <w:w w:val="105"/>
          <w:sz w:val="19"/>
        </w:rPr>
        <w:t>Formación</w:t>
      </w:r>
      <w:r>
        <w:rPr>
          <w:spacing w:val="-23"/>
          <w:w w:val="105"/>
          <w:sz w:val="19"/>
        </w:rPr>
        <w:t> </w:t>
      </w:r>
      <w:r>
        <w:rPr>
          <w:w w:val="105"/>
          <w:sz w:val="19"/>
        </w:rPr>
        <w:t>del</w:t>
      </w:r>
      <w:r>
        <w:rPr>
          <w:spacing w:val="-20"/>
          <w:w w:val="105"/>
          <w:sz w:val="19"/>
        </w:rPr>
        <w:t> </w:t>
      </w:r>
      <w:r>
        <w:rPr>
          <w:w w:val="105"/>
          <w:sz w:val="19"/>
        </w:rPr>
        <w:t>discurso</w:t>
      </w:r>
      <w:r>
        <w:rPr>
          <w:spacing w:val="-23"/>
          <w:w w:val="105"/>
          <w:sz w:val="19"/>
        </w:rPr>
        <w:t> </w:t>
      </w:r>
      <w:r>
        <w:rPr>
          <w:w w:val="105"/>
          <w:sz w:val="19"/>
        </w:rPr>
        <w:t>en</w:t>
      </w:r>
      <w:r>
        <w:rPr>
          <w:spacing w:val="-23"/>
          <w:w w:val="105"/>
          <w:sz w:val="19"/>
        </w:rPr>
        <w:t> </w:t>
      </w:r>
      <w:r>
        <w:rPr>
          <w:w w:val="105"/>
          <w:sz w:val="19"/>
        </w:rPr>
        <w:t>la</w:t>
      </w:r>
      <w:r>
        <w:rPr>
          <w:spacing w:val="-25"/>
          <w:w w:val="105"/>
          <w:sz w:val="19"/>
        </w:rPr>
        <w:t> </w:t>
      </w:r>
      <w:r>
        <w:rPr>
          <w:w w:val="105"/>
          <w:sz w:val="19"/>
        </w:rPr>
        <w:t>educación</w:t>
      </w:r>
      <w:r>
        <w:rPr>
          <w:spacing w:val="-23"/>
          <w:w w:val="105"/>
          <w:sz w:val="19"/>
        </w:rPr>
        <w:t> </w:t>
      </w:r>
      <w:r>
        <w:rPr>
          <w:w w:val="105"/>
          <w:sz w:val="19"/>
        </w:rPr>
        <w:t>comparada,</w:t>
      </w:r>
      <w:r>
        <w:rPr>
          <w:spacing w:val="-23"/>
          <w:w w:val="105"/>
          <w:sz w:val="19"/>
        </w:rPr>
        <w:t> </w:t>
      </w:r>
      <w:r>
        <w:rPr>
          <w:w w:val="105"/>
          <w:sz w:val="19"/>
        </w:rPr>
        <w:t>Pomares,</w:t>
      </w:r>
      <w:r>
        <w:rPr>
          <w:spacing w:val="-23"/>
          <w:w w:val="105"/>
          <w:sz w:val="19"/>
        </w:rPr>
        <w:t> </w:t>
      </w:r>
      <w:r>
        <w:rPr>
          <w:w w:val="105"/>
          <w:sz w:val="19"/>
        </w:rPr>
        <w:t>Barcelona.</w:t>
      </w:r>
    </w:p>
    <w:p>
      <w:pPr>
        <w:spacing w:before="5"/>
        <w:ind w:left="115" w:right="41" w:firstLine="0"/>
        <w:jc w:val="left"/>
        <w:rPr>
          <w:sz w:val="19"/>
        </w:rPr>
      </w:pPr>
      <w:r>
        <w:rPr>
          <w:b/>
          <w:w w:val="105"/>
          <w:sz w:val="19"/>
        </w:rPr>
        <w:t>Delegación Regional </w:t>
      </w:r>
      <w:r>
        <w:rPr>
          <w:w w:val="105"/>
          <w:sz w:val="19"/>
        </w:rPr>
        <w:t>de la SEP y la Universidad Autónoma de Aguascalientes, (2009) op. cit. p.</w:t>
      </w:r>
    </w:p>
    <w:p>
      <w:pPr>
        <w:spacing w:before="7"/>
        <w:ind w:left="115" w:right="127" w:firstLine="0"/>
        <w:jc w:val="left"/>
        <w:rPr>
          <w:sz w:val="19"/>
        </w:rPr>
      </w:pPr>
      <w:r>
        <w:rPr>
          <w:w w:val="105"/>
          <w:sz w:val="19"/>
        </w:rPr>
        <w:t>39. En Ornelas , 2009: 173.</w:t>
      </w:r>
    </w:p>
    <w:p>
      <w:pPr>
        <w:spacing w:line="242" w:lineRule="auto" w:before="7"/>
        <w:ind w:left="115" w:right="127" w:firstLine="0"/>
        <w:jc w:val="left"/>
        <w:rPr>
          <w:sz w:val="19"/>
        </w:rPr>
      </w:pPr>
      <w:r>
        <w:rPr>
          <w:b/>
          <w:w w:val="105"/>
          <w:sz w:val="19"/>
        </w:rPr>
        <w:t>Delors</w:t>
      </w:r>
      <w:r>
        <w:rPr>
          <w:w w:val="105"/>
          <w:sz w:val="19"/>
        </w:rPr>
        <w:t>, Jacques (1996). “La educación encierra un tesoro. Informe a la UNESCO de la Comisión Internacional sobre la educación para el siglo XXI”. Ediciones UNESCO.</w:t>
      </w:r>
    </w:p>
    <w:p>
      <w:pPr>
        <w:spacing w:before="0"/>
        <w:ind w:left="115" w:right="127" w:firstLine="0"/>
        <w:jc w:val="left"/>
        <w:rPr>
          <w:sz w:val="19"/>
        </w:rPr>
      </w:pPr>
      <w:r>
        <w:rPr>
          <w:b/>
          <w:w w:val="105"/>
          <w:sz w:val="19"/>
        </w:rPr>
        <w:t>Deming</w:t>
      </w:r>
      <w:r>
        <w:rPr>
          <w:w w:val="105"/>
          <w:sz w:val="19"/>
        </w:rPr>
        <w:t>, E. (1989). Calidad, productividad y competitividad. Madrid, Editorial Díaz de Santos.</w:t>
      </w:r>
    </w:p>
    <w:p>
      <w:pPr>
        <w:spacing w:line="247" w:lineRule="auto" w:before="7"/>
        <w:ind w:left="115" w:right="32" w:firstLine="0"/>
        <w:jc w:val="left"/>
        <w:rPr>
          <w:sz w:val="19"/>
        </w:rPr>
      </w:pPr>
      <w:r>
        <w:rPr>
          <w:b/>
          <w:w w:val="105"/>
          <w:sz w:val="19"/>
        </w:rPr>
        <w:t>Díaz, </w:t>
      </w:r>
      <w:r>
        <w:rPr>
          <w:w w:val="105"/>
          <w:sz w:val="19"/>
        </w:rPr>
        <w:t>de Cosio Roger (2003), “Leer, escribir, contar y pensar para la vida y el trabajo: una metáfora” en Leer, escribir, contar y pensar. Fernando Solana (comp)</w:t>
      </w:r>
      <w:r>
        <w:rPr>
          <w:i/>
          <w:w w:val="105"/>
          <w:sz w:val="19"/>
        </w:rPr>
        <w:t>. </w:t>
      </w:r>
      <w:r>
        <w:rPr>
          <w:w w:val="105"/>
          <w:sz w:val="19"/>
        </w:rPr>
        <w:t>FMED, México. pp. 87-100. </w:t>
      </w:r>
      <w:r>
        <w:rPr>
          <w:b/>
          <w:w w:val="105"/>
          <w:sz w:val="19"/>
        </w:rPr>
        <w:t>Dirección de Evaluación </w:t>
      </w:r>
      <w:r>
        <w:rPr>
          <w:w w:val="105"/>
          <w:sz w:val="19"/>
        </w:rPr>
        <w:t>de Escuelas (2006). “Plan de Trabajo 2007-2014”. (Mimeo) INEE- México.</w:t>
      </w:r>
    </w:p>
    <w:p>
      <w:pPr>
        <w:spacing w:line="242" w:lineRule="auto" w:before="0"/>
        <w:ind w:left="115" w:right="127" w:firstLine="0"/>
        <w:jc w:val="left"/>
        <w:rPr>
          <w:sz w:val="19"/>
        </w:rPr>
      </w:pPr>
      <w:r>
        <w:rPr>
          <w:b/>
          <w:w w:val="105"/>
          <w:sz w:val="19"/>
        </w:rPr>
        <w:t>Dirección de Proyectos Internacionales </w:t>
      </w:r>
      <w:r>
        <w:rPr>
          <w:w w:val="105"/>
          <w:sz w:val="19"/>
        </w:rPr>
        <w:t>y Especiales (2006). “Plan de Trabajo 2007-2014”. (Mimeo) INEE, México.</w:t>
      </w:r>
    </w:p>
    <w:p>
      <w:pPr>
        <w:spacing w:line="247" w:lineRule="auto" w:before="5"/>
        <w:ind w:left="115" w:right="127" w:firstLine="0"/>
        <w:jc w:val="left"/>
        <w:rPr>
          <w:sz w:val="19"/>
        </w:rPr>
      </w:pPr>
      <w:r>
        <w:rPr>
          <w:b/>
          <w:w w:val="105"/>
          <w:sz w:val="19"/>
        </w:rPr>
        <w:t>Dirección de Pruebas y Medición </w:t>
      </w:r>
      <w:r>
        <w:rPr>
          <w:w w:val="105"/>
          <w:sz w:val="19"/>
        </w:rPr>
        <w:t>(2005). “Plan General de Evaluación del Aprendizaje. Proyectos Nacionales e Internacionales”. (Mimeo) INEE-México.</w:t>
      </w:r>
    </w:p>
    <w:p>
      <w:pPr>
        <w:spacing w:line="242" w:lineRule="auto" w:before="0"/>
        <w:ind w:left="115" w:right="127" w:firstLine="0"/>
        <w:jc w:val="left"/>
        <w:rPr>
          <w:sz w:val="19"/>
        </w:rPr>
      </w:pPr>
      <w:r>
        <w:rPr>
          <w:b/>
          <w:w w:val="105"/>
          <w:sz w:val="19"/>
        </w:rPr>
        <w:t>Dye</w:t>
      </w:r>
      <w:r>
        <w:rPr>
          <w:w w:val="105"/>
          <w:sz w:val="19"/>
        </w:rPr>
        <w:t>,</w:t>
      </w:r>
      <w:r>
        <w:rPr>
          <w:spacing w:val="-16"/>
          <w:w w:val="105"/>
          <w:sz w:val="19"/>
        </w:rPr>
        <w:t> </w:t>
      </w:r>
      <w:r>
        <w:rPr>
          <w:w w:val="105"/>
          <w:sz w:val="19"/>
        </w:rPr>
        <w:t>Thomas</w:t>
      </w:r>
      <w:r>
        <w:rPr>
          <w:spacing w:val="-11"/>
          <w:w w:val="105"/>
          <w:sz w:val="19"/>
        </w:rPr>
        <w:t> </w:t>
      </w:r>
      <w:r>
        <w:rPr>
          <w:w w:val="105"/>
          <w:sz w:val="19"/>
        </w:rPr>
        <w:t>R.</w:t>
      </w:r>
      <w:r>
        <w:rPr>
          <w:spacing w:val="-17"/>
          <w:w w:val="105"/>
          <w:sz w:val="19"/>
        </w:rPr>
        <w:t> </w:t>
      </w:r>
      <w:r>
        <w:rPr>
          <w:w w:val="105"/>
          <w:sz w:val="19"/>
        </w:rPr>
        <w:t>(1976),</w:t>
      </w:r>
      <w:r>
        <w:rPr>
          <w:spacing w:val="-16"/>
          <w:w w:val="105"/>
          <w:sz w:val="19"/>
        </w:rPr>
        <w:t> </w:t>
      </w:r>
      <w:r>
        <w:rPr>
          <w:w w:val="105"/>
          <w:sz w:val="19"/>
        </w:rPr>
        <w:t>“Policy</w:t>
      </w:r>
      <w:r>
        <w:rPr>
          <w:spacing w:val="-11"/>
          <w:w w:val="105"/>
          <w:sz w:val="19"/>
        </w:rPr>
        <w:t> </w:t>
      </w:r>
      <w:r>
        <w:rPr>
          <w:w w:val="105"/>
          <w:sz w:val="19"/>
        </w:rPr>
        <w:t>analysis:</w:t>
      </w:r>
      <w:r>
        <w:rPr>
          <w:spacing w:val="-11"/>
          <w:w w:val="105"/>
          <w:sz w:val="19"/>
        </w:rPr>
        <w:t> </w:t>
      </w:r>
      <w:r>
        <w:rPr>
          <w:w w:val="105"/>
          <w:sz w:val="19"/>
        </w:rPr>
        <w:t>what</w:t>
      </w:r>
      <w:r>
        <w:rPr>
          <w:spacing w:val="-16"/>
          <w:w w:val="105"/>
          <w:sz w:val="19"/>
        </w:rPr>
        <w:t> </w:t>
      </w:r>
      <w:r>
        <w:rPr>
          <w:w w:val="105"/>
          <w:sz w:val="19"/>
        </w:rPr>
        <w:t>governments</w:t>
      </w:r>
      <w:r>
        <w:rPr>
          <w:spacing w:val="-9"/>
          <w:w w:val="105"/>
          <w:sz w:val="19"/>
        </w:rPr>
        <w:t> </w:t>
      </w:r>
      <w:r>
        <w:rPr>
          <w:w w:val="105"/>
          <w:sz w:val="19"/>
        </w:rPr>
        <w:t>do,</w:t>
      </w:r>
      <w:r>
        <w:rPr>
          <w:spacing w:val="-11"/>
          <w:w w:val="105"/>
          <w:sz w:val="19"/>
        </w:rPr>
        <w:t> </w:t>
      </w:r>
      <w:r>
        <w:rPr>
          <w:w w:val="105"/>
          <w:sz w:val="19"/>
        </w:rPr>
        <w:t>why</w:t>
      </w:r>
      <w:r>
        <w:rPr>
          <w:spacing w:val="-17"/>
          <w:w w:val="105"/>
          <w:sz w:val="19"/>
        </w:rPr>
        <w:t> </w:t>
      </w:r>
      <w:r>
        <w:rPr>
          <w:w w:val="105"/>
          <w:sz w:val="19"/>
        </w:rPr>
        <w:t>they</w:t>
      </w:r>
      <w:r>
        <w:rPr>
          <w:spacing w:val="-17"/>
          <w:w w:val="105"/>
          <w:sz w:val="19"/>
        </w:rPr>
        <w:t> </w:t>
      </w:r>
      <w:r>
        <w:rPr>
          <w:w w:val="105"/>
          <w:sz w:val="19"/>
        </w:rPr>
        <w:t>do</w:t>
      </w:r>
      <w:r>
        <w:rPr>
          <w:spacing w:val="-11"/>
          <w:w w:val="105"/>
          <w:sz w:val="19"/>
        </w:rPr>
        <w:t> </w:t>
      </w:r>
      <w:r>
        <w:rPr>
          <w:w w:val="105"/>
          <w:sz w:val="19"/>
        </w:rPr>
        <w:t>it,</w:t>
      </w:r>
      <w:r>
        <w:rPr>
          <w:spacing w:val="-14"/>
          <w:w w:val="105"/>
          <w:sz w:val="19"/>
        </w:rPr>
        <w:t> </w:t>
      </w:r>
      <w:r>
        <w:rPr>
          <w:w w:val="105"/>
          <w:sz w:val="19"/>
        </w:rPr>
        <w:t>and</w:t>
      </w:r>
      <w:r>
        <w:rPr>
          <w:spacing w:val="-11"/>
          <w:w w:val="105"/>
          <w:sz w:val="19"/>
        </w:rPr>
        <w:t> </w:t>
      </w:r>
      <w:r>
        <w:rPr>
          <w:w w:val="105"/>
          <w:sz w:val="19"/>
        </w:rPr>
        <w:t>what</w:t>
      </w:r>
      <w:r>
        <w:rPr>
          <w:spacing w:val="-16"/>
          <w:w w:val="105"/>
          <w:sz w:val="19"/>
        </w:rPr>
        <w:t> </w:t>
      </w:r>
      <w:r>
        <w:rPr>
          <w:w w:val="105"/>
          <w:sz w:val="19"/>
        </w:rPr>
        <w:t>difference </w:t>
      </w:r>
      <w:r>
        <w:rPr>
          <w:spacing w:val="-3"/>
          <w:w w:val="105"/>
          <w:sz w:val="19"/>
        </w:rPr>
        <w:t>it</w:t>
      </w:r>
      <w:r>
        <w:rPr>
          <w:spacing w:val="-22"/>
          <w:w w:val="105"/>
          <w:sz w:val="19"/>
        </w:rPr>
        <w:t> </w:t>
      </w:r>
      <w:r>
        <w:rPr>
          <w:w w:val="105"/>
          <w:sz w:val="19"/>
        </w:rPr>
        <w:t>makes”.</w:t>
      </w:r>
      <w:r>
        <w:rPr>
          <w:spacing w:val="-22"/>
          <w:w w:val="105"/>
          <w:sz w:val="19"/>
        </w:rPr>
        <w:t> </w:t>
      </w:r>
      <w:r>
        <w:rPr>
          <w:w w:val="105"/>
          <w:sz w:val="19"/>
        </w:rPr>
        <w:t>University</w:t>
      </w:r>
      <w:r>
        <w:rPr>
          <w:spacing w:val="-22"/>
          <w:w w:val="105"/>
          <w:sz w:val="19"/>
        </w:rPr>
        <w:t> </w:t>
      </w:r>
      <w:r>
        <w:rPr>
          <w:spacing w:val="4"/>
          <w:w w:val="105"/>
          <w:sz w:val="19"/>
        </w:rPr>
        <w:t>of</w:t>
      </w:r>
      <w:r>
        <w:rPr>
          <w:spacing w:val="-22"/>
          <w:w w:val="105"/>
          <w:sz w:val="19"/>
        </w:rPr>
        <w:t> </w:t>
      </w:r>
      <w:r>
        <w:rPr>
          <w:w w:val="105"/>
          <w:sz w:val="19"/>
        </w:rPr>
        <w:t>Alabama</w:t>
      </w:r>
      <w:r>
        <w:rPr>
          <w:spacing w:val="-18"/>
          <w:w w:val="105"/>
          <w:sz w:val="19"/>
        </w:rPr>
        <w:t> </w:t>
      </w:r>
      <w:r>
        <w:rPr>
          <w:w w:val="105"/>
          <w:sz w:val="19"/>
        </w:rPr>
        <w:t>Press.</w:t>
      </w:r>
    </w:p>
    <w:p>
      <w:pPr>
        <w:pStyle w:val="BodyText"/>
        <w:spacing w:before="7"/>
        <w:rPr>
          <w:sz w:val="19"/>
        </w:rPr>
      </w:pPr>
    </w:p>
    <w:p>
      <w:pPr>
        <w:spacing w:line="242" w:lineRule="auto" w:before="0"/>
        <w:ind w:left="115" w:right="8581" w:firstLine="0"/>
        <w:jc w:val="left"/>
        <w:rPr>
          <w:b/>
          <w:sz w:val="19"/>
        </w:rPr>
      </w:pPr>
      <w:r>
        <w:rPr>
          <w:b/>
          <w:w w:val="105"/>
          <w:sz w:val="19"/>
        </w:rPr>
        <w:t>E F</w:t>
      </w:r>
    </w:p>
    <w:p>
      <w:pPr>
        <w:spacing w:line="247" w:lineRule="auto" w:before="5"/>
        <w:ind w:left="115" w:right="127" w:firstLine="0"/>
        <w:jc w:val="left"/>
        <w:rPr>
          <w:sz w:val="19"/>
        </w:rPr>
      </w:pPr>
      <w:r>
        <w:rPr>
          <w:b/>
          <w:w w:val="105"/>
          <w:sz w:val="19"/>
        </w:rPr>
        <w:t>Fernández </w:t>
      </w:r>
      <w:r>
        <w:rPr>
          <w:w w:val="105"/>
          <w:sz w:val="19"/>
        </w:rPr>
        <w:t>Santamaría, Ma. del Rosario (1999). “Foro mundial sobre la educación: Calidad y equidad educativas”. Revista Iberoamericana de Educación. enero-abril 1999. OEI.</w:t>
      </w:r>
    </w:p>
    <w:p>
      <w:pPr>
        <w:spacing w:line="244" w:lineRule="auto" w:before="0"/>
        <w:ind w:left="115" w:right="124" w:firstLine="0"/>
        <w:jc w:val="left"/>
        <w:rPr>
          <w:sz w:val="19"/>
        </w:rPr>
      </w:pPr>
      <w:r>
        <w:rPr>
          <w:w w:val="105"/>
          <w:sz w:val="19"/>
        </w:rPr>
        <w:t>------------------------------------------ (2000). “Calidad y equidad educativas”. Foro Mundial sobre la Educación. Revista Iberoamericana de Educación. No 22. pp. 193-197. Puede consultarse en: </w:t>
      </w:r>
      <w:hyperlink r:id="rId142">
        <w:r>
          <w:rPr>
            <w:color w:val="0000FF"/>
            <w:w w:val="105"/>
            <w:sz w:val="19"/>
            <w:u w:val="single" w:color="0000FF"/>
          </w:rPr>
          <w:t>http://www.campus-oei.org/revista/rie22f.htm</w:t>
        </w:r>
      </w:hyperlink>
    </w:p>
    <w:p>
      <w:pPr>
        <w:spacing w:line="247" w:lineRule="auto" w:before="3"/>
        <w:ind w:left="115" w:right="127" w:firstLine="0"/>
        <w:jc w:val="left"/>
        <w:rPr>
          <w:sz w:val="19"/>
        </w:rPr>
      </w:pPr>
      <w:r>
        <w:rPr>
          <w:b/>
          <w:w w:val="105"/>
          <w:sz w:val="19"/>
        </w:rPr>
        <w:t>Feigenbaum</w:t>
      </w:r>
      <w:r>
        <w:rPr>
          <w:w w:val="105"/>
          <w:sz w:val="19"/>
        </w:rPr>
        <w:t>, Armand. V. (1983). “El Control de la Calidad Total”. New York, McGraw-Hill. 3ª edición.</w:t>
      </w:r>
    </w:p>
    <w:p>
      <w:pPr>
        <w:spacing w:line="247" w:lineRule="auto" w:before="0"/>
        <w:ind w:left="115" w:right="127" w:firstLine="0"/>
        <w:jc w:val="left"/>
        <w:rPr>
          <w:sz w:val="19"/>
        </w:rPr>
      </w:pPr>
      <w:r>
        <w:rPr>
          <w:w w:val="105"/>
          <w:sz w:val="19"/>
        </w:rPr>
        <w:t>-----------------------. (1991). V. Total Quality Control [Journal]. - [s.l.]. McGraw Hill, Inc., 1991. - Vol. 3º. - p. 863</w:t>
      </w:r>
    </w:p>
    <w:p>
      <w:pPr>
        <w:spacing w:line="242" w:lineRule="auto" w:before="0"/>
        <w:ind w:left="115" w:right="127" w:firstLine="0"/>
        <w:jc w:val="left"/>
        <w:rPr>
          <w:sz w:val="19"/>
        </w:rPr>
      </w:pPr>
      <w:r>
        <w:rPr>
          <w:b/>
          <w:w w:val="105"/>
          <w:sz w:val="19"/>
        </w:rPr>
        <w:t>Feigenbaum</w:t>
      </w:r>
      <w:r>
        <w:rPr>
          <w:b/>
          <w:spacing w:val="-15"/>
          <w:w w:val="105"/>
          <w:sz w:val="19"/>
        </w:rPr>
        <w:t> </w:t>
      </w:r>
      <w:r>
        <w:rPr>
          <w:spacing w:val="-2"/>
          <w:w w:val="105"/>
          <w:sz w:val="19"/>
        </w:rPr>
        <w:t>Armand</w:t>
      </w:r>
      <w:r>
        <w:rPr>
          <w:spacing w:val="-13"/>
          <w:w w:val="105"/>
          <w:sz w:val="19"/>
        </w:rPr>
        <w:t> </w:t>
      </w:r>
      <w:r>
        <w:rPr>
          <w:w w:val="105"/>
          <w:sz w:val="19"/>
        </w:rPr>
        <w:t>V.</w:t>
      </w:r>
      <w:r>
        <w:rPr>
          <w:spacing w:val="-18"/>
          <w:w w:val="105"/>
          <w:sz w:val="19"/>
        </w:rPr>
        <w:t> </w:t>
      </w:r>
      <w:r>
        <w:rPr>
          <w:w w:val="105"/>
          <w:sz w:val="19"/>
        </w:rPr>
        <w:t>and</w:t>
      </w:r>
      <w:r>
        <w:rPr>
          <w:spacing w:val="-18"/>
          <w:w w:val="105"/>
          <w:sz w:val="19"/>
        </w:rPr>
        <w:t> </w:t>
      </w:r>
      <w:r>
        <w:rPr>
          <w:w w:val="105"/>
          <w:sz w:val="19"/>
        </w:rPr>
        <w:t>Feigenbaum</w:t>
      </w:r>
      <w:r>
        <w:rPr>
          <w:spacing w:val="-14"/>
          <w:w w:val="105"/>
          <w:sz w:val="19"/>
        </w:rPr>
        <w:t> </w:t>
      </w:r>
      <w:r>
        <w:rPr>
          <w:w w:val="105"/>
          <w:sz w:val="19"/>
        </w:rPr>
        <w:t>Donald</w:t>
      </w:r>
      <w:r>
        <w:rPr>
          <w:spacing w:val="-18"/>
          <w:w w:val="105"/>
          <w:sz w:val="19"/>
        </w:rPr>
        <w:t> </w:t>
      </w:r>
      <w:r>
        <w:rPr>
          <w:w w:val="105"/>
          <w:sz w:val="19"/>
        </w:rPr>
        <w:t>S.</w:t>
      </w:r>
      <w:r>
        <w:rPr>
          <w:spacing w:val="-18"/>
          <w:w w:val="105"/>
          <w:sz w:val="19"/>
        </w:rPr>
        <w:t> </w:t>
      </w:r>
      <w:r>
        <w:rPr>
          <w:w w:val="105"/>
          <w:sz w:val="19"/>
        </w:rPr>
        <w:t>“What</w:t>
      </w:r>
      <w:r>
        <w:rPr>
          <w:spacing w:val="-22"/>
          <w:w w:val="105"/>
          <w:sz w:val="19"/>
        </w:rPr>
        <w:t> </w:t>
      </w:r>
      <w:r>
        <w:rPr>
          <w:w w:val="105"/>
          <w:sz w:val="19"/>
        </w:rPr>
        <w:t>quality</w:t>
      </w:r>
      <w:r>
        <w:rPr>
          <w:spacing w:val="-15"/>
          <w:w w:val="105"/>
          <w:sz w:val="19"/>
        </w:rPr>
        <w:t> </w:t>
      </w:r>
      <w:r>
        <w:rPr>
          <w:w w:val="105"/>
          <w:sz w:val="19"/>
        </w:rPr>
        <w:t>means</w:t>
      </w:r>
      <w:r>
        <w:rPr>
          <w:spacing w:val="-18"/>
          <w:w w:val="105"/>
          <w:sz w:val="19"/>
        </w:rPr>
        <w:t> </w:t>
      </w:r>
      <w:r>
        <w:rPr>
          <w:w w:val="105"/>
          <w:sz w:val="19"/>
        </w:rPr>
        <w:t>today”</w:t>
      </w:r>
      <w:r>
        <w:rPr>
          <w:spacing w:val="-18"/>
          <w:w w:val="105"/>
          <w:sz w:val="19"/>
        </w:rPr>
        <w:t> </w:t>
      </w:r>
      <w:r>
        <w:rPr>
          <w:w w:val="105"/>
          <w:sz w:val="19"/>
        </w:rPr>
        <w:t>[Journal].</w:t>
      </w:r>
      <w:r>
        <w:rPr>
          <w:spacing w:val="-15"/>
          <w:w w:val="105"/>
          <w:sz w:val="19"/>
        </w:rPr>
        <w:t> </w:t>
      </w:r>
      <w:r>
        <w:rPr>
          <w:w w:val="105"/>
          <w:sz w:val="19"/>
        </w:rPr>
        <w:t>-</w:t>
      </w:r>
      <w:r>
        <w:rPr>
          <w:spacing w:val="-18"/>
          <w:w w:val="105"/>
          <w:sz w:val="19"/>
        </w:rPr>
        <w:t> </w:t>
      </w:r>
      <w:r>
        <w:rPr>
          <w:w w:val="105"/>
          <w:sz w:val="19"/>
        </w:rPr>
        <w:t>2005.</w:t>
      </w:r>
      <w:r>
        <w:rPr>
          <w:spacing w:val="-15"/>
          <w:w w:val="105"/>
          <w:sz w:val="19"/>
        </w:rPr>
        <w:t> </w:t>
      </w:r>
      <w:r>
        <w:rPr>
          <w:w w:val="105"/>
          <w:sz w:val="19"/>
        </w:rPr>
        <w:t>- 2 : Vol.</w:t>
      </w:r>
      <w:r>
        <w:rPr>
          <w:spacing w:val="-26"/>
          <w:w w:val="105"/>
          <w:sz w:val="19"/>
        </w:rPr>
        <w:t> </w:t>
      </w:r>
      <w:r>
        <w:rPr>
          <w:spacing w:val="2"/>
          <w:w w:val="105"/>
          <w:sz w:val="19"/>
        </w:rPr>
        <w:t>46.</w:t>
      </w:r>
    </w:p>
    <w:p>
      <w:pPr>
        <w:spacing w:line="247" w:lineRule="auto" w:before="5"/>
        <w:ind w:left="115" w:right="124" w:firstLine="0"/>
        <w:jc w:val="both"/>
        <w:rPr>
          <w:sz w:val="19"/>
        </w:rPr>
      </w:pPr>
      <w:r>
        <w:rPr>
          <w:b/>
          <w:w w:val="105"/>
          <w:sz w:val="19"/>
        </w:rPr>
        <w:t>Ferrer</w:t>
      </w:r>
      <w:r>
        <w:rPr>
          <w:w w:val="105"/>
          <w:sz w:val="19"/>
        </w:rPr>
        <w:t>, Guillermo J. McLauchlan, de Arregui Patricia (2002). “La experiencia latinoamericana con pruebas internacionales de aprendizaje: Impacto sobre los procesos de mejoramiento de calidad de la educación y criterios para guiar las decisiones sobre nuevas aplicaciones”. GRADE, Lima, Perú. octubre de 2002. Puede consultarse en:</w:t>
      </w:r>
    </w:p>
    <w:p>
      <w:pPr>
        <w:spacing w:before="0"/>
        <w:ind w:left="115" w:right="127" w:firstLine="0"/>
        <w:jc w:val="left"/>
        <w:rPr>
          <w:sz w:val="19"/>
        </w:rPr>
      </w:pPr>
      <w:hyperlink r:id="rId143">
        <w:r>
          <w:rPr>
            <w:color w:val="0000FF"/>
            <w:w w:val="105"/>
            <w:sz w:val="19"/>
            <w:u w:val="single" w:color="0000FF"/>
          </w:rPr>
          <w:t>http://www.grade.org.pe/download/docs/JF-pruebas%20internacionales.PDF</w:t>
        </w:r>
      </w:hyperlink>
    </w:p>
    <w:p>
      <w:pPr>
        <w:pStyle w:val="BodyText"/>
        <w:spacing w:before="9"/>
        <w:rPr>
          <w:sz w:val="12"/>
        </w:rPr>
      </w:pPr>
    </w:p>
    <w:p>
      <w:pPr>
        <w:spacing w:before="81"/>
        <w:ind w:left="115" w:right="0" w:firstLine="0"/>
        <w:jc w:val="left"/>
        <w:rPr>
          <w:b/>
          <w:sz w:val="19"/>
        </w:rPr>
      </w:pPr>
      <w:r>
        <w:rPr>
          <w:b/>
          <w:w w:val="103"/>
          <w:sz w:val="19"/>
        </w:rPr>
        <w:t>G</w:t>
      </w:r>
    </w:p>
    <w:p>
      <w:pPr>
        <w:spacing w:line="242" w:lineRule="auto" w:before="7"/>
        <w:ind w:left="115" w:right="127" w:firstLine="0"/>
        <w:jc w:val="left"/>
        <w:rPr>
          <w:sz w:val="19"/>
        </w:rPr>
      </w:pPr>
      <w:r>
        <w:rPr>
          <w:b/>
          <w:w w:val="105"/>
          <w:sz w:val="19"/>
        </w:rPr>
        <w:t>Gajardo</w:t>
      </w:r>
      <w:r>
        <w:rPr>
          <w:w w:val="105"/>
          <w:sz w:val="19"/>
        </w:rPr>
        <w:t>, Marcela (1999). “Reformas educativas en América Latina. Balance de una década”. en PREAL</w:t>
      </w:r>
      <w:r>
        <w:rPr>
          <w:i/>
          <w:w w:val="105"/>
          <w:sz w:val="19"/>
        </w:rPr>
        <w:t>. </w:t>
      </w:r>
      <w:r>
        <w:rPr>
          <w:w w:val="105"/>
          <w:sz w:val="19"/>
        </w:rPr>
        <w:t>No 15.</w:t>
      </w:r>
    </w:p>
    <w:p>
      <w:pPr>
        <w:spacing w:line="244" w:lineRule="auto" w:before="5"/>
        <w:ind w:left="115" w:right="127" w:firstLine="0"/>
        <w:jc w:val="left"/>
        <w:rPr>
          <w:sz w:val="19"/>
        </w:rPr>
      </w:pPr>
      <w:r>
        <w:rPr>
          <w:b/>
          <w:w w:val="105"/>
          <w:sz w:val="19"/>
        </w:rPr>
        <w:t>Gago</w:t>
      </w:r>
      <w:r>
        <w:rPr>
          <w:w w:val="105"/>
          <w:sz w:val="19"/>
        </w:rPr>
        <w:t>, Hugget Antonio (2002). “Apuntes acerca de la evaluación educativa”. Secretaría de Educación Pública. México. D.F. Puede consultarse en: </w:t>
      </w:r>
      <w:hyperlink r:id="rId144">
        <w:r>
          <w:rPr>
            <w:color w:val="0000FF"/>
            <w:w w:val="105"/>
            <w:sz w:val="19"/>
            <w:u w:val="single" w:color="0000FF"/>
          </w:rPr>
          <w:t>http://www.sep.gob.mx/work/resources/LocalContent/9209/1/apuntes.pdf</w:t>
        </w:r>
      </w:hyperlink>
    </w:p>
    <w:p>
      <w:pPr>
        <w:spacing w:line="244" w:lineRule="auto" w:before="3"/>
        <w:ind w:left="115" w:right="127" w:firstLine="0"/>
        <w:jc w:val="both"/>
        <w:rPr>
          <w:sz w:val="19"/>
        </w:rPr>
      </w:pPr>
      <w:r>
        <w:rPr>
          <w:b/>
          <w:w w:val="105"/>
          <w:sz w:val="19"/>
        </w:rPr>
        <w:t>Garduño</w:t>
      </w:r>
      <w:r>
        <w:rPr>
          <w:w w:val="105"/>
          <w:sz w:val="19"/>
        </w:rPr>
        <w:t>,</w:t>
      </w:r>
      <w:r>
        <w:rPr>
          <w:spacing w:val="-15"/>
          <w:w w:val="105"/>
          <w:sz w:val="19"/>
        </w:rPr>
        <w:t> </w:t>
      </w:r>
      <w:r>
        <w:rPr>
          <w:spacing w:val="-3"/>
          <w:w w:val="105"/>
          <w:sz w:val="19"/>
        </w:rPr>
        <w:t>Estrada</w:t>
      </w:r>
      <w:r>
        <w:rPr>
          <w:spacing w:val="-15"/>
          <w:w w:val="105"/>
          <w:sz w:val="19"/>
        </w:rPr>
        <w:t> </w:t>
      </w:r>
      <w:r>
        <w:rPr>
          <w:w w:val="105"/>
          <w:sz w:val="19"/>
        </w:rPr>
        <w:t>León</w:t>
      </w:r>
      <w:r>
        <w:rPr>
          <w:spacing w:val="-15"/>
          <w:w w:val="105"/>
          <w:sz w:val="19"/>
        </w:rPr>
        <w:t> </w:t>
      </w:r>
      <w:r>
        <w:rPr>
          <w:w w:val="105"/>
          <w:sz w:val="19"/>
        </w:rPr>
        <w:t>R</w:t>
      </w:r>
      <w:r>
        <w:rPr>
          <w:spacing w:val="-12"/>
          <w:w w:val="105"/>
          <w:sz w:val="19"/>
        </w:rPr>
        <w:t> </w:t>
      </w:r>
      <w:r>
        <w:rPr>
          <w:w w:val="105"/>
          <w:sz w:val="19"/>
        </w:rPr>
        <w:t>(1999).</w:t>
      </w:r>
      <w:r>
        <w:rPr>
          <w:spacing w:val="-15"/>
          <w:w w:val="105"/>
          <w:sz w:val="19"/>
        </w:rPr>
        <w:t> </w:t>
      </w:r>
      <w:r>
        <w:rPr>
          <w:w w:val="105"/>
          <w:sz w:val="19"/>
        </w:rPr>
        <w:t>“Hacia</w:t>
      </w:r>
      <w:r>
        <w:rPr>
          <w:spacing w:val="-15"/>
          <w:w w:val="105"/>
          <w:sz w:val="19"/>
        </w:rPr>
        <w:t> </w:t>
      </w:r>
      <w:r>
        <w:rPr>
          <w:w w:val="105"/>
          <w:sz w:val="19"/>
        </w:rPr>
        <w:t>un</w:t>
      </w:r>
      <w:r>
        <w:rPr>
          <w:spacing w:val="-15"/>
          <w:w w:val="105"/>
          <w:sz w:val="19"/>
        </w:rPr>
        <w:t> </w:t>
      </w:r>
      <w:r>
        <w:rPr>
          <w:w w:val="105"/>
          <w:sz w:val="19"/>
        </w:rPr>
        <w:t>modelo</w:t>
      </w:r>
      <w:r>
        <w:rPr>
          <w:spacing w:val="-15"/>
          <w:w w:val="105"/>
          <w:sz w:val="19"/>
        </w:rPr>
        <w:t> </w:t>
      </w:r>
      <w:r>
        <w:rPr>
          <w:w w:val="105"/>
          <w:sz w:val="19"/>
        </w:rPr>
        <w:t>de</w:t>
      </w:r>
      <w:r>
        <w:rPr>
          <w:spacing w:val="-15"/>
          <w:w w:val="105"/>
          <w:sz w:val="19"/>
        </w:rPr>
        <w:t> </w:t>
      </w:r>
      <w:r>
        <w:rPr>
          <w:w w:val="105"/>
          <w:sz w:val="19"/>
        </w:rPr>
        <w:t>evaluación</w:t>
      </w:r>
      <w:r>
        <w:rPr>
          <w:spacing w:val="-15"/>
          <w:w w:val="105"/>
          <w:sz w:val="19"/>
        </w:rPr>
        <w:t> </w:t>
      </w:r>
      <w:r>
        <w:rPr>
          <w:w w:val="105"/>
          <w:sz w:val="19"/>
        </w:rPr>
        <w:t>de</w:t>
      </w:r>
      <w:r>
        <w:rPr>
          <w:spacing w:val="-15"/>
          <w:w w:val="105"/>
          <w:sz w:val="19"/>
        </w:rPr>
        <w:t> </w:t>
      </w:r>
      <w:r>
        <w:rPr>
          <w:w w:val="105"/>
          <w:sz w:val="19"/>
        </w:rPr>
        <w:t>la</w:t>
      </w:r>
      <w:r>
        <w:rPr>
          <w:spacing w:val="-11"/>
          <w:w w:val="105"/>
          <w:sz w:val="19"/>
        </w:rPr>
        <w:t> </w:t>
      </w:r>
      <w:r>
        <w:rPr>
          <w:w w:val="105"/>
          <w:sz w:val="19"/>
        </w:rPr>
        <w:t>calidad</w:t>
      </w:r>
      <w:r>
        <w:rPr>
          <w:spacing w:val="-15"/>
          <w:w w:val="105"/>
          <w:sz w:val="19"/>
        </w:rPr>
        <w:t> </w:t>
      </w:r>
      <w:r>
        <w:rPr>
          <w:w w:val="105"/>
          <w:sz w:val="19"/>
        </w:rPr>
        <w:t>de</w:t>
      </w:r>
      <w:r>
        <w:rPr>
          <w:spacing w:val="-11"/>
          <w:w w:val="105"/>
          <w:sz w:val="19"/>
        </w:rPr>
        <w:t> </w:t>
      </w:r>
      <w:r>
        <w:rPr>
          <w:w w:val="105"/>
          <w:sz w:val="19"/>
        </w:rPr>
        <w:t>instituciones</w:t>
      </w:r>
      <w:r>
        <w:rPr>
          <w:spacing w:val="-15"/>
          <w:w w:val="105"/>
          <w:sz w:val="19"/>
        </w:rPr>
        <w:t> </w:t>
      </w:r>
      <w:r>
        <w:rPr>
          <w:spacing w:val="-3"/>
          <w:w w:val="105"/>
          <w:sz w:val="19"/>
        </w:rPr>
        <w:t>de </w:t>
      </w:r>
      <w:r>
        <w:rPr>
          <w:w w:val="105"/>
          <w:sz w:val="19"/>
        </w:rPr>
        <w:t>educación superior” </w:t>
      </w:r>
      <w:r>
        <w:rPr>
          <w:spacing w:val="-4"/>
          <w:w w:val="105"/>
          <w:sz w:val="19"/>
        </w:rPr>
        <w:t>en </w:t>
      </w:r>
      <w:r>
        <w:rPr>
          <w:spacing w:val="-3"/>
          <w:w w:val="105"/>
          <w:sz w:val="19"/>
        </w:rPr>
        <w:t>Revista </w:t>
      </w:r>
      <w:r>
        <w:rPr>
          <w:w w:val="105"/>
          <w:sz w:val="19"/>
        </w:rPr>
        <w:t>Iberoamericana de Educación. Nº 21. pp. 93-103. </w:t>
      </w:r>
      <w:r>
        <w:rPr>
          <w:spacing w:val="-3"/>
          <w:w w:val="105"/>
          <w:sz w:val="19"/>
        </w:rPr>
        <w:t>Puede </w:t>
      </w:r>
      <w:r>
        <w:rPr>
          <w:sz w:val="19"/>
        </w:rPr>
        <w:t>consultarse  en:</w:t>
      </w:r>
      <w:r>
        <w:rPr>
          <w:spacing w:val="44"/>
          <w:sz w:val="19"/>
        </w:rPr>
        <w:t> </w:t>
      </w:r>
      <w:hyperlink r:id="rId145">
        <w:r>
          <w:rPr>
            <w:color w:val="0000FF"/>
            <w:sz w:val="19"/>
            <w:u w:val="single" w:color="0000FF"/>
          </w:rPr>
          <w:t>http://www.campus-oei.org/revista/rie21f.htm</w:t>
        </w:r>
      </w:hyperlink>
    </w:p>
    <w:p>
      <w:pPr>
        <w:spacing w:line="247" w:lineRule="auto" w:before="3"/>
        <w:ind w:left="115" w:right="41" w:firstLine="0"/>
        <w:jc w:val="left"/>
        <w:rPr>
          <w:sz w:val="19"/>
        </w:rPr>
      </w:pPr>
      <w:r>
        <w:rPr>
          <w:w w:val="105"/>
          <w:sz w:val="19"/>
        </w:rPr>
        <w:t>-------------------------------. (2008). “Evaluación del Programa Escuelas de Calidad en el Estado de Puebla”</w:t>
      </w:r>
      <w:r>
        <w:rPr>
          <w:i/>
          <w:w w:val="105"/>
          <w:sz w:val="19"/>
        </w:rPr>
        <w:t>. </w:t>
      </w:r>
      <w:r>
        <w:rPr>
          <w:w w:val="105"/>
          <w:sz w:val="19"/>
        </w:rPr>
        <w:t>Resultados sobre logro educativo. RMIE, julio-septiembre, Vol. 13, núm. 38. pp. 891-917 </w:t>
      </w:r>
      <w:r>
        <w:rPr>
          <w:b/>
          <w:w w:val="105"/>
          <w:sz w:val="19"/>
        </w:rPr>
        <w:t>Garvin</w:t>
      </w:r>
      <w:r>
        <w:rPr>
          <w:w w:val="105"/>
          <w:sz w:val="19"/>
        </w:rPr>
        <w:t>, D. A. (1987), “Competing on the eight dimensions of quality”, Harvard Business Review , 65 (7): 101-111.</w:t>
      </w:r>
    </w:p>
    <w:p>
      <w:pPr>
        <w:spacing w:after="0" w:line="247" w:lineRule="auto"/>
        <w:jc w:val="left"/>
        <w:rPr>
          <w:sz w:val="19"/>
        </w:rPr>
        <w:sectPr>
          <w:pgSz w:w="11910" w:h="16840"/>
          <w:pgMar w:header="0" w:footer="1457" w:top="1580" w:bottom="1640" w:left="1540" w:right="1520"/>
        </w:sectPr>
      </w:pPr>
    </w:p>
    <w:p>
      <w:pPr>
        <w:pStyle w:val="BodyText"/>
        <w:rPr>
          <w:sz w:val="20"/>
        </w:rPr>
      </w:pPr>
    </w:p>
    <w:p>
      <w:pPr>
        <w:pStyle w:val="BodyText"/>
        <w:spacing w:before="10"/>
        <w:rPr>
          <w:sz w:val="15"/>
        </w:rPr>
      </w:pPr>
    </w:p>
    <w:p>
      <w:pPr>
        <w:spacing w:line="247" w:lineRule="auto" w:before="81"/>
        <w:ind w:left="115" w:right="107" w:firstLine="0"/>
        <w:jc w:val="both"/>
        <w:rPr>
          <w:sz w:val="19"/>
        </w:rPr>
      </w:pPr>
      <w:r>
        <w:rPr>
          <w:w w:val="105"/>
          <w:sz w:val="19"/>
        </w:rPr>
        <w:t>-------------- (1988). “Managing Quality: The Strategic and Competitive Edge”. New York: The Free </w:t>
      </w:r>
      <w:r>
        <w:rPr>
          <w:sz w:val="19"/>
        </w:rPr>
        <w:t>Press, McMillan</w:t>
      </w:r>
    </w:p>
    <w:p>
      <w:pPr>
        <w:spacing w:line="244" w:lineRule="auto" w:before="0"/>
        <w:ind w:left="115" w:right="103" w:firstLine="0"/>
        <w:jc w:val="both"/>
        <w:rPr>
          <w:sz w:val="19"/>
        </w:rPr>
      </w:pPr>
      <w:r>
        <w:rPr>
          <w:b/>
          <w:w w:val="105"/>
          <w:sz w:val="19"/>
        </w:rPr>
        <w:t>Gautier </w:t>
      </w:r>
      <w:r>
        <w:rPr>
          <w:w w:val="105"/>
          <w:sz w:val="19"/>
        </w:rPr>
        <w:t>Emilio. (2007). “Educación de calidad. Comentarios a la nueva propuesta OREAL C/UNESCO”. REICE. Revista Electrónica Iberoamericana sobre Calidad, Eficacia y Cambio en Educación, Año/vol.5, número 003. Madrid, España. pp. 29-35</w:t>
      </w:r>
    </w:p>
    <w:p>
      <w:pPr>
        <w:spacing w:line="244" w:lineRule="auto" w:before="3"/>
        <w:ind w:left="115" w:right="106" w:firstLine="0"/>
        <w:jc w:val="both"/>
        <w:rPr>
          <w:sz w:val="19"/>
        </w:rPr>
      </w:pPr>
      <w:r>
        <w:rPr>
          <w:b/>
          <w:w w:val="105"/>
          <w:sz w:val="19"/>
        </w:rPr>
        <w:t>Gento</w:t>
      </w:r>
      <w:r>
        <w:rPr>
          <w:w w:val="105"/>
          <w:sz w:val="19"/>
        </w:rPr>
        <w:t>, Palacios Samuel (1999). “Autonomía del centro educativo, impulsor de la calidad institucional” en Acción Pedagógica</w:t>
      </w:r>
      <w:r>
        <w:rPr>
          <w:i/>
          <w:w w:val="105"/>
          <w:sz w:val="19"/>
        </w:rPr>
        <w:t>, </w:t>
      </w:r>
      <w:r>
        <w:rPr>
          <w:w w:val="105"/>
          <w:sz w:val="19"/>
        </w:rPr>
        <w:t>Vol. 8, No. 2 / 1999. Universidad de los Andes. Puede </w:t>
      </w:r>
      <w:r>
        <w:rPr>
          <w:sz w:val="19"/>
        </w:rPr>
        <w:t>consultarse  en: </w:t>
      </w:r>
      <w:hyperlink r:id="rId131">
        <w:r>
          <w:rPr>
            <w:color w:val="0000FF"/>
            <w:sz w:val="19"/>
            <w:u w:val="single" w:color="0000FF"/>
          </w:rPr>
          <w:t>http://www.saber.ula.ve/accionpe/</w:t>
        </w:r>
      </w:hyperlink>
    </w:p>
    <w:p>
      <w:pPr>
        <w:spacing w:line="247" w:lineRule="auto" w:before="3"/>
        <w:ind w:left="115" w:right="100" w:firstLine="0"/>
        <w:jc w:val="both"/>
        <w:rPr>
          <w:sz w:val="19"/>
        </w:rPr>
      </w:pPr>
      <w:r>
        <w:rPr>
          <w:b/>
          <w:w w:val="105"/>
          <w:sz w:val="19"/>
        </w:rPr>
        <w:t>Gibson</w:t>
      </w:r>
      <w:r>
        <w:rPr>
          <w:w w:val="105"/>
          <w:sz w:val="19"/>
        </w:rPr>
        <w:t>, Edward. (2004). “Federalism and Democracy in Latin America” (compilador). Baltimore, Johns Hopkins University Press, 2004.</w:t>
      </w:r>
    </w:p>
    <w:p>
      <w:pPr>
        <w:spacing w:line="242" w:lineRule="auto" w:before="0"/>
        <w:ind w:left="115" w:right="103" w:firstLine="0"/>
        <w:jc w:val="both"/>
        <w:rPr>
          <w:sz w:val="19"/>
        </w:rPr>
      </w:pPr>
      <w:r>
        <w:rPr>
          <w:b/>
          <w:w w:val="105"/>
          <w:sz w:val="19"/>
        </w:rPr>
        <w:t>Giné</w:t>
      </w:r>
      <w:r>
        <w:rPr>
          <w:w w:val="105"/>
          <w:sz w:val="19"/>
        </w:rPr>
        <w:t>,</w:t>
      </w:r>
      <w:r>
        <w:rPr>
          <w:spacing w:val="-17"/>
          <w:w w:val="105"/>
          <w:sz w:val="19"/>
        </w:rPr>
        <w:t> </w:t>
      </w:r>
      <w:r>
        <w:rPr>
          <w:w w:val="105"/>
          <w:sz w:val="19"/>
        </w:rPr>
        <w:t>Climent.</w:t>
      </w:r>
      <w:r>
        <w:rPr>
          <w:spacing w:val="-14"/>
          <w:w w:val="105"/>
          <w:sz w:val="19"/>
        </w:rPr>
        <w:t> </w:t>
      </w:r>
      <w:r>
        <w:rPr>
          <w:w w:val="105"/>
          <w:sz w:val="19"/>
        </w:rPr>
        <w:t>(2002).</w:t>
      </w:r>
      <w:r>
        <w:rPr>
          <w:spacing w:val="-14"/>
          <w:w w:val="105"/>
          <w:sz w:val="19"/>
        </w:rPr>
        <w:t> </w:t>
      </w:r>
      <w:r>
        <w:rPr>
          <w:w w:val="105"/>
          <w:sz w:val="19"/>
        </w:rPr>
        <w:t>“Des</w:t>
      </w:r>
      <w:r>
        <w:rPr>
          <w:spacing w:val="-9"/>
          <w:w w:val="105"/>
          <w:sz w:val="19"/>
        </w:rPr>
        <w:t> </w:t>
      </w:r>
      <w:r>
        <w:rPr>
          <w:w w:val="105"/>
          <w:sz w:val="19"/>
        </w:rPr>
        <w:t>de</w:t>
      </w:r>
      <w:r>
        <w:rPr>
          <w:spacing w:val="-13"/>
          <w:w w:val="105"/>
          <w:sz w:val="19"/>
        </w:rPr>
        <w:t> </w:t>
      </w:r>
      <w:r>
        <w:rPr>
          <w:w w:val="105"/>
          <w:sz w:val="19"/>
        </w:rPr>
        <w:t>l'esfera</w:t>
      </w:r>
      <w:r>
        <w:rPr>
          <w:spacing w:val="-11"/>
          <w:w w:val="105"/>
          <w:sz w:val="19"/>
        </w:rPr>
        <w:t> </w:t>
      </w:r>
      <w:r>
        <w:rPr>
          <w:w w:val="105"/>
          <w:sz w:val="19"/>
        </w:rPr>
        <w:t>dels</w:t>
      </w:r>
      <w:r>
        <w:rPr>
          <w:spacing w:val="-9"/>
          <w:w w:val="105"/>
          <w:sz w:val="19"/>
        </w:rPr>
        <w:t> </w:t>
      </w:r>
      <w:r>
        <w:rPr>
          <w:w w:val="105"/>
          <w:sz w:val="19"/>
        </w:rPr>
        <w:t>valors”.</w:t>
      </w:r>
      <w:r>
        <w:rPr>
          <w:spacing w:val="-9"/>
          <w:w w:val="105"/>
          <w:sz w:val="19"/>
        </w:rPr>
        <w:t> </w:t>
      </w:r>
      <w:r>
        <w:rPr>
          <w:w w:val="105"/>
          <w:sz w:val="19"/>
        </w:rPr>
        <w:t>Revista</w:t>
      </w:r>
      <w:r>
        <w:rPr>
          <w:spacing w:val="-9"/>
          <w:w w:val="105"/>
          <w:sz w:val="19"/>
        </w:rPr>
        <w:t> </w:t>
      </w:r>
      <w:r>
        <w:rPr>
          <w:w w:val="105"/>
          <w:sz w:val="19"/>
        </w:rPr>
        <w:t>de</w:t>
      </w:r>
      <w:r>
        <w:rPr>
          <w:spacing w:val="-9"/>
          <w:w w:val="105"/>
          <w:sz w:val="19"/>
        </w:rPr>
        <w:t> </w:t>
      </w:r>
      <w:r>
        <w:rPr>
          <w:w w:val="105"/>
          <w:sz w:val="19"/>
        </w:rPr>
        <w:t>Blanquerna,</w:t>
      </w:r>
      <w:r>
        <w:rPr>
          <w:spacing w:val="-9"/>
          <w:w w:val="105"/>
          <w:sz w:val="19"/>
        </w:rPr>
        <w:t> </w:t>
      </w:r>
      <w:r>
        <w:rPr>
          <w:w w:val="105"/>
          <w:sz w:val="19"/>
        </w:rPr>
        <w:t>Año/Vol.</w:t>
      </w:r>
      <w:r>
        <w:rPr>
          <w:spacing w:val="-14"/>
          <w:w w:val="105"/>
          <w:sz w:val="19"/>
        </w:rPr>
        <w:t> </w:t>
      </w:r>
      <w:r>
        <w:rPr>
          <w:w w:val="105"/>
          <w:sz w:val="19"/>
        </w:rPr>
        <w:t>7.</w:t>
      </w:r>
      <w:r>
        <w:rPr>
          <w:spacing w:val="-9"/>
          <w:w w:val="105"/>
          <w:sz w:val="19"/>
        </w:rPr>
        <w:t> </w:t>
      </w:r>
      <w:r>
        <w:rPr>
          <w:w w:val="105"/>
          <w:sz w:val="19"/>
        </w:rPr>
        <w:t>Barcelona, España.</w:t>
      </w:r>
    </w:p>
    <w:p>
      <w:pPr>
        <w:spacing w:line="247" w:lineRule="auto" w:before="5"/>
        <w:ind w:left="115" w:right="112" w:firstLine="0"/>
        <w:jc w:val="both"/>
        <w:rPr>
          <w:sz w:val="19"/>
        </w:rPr>
      </w:pPr>
      <w:r>
        <w:rPr>
          <w:b/>
          <w:w w:val="105"/>
          <w:sz w:val="19"/>
        </w:rPr>
        <w:t>Gómez</w:t>
      </w:r>
      <w:r>
        <w:rPr>
          <w:b/>
          <w:spacing w:val="-1"/>
          <w:w w:val="105"/>
          <w:sz w:val="19"/>
        </w:rPr>
        <w:t> </w:t>
      </w:r>
      <w:r>
        <w:rPr>
          <w:b/>
          <w:w w:val="105"/>
          <w:sz w:val="19"/>
        </w:rPr>
        <w:t>Lee</w:t>
      </w:r>
      <w:r>
        <w:rPr>
          <w:w w:val="105"/>
          <w:sz w:val="19"/>
        </w:rPr>
        <w:t>,</w:t>
      </w:r>
      <w:r>
        <w:rPr>
          <w:spacing w:val="-9"/>
          <w:w w:val="105"/>
          <w:sz w:val="19"/>
        </w:rPr>
        <w:t> </w:t>
      </w:r>
      <w:r>
        <w:rPr>
          <w:w w:val="105"/>
          <w:sz w:val="19"/>
        </w:rPr>
        <w:t>Martha</w:t>
      </w:r>
      <w:r>
        <w:rPr>
          <w:spacing w:val="-3"/>
          <w:w w:val="105"/>
          <w:sz w:val="19"/>
        </w:rPr>
        <w:t> </w:t>
      </w:r>
      <w:r>
        <w:rPr>
          <w:w w:val="105"/>
          <w:sz w:val="19"/>
        </w:rPr>
        <w:t>Isabel.</w:t>
      </w:r>
      <w:r>
        <w:rPr>
          <w:spacing w:val="-9"/>
          <w:w w:val="105"/>
          <w:sz w:val="19"/>
        </w:rPr>
        <w:t> </w:t>
      </w:r>
      <w:r>
        <w:rPr>
          <w:w w:val="105"/>
          <w:sz w:val="19"/>
        </w:rPr>
        <w:t>(2009).</w:t>
      </w:r>
      <w:r>
        <w:rPr>
          <w:spacing w:val="-7"/>
          <w:w w:val="105"/>
          <w:sz w:val="19"/>
        </w:rPr>
        <w:t> </w:t>
      </w:r>
      <w:r>
        <w:rPr>
          <w:w w:val="105"/>
          <w:sz w:val="19"/>
        </w:rPr>
        <w:t>“Las</w:t>
      </w:r>
      <w:r>
        <w:rPr>
          <w:spacing w:val="-9"/>
          <w:w w:val="105"/>
          <w:sz w:val="19"/>
        </w:rPr>
        <w:t> </w:t>
      </w:r>
      <w:r>
        <w:rPr>
          <w:w w:val="105"/>
          <w:sz w:val="19"/>
        </w:rPr>
        <w:t>políticas</w:t>
      </w:r>
      <w:r>
        <w:rPr>
          <w:spacing w:val="-9"/>
          <w:w w:val="105"/>
          <w:sz w:val="19"/>
        </w:rPr>
        <w:t> </w:t>
      </w:r>
      <w:r>
        <w:rPr>
          <w:w w:val="105"/>
          <w:sz w:val="19"/>
        </w:rPr>
        <w:t>públicas</w:t>
      </w:r>
      <w:r>
        <w:rPr>
          <w:spacing w:val="-9"/>
          <w:w w:val="105"/>
          <w:sz w:val="19"/>
        </w:rPr>
        <w:t> </w:t>
      </w:r>
      <w:r>
        <w:rPr>
          <w:w w:val="105"/>
          <w:sz w:val="19"/>
        </w:rPr>
        <w:t>en</w:t>
      </w:r>
      <w:r>
        <w:rPr>
          <w:spacing w:val="-7"/>
          <w:w w:val="105"/>
          <w:sz w:val="19"/>
        </w:rPr>
        <w:t> </w:t>
      </w:r>
      <w:r>
        <w:rPr>
          <w:w w:val="105"/>
          <w:sz w:val="19"/>
        </w:rPr>
        <w:t>la</w:t>
      </w:r>
      <w:r>
        <w:rPr>
          <w:spacing w:val="-7"/>
          <w:w w:val="105"/>
          <w:sz w:val="19"/>
        </w:rPr>
        <w:t> </w:t>
      </w:r>
      <w:r>
        <w:rPr>
          <w:w w:val="105"/>
          <w:sz w:val="19"/>
        </w:rPr>
        <w:t>sociedad</w:t>
      </w:r>
      <w:r>
        <w:rPr>
          <w:spacing w:val="-3"/>
          <w:w w:val="105"/>
          <w:sz w:val="19"/>
        </w:rPr>
        <w:t> </w:t>
      </w:r>
      <w:r>
        <w:rPr>
          <w:w w:val="105"/>
          <w:sz w:val="19"/>
        </w:rPr>
        <w:t>globalizada”,</w:t>
      </w:r>
      <w:r>
        <w:rPr>
          <w:spacing w:val="-9"/>
          <w:w w:val="105"/>
          <w:sz w:val="19"/>
        </w:rPr>
        <w:t> </w:t>
      </w:r>
      <w:r>
        <w:rPr>
          <w:w w:val="105"/>
          <w:sz w:val="19"/>
        </w:rPr>
        <w:t>en</w:t>
      </w:r>
      <w:r>
        <w:rPr>
          <w:spacing w:val="-7"/>
          <w:w w:val="105"/>
          <w:sz w:val="19"/>
        </w:rPr>
        <w:t> </w:t>
      </w:r>
      <w:r>
        <w:rPr>
          <w:spacing w:val="-3"/>
          <w:w w:val="105"/>
          <w:sz w:val="19"/>
        </w:rPr>
        <w:t>Revista </w:t>
      </w:r>
      <w:r>
        <w:rPr>
          <w:w w:val="105"/>
          <w:sz w:val="19"/>
        </w:rPr>
        <w:t>Opera,</w:t>
      </w:r>
      <w:r>
        <w:rPr>
          <w:spacing w:val="-16"/>
          <w:w w:val="105"/>
          <w:sz w:val="19"/>
        </w:rPr>
        <w:t> </w:t>
      </w:r>
      <w:r>
        <w:rPr>
          <w:w w:val="105"/>
          <w:sz w:val="19"/>
        </w:rPr>
        <w:t>No.</w:t>
      </w:r>
      <w:r>
        <w:rPr>
          <w:spacing w:val="-16"/>
          <w:w w:val="105"/>
          <w:sz w:val="19"/>
        </w:rPr>
        <w:t> </w:t>
      </w:r>
      <w:r>
        <w:rPr>
          <w:w w:val="105"/>
          <w:sz w:val="19"/>
        </w:rPr>
        <w:t>8,</w:t>
      </w:r>
      <w:r>
        <w:rPr>
          <w:spacing w:val="-19"/>
          <w:w w:val="105"/>
          <w:sz w:val="19"/>
        </w:rPr>
        <w:t> </w:t>
      </w:r>
      <w:r>
        <w:rPr>
          <w:w w:val="105"/>
          <w:sz w:val="19"/>
        </w:rPr>
        <w:t>sin</w:t>
      </w:r>
      <w:r>
        <w:rPr>
          <w:spacing w:val="-19"/>
          <w:w w:val="105"/>
          <w:sz w:val="19"/>
        </w:rPr>
        <w:t> </w:t>
      </w:r>
      <w:r>
        <w:rPr>
          <w:w w:val="105"/>
          <w:sz w:val="19"/>
        </w:rPr>
        <w:t>mes,</w:t>
      </w:r>
      <w:r>
        <w:rPr>
          <w:spacing w:val="-20"/>
          <w:w w:val="105"/>
          <w:sz w:val="19"/>
        </w:rPr>
        <w:t> </w:t>
      </w:r>
      <w:r>
        <w:rPr>
          <w:w w:val="105"/>
          <w:sz w:val="19"/>
        </w:rPr>
        <w:t>pp.175-194</w:t>
      </w:r>
    </w:p>
    <w:p>
      <w:pPr>
        <w:spacing w:line="247" w:lineRule="auto" w:before="0"/>
        <w:ind w:left="115" w:right="103" w:firstLine="0"/>
        <w:jc w:val="both"/>
        <w:rPr>
          <w:sz w:val="19"/>
        </w:rPr>
      </w:pPr>
      <w:r>
        <w:rPr>
          <w:b/>
          <w:w w:val="105"/>
          <w:sz w:val="19"/>
        </w:rPr>
        <w:t>Gómez Tagle</w:t>
      </w:r>
      <w:r>
        <w:rPr>
          <w:w w:val="105"/>
          <w:sz w:val="19"/>
        </w:rPr>
        <w:t>, Silvia. (2001). “La transición inconclusa: treinta años de elecciones en México”. (México D.F.: El Colegio de México).</w:t>
      </w:r>
    </w:p>
    <w:p>
      <w:pPr>
        <w:spacing w:before="0"/>
        <w:ind w:left="115" w:right="0" w:firstLine="0"/>
        <w:jc w:val="both"/>
        <w:rPr>
          <w:sz w:val="19"/>
        </w:rPr>
      </w:pPr>
      <w:r>
        <w:rPr>
          <w:b/>
          <w:w w:val="105"/>
          <w:sz w:val="19"/>
        </w:rPr>
        <w:t>González de Alba</w:t>
      </w:r>
      <w:r>
        <w:rPr>
          <w:w w:val="105"/>
          <w:sz w:val="19"/>
        </w:rPr>
        <w:t>, Luis. 2012. “Cuévano a la vista”. Revista Nexos N°411. Pp. 106-107</w:t>
      </w:r>
    </w:p>
    <w:p>
      <w:pPr>
        <w:spacing w:line="247" w:lineRule="auto" w:before="2"/>
        <w:ind w:left="115" w:right="101" w:firstLine="0"/>
        <w:jc w:val="both"/>
        <w:rPr>
          <w:sz w:val="19"/>
        </w:rPr>
      </w:pPr>
      <w:r>
        <w:rPr>
          <w:b/>
          <w:w w:val="105"/>
          <w:sz w:val="19"/>
        </w:rPr>
        <w:t>Grofman</w:t>
      </w:r>
      <w:r>
        <w:rPr>
          <w:w w:val="105"/>
          <w:sz w:val="19"/>
        </w:rPr>
        <w:t>, Bernard y Andrew Reynolds. (2001). “Electoral Systems and the Art of Constitutional Engineering: An Inventory of the Main Findings”. En “Rules and Reasons: Perspectives on Constitutional Political Economy”, editado por Ram Mudambi, Giuseppi Sobbrio y PietroNavarra. Cambridge: Cambridge University Press.</w:t>
      </w:r>
    </w:p>
    <w:p>
      <w:pPr>
        <w:spacing w:line="242" w:lineRule="auto" w:before="0"/>
        <w:ind w:left="115" w:right="106" w:firstLine="0"/>
        <w:jc w:val="both"/>
        <w:rPr>
          <w:sz w:val="19"/>
        </w:rPr>
      </w:pPr>
      <w:r>
        <w:rPr>
          <w:b/>
          <w:w w:val="105"/>
          <w:sz w:val="19"/>
        </w:rPr>
        <w:t>Guevara</w:t>
      </w:r>
      <w:r>
        <w:rPr>
          <w:b/>
          <w:spacing w:val="-5"/>
          <w:w w:val="105"/>
          <w:sz w:val="19"/>
        </w:rPr>
        <w:t> </w:t>
      </w:r>
      <w:r>
        <w:rPr>
          <w:w w:val="105"/>
          <w:sz w:val="19"/>
        </w:rPr>
        <w:t>Nieto,</w:t>
      </w:r>
      <w:r>
        <w:rPr>
          <w:spacing w:val="-8"/>
          <w:w w:val="105"/>
          <w:sz w:val="19"/>
        </w:rPr>
        <w:t> </w:t>
      </w:r>
      <w:r>
        <w:rPr>
          <w:w w:val="105"/>
          <w:sz w:val="19"/>
        </w:rPr>
        <w:t>Gilberto</w:t>
      </w:r>
      <w:r>
        <w:rPr>
          <w:spacing w:val="-2"/>
          <w:w w:val="105"/>
          <w:sz w:val="19"/>
        </w:rPr>
        <w:t> </w:t>
      </w:r>
      <w:r>
        <w:rPr>
          <w:w w:val="105"/>
          <w:sz w:val="19"/>
        </w:rPr>
        <w:t>(comp.).</w:t>
      </w:r>
      <w:r>
        <w:rPr>
          <w:spacing w:val="-5"/>
          <w:w w:val="105"/>
          <w:sz w:val="19"/>
        </w:rPr>
        <w:t> </w:t>
      </w:r>
      <w:r>
        <w:rPr>
          <w:w w:val="105"/>
          <w:sz w:val="19"/>
        </w:rPr>
        <w:t>(1992).</w:t>
      </w:r>
      <w:r>
        <w:rPr>
          <w:spacing w:val="-5"/>
          <w:w w:val="105"/>
          <w:sz w:val="19"/>
        </w:rPr>
        <w:t> </w:t>
      </w:r>
      <w:r>
        <w:rPr>
          <w:w w:val="105"/>
          <w:sz w:val="19"/>
        </w:rPr>
        <w:t>“La</w:t>
      </w:r>
      <w:r>
        <w:rPr>
          <w:spacing w:val="-5"/>
          <w:w w:val="105"/>
          <w:sz w:val="19"/>
        </w:rPr>
        <w:t> </w:t>
      </w:r>
      <w:r>
        <w:rPr>
          <w:w w:val="105"/>
          <w:sz w:val="19"/>
        </w:rPr>
        <w:t>catástrofe</w:t>
      </w:r>
      <w:r>
        <w:rPr>
          <w:spacing w:val="-2"/>
          <w:w w:val="105"/>
          <w:sz w:val="19"/>
        </w:rPr>
        <w:t> </w:t>
      </w:r>
      <w:r>
        <w:rPr>
          <w:w w:val="105"/>
          <w:sz w:val="19"/>
        </w:rPr>
        <w:t>silenciosa”.</w:t>
      </w:r>
      <w:r>
        <w:rPr>
          <w:spacing w:val="-8"/>
          <w:w w:val="105"/>
          <w:sz w:val="19"/>
        </w:rPr>
        <w:t> </w:t>
      </w:r>
      <w:r>
        <w:rPr>
          <w:w w:val="105"/>
          <w:sz w:val="19"/>
        </w:rPr>
        <w:t>Fondo</w:t>
      </w:r>
      <w:r>
        <w:rPr>
          <w:spacing w:val="-5"/>
          <w:w w:val="105"/>
          <w:sz w:val="19"/>
        </w:rPr>
        <w:t> </w:t>
      </w:r>
      <w:r>
        <w:rPr>
          <w:w w:val="105"/>
          <w:sz w:val="19"/>
        </w:rPr>
        <w:t>de</w:t>
      </w:r>
      <w:r>
        <w:rPr>
          <w:spacing w:val="-5"/>
          <w:w w:val="105"/>
          <w:sz w:val="19"/>
        </w:rPr>
        <w:t> </w:t>
      </w:r>
      <w:r>
        <w:rPr>
          <w:w w:val="105"/>
          <w:sz w:val="19"/>
        </w:rPr>
        <w:t>Cultura</w:t>
      </w:r>
      <w:r>
        <w:rPr>
          <w:spacing w:val="-2"/>
          <w:w w:val="105"/>
          <w:sz w:val="19"/>
        </w:rPr>
        <w:t> </w:t>
      </w:r>
      <w:r>
        <w:rPr>
          <w:w w:val="105"/>
          <w:sz w:val="19"/>
        </w:rPr>
        <w:t>Económica. México.</w:t>
      </w:r>
    </w:p>
    <w:p>
      <w:pPr>
        <w:spacing w:line="242" w:lineRule="auto" w:before="5"/>
        <w:ind w:left="115" w:right="111" w:firstLine="0"/>
        <w:jc w:val="both"/>
        <w:rPr>
          <w:sz w:val="19"/>
        </w:rPr>
      </w:pPr>
      <w:r>
        <w:rPr>
          <w:w w:val="105"/>
          <w:sz w:val="19"/>
        </w:rPr>
        <w:t>-----------------------------</w:t>
      </w:r>
      <w:r>
        <w:rPr>
          <w:spacing w:val="-13"/>
          <w:w w:val="105"/>
          <w:sz w:val="19"/>
        </w:rPr>
        <w:t> </w:t>
      </w:r>
      <w:r>
        <w:rPr>
          <w:w w:val="105"/>
          <w:sz w:val="19"/>
        </w:rPr>
        <w:t>(1991).</w:t>
      </w:r>
      <w:r>
        <w:rPr>
          <w:spacing w:val="-13"/>
          <w:w w:val="105"/>
          <w:sz w:val="19"/>
        </w:rPr>
        <w:t> </w:t>
      </w:r>
      <w:r>
        <w:rPr>
          <w:w w:val="105"/>
          <w:sz w:val="19"/>
        </w:rPr>
        <w:t>“México:</w:t>
      </w:r>
      <w:r>
        <w:rPr>
          <w:spacing w:val="-16"/>
          <w:w w:val="105"/>
          <w:sz w:val="19"/>
        </w:rPr>
        <w:t> </w:t>
      </w:r>
      <w:r>
        <w:rPr>
          <w:w w:val="105"/>
          <w:sz w:val="19"/>
        </w:rPr>
        <w:t>¿Un</w:t>
      </w:r>
      <w:r>
        <w:rPr>
          <w:spacing w:val="-16"/>
          <w:w w:val="105"/>
          <w:sz w:val="19"/>
        </w:rPr>
        <w:t> </w:t>
      </w:r>
      <w:r>
        <w:rPr>
          <w:w w:val="105"/>
          <w:sz w:val="19"/>
        </w:rPr>
        <w:t>país</w:t>
      </w:r>
      <w:r>
        <w:rPr>
          <w:spacing w:val="-16"/>
          <w:w w:val="105"/>
          <w:sz w:val="19"/>
        </w:rPr>
        <w:t> </w:t>
      </w:r>
      <w:r>
        <w:rPr>
          <w:w w:val="105"/>
          <w:sz w:val="19"/>
        </w:rPr>
        <w:t>de</w:t>
      </w:r>
      <w:r>
        <w:rPr>
          <w:spacing w:val="-11"/>
          <w:w w:val="105"/>
          <w:sz w:val="19"/>
        </w:rPr>
        <w:t> </w:t>
      </w:r>
      <w:r>
        <w:rPr>
          <w:w w:val="105"/>
          <w:sz w:val="19"/>
        </w:rPr>
        <w:t>reprobados?”.</w:t>
      </w:r>
      <w:r>
        <w:rPr>
          <w:spacing w:val="-19"/>
          <w:w w:val="105"/>
          <w:sz w:val="19"/>
        </w:rPr>
        <w:t> </w:t>
      </w:r>
      <w:r>
        <w:rPr>
          <w:w w:val="105"/>
          <w:sz w:val="19"/>
        </w:rPr>
        <w:t>Nexos,</w:t>
      </w:r>
      <w:r>
        <w:rPr>
          <w:spacing w:val="-12"/>
          <w:w w:val="105"/>
          <w:sz w:val="19"/>
        </w:rPr>
        <w:t> </w:t>
      </w:r>
      <w:r>
        <w:rPr>
          <w:w w:val="105"/>
          <w:sz w:val="19"/>
        </w:rPr>
        <w:t>núm.</w:t>
      </w:r>
      <w:r>
        <w:rPr>
          <w:spacing w:val="-16"/>
          <w:w w:val="105"/>
          <w:sz w:val="19"/>
        </w:rPr>
        <w:t> </w:t>
      </w:r>
      <w:r>
        <w:rPr>
          <w:w w:val="105"/>
          <w:sz w:val="19"/>
        </w:rPr>
        <w:t>162.</w:t>
      </w:r>
      <w:r>
        <w:rPr>
          <w:spacing w:val="-16"/>
          <w:w w:val="105"/>
          <w:sz w:val="19"/>
        </w:rPr>
        <w:t> </w:t>
      </w:r>
      <w:r>
        <w:rPr>
          <w:w w:val="105"/>
          <w:sz w:val="19"/>
        </w:rPr>
        <w:t>Junio.</w:t>
      </w:r>
      <w:r>
        <w:rPr>
          <w:spacing w:val="-16"/>
          <w:w w:val="105"/>
          <w:sz w:val="19"/>
        </w:rPr>
        <w:t> </w:t>
      </w:r>
      <w:r>
        <w:rPr>
          <w:w w:val="105"/>
          <w:sz w:val="19"/>
        </w:rPr>
        <w:t>pp.</w:t>
      </w:r>
      <w:r>
        <w:rPr>
          <w:spacing w:val="-16"/>
          <w:w w:val="105"/>
          <w:sz w:val="19"/>
        </w:rPr>
        <w:t> </w:t>
      </w:r>
      <w:r>
        <w:rPr>
          <w:w w:val="105"/>
          <w:sz w:val="19"/>
        </w:rPr>
        <w:t>33- 34.</w:t>
      </w:r>
    </w:p>
    <w:p>
      <w:pPr>
        <w:pStyle w:val="BodyText"/>
        <w:rPr>
          <w:sz w:val="20"/>
        </w:rPr>
      </w:pPr>
    </w:p>
    <w:p>
      <w:pPr>
        <w:spacing w:before="0"/>
        <w:ind w:left="115" w:right="0" w:firstLine="0"/>
        <w:jc w:val="both"/>
        <w:rPr>
          <w:b/>
          <w:sz w:val="19"/>
        </w:rPr>
      </w:pPr>
      <w:r>
        <w:rPr>
          <w:b/>
          <w:w w:val="103"/>
          <w:sz w:val="19"/>
        </w:rPr>
        <w:t>H</w:t>
      </w:r>
    </w:p>
    <w:p>
      <w:pPr>
        <w:spacing w:line="217" w:lineRule="exact" w:before="7"/>
        <w:ind w:left="115" w:right="0" w:firstLine="0"/>
        <w:jc w:val="both"/>
        <w:rPr>
          <w:sz w:val="19"/>
        </w:rPr>
      </w:pPr>
      <w:r>
        <w:rPr>
          <w:b/>
          <w:w w:val="105"/>
          <w:sz w:val="19"/>
        </w:rPr>
        <w:t>Hayashi</w:t>
      </w:r>
      <w:r>
        <w:rPr>
          <w:w w:val="105"/>
          <w:sz w:val="19"/>
        </w:rPr>
        <w:t>. Laureano. (1992). “La educación mexicana en cifras”. El Nacional. México.</w:t>
      </w:r>
    </w:p>
    <w:p>
      <w:pPr>
        <w:spacing w:line="249" w:lineRule="auto" w:before="0"/>
        <w:ind w:left="115" w:right="191" w:firstLine="0"/>
        <w:jc w:val="left"/>
        <w:rPr>
          <w:sz w:val="19"/>
        </w:rPr>
      </w:pPr>
      <w:r>
        <w:rPr>
          <w:b/>
          <w:w w:val="105"/>
          <w:sz w:val="19"/>
        </w:rPr>
        <w:t>Hernández </w:t>
      </w:r>
      <w:r>
        <w:rPr>
          <w:w w:val="105"/>
          <w:sz w:val="19"/>
        </w:rPr>
        <w:t>Uralde, Jorge (2003). “Retos para la evaluación de la calidad educativa”</w:t>
      </w:r>
      <w:r>
        <w:rPr>
          <w:i/>
          <w:w w:val="105"/>
          <w:sz w:val="19"/>
        </w:rPr>
        <w:t>. </w:t>
      </w:r>
      <w:r>
        <w:rPr>
          <w:w w:val="105"/>
          <w:sz w:val="19"/>
        </w:rPr>
        <w:t>Boletín Ceneval. Abril-junio 2003. Num. 1. Puede consultarse en: </w:t>
      </w:r>
      <w:hyperlink r:id="rId146">
        <w:r>
          <w:rPr>
            <w:color w:val="0000FF"/>
            <w:w w:val="105"/>
            <w:sz w:val="19"/>
            <w:u w:val="single" w:color="0000FF"/>
          </w:rPr>
          <w:t>http://www.ceneval.edu.mx/portalceneval/docs/0/boletin1.pdf</w:t>
        </w:r>
      </w:hyperlink>
    </w:p>
    <w:p>
      <w:pPr>
        <w:spacing w:line="247" w:lineRule="auto" w:before="0"/>
        <w:ind w:left="115" w:right="99" w:firstLine="0"/>
        <w:jc w:val="both"/>
        <w:rPr>
          <w:sz w:val="19"/>
        </w:rPr>
      </w:pPr>
      <w:r>
        <w:rPr>
          <w:b/>
          <w:w w:val="105"/>
          <w:sz w:val="19"/>
        </w:rPr>
        <w:t>Himmel</w:t>
      </w:r>
      <w:r>
        <w:rPr>
          <w:w w:val="105"/>
          <w:sz w:val="19"/>
        </w:rPr>
        <w:t>,</w:t>
      </w:r>
      <w:r>
        <w:rPr>
          <w:spacing w:val="-18"/>
          <w:w w:val="105"/>
          <w:sz w:val="19"/>
        </w:rPr>
        <w:t> </w:t>
      </w:r>
      <w:r>
        <w:rPr>
          <w:w w:val="105"/>
          <w:sz w:val="19"/>
        </w:rPr>
        <w:t>Ericka;</w:t>
      </w:r>
      <w:r>
        <w:rPr>
          <w:spacing w:val="-21"/>
          <w:w w:val="105"/>
          <w:sz w:val="19"/>
        </w:rPr>
        <w:t> </w:t>
      </w:r>
      <w:r>
        <w:rPr>
          <w:w w:val="105"/>
          <w:sz w:val="19"/>
        </w:rPr>
        <w:t>Olivares,</w:t>
      </w:r>
      <w:r>
        <w:rPr>
          <w:spacing w:val="-15"/>
          <w:w w:val="105"/>
          <w:sz w:val="19"/>
        </w:rPr>
        <w:t> </w:t>
      </w:r>
      <w:r>
        <w:rPr>
          <w:spacing w:val="-3"/>
          <w:w w:val="105"/>
          <w:sz w:val="19"/>
        </w:rPr>
        <w:t>M.</w:t>
      </w:r>
      <w:r>
        <w:rPr>
          <w:spacing w:val="-18"/>
          <w:w w:val="105"/>
          <w:sz w:val="19"/>
        </w:rPr>
        <w:t> </w:t>
      </w:r>
      <w:r>
        <w:rPr>
          <w:w w:val="105"/>
          <w:sz w:val="19"/>
        </w:rPr>
        <w:t>y</w:t>
      </w:r>
      <w:r>
        <w:rPr>
          <w:spacing w:val="-18"/>
          <w:w w:val="105"/>
          <w:sz w:val="19"/>
        </w:rPr>
        <w:t> </w:t>
      </w:r>
      <w:r>
        <w:rPr>
          <w:w w:val="105"/>
          <w:sz w:val="19"/>
        </w:rPr>
        <w:t>Zabalza,</w:t>
      </w:r>
      <w:r>
        <w:rPr>
          <w:spacing w:val="-17"/>
          <w:w w:val="105"/>
          <w:sz w:val="19"/>
        </w:rPr>
        <w:t> </w:t>
      </w:r>
      <w:r>
        <w:rPr>
          <w:w w:val="105"/>
          <w:sz w:val="19"/>
        </w:rPr>
        <w:t>J.</w:t>
      </w:r>
      <w:r>
        <w:rPr>
          <w:spacing w:val="-17"/>
          <w:w w:val="105"/>
          <w:sz w:val="19"/>
        </w:rPr>
        <w:t> </w:t>
      </w:r>
      <w:r>
        <w:rPr>
          <w:w w:val="105"/>
          <w:sz w:val="19"/>
        </w:rPr>
        <w:t>(1999).</w:t>
      </w:r>
      <w:r>
        <w:rPr>
          <w:spacing w:val="-14"/>
          <w:w w:val="105"/>
          <w:sz w:val="19"/>
        </w:rPr>
        <w:t> </w:t>
      </w:r>
      <w:r>
        <w:rPr>
          <w:i/>
          <w:spacing w:val="-3"/>
          <w:w w:val="105"/>
          <w:sz w:val="19"/>
        </w:rPr>
        <w:t>“</w:t>
      </w:r>
      <w:r>
        <w:rPr>
          <w:spacing w:val="-3"/>
          <w:w w:val="105"/>
          <w:sz w:val="19"/>
        </w:rPr>
        <w:t>Hacia</w:t>
      </w:r>
      <w:r>
        <w:rPr>
          <w:spacing w:val="-13"/>
          <w:w w:val="105"/>
          <w:sz w:val="19"/>
        </w:rPr>
        <w:t> </w:t>
      </w:r>
      <w:r>
        <w:rPr>
          <w:w w:val="105"/>
          <w:sz w:val="19"/>
        </w:rPr>
        <w:t>una</w:t>
      </w:r>
      <w:r>
        <w:rPr>
          <w:spacing w:val="-13"/>
          <w:w w:val="105"/>
          <w:sz w:val="19"/>
        </w:rPr>
        <w:t> </w:t>
      </w:r>
      <w:r>
        <w:rPr>
          <w:w w:val="105"/>
          <w:sz w:val="19"/>
        </w:rPr>
        <w:t>Evaluación</w:t>
      </w:r>
      <w:r>
        <w:rPr>
          <w:spacing w:val="-13"/>
          <w:w w:val="105"/>
          <w:sz w:val="19"/>
        </w:rPr>
        <w:t> </w:t>
      </w:r>
      <w:r>
        <w:rPr>
          <w:w w:val="105"/>
          <w:sz w:val="19"/>
        </w:rPr>
        <w:t>Educativa,</w:t>
      </w:r>
      <w:r>
        <w:rPr>
          <w:spacing w:val="-13"/>
          <w:w w:val="105"/>
          <w:sz w:val="19"/>
        </w:rPr>
        <w:t> </w:t>
      </w:r>
      <w:r>
        <w:rPr>
          <w:w w:val="105"/>
          <w:sz w:val="19"/>
        </w:rPr>
        <w:t>Aprender</w:t>
      </w:r>
      <w:r>
        <w:rPr>
          <w:spacing w:val="-18"/>
          <w:w w:val="105"/>
          <w:sz w:val="19"/>
        </w:rPr>
        <w:t> </w:t>
      </w:r>
      <w:r>
        <w:rPr>
          <w:w w:val="105"/>
          <w:sz w:val="19"/>
        </w:rPr>
        <w:t>para Evaluar y Evaluar para Aprender”. Santiago: Programa de Perfeccionamiento Fundamental; Pontificia</w:t>
      </w:r>
      <w:r>
        <w:rPr>
          <w:spacing w:val="-25"/>
          <w:w w:val="105"/>
          <w:sz w:val="19"/>
        </w:rPr>
        <w:t> </w:t>
      </w:r>
      <w:r>
        <w:rPr>
          <w:w w:val="105"/>
          <w:sz w:val="19"/>
        </w:rPr>
        <w:t>Universidad</w:t>
      </w:r>
      <w:r>
        <w:rPr>
          <w:spacing w:val="-28"/>
          <w:w w:val="105"/>
          <w:sz w:val="19"/>
        </w:rPr>
        <w:t> </w:t>
      </w:r>
      <w:r>
        <w:rPr>
          <w:w w:val="105"/>
          <w:sz w:val="19"/>
        </w:rPr>
        <w:t>Católica</w:t>
      </w:r>
      <w:r>
        <w:rPr>
          <w:spacing w:val="-28"/>
          <w:w w:val="105"/>
          <w:sz w:val="19"/>
        </w:rPr>
        <w:t> </w:t>
      </w:r>
      <w:r>
        <w:rPr>
          <w:spacing w:val="3"/>
          <w:w w:val="105"/>
          <w:sz w:val="19"/>
        </w:rPr>
        <w:t>de</w:t>
      </w:r>
      <w:r>
        <w:rPr>
          <w:spacing w:val="-28"/>
          <w:w w:val="105"/>
          <w:sz w:val="19"/>
        </w:rPr>
        <w:t> </w:t>
      </w:r>
      <w:r>
        <w:rPr>
          <w:w w:val="105"/>
          <w:sz w:val="19"/>
        </w:rPr>
        <w:t>Chile.</w:t>
      </w:r>
    </w:p>
    <w:p>
      <w:pPr>
        <w:spacing w:line="242" w:lineRule="auto" w:before="0"/>
        <w:ind w:left="115" w:right="103" w:firstLine="0"/>
        <w:jc w:val="both"/>
        <w:rPr>
          <w:sz w:val="19"/>
        </w:rPr>
      </w:pPr>
      <w:r>
        <w:rPr>
          <w:b/>
          <w:w w:val="105"/>
          <w:sz w:val="19"/>
        </w:rPr>
        <w:t>Hirsch</w:t>
      </w:r>
      <w:r>
        <w:rPr>
          <w:w w:val="105"/>
          <w:sz w:val="19"/>
        </w:rPr>
        <w:t>, Joachim (2002). “El Estado nacional de competencia. Estado, democracia y política en el capitalismo global”. Universidad Autónoma Metropolitana, Azcapotzalco, México</w:t>
      </w:r>
    </w:p>
    <w:p>
      <w:pPr>
        <w:spacing w:before="5"/>
        <w:ind w:left="115" w:right="0" w:firstLine="0"/>
        <w:jc w:val="both"/>
        <w:rPr>
          <w:sz w:val="19"/>
        </w:rPr>
      </w:pPr>
      <w:r>
        <w:rPr>
          <w:b/>
          <w:w w:val="105"/>
          <w:sz w:val="19"/>
        </w:rPr>
        <w:t>Hogwood</w:t>
      </w:r>
      <w:r>
        <w:rPr>
          <w:b/>
          <w:spacing w:val="-14"/>
          <w:w w:val="105"/>
          <w:sz w:val="19"/>
        </w:rPr>
        <w:t> </w:t>
      </w:r>
      <w:r>
        <w:rPr>
          <w:w w:val="105"/>
          <w:sz w:val="19"/>
        </w:rPr>
        <w:t>B.</w:t>
      </w:r>
      <w:r>
        <w:rPr>
          <w:spacing w:val="-16"/>
          <w:w w:val="105"/>
          <w:sz w:val="19"/>
        </w:rPr>
        <w:t> </w:t>
      </w:r>
      <w:r>
        <w:rPr>
          <w:spacing w:val="4"/>
          <w:w w:val="105"/>
          <w:sz w:val="19"/>
        </w:rPr>
        <w:t>W.</w:t>
      </w:r>
      <w:r>
        <w:rPr>
          <w:spacing w:val="-19"/>
          <w:w w:val="105"/>
          <w:sz w:val="19"/>
        </w:rPr>
        <w:t> </w:t>
      </w:r>
      <w:r>
        <w:rPr>
          <w:w w:val="105"/>
          <w:sz w:val="19"/>
        </w:rPr>
        <w:t>y</w:t>
      </w:r>
      <w:r>
        <w:rPr>
          <w:spacing w:val="-19"/>
          <w:w w:val="105"/>
          <w:sz w:val="19"/>
        </w:rPr>
        <w:t> </w:t>
      </w:r>
      <w:r>
        <w:rPr>
          <w:w w:val="105"/>
          <w:sz w:val="19"/>
        </w:rPr>
        <w:t>Gunn,</w:t>
      </w:r>
      <w:r>
        <w:rPr>
          <w:spacing w:val="-19"/>
          <w:w w:val="105"/>
          <w:sz w:val="19"/>
        </w:rPr>
        <w:t> </w:t>
      </w:r>
      <w:r>
        <w:rPr>
          <w:w w:val="105"/>
          <w:sz w:val="19"/>
        </w:rPr>
        <w:t>L.</w:t>
      </w:r>
      <w:r>
        <w:rPr>
          <w:spacing w:val="-16"/>
          <w:w w:val="105"/>
          <w:sz w:val="19"/>
        </w:rPr>
        <w:t> </w:t>
      </w:r>
      <w:r>
        <w:rPr>
          <w:w w:val="105"/>
          <w:sz w:val="19"/>
        </w:rPr>
        <w:t>A.</w:t>
      </w:r>
      <w:r>
        <w:rPr>
          <w:spacing w:val="-16"/>
          <w:w w:val="105"/>
          <w:sz w:val="19"/>
        </w:rPr>
        <w:t> </w:t>
      </w:r>
      <w:r>
        <w:rPr>
          <w:w w:val="105"/>
          <w:sz w:val="19"/>
        </w:rPr>
        <w:t>(1984).</w:t>
      </w:r>
      <w:r>
        <w:rPr>
          <w:spacing w:val="-16"/>
          <w:w w:val="105"/>
          <w:sz w:val="19"/>
        </w:rPr>
        <w:t> </w:t>
      </w:r>
      <w:r>
        <w:rPr>
          <w:w w:val="105"/>
          <w:sz w:val="19"/>
        </w:rPr>
        <w:t>“Policy</w:t>
      </w:r>
      <w:r>
        <w:rPr>
          <w:spacing w:val="-19"/>
          <w:w w:val="105"/>
          <w:sz w:val="19"/>
        </w:rPr>
        <w:t> </w:t>
      </w:r>
      <w:r>
        <w:rPr>
          <w:w w:val="105"/>
          <w:sz w:val="19"/>
        </w:rPr>
        <w:t>Analysis</w:t>
      </w:r>
      <w:r>
        <w:rPr>
          <w:spacing w:val="-8"/>
          <w:w w:val="105"/>
          <w:sz w:val="19"/>
        </w:rPr>
        <w:t> </w:t>
      </w:r>
      <w:r>
        <w:rPr>
          <w:w w:val="105"/>
          <w:sz w:val="19"/>
        </w:rPr>
        <w:t>for</w:t>
      </w:r>
      <w:r>
        <w:rPr>
          <w:spacing w:val="-16"/>
          <w:w w:val="105"/>
          <w:sz w:val="19"/>
        </w:rPr>
        <w:t> </w:t>
      </w:r>
      <w:r>
        <w:rPr>
          <w:w w:val="105"/>
          <w:sz w:val="19"/>
        </w:rPr>
        <w:t>the</w:t>
      </w:r>
      <w:r>
        <w:rPr>
          <w:spacing w:val="-16"/>
          <w:w w:val="105"/>
          <w:sz w:val="19"/>
        </w:rPr>
        <w:t> </w:t>
      </w:r>
      <w:r>
        <w:rPr>
          <w:w w:val="105"/>
          <w:sz w:val="19"/>
        </w:rPr>
        <w:t>Real</w:t>
      </w:r>
      <w:r>
        <w:rPr>
          <w:spacing w:val="-19"/>
          <w:w w:val="105"/>
          <w:sz w:val="19"/>
        </w:rPr>
        <w:t> </w:t>
      </w:r>
      <w:r>
        <w:rPr>
          <w:w w:val="105"/>
          <w:sz w:val="19"/>
        </w:rPr>
        <w:t>World”,</w:t>
      </w:r>
      <w:r>
        <w:rPr>
          <w:spacing w:val="-16"/>
          <w:w w:val="105"/>
          <w:sz w:val="19"/>
        </w:rPr>
        <w:t> </w:t>
      </w:r>
      <w:r>
        <w:rPr>
          <w:w w:val="105"/>
          <w:sz w:val="19"/>
        </w:rPr>
        <w:t>Oxford</w:t>
      </w:r>
      <w:r>
        <w:rPr>
          <w:spacing w:val="-16"/>
          <w:w w:val="105"/>
          <w:sz w:val="19"/>
        </w:rPr>
        <w:t> </w:t>
      </w:r>
      <w:r>
        <w:rPr>
          <w:w w:val="105"/>
          <w:sz w:val="19"/>
        </w:rPr>
        <w:t>University</w:t>
      </w:r>
      <w:r>
        <w:rPr>
          <w:spacing w:val="-16"/>
          <w:w w:val="105"/>
          <w:sz w:val="19"/>
        </w:rPr>
        <w:t> </w:t>
      </w:r>
      <w:r>
        <w:rPr>
          <w:w w:val="105"/>
          <w:sz w:val="19"/>
        </w:rPr>
        <w:t>Press.</w:t>
      </w:r>
    </w:p>
    <w:p>
      <w:pPr>
        <w:pStyle w:val="BodyText"/>
        <w:spacing w:before="2"/>
        <w:rPr>
          <w:sz w:val="20"/>
        </w:rPr>
      </w:pPr>
    </w:p>
    <w:p>
      <w:pPr>
        <w:spacing w:before="0"/>
        <w:ind w:left="115" w:right="0" w:firstLine="0"/>
        <w:jc w:val="both"/>
        <w:rPr>
          <w:b/>
          <w:sz w:val="19"/>
        </w:rPr>
      </w:pPr>
      <w:r>
        <w:rPr>
          <w:b/>
          <w:w w:val="103"/>
          <w:sz w:val="19"/>
        </w:rPr>
        <w:t>I</w:t>
      </w:r>
    </w:p>
    <w:p>
      <w:pPr>
        <w:spacing w:line="247" w:lineRule="auto" w:before="2"/>
        <w:ind w:left="115" w:right="110" w:firstLine="0"/>
        <w:jc w:val="both"/>
        <w:rPr>
          <w:sz w:val="19"/>
        </w:rPr>
      </w:pPr>
      <w:r>
        <w:rPr>
          <w:b/>
          <w:spacing w:val="-3"/>
          <w:w w:val="105"/>
          <w:sz w:val="19"/>
        </w:rPr>
        <w:t>IIEP</w:t>
      </w:r>
      <w:r>
        <w:rPr>
          <w:b/>
          <w:spacing w:val="-8"/>
          <w:w w:val="105"/>
          <w:sz w:val="19"/>
        </w:rPr>
        <w:t> </w:t>
      </w:r>
      <w:r>
        <w:rPr>
          <w:w w:val="105"/>
          <w:sz w:val="19"/>
        </w:rPr>
        <w:t>(Instituto</w:t>
      </w:r>
      <w:r>
        <w:rPr>
          <w:spacing w:val="-7"/>
          <w:w w:val="105"/>
          <w:sz w:val="19"/>
        </w:rPr>
        <w:t> </w:t>
      </w:r>
      <w:r>
        <w:rPr>
          <w:w w:val="105"/>
          <w:sz w:val="19"/>
        </w:rPr>
        <w:t>Internacional</w:t>
      </w:r>
      <w:r>
        <w:rPr>
          <w:spacing w:val="-10"/>
          <w:w w:val="105"/>
          <w:sz w:val="19"/>
        </w:rPr>
        <w:t> </w:t>
      </w:r>
      <w:r>
        <w:rPr>
          <w:w w:val="105"/>
          <w:sz w:val="19"/>
        </w:rPr>
        <w:t>de</w:t>
      </w:r>
      <w:r>
        <w:rPr>
          <w:spacing w:val="-10"/>
          <w:w w:val="105"/>
          <w:sz w:val="19"/>
        </w:rPr>
        <w:t> </w:t>
      </w:r>
      <w:r>
        <w:rPr>
          <w:w w:val="105"/>
          <w:sz w:val="19"/>
        </w:rPr>
        <w:t>Planeamiento</w:t>
      </w:r>
      <w:r>
        <w:rPr>
          <w:spacing w:val="-10"/>
          <w:w w:val="105"/>
          <w:sz w:val="19"/>
        </w:rPr>
        <w:t> </w:t>
      </w:r>
      <w:r>
        <w:rPr>
          <w:w w:val="105"/>
          <w:sz w:val="19"/>
        </w:rPr>
        <w:t>de</w:t>
      </w:r>
      <w:r>
        <w:rPr>
          <w:spacing w:val="-10"/>
          <w:w w:val="105"/>
          <w:sz w:val="19"/>
        </w:rPr>
        <w:t> </w:t>
      </w:r>
      <w:r>
        <w:rPr>
          <w:w w:val="105"/>
          <w:sz w:val="19"/>
        </w:rPr>
        <w:t>la</w:t>
      </w:r>
      <w:r>
        <w:rPr>
          <w:spacing w:val="-10"/>
          <w:w w:val="105"/>
          <w:sz w:val="19"/>
        </w:rPr>
        <w:t> </w:t>
      </w:r>
      <w:r>
        <w:rPr>
          <w:w w:val="105"/>
          <w:sz w:val="19"/>
        </w:rPr>
        <w:t>Educación)</w:t>
      </w:r>
      <w:r>
        <w:rPr>
          <w:spacing w:val="-10"/>
          <w:w w:val="105"/>
          <w:sz w:val="19"/>
        </w:rPr>
        <w:t> </w:t>
      </w:r>
      <w:r>
        <w:rPr>
          <w:w w:val="105"/>
          <w:sz w:val="19"/>
        </w:rPr>
        <w:t>(2004),</w:t>
      </w:r>
      <w:r>
        <w:rPr>
          <w:spacing w:val="-10"/>
          <w:w w:val="105"/>
          <w:sz w:val="19"/>
        </w:rPr>
        <w:t> </w:t>
      </w:r>
      <w:r>
        <w:rPr>
          <w:w w:val="105"/>
          <w:sz w:val="19"/>
        </w:rPr>
        <w:t>Carta</w:t>
      </w:r>
      <w:r>
        <w:rPr>
          <w:spacing w:val="-7"/>
          <w:w w:val="105"/>
          <w:sz w:val="19"/>
        </w:rPr>
        <w:t> </w:t>
      </w:r>
      <w:r>
        <w:rPr>
          <w:w w:val="105"/>
          <w:sz w:val="19"/>
        </w:rPr>
        <w:t>Informativa.</w:t>
      </w:r>
      <w:r>
        <w:rPr>
          <w:spacing w:val="-13"/>
          <w:w w:val="105"/>
          <w:sz w:val="19"/>
        </w:rPr>
        <w:t> </w:t>
      </w:r>
      <w:r>
        <w:rPr>
          <w:w w:val="105"/>
          <w:sz w:val="19"/>
        </w:rPr>
        <w:t>Vol.</w:t>
      </w:r>
      <w:r>
        <w:rPr>
          <w:spacing w:val="-10"/>
          <w:w w:val="105"/>
          <w:sz w:val="19"/>
        </w:rPr>
        <w:t> </w:t>
      </w:r>
      <w:r>
        <w:rPr>
          <w:spacing w:val="-3"/>
          <w:w w:val="105"/>
          <w:sz w:val="19"/>
        </w:rPr>
        <w:t>XXII, </w:t>
      </w:r>
      <w:r>
        <w:rPr>
          <w:w w:val="105"/>
          <w:sz w:val="19"/>
        </w:rPr>
        <w:t>No.</w:t>
      </w:r>
      <w:r>
        <w:rPr>
          <w:spacing w:val="-20"/>
          <w:w w:val="105"/>
          <w:sz w:val="19"/>
        </w:rPr>
        <w:t> </w:t>
      </w:r>
      <w:r>
        <w:rPr>
          <w:w w:val="105"/>
          <w:sz w:val="19"/>
        </w:rPr>
        <w:t>4,</w:t>
      </w:r>
      <w:r>
        <w:rPr>
          <w:spacing w:val="-26"/>
          <w:w w:val="105"/>
          <w:sz w:val="19"/>
        </w:rPr>
        <w:t> </w:t>
      </w:r>
      <w:r>
        <w:rPr>
          <w:w w:val="105"/>
          <w:sz w:val="19"/>
        </w:rPr>
        <w:t>Octubre-Diciembre</w:t>
      </w:r>
      <w:r>
        <w:rPr>
          <w:spacing w:val="-20"/>
          <w:w w:val="105"/>
          <w:sz w:val="19"/>
        </w:rPr>
        <w:t> </w:t>
      </w:r>
      <w:r>
        <w:rPr>
          <w:w w:val="105"/>
          <w:sz w:val="19"/>
        </w:rPr>
        <w:t>de</w:t>
      </w:r>
      <w:r>
        <w:rPr>
          <w:spacing w:val="-20"/>
          <w:w w:val="105"/>
          <w:sz w:val="19"/>
        </w:rPr>
        <w:t> </w:t>
      </w:r>
      <w:r>
        <w:rPr>
          <w:w w:val="105"/>
          <w:sz w:val="19"/>
        </w:rPr>
        <w:t>2004.</w:t>
      </w:r>
    </w:p>
    <w:p>
      <w:pPr>
        <w:spacing w:line="244" w:lineRule="auto" w:before="0"/>
        <w:ind w:left="115" w:right="103" w:firstLine="0"/>
        <w:jc w:val="both"/>
        <w:rPr>
          <w:sz w:val="19"/>
        </w:rPr>
      </w:pPr>
      <w:r>
        <w:rPr>
          <w:b/>
          <w:spacing w:val="-3"/>
          <w:w w:val="105"/>
          <w:sz w:val="19"/>
        </w:rPr>
        <w:t>IIEP</w:t>
      </w:r>
      <w:r>
        <w:rPr>
          <w:b/>
          <w:spacing w:val="-17"/>
          <w:w w:val="105"/>
          <w:sz w:val="19"/>
        </w:rPr>
        <w:t> </w:t>
      </w:r>
      <w:r>
        <w:rPr>
          <w:w w:val="105"/>
          <w:sz w:val="19"/>
        </w:rPr>
        <w:t>(Instituto</w:t>
      </w:r>
      <w:r>
        <w:rPr>
          <w:spacing w:val="-13"/>
          <w:w w:val="105"/>
          <w:sz w:val="19"/>
        </w:rPr>
        <w:t> </w:t>
      </w:r>
      <w:r>
        <w:rPr>
          <w:w w:val="105"/>
          <w:sz w:val="19"/>
        </w:rPr>
        <w:t>Internacional</w:t>
      </w:r>
      <w:r>
        <w:rPr>
          <w:spacing w:val="-21"/>
          <w:w w:val="105"/>
          <w:sz w:val="19"/>
        </w:rPr>
        <w:t> </w:t>
      </w:r>
      <w:r>
        <w:rPr>
          <w:w w:val="105"/>
          <w:sz w:val="19"/>
        </w:rPr>
        <w:t>de</w:t>
      </w:r>
      <w:r>
        <w:rPr>
          <w:spacing w:val="-18"/>
          <w:w w:val="105"/>
          <w:sz w:val="19"/>
        </w:rPr>
        <w:t> </w:t>
      </w:r>
      <w:r>
        <w:rPr>
          <w:w w:val="105"/>
          <w:sz w:val="19"/>
        </w:rPr>
        <w:t>Planeamiento</w:t>
      </w:r>
      <w:r>
        <w:rPr>
          <w:spacing w:val="-18"/>
          <w:w w:val="105"/>
          <w:sz w:val="19"/>
        </w:rPr>
        <w:t> </w:t>
      </w:r>
      <w:r>
        <w:rPr>
          <w:w w:val="105"/>
          <w:sz w:val="19"/>
        </w:rPr>
        <w:t>de</w:t>
      </w:r>
      <w:r>
        <w:rPr>
          <w:spacing w:val="-21"/>
          <w:w w:val="105"/>
          <w:sz w:val="19"/>
        </w:rPr>
        <w:t> </w:t>
      </w:r>
      <w:r>
        <w:rPr>
          <w:w w:val="105"/>
          <w:sz w:val="19"/>
        </w:rPr>
        <w:t>la</w:t>
      </w:r>
      <w:r>
        <w:rPr>
          <w:spacing w:val="-18"/>
          <w:w w:val="105"/>
          <w:sz w:val="19"/>
        </w:rPr>
        <w:t> </w:t>
      </w:r>
      <w:r>
        <w:rPr>
          <w:w w:val="105"/>
          <w:sz w:val="19"/>
        </w:rPr>
        <w:t>Educación)</w:t>
      </w:r>
      <w:r>
        <w:rPr>
          <w:spacing w:val="-16"/>
          <w:w w:val="105"/>
          <w:sz w:val="19"/>
        </w:rPr>
        <w:t> </w:t>
      </w:r>
      <w:r>
        <w:rPr>
          <w:w w:val="105"/>
          <w:sz w:val="19"/>
        </w:rPr>
        <w:t>(1998),</w:t>
      </w:r>
      <w:r>
        <w:rPr>
          <w:spacing w:val="-18"/>
          <w:w w:val="105"/>
          <w:sz w:val="19"/>
        </w:rPr>
        <w:t> </w:t>
      </w:r>
      <w:r>
        <w:rPr>
          <w:w w:val="105"/>
          <w:sz w:val="19"/>
        </w:rPr>
        <w:t>Presentación</w:t>
      </w:r>
      <w:r>
        <w:rPr>
          <w:spacing w:val="-18"/>
          <w:w w:val="105"/>
          <w:sz w:val="19"/>
        </w:rPr>
        <w:t> </w:t>
      </w:r>
      <w:r>
        <w:rPr>
          <w:spacing w:val="-3"/>
          <w:w w:val="105"/>
          <w:sz w:val="19"/>
        </w:rPr>
        <w:t>de</w:t>
      </w:r>
      <w:r>
        <w:rPr>
          <w:spacing w:val="-18"/>
          <w:w w:val="105"/>
          <w:sz w:val="19"/>
        </w:rPr>
        <w:t> </w:t>
      </w:r>
      <w:r>
        <w:rPr>
          <w:w w:val="105"/>
          <w:sz w:val="19"/>
        </w:rPr>
        <w:t>los</w:t>
      </w:r>
      <w:r>
        <w:rPr>
          <w:spacing w:val="-18"/>
          <w:w w:val="105"/>
          <w:sz w:val="19"/>
        </w:rPr>
        <w:t> </w:t>
      </w:r>
      <w:r>
        <w:rPr>
          <w:w w:val="105"/>
          <w:sz w:val="19"/>
        </w:rPr>
        <w:t>informes SACMEQ </w:t>
      </w:r>
      <w:r>
        <w:rPr>
          <w:spacing w:val="-3"/>
          <w:w w:val="105"/>
          <w:sz w:val="19"/>
        </w:rPr>
        <w:t>en </w:t>
      </w:r>
      <w:r>
        <w:rPr>
          <w:w w:val="105"/>
          <w:sz w:val="19"/>
        </w:rPr>
        <w:t>la reunión </w:t>
      </w:r>
      <w:r>
        <w:rPr>
          <w:spacing w:val="2"/>
          <w:w w:val="105"/>
          <w:sz w:val="19"/>
        </w:rPr>
        <w:t>de </w:t>
      </w:r>
      <w:r>
        <w:rPr>
          <w:w w:val="105"/>
          <w:sz w:val="19"/>
        </w:rPr>
        <w:t>Ministros africanos en </w:t>
      </w:r>
      <w:r>
        <w:rPr>
          <w:i/>
          <w:w w:val="105"/>
          <w:sz w:val="19"/>
        </w:rPr>
        <w:t>Carta Informativa. </w:t>
      </w:r>
      <w:r>
        <w:rPr>
          <w:w w:val="105"/>
          <w:sz w:val="19"/>
        </w:rPr>
        <w:t>Vol. XVI, No. 3, julio- septiembre</w:t>
      </w:r>
      <w:r>
        <w:rPr>
          <w:spacing w:val="-25"/>
          <w:w w:val="105"/>
          <w:sz w:val="19"/>
        </w:rPr>
        <w:t> </w:t>
      </w:r>
      <w:r>
        <w:rPr>
          <w:w w:val="105"/>
          <w:sz w:val="19"/>
        </w:rPr>
        <w:t>de</w:t>
      </w:r>
      <w:r>
        <w:rPr>
          <w:spacing w:val="-25"/>
          <w:w w:val="105"/>
          <w:sz w:val="19"/>
        </w:rPr>
        <w:t> </w:t>
      </w:r>
      <w:r>
        <w:rPr>
          <w:w w:val="105"/>
          <w:sz w:val="19"/>
        </w:rPr>
        <w:t>1998.</w:t>
      </w:r>
    </w:p>
    <w:p>
      <w:pPr>
        <w:spacing w:line="242" w:lineRule="auto" w:before="3"/>
        <w:ind w:left="115" w:right="103" w:firstLine="0"/>
        <w:jc w:val="left"/>
        <w:rPr>
          <w:sz w:val="19"/>
        </w:rPr>
      </w:pPr>
      <w:r>
        <w:rPr>
          <w:b/>
          <w:spacing w:val="-4"/>
          <w:w w:val="105"/>
          <w:sz w:val="19"/>
        </w:rPr>
        <w:t>IFIE</w:t>
      </w:r>
      <w:r>
        <w:rPr>
          <w:b/>
          <w:spacing w:val="-12"/>
          <w:w w:val="105"/>
          <w:sz w:val="19"/>
        </w:rPr>
        <w:t> </w:t>
      </w:r>
      <w:r>
        <w:rPr>
          <w:w w:val="105"/>
          <w:sz w:val="19"/>
        </w:rPr>
        <w:t>(2000),</w:t>
      </w:r>
      <w:r>
        <w:rPr>
          <w:spacing w:val="-17"/>
          <w:w w:val="105"/>
          <w:sz w:val="19"/>
        </w:rPr>
        <w:t> </w:t>
      </w:r>
      <w:r>
        <w:rPr>
          <w:w w:val="105"/>
          <w:sz w:val="19"/>
        </w:rPr>
        <w:t>Sistemas</w:t>
      </w:r>
      <w:r>
        <w:rPr>
          <w:spacing w:val="-14"/>
          <w:w w:val="105"/>
          <w:sz w:val="19"/>
        </w:rPr>
        <w:t> </w:t>
      </w:r>
      <w:r>
        <w:rPr>
          <w:w w:val="105"/>
          <w:sz w:val="19"/>
        </w:rPr>
        <w:t>Nacionales</w:t>
      </w:r>
      <w:r>
        <w:rPr>
          <w:spacing w:val="-18"/>
          <w:w w:val="105"/>
          <w:sz w:val="19"/>
        </w:rPr>
        <w:t> </w:t>
      </w:r>
      <w:r>
        <w:rPr>
          <w:w w:val="105"/>
          <w:sz w:val="19"/>
        </w:rPr>
        <w:t>de</w:t>
      </w:r>
      <w:r>
        <w:rPr>
          <w:spacing w:val="-14"/>
          <w:w w:val="105"/>
          <w:sz w:val="19"/>
        </w:rPr>
        <w:t> </w:t>
      </w:r>
      <w:r>
        <w:rPr>
          <w:w w:val="105"/>
          <w:sz w:val="19"/>
        </w:rPr>
        <w:t>Educación,</w:t>
      </w:r>
      <w:r>
        <w:rPr>
          <w:spacing w:val="-17"/>
          <w:w w:val="105"/>
          <w:sz w:val="19"/>
        </w:rPr>
        <w:t> </w:t>
      </w:r>
      <w:r>
        <w:rPr>
          <w:w w:val="105"/>
          <w:sz w:val="19"/>
        </w:rPr>
        <w:t>Muestra</w:t>
      </w:r>
      <w:r>
        <w:rPr>
          <w:spacing w:val="-14"/>
          <w:w w:val="105"/>
          <w:sz w:val="19"/>
        </w:rPr>
        <w:t> </w:t>
      </w:r>
      <w:r>
        <w:rPr>
          <w:spacing w:val="-3"/>
          <w:w w:val="105"/>
          <w:sz w:val="19"/>
        </w:rPr>
        <w:t>de</w:t>
      </w:r>
      <w:r>
        <w:rPr>
          <w:spacing w:val="-14"/>
          <w:w w:val="105"/>
          <w:sz w:val="19"/>
        </w:rPr>
        <w:t> </w:t>
      </w:r>
      <w:r>
        <w:rPr>
          <w:w w:val="105"/>
          <w:sz w:val="19"/>
        </w:rPr>
        <w:t>países</w:t>
      </w:r>
      <w:r>
        <w:rPr>
          <w:spacing w:val="-18"/>
          <w:w w:val="105"/>
          <w:sz w:val="19"/>
        </w:rPr>
        <w:t> </w:t>
      </w:r>
      <w:r>
        <w:rPr>
          <w:w w:val="105"/>
          <w:sz w:val="19"/>
        </w:rPr>
        <w:t>de</w:t>
      </w:r>
      <w:r>
        <w:rPr>
          <w:spacing w:val="-12"/>
          <w:w w:val="105"/>
          <w:sz w:val="19"/>
        </w:rPr>
        <w:t> </w:t>
      </w:r>
      <w:r>
        <w:rPr>
          <w:w w:val="105"/>
          <w:sz w:val="19"/>
        </w:rPr>
        <w:t>América</w:t>
      </w:r>
      <w:r>
        <w:rPr>
          <w:spacing w:val="-14"/>
          <w:w w:val="105"/>
          <w:sz w:val="19"/>
        </w:rPr>
        <w:t> </w:t>
      </w:r>
      <w:r>
        <w:rPr>
          <w:w w:val="105"/>
          <w:sz w:val="19"/>
        </w:rPr>
        <w:t>Latina</w:t>
      </w:r>
      <w:r>
        <w:rPr>
          <w:spacing w:val="-8"/>
          <w:w w:val="105"/>
          <w:sz w:val="19"/>
        </w:rPr>
        <w:t> </w:t>
      </w:r>
      <w:r>
        <w:rPr>
          <w:w w:val="105"/>
          <w:sz w:val="19"/>
        </w:rPr>
        <w:t>y</w:t>
      </w:r>
      <w:r>
        <w:rPr>
          <w:spacing w:val="-18"/>
          <w:w w:val="105"/>
          <w:sz w:val="19"/>
        </w:rPr>
        <w:t> </w:t>
      </w:r>
      <w:r>
        <w:rPr>
          <w:w w:val="105"/>
          <w:sz w:val="19"/>
        </w:rPr>
        <w:t>del</w:t>
      </w:r>
      <w:r>
        <w:rPr>
          <w:spacing w:val="-14"/>
          <w:w w:val="105"/>
          <w:sz w:val="19"/>
        </w:rPr>
        <w:t> </w:t>
      </w:r>
      <w:r>
        <w:rPr>
          <w:w w:val="105"/>
          <w:sz w:val="19"/>
        </w:rPr>
        <w:t>Mundo Desarrollado (recopilación). Puede consultarse en: </w:t>
      </w:r>
      <w:hyperlink r:id="rId147">
        <w:r>
          <w:rPr>
            <w:color w:val="0000FF"/>
            <w:w w:val="105"/>
            <w:sz w:val="19"/>
            <w:u w:val="single" w:color="0000FF"/>
          </w:rPr>
          <w:t>http://www.ifie.edu.mx/sistemas_nacionales_de_evaluacion_educativa.htm</w:t>
        </w:r>
      </w:hyperlink>
    </w:p>
    <w:p>
      <w:pPr>
        <w:spacing w:line="247" w:lineRule="auto" w:before="5"/>
        <w:ind w:left="115" w:right="191" w:firstLine="0"/>
        <w:jc w:val="left"/>
        <w:rPr>
          <w:sz w:val="19"/>
        </w:rPr>
      </w:pPr>
      <w:r>
        <w:rPr>
          <w:w w:val="105"/>
          <w:sz w:val="19"/>
        </w:rPr>
        <w:t>------- (2002), Propuesta Del IFIE para la creación del Instituto Nacional para la evaluación de la Educación (INEE). Puede consultarse en: </w:t>
      </w:r>
      <w:hyperlink r:id="rId148">
        <w:r>
          <w:rPr>
            <w:color w:val="0000FF"/>
            <w:w w:val="105"/>
            <w:sz w:val="19"/>
            <w:u w:val="single" w:color="0000FF"/>
          </w:rPr>
          <w:t>http://www.ifie.edu.mx/propuesta_del_ifie_para_la_creacion_inee.htm</w:t>
        </w:r>
      </w:hyperlink>
    </w:p>
    <w:p>
      <w:pPr>
        <w:spacing w:line="247" w:lineRule="auto" w:before="0"/>
        <w:ind w:left="115" w:right="103" w:firstLine="0"/>
        <w:jc w:val="both"/>
        <w:rPr>
          <w:sz w:val="19"/>
        </w:rPr>
      </w:pPr>
      <w:r>
        <w:rPr>
          <w:w w:val="105"/>
          <w:sz w:val="19"/>
        </w:rPr>
        <w:t>Informe </w:t>
      </w:r>
      <w:r>
        <w:rPr>
          <w:spacing w:val="-3"/>
          <w:w w:val="105"/>
          <w:sz w:val="19"/>
        </w:rPr>
        <w:t>PISA </w:t>
      </w:r>
      <w:r>
        <w:rPr>
          <w:w w:val="105"/>
          <w:sz w:val="19"/>
        </w:rPr>
        <w:t>2003 (2005). “Programa para la Evaluación Internacional de los Alumnos. Aprender para el mundo del mañana”. OCDE 2004. Ed. Santillana </w:t>
      </w:r>
      <w:r>
        <w:rPr>
          <w:spacing w:val="-3"/>
          <w:w w:val="105"/>
          <w:sz w:val="19"/>
        </w:rPr>
        <w:t>Educación </w:t>
      </w:r>
      <w:r>
        <w:rPr>
          <w:w w:val="105"/>
          <w:sz w:val="19"/>
        </w:rPr>
        <w:t>S.L., 2005. España. Puede consultarse en:</w:t>
      </w:r>
    </w:p>
    <w:p>
      <w:pPr>
        <w:spacing w:line="214" w:lineRule="exact" w:before="0"/>
        <w:ind w:left="163" w:right="0" w:firstLine="0"/>
        <w:jc w:val="both"/>
        <w:rPr>
          <w:sz w:val="19"/>
        </w:rPr>
      </w:pPr>
      <w:hyperlink r:id="rId149">
        <w:r>
          <w:rPr>
            <w:color w:val="0000FF"/>
            <w:w w:val="105"/>
            <w:sz w:val="19"/>
            <w:u w:val="single" w:color="0000FF"/>
          </w:rPr>
          <w:t>http://www.oecd.org/dataoecd/59/1/39732493.pdf</w:t>
        </w:r>
      </w:hyperlink>
    </w:p>
    <w:p>
      <w:pPr>
        <w:spacing w:line="247" w:lineRule="auto" w:before="7"/>
        <w:ind w:left="115" w:right="105" w:firstLine="0"/>
        <w:jc w:val="both"/>
        <w:rPr>
          <w:sz w:val="19"/>
        </w:rPr>
      </w:pPr>
      <w:r>
        <w:rPr>
          <w:w w:val="105"/>
          <w:sz w:val="19"/>
        </w:rPr>
        <w:t>Instituto Nacional para la Evaluación de la Educación (2002). “¿Qué es el INEE. México, D.F. Puede consultarse en:</w:t>
      </w:r>
    </w:p>
    <w:p>
      <w:pPr>
        <w:spacing w:after="0" w:line="247" w:lineRule="auto"/>
        <w:jc w:val="both"/>
        <w:rPr>
          <w:sz w:val="19"/>
        </w:rPr>
        <w:sectPr>
          <w:pgSz w:w="11910" w:h="16840"/>
          <w:pgMar w:header="0" w:footer="1457" w:top="1580" w:bottom="1640" w:left="1540" w:right="1540"/>
        </w:sectPr>
      </w:pPr>
    </w:p>
    <w:p>
      <w:pPr>
        <w:pStyle w:val="BodyText"/>
        <w:rPr>
          <w:sz w:val="20"/>
        </w:rPr>
      </w:pPr>
    </w:p>
    <w:p>
      <w:pPr>
        <w:pStyle w:val="BodyText"/>
        <w:spacing w:before="10"/>
        <w:rPr>
          <w:sz w:val="15"/>
        </w:rPr>
      </w:pPr>
    </w:p>
    <w:p>
      <w:pPr>
        <w:spacing w:before="81"/>
        <w:ind w:left="115" w:right="127" w:firstLine="0"/>
        <w:jc w:val="left"/>
        <w:rPr>
          <w:sz w:val="19"/>
        </w:rPr>
      </w:pPr>
      <w:hyperlink r:id="rId151">
        <w:r>
          <w:rPr>
            <w:color w:val="0000FF"/>
            <w:w w:val="105"/>
            <w:sz w:val="19"/>
            <w:u w:val="single" w:color="0000FF"/>
          </w:rPr>
          <w:t>http://www.inee.edu.mx/images/stories/documentos_pdf/que_es_el_inee.pdf</w:t>
        </w:r>
      </w:hyperlink>
    </w:p>
    <w:p>
      <w:pPr>
        <w:spacing w:line="247" w:lineRule="auto" w:before="7"/>
        <w:ind w:left="115" w:right="123" w:firstLine="0"/>
        <w:jc w:val="left"/>
        <w:rPr>
          <w:sz w:val="19"/>
        </w:rPr>
      </w:pPr>
      <w:r>
        <w:rPr>
          <w:w w:val="105"/>
          <w:sz w:val="19"/>
        </w:rPr>
        <w:t>-------------------------- (2003). “La calidad educativa y su evaluación. Curso de Especialización para Periodistas”. INEE, OEI y OCE. Abril 3, 2003.</w:t>
      </w:r>
    </w:p>
    <w:p>
      <w:pPr>
        <w:spacing w:line="247" w:lineRule="auto" w:before="0"/>
        <w:ind w:left="115" w:right="127" w:firstLine="0"/>
        <w:jc w:val="left"/>
        <w:rPr>
          <w:sz w:val="19"/>
        </w:rPr>
      </w:pPr>
      <w:r>
        <w:rPr>
          <w:w w:val="105"/>
          <w:sz w:val="19"/>
        </w:rPr>
        <w:t>-------------------------- (2005). “¿Qué es el INEE? Sus fines y estrategias al servicio de la sociedad” en Colección de Folletos. Los temas de la Evaluación. núm. 6. Puede consultarse en: </w:t>
      </w:r>
      <w:hyperlink r:id="rId152">
        <w:r>
          <w:rPr>
            <w:color w:val="0000FF"/>
            <w:w w:val="105"/>
            <w:sz w:val="19"/>
            <w:u w:val="single" w:color="0000FF"/>
          </w:rPr>
          <w:t>http://multimedia.ilce.edu.mx/inee/pdf/publicaciones/Folleto6.pdf</w:t>
        </w:r>
      </w:hyperlink>
    </w:p>
    <w:p>
      <w:pPr>
        <w:spacing w:line="247" w:lineRule="auto" w:before="0"/>
        <w:ind w:left="115" w:right="76" w:firstLine="0"/>
        <w:jc w:val="left"/>
        <w:rPr>
          <w:sz w:val="19"/>
        </w:rPr>
      </w:pPr>
      <w:r>
        <w:rPr>
          <w:w w:val="105"/>
          <w:sz w:val="19"/>
        </w:rPr>
        <w:t>--------------------------- (2009a). Panorama educativo de México. Indicadores del sistema educativo nacional, Ciudad de México: Instituto Nacional para la Evaluación de la Educación. INEE (2009b).</w:t>
      </w:r>
    </w:p>
    <w:p>
      <w:pPr>
        <w:spacing w:line="247" w:lineRule="auto" w:before="0"/>
        <w:ind w:left="115" w:right="127" w:firstLine="0"/>
        <w:jc w:val="left"/>
        <w:rPr>
          <w:sz w:val="19"/>
        </w:rPr>
      </w:pPr>
      <w:r>
        <w:rPr>
          <w:w w:val="105"/>
          <w:sz w:val="19"/>
        </w:rPr>
        <w:t>---------------------------- (2010). “El derecho a la educación en México. Informe 2009”. México, D.F. INEE.</w:t>
      </w:r>
    </w:p>
    <w:p>
      <w:pPr>
        <w:pStyle w:val="BodyText"/>
        <w:spacing w:before="9"/>
        <w:rPr>
          <w:sz w:val="18"/>
        </w:rPr>
      </w:pPr>
    </w:p>
    <w:p>
      <w:pPr>
        <w:spacing w:before="0"/>
        <w:ind w:left="115" w:right="0" w:firstLine="0"/>
        <w:jc w:val="left"/>
        <w:rPr>
          <w:b/>
          <w:sz w:val="19"/>
        </w:rPr>
      </w:pPr>
      <w:r>
        <w:rPr>
          <w:b/>
          <w:w w:val="103"/>
          <w:sz w:val="19"/>
        </w:rPr>
        <w:t>J</w:t>
      </w:r>
    </w:p>
    <w:p>
      <w:pPr>
        <w:spacing w:before="7"/>
        <w:ind w:left="115" w:right="127" w:firstLine="0"/>
        <w:jc w:val="left"/>
        <w:rPr>
          <w:sz w:val="19"/>
        </w:rPr>
      </w:pPr>
      <w:r>
        <w:rPr>
          <w:b/>
          <w:w w:val="105"/>
          <w:sz w:val="19"/>
        </w:rPr>
        <w:t>James</w:t>
      </w:r>
      <w:r>
        <w:rPr>
          <w:w w:val="105"/>
          <w:sz w:val="19"/>
        </w:rPr>
        <w:t>, P. (1997). “Gestión de la Calidad Total”. Prentice Hall Iberia. Madrid.</w:t>
      </w:r>
    </w:p>
    <w:p>
      <w:pPr>
        <w:spacing w:line="242" w:lineRule="auto" w:before="7"/>
        <w:ind w:left="115" w:right="127" w:firstLine="0"/>
        <w:jc w:val="left"/>
        <w:rPr>
          <w:sz w:val="19"/>
        </w:rPr>
      </w:pPr>
      <w:r>
        <w:rPr>
          <w:b/>
          <w:w w:val="105"/>
          <w:sz w:val="19"/>
        </w:rPr>
        <w:t>Jones</w:t>
      </w:r>
      <w:r>
        <w:rPr>
          <w:w w:val="105"/>
          <w:sz w:val="19"/>
        </w:rPr>
        <w:t>, Mark. (1997). “Federalism and the Number of Parties in Argentine Congressional Elections”. Journal of Politics.</w:t>
      </w:r>
    </w:p>
    <w:p>
      <w:pPr>
        <w:spacing w:line="247" w:lineRule="auto" w:before="5"/>
        <w:ind w:left="115" w:right="109" w:firstLine="0"/>
        <w:jc w:val="left"/>
        <w:rPr>
          <w:sz w:val="19"/>
        </w:rPr>
      </w:pPr>
      <w:r>
        <w:rPr>
          <w:b/>
          <w:w w:val="105"/>
          <w:sz w:val="19"/>
        </w:rPr>
        <w:t>Jouslin </w:t>
      </w:r>
      <w:r>
        <w:rPr>
          <w:w w:val="105"/>
          <w:sz w:val="19"/>
        </w:rPr>
        <w:t>de Noray Bertrand. (1992). “Movimiento Internacional de la Calidad” [Book Section] // Tratado de la Calidad Total / book auth. Laboucheix Vincent / trans. </w:t>
      </w:r>
      <w:r>
        <w:rPr>
          <w:b/>
          <w:w w:val="105"/>
          <w:sz w:val="19"/>
        </w:rPr>
        <w:t>Pola </w:t>
      </w:r>
      <w:r>
        <w:rPr>
          <w:w w:val="105"/>
          <w:sz w:val="19"/>
        </w:rPr>
        <w:t>Maseda Angel. Madrid :</w:t>
      </w:r>
    </w:p>
    <w:p>
      <w:pPr>
        <w:spacing w:line="214" w:lineRule="exact" w:before="0"/>
        <w:ind w:left="115" w:right="127" w:firstLine="0"/>
        <w:jc w:val="left"/>
        <w:rPr>
          <w:sz w:val="19"/>
        </w:rPr>
      </w:pPr>
      <w:r>
        <w:rPr>
          <w:w w:val="105"/>
          <w:sz w:val="19"/>
        </w:rPr>
        <w:t>C.D.N. Ciencias de la Dirección, Vol. I : II.</w:t>
      </w:r>
    </w:p>
    <w:p>
      <w:pPr>
        <w:spacing w:line="247" w:lineRule="auto" w:before="7"/>
        <w:ind w:left="115" w:right="122" w:firstLine="0"/>
        <w:jc w:val="both"/>
        <w:rPr>
          <w:sz w:val="19"/>
        </w:rPr>
      </w:pPr>
      <w:r>
        <w:rPr>
          <w:b/>
          <w:w w:val="105"/>
          <w:sz w:val="19"/>
        </w:rPr>
        <w:t>Juárez </w:t>
      </w:r>
      <w:r>
        <w:rPr>
          <w:w w:val="105"/>
          <w:sz w:val="19"/>
        </w:rPr>
        <w:t>Núñez, José Manuel y Comboni Salinas, Socia. (2007). “La calidad de la educación en </w:t>
      </w:r>
      <w:r>
        <w:rPr>
          <w:spacing w:val="2"/>
          <w:w w:val="105"/>
          <w:sz w:val="19"/>
        </w:rPr>
        <w:t>el </w:t>
      </w:r>
      <w:r>
        <w:rPr>
          <w:w w:val="105"/>
          <w:sz w:val="19"/>
        </w:rPr>
        <w:t>discurso</w:t>
      </w:r>
      <w:r>
        <w:rPr>
          <w:spacing w:val="-6"/>
          <w:w w:val="105"/>
          <w:sz w:val="19"/>
        </w:rPr>
        <w:t> </w:t>
      </w:r>
      <w:r>
        <w:rPr>
          <w:w w:val="105"/>
          <w:sz w:val="19"/>
        </w:rPr>
        <w:t>político-académico</w:t>
      </w:r>
      <w:r>
        <w:rPr>
          <w:spacing w:val="-8"/>
          <w:w w:val="105"/>
          <w:sz w:val="19"/>
        </w:rPr>
        <w:t> </w:t>
      </w:r>
      <w:r>
        <w:rPr>
          <w:w w:val="105"/>
          <w:sz w:val="19"/>
        </w:rPr>
        <w:t>en</w:t>
      </w:r>
      <w:r>
        <w:rPr>
          <w:spacing w:val="-8"/>
          <w:w w:val="105"/>
          <w:sz w:val="19"/>
        </w:rPr>
        <w:t> </w:t>
      </w:r>
      <w:r>
        <w:rPr>
          <w:w w:val="105"/>
          <w:sz w:val="19"/>
        </w:rPr>
        <w:t>México”.</w:t>
      </w:r>
      <w:r>
        <w:rPr>
          <w:spacing w:val="-10"/>
          <w:w w:val="105"/>
          <w:sz w:val="19"/>
        </w:rPr>
        <w:t> </w:t>
      </w:r>
      <w:r>
        <w:rPr>
          <w:w w:val="105"/>
          <w:sz w:val="19"/>
        </w:rPr>
        <w:t>Revista</w:t>
      </w:r>
      <w:r>
        <w:rPr>
          <w:spacing w:val="-6"/>
          <w:w w:val="105"/>
          <w:sz w:val="19"/>
        </w:rPr>
        <w:t> </w:t>
      </w:r>
      <w:r>
        <w:rPr>
          <w:w w:val="105"/>
          <w:sz w:val="19"/>
        </w:rPr>
        <w:t>REENCUENTRO,</w:t>
      </w:r>
      <w:r>
        <w:rPr>
          <w:spacing w:val="-9"/>
          <w:w w:val="105"/>
          <w:sz w:val="19"/>
        </w:rPr>
        <w:t> </w:t>
      </w:r>
      <w:r>
        <w:rPr>
          <w:w w:val="105"/>
          <w:sz w:val="19"/>
        </w:rPr>
        <w:t>Año/Vol.</w:t>
      </w:r>
      <w:r>
        <w:rPr>
          <w:spacing w:val="-11"/>
          <w:w w:val="105"/>
          <w:sz w:val="19"/>
        </w:rPr>
        <w:t> </w:t>
      </w:r>
      <w:r>
        <w:rPr>
          <w:w w:val="105"/>
          <w:sz w:val="19"/>
        </w:rPr>
        <w:t>050</w:t>
      </w:r>
      <w:r>
        <w:rPr>
          <w:spacing w:val="-9"/>
          <w:w w:val="105"/>
          <w:sz w:val="19"/>
        </w:rPr>
        <w:t> </w:t>
      </w:r>
      <w:r>
        <w:rPr>
          <w:w w:val="105"/>
          <w:sz w:val="19"/>
        </w:rPr>
        <w:t>diciembre,</w:t>
      </w:r>
      <w:r>
        <w:rPr>
          <w:spacing w:val="-11"/>
          <w:w w:val="105"/>
          <w:sz w:val="19"/>
        </w:rPr>
        <w:t> </w:t>
      </w:r>
      <w:r>
        <w:rPr>
          <w:w w:val="105"/>
          <w:sz w:val="19"/>
        </w:rPr>
        <w:t>UAM- Xochimilco,</w:t>
      </w:r>
      <w:r>
        <w:rPr>
          <w:spacing w:val="-33"/>
          <w:w w:val="105"/>
          <w:sz w:val="19"/>
        </w:rPr>
        <w:t> </w:t>
      </w:r>
      <w:r>
        <w:rPr>
          <w:w w:val="105"/>
          <w:sz w:val="19"/>
        </w:rPr>
        <w:t>México</w:t>
      </w:r>
      <w:r>
        <w:rPr>
          <w:spacing w:val="-31"/>
          <w:w w:val="105"/>
          <w:sz w:val="19"/>
        </w:rPr>
        <w:t> </w:t>
      </w:r>
      <w:r>
        <w:rPr>
          <w:w w:val="105"/>
          <w:sz w:val="19"/>
        </w:rPr>
        <w:t>D.F.</w:t>
      </w:r>
    </w:p>
    <w:p>
      <w:pPr>
        <w:spacing w:line="242" w:lineRule="auto" w:before="0"/>
        <w:ind w:left="115" w:right="127" w:firstLine="0"/>
        <w:jc w:val="left"/>
        <w:rPr>
          <w:sz w:val="19"/>
        </w:rPr>
      </w:pPr>
      <w:r>
        <w:rPr>
          <w:b/>
          <w:w w:val="105"/>
          <w:sz w:val="19"/>
        </w:rPr>
        <w:t>Juran</w:t>
      </w:r>
      <w:r>
        <w:rPr>
          <w:w w:val="105"/>
          <w:sz w:val="19"/>
        </w:rPr>
        <w:t>, J. M. et al. (1995). Análisis y Planeación de la Calidad. New York, McGrawHill Interamericana</w:t>
      </w:r>
    </w:p>
    <w:p>
      <w:pPr>
        <w:pStyle w:val="BodyText"/>
        <w:spacing w:before="7"/>
        <w:rPr>
          <w:sz w:val="19"/>
        </w:rPr>
      </w:pPr>
    </w:p>
    <w:p>
      <w:pPr>
        <w:spacing w:before="0"/>
        <w:ind w:left="115" w:right="0" w:firstLine="0"/>
        <w:jc w:val="left"/>
        <w:rPr>
          <w:b/>
          <w:sz w:val="19"/>
        </w:rPr>
      </w:pPr>
      <w:r>
        <w:rPr>
          <w:b/>
          <w:w w:val="103"/>
          <w:sz w:val="19"/>
        </w:rPr>
        <w:t>K</w:t>
      </w:r>
    </w:p>
    <w:p>
      <w:pPr>
        <w:spacing w:line="247" w:lineRule="auto" w:before="7"/>
        <w:ind w:left="115" w:right="127" w:firstLine="0"/>
        <w:jc w:val="left"/>
        <w:rPr>
          <w:sz w:val="19"/>
        </w:rPr>
      </w:pPr>
      <w:r>
        <w:rPr>
          <w:b/>
          <w:w w:val="105"/>
          <w:sz w:val="19"/>
        </w:rPr>
        <w:t>Kauffer </w:t>
      </w:r>
      <w:r>
        <w:rPr>
          <w:w w:val="105"/>
          <w:sz w:val="19"/>
        </w:rPr>
        <w:t>Michel. Edith F. (2002). “Las políticas públicas: algunos apuntes generales, en Ecofronteras”. No. 16, México, Colegio de la Frontera Sur.</w:t>
      </w:r>
    </w:p>
    <w:p>
      <w:pPr>
        <w:spacing w:before="0"/>
        <w:ind w:left="115" w:right="127" w:firstLine="0"/>
        <w:jc w:val="left"/>
        <w:rPr>
          <w:sz w:val="19"/>
        </w:rPr>
      </w:pPr>
      <w:r>
        <w:rPr>
          <w:b/>
          <w:w w:val="105"/>
          <w:sz w:val="19"/>
        </w:rPr>
        <w:t>Kaufman</w:t>
      </w:r>
      <w:r>
        <w:rPr>
          <w:w w:val="105"/>
          <w:sz w:val="19"/>
        </w:rPr>
        <w:t>. Josh. (2012). “MBA personal”. Random House Mondadori, S.A. Colombia</w:t>
      </w:r>
    </w:p>
    <w:p>
      <w:pPr>
        <w:pStyle w:val="BodyText"/>
        <w:spacing w:before="9"/>
        <w:rPr>
          <w:sz w:val="19"/>
        </w:rPr>
      </w:pPr>
    </w:p>
    <w:p>
      <w:pPr>
        <w:spacing w:before="0"/>
        <w:ind w:left="115" w:right="0" w:firstLine="0"/>
        <w:jc w:val="left"/>
        <w:rPr>
          <w:b/>
          <w:sz w:val="19"/>
        </w:rPr>
      </w:pPr>
      <w:r>
        <w:rPr>
          <w:b/>
          <w:w w:val="103"/>
          <w:sz w:val="19"/>
        </w:rPr>
        <w:t>L</w:t>
      </w:r>
    </w:p>
    <w:p>
      <w:pPr>
        <w:spacing w:line="247" w:lineRule="auto" w:before="7"/>
        <w:ind w:left="115" w:right="41" w:firstLine="0"/>
        <w:jc w:val="left"/>
        <w:rPr>
          <w:sz w:val="19"/>
        </w:rPr>
      </w:pPr>
      <w:r>
        <w:rPr>
          <w:b/>
          <w:w w:val="105"/>
          <w:sz w:val="19"/>
        </w:rPr>
        <w:t>Latapí</w:t>
      </w:r>
      <w:r>
        <w:rPr>
          <w:b/>
          <w:spacing w:val="-16"/>
          <w:w w:val="105"/>
          <w:sz w:val="19"/>
        </w:rPr>
        <w:t> </w:t>
      </w:r>
      <w:r>
        <w:rPr>
          <w:w w:val="105"/>
          <w:sz w:val="19"/>
        </w:rPr>
        <w:t>Sarre,</w:t>
      </w:r>
      <w:r>
        <w:rPr>
          <w:spacing w:val="-13"/>
          <w:w w:val="105"/>
          <w:sz w:val="19"/>
        </w:rPr>
        <w:t> </w:t>
      </w:r>
      <w:r>
        <w:rPr>
          <w:w w:val="105"/>
          <w:sz w:val="19"/>
        </w:rPr>
        <w:t>Pablo.</w:t>
      </w:r>
      <w:r>
        <w:rPr>
          <w:spacing w:val="-16"/>
          <w:w w:val="105"/>
          <w:sz w:val="19"/>
        </w:rPr>
        <w:t> </w:t>
      </w:r>
      <w:r>
        <w:rPr>
          <w:w w:val="105"/>
          <w:sz w:val="19"/>
        </w:rPr>
        <w:t>(1988).</w:t>
      </w:r>
      <w:r>
        <w:rPr>
          <w:spacing w:val="-16"/>
          <w:w w:val="105"/>
          <w:sz w:val="19"/>
        </w:rPr>
        <w:t> </w:t>
      </w:r>
      <w:r>
        <w:rPr>
          <w:spacing w:val="-3"/>
          <w:w w:val="105"/>
          <w:sz w:val="19"/>
        </w:rPr>
        <w:t>“La</w:t>
      </w:r>
      <w:r>
        <w:rPr>
          <w:spacing w:val="-11"/>
          <w:w w:val="105"/>
          <w:sz w:val="19"/>
        </w:rPr>
        <w:t> </w:t>
      </w:r>
      <w:r>
        <w:rPr>
          <w:w w:val="105"/>
          <w:sz w:val="19"/>
        </w:rPr>
        <w:t>soberanía</w:t>
      </w:r>
      <w:r>
        <w:rPr>
          <w:spacing w:val="-13"/>
          <w:w w:val="105"/>
          <w:sz w:val="19"/>
        </w:rPr>
        <w:t> </w:t>
      </w:r>
      <w:r>
        <w:rPr>
          <w:w w:val="105"/>
          <w:sz w:val="19"/>
        </w:rPr>
        <w:t>educativa</w:t>
      </w:r>
      <w:r>
        <w:rPr>
          <w:spacing w:val="-11"/>
          <w:w w:val="105"/>
          <w:sz w:val="19"/>
        </w:rPr>
        <w:t> </w:t>
      </w:r>
      <w:r>
        <w:rPr>
          <w:w w:val="105"/>
          <w:sz w:val="19"/>
        </w:rPr>
        <w:t>de</w:t>
      </w:r>
      <w:r>
        <w:rPr>
          <w:spacing w:val="-13"/>
          <w:w w:val="105"/>
          <w:sz w:val="19"/>
        </w:rPr>
        <w:t> </w:t>
      </w:r>
      <w:r>
        <w:rPr>
          <w:w w:val="105"/>
          <w:sz w:val="19"/>
        </w:rPr>
        <w:t>los</w:t>
      </w:r>
      <w:r>
        <w:rPr>
          <w:spacing w:val="-13"/>
          <w:w w:val="105"/>
          <w:sz w:val="19"/>
        </w:rPr>
        <w:t> </w:t>
      </w:r>
      <w:r>
        <w:rPr>
          <w:w w:val="105"/>
          <w:sz w:val="19"/>
        </w:rPr>
        <w:t>estados”,</w:t>
      </w:r>
      <w:r>
        <w:rPr>
          <w:spacing w:val="-18"/>
          <w:w w:val="105"/>
          <w:sz w:val="19"/>
        </w:rPr>
        <w:t> </w:t>
      </w:r>
      <w:r>
        <w:rPr>
          <w:w w:val="105"/>
          <w:sz w:val="19"/>
        </w:rPr>
        <w:t>Tiempo</w:t>
      </w:r>
      <w:r>
        <w:rPr>
          <w:spacing w:val="-17"/>
          <w:w w:val="105"/>
          <w:sz w:val="19"/>
        </w:rPr>
        <w:t> </w:t>
      </w:r>
      <w:r>
        <w:rPr>
          <w:w w:val="105"/>
          <w:sz w:val="19"/>
        </w:rPr>
        <w:t>educativo</w:t>
      </w:r>
      <w:r>
        <w:rPr>
          <w:spacing w:val="-13"/>
          <w:w w:val="105"/>
          <w:sz w:val="19"/>
        </w:rPr>
        <w:t> </w:t>
      </w:r>
      <w:r>
        <w:rPr>
          <w:w w:val="105"/>
          <w:sz w:val="19"/>
        </w:rPr>
        <w:t>mexicano, México,</w:t>
      </w:r>
      <w:r>
        <w:rPr>
          <w:spacing w:val="-34"/>
          <w:w w:val="105"/>
          <w:sz w:val="19"/>
        </w:rPr>
        <w:t> </w:t>
      </w:r>
      <w:r>
        <w:rPr>
          <w:w w:val="105"/>
          <w:sz w:val="19"/>
        </w:rPr>
        <w:t>Universidad</w:t>
      </w:r>
      <w:r>
        <w:rPr>
          <w:spacing w:val="-31"/>
          <w:w w:val="105"/>
          <w:sz w:val="19"/>
        </w:rPr>
        <w:t> </w:t>
      </w:r>
      <w:r>
        <w:rPr>
          <w:w w:val="105"/>
          <w:sz w:val="19"/>
        </w:rPr>
        <w:t>de</w:t>
      </w:r>
      <w:r>
        <w:rPr>
          <w:spacing w:val="-30"/>
          <w:w w:val="105"/>
          <w:sz w:val="19"/>
        </w:rPr>
        <w:t> </w:t>
      </w:r>
      <w:r>
        <w:rPr>
          <w:w w:val="105"/>
          <w:sz w:val="19"/>
        </w:rPr>
        <w:t>Aguascalientes-Centro</w:t>
      </w:r>
      <w:r>
        <w:rPr>
          <w:spacing w:val="-31"/>
          <w:w w:val="105"/>
          <w:sz w:val="19"/>
        </w:rPr>
        <w:t> </w:t>
      </w:r>
      <w:r>
        <w:rPr>
          <w:w w:val="105"/>
          <w:sz w:val="19"/>
        </w:rPr>
        <w:t>de</w:t>
      </w:r>
      <w:r>
        <w:rPr>
          <w:spacing w:val="-29"/>
          <w:w w:val="105"/>
          <w:sz w:val="19"/>
        </w:rPr>
        <w:t> </w:t>
      </w:r>
      <w:r>
        <w:rPr>
          <w:w w:val="105"/>
          <w:sz w:val="19"/>
        </w:rPr>
        <w:t>Estudios</w:t>
      </w:r>
      <w:r>
        <w:rPr>
          <w:spacing w:val="-31"/>
          <w:w w:val="105"/>
          <w:sz w:val="19"/>
        </w:rPr>
        <w:t> </w:t>
      </w:r>
      <w:r>
        <w:rPr>
          <w:w w:val="105"/>
          <w:sz w:val="19"/>
        </w:rPr>
        <w:t>Educativos.</w:t>
      </w:r>
    </w:p>
    <w:p>
      <w:pPr>
        <w:spacing w:line="244" w:lineRule="auto" w:before="0"/>
        <w:ind w:left="115" w:right="124" w:firstLine="0"/>
        <w:jc w:val="both"/>
        <w:rPr>
          <w:sz w:val="19"/>
        </w:rPr>
      </w:pPr>
      <w:r>
        <w:rPr>
          <w:w w:val="105"/>
          <w:sz w:val="19"/>
        </w:rPr>
        <w:t>-------------------------- (2002). “Una buena educación: reflexiones sobre la calidad en Visión Educativa”. Revista Sonorense de Educación. Año 1, No. 4. septiembre de 2002. Puede consultarse en:</w:t>
      </w:r>
    </w:p>
    <w:p>
      <w:pPr>
        <w:spacing w:line="217" w:lineRule="exact" w:before="0"/>
        <w:ind w:left="163" w:right="127" w:firstLine="0"/>
        <w:jc w:val="left"/>
        <w:rPr>
          <w:sz w:val="19"/>
        </w:rPr>
      </w:pPr>
      <w:hyperlink r:id="rId153">
        <w:r>
          <w:rPr>
            <w:color w:val="0000FF"/>
            <w:w w:val="105"/>
            <w:sz w:val="19"/>
            <w:u w:val="single" w:color="0000FF"/>
          </w:rPr>
          <w:t>http://www.sec-sonora.gob.mx/ve/ve4/indexve.html</w:t>
        </w:r>
      </w:hyperlink>
    </w:p>
    <w:p>
      <w:pPr>
        <w:spacing w:line="247" w:lineRule="auto" w:before="7"/>
        <w:ind w:left="115" w:right="127" w:firstLine="0"/>
        <w:jc w:val="left"/>
        <w:rPr>
          <w:sz w:val="19"/>
        </w:rPr>
      </w:pPr>
      <w:r>
        <w:rPr>
          <w:w w:val="105"/>
          <w:sz w:val="19"/>
        </w:rPr>
        <w:t>------------------------ (2004). “La política educativa en el Estado mexicano desde 1992”. Revista Electrónica de Investigación Educativa. Puede consultarse en: </w:t>
      </w:r>
      <w:hyperlink r:id="rId154">
        <w:r>
          <w:rPr>
            <w:color w:val="0000FF"/>
            <w:w w:val="105"/>
            <w:sz w:val="19"/>
            <w:u w:val="single" w:color="0000FF"/>
          </w:rPr>
          <w:t>http://redalyc.uaemex.mx/redalyc/src/inicio/ArtPdfRed.jsp?iCve=15506208&amp;iCveNum=1238</w:t>
        </w:r>
      </w:hyperlink>
    </w:p>
    <w:p>
      <w:pPr>
        <w:spacing w:line="247" w:lineRule="auto" w:before="0"/>
        <w:ind w:left="115" w:right="127" w:firstLine="0"/>
        <w:jc w:val="left"/>
        <w:rPr>
          <w:sz w:val="19"/>
        </w:rPr>
      </w:pPr>
      <w:r>
        <w:rPr>
          <w:w w:val="105"/>
          <w:sz w:val="19"/>
        </w:rPr>
        <w:t>-------------------------</w:t>
      </w:r>
      <w:r>
        <w:rPr>
          <w:spacing w:val="-15"/>
          <w:w w:val="105"/>
          <w:sz w:val="19"/>
        </w:rPr>
        <w:t> </w:t>
      </w:r>
      <w:r>
        <w:rPr>
          <w:w w:val="105"/>
          <w:sz w:val="19"/>
        </w:rPr>
        <w:t>(2004).</w:t>
      </w:r>
      <w:r>
        <w:rPr>
          <w:spacing w:val="-20"/>
          <w:w w:val="105"/>
          <w:sz w:val="19"/>
        </w:rPr>
        <w:t> </w:t>
      </w:r>
      <w:r>
        <w:rPr>
          <w:w w:val="105"/>
          <w:sz w:val="19"/>
        </w:rPr>
        <w:t>“La</w:t>
      </w:r>
      <w:r>
        <w:rPr>
          <w:spacing w:val="-15"/>
          <w:w w:val="105"/>
          <w:sz w:val="19"/>
        </w:rPr>
        <w:t> </w:t>
      </w:r>
      <w:r>
        <w:rPr>
          <w:w w:val="105"/>
          <w:sz w:val="19"/>
        </w:rPr>
        <w:t>SEP</w:t>
      </w:r>
      <w:r>
        <w:rPr>
          <w:spacing w:val="-15"/>
          <w:w w:val="105"/>
          <w:sz w:val="19"/>
        </w:rPr>
        <w:t> </w:t>
      </w:r>
      <w:r>
        <w:rPr>
          <w:w w:val="105"/>
          <w:sz w:val="19"/>
        </w:rPr>
        <w:t>por</w:t>
      </w:r>
      <w:r>
        <w:rPr>
          <w:spacing w:val="-15"/>
          <w:w w:val="105"/>
          <w:sz w:val="19"/>
        </w:rPr>
        <w:t> </w:t>
      </w:r>
      <w:r>
        <w:rPr>
          <w:w w:val="105"/>
          <w:sz w:val="19"/>
        </w:rPr>
        <w:t>dentro.</w:t>
      </w:r>
      <w:r>
        <w:rPr>
          <w:spacing w:val="-20"/>
          <w:w w:val="105"/>
          <w:sz w:val="19"/>
        </w:rPr>
        <w:t> </w:t>
      </w:r>
      <w:r>
        <w:rPr>
          <w:w w:val="105"/>
          <w:sz w:val="19"/>
        </w:rPr>
        <w:t>Las</w:t>
      </w:r>
      <w:r>
        <w:rPr>
          <w:spacing w:val="-15"/>
          <w:w w:val="105"/>
          <w:sz w:val="19"/>
        </w:rPr>
        <w:t> </w:t>
      </w:r>
      <w:r>
        <w:rPr>
          <w:w w:val="105"/>
          <w:sz w:val="19"/>
        </w:rPr>
        <w:t>políticas</w:t>
      </w:r>
      <w:r>
        <w:rPr>
          <w:spacing w:val="-15"/>
          <w:w w:val="105"/>
          <w:sz w:val="19"/>
        </w:rPr>
        <w:t> </w:t>
      </w:r>
      <w:r>
        <w:rPr>
          <w:w w:val="105"/>
          <w:sz w:val="19"/>
        </w:rPr>
        <w:t>de</w:t>
      </w:r>
      <w:r>
        <w:rPr>
          <w:spacing w:val="-18"/>
          <w:w w:val="105"/>
          <w:sz w:val="19"/>
        </w:rPr>
        <w:t> </w:t>
      </w:r>
      <w:r>
        <w:rPr>
          <w:w w:val="105"/>
          <w:sz w:val="19"/>
        </w:rPr>
        <w:t>la</w:t>
      </w:r>
      <w:r>
        <w:rPr>
          <w:spacing w:val="-13"/>
          <w:w w:val="105"/>
          <w:sz w:val="19"/>
        </w:rPr>
        <w:t> </w:t>
      </w:r>
      <w:r>
        <w:rPr>
          <w:w w:val="105"/>
          <w:sz w:val="19"/>
        </w:rPr>
        <w:t>Secretaría</w:t>
      </w:r>
      <w:r>
        <w:rPr>
          <w:spacing w:val="-15"/>
          <w:w w:val="105"/>
          <w:sz w:val="19"/>
        </w:rPr>
        <w:t> </w:t>
      </w:r>
      <w:r>
        <w:rPr>
          <w:w w:val="105"/>
          <w:sz w:val="19"/>
        </w:rPr>
        <w:t>de</w:t>
      </w:r>
      <w:r>
        <w:rPr>
          <w:spacing w:val="-13"/>
          <w:w w:val="105"/>
          <w:sz w:val="19"/>
        </w:rPr>
        <w:t> </w:t>
      </w:r>
      <w:r>
        <w:rPr>
          <w:w w:val="105"/>
          <w:sz w:val="19"/>
        </w:rPr>
        <w:t>Educación</w:t>
      </w:r>
      <w:r>
        <w:rPr>
          <w:spacing w:val="-15"/>
          <w:w w:val="105"/>
          <w:sz w:val="19"/>
        </w:rPr>
        <w:t> </w:t>
      </w:r>
      <w:r>
        <w:rPr>
          <w:w w:val="105"/>
          <w:sz w:val="19"/>
        </w:rPr>
        <w:t>Pública comentadas</w:t>
      </w:r>
      <w:r>
        <w:rPr>
          <w:spacing w:val="-23"/>
          <w:w w:val="105"/>
          <w:sz w:val="19"/>
        </w:rPr>
        <w:t> </w:t>
      </w:r>
      <w:r>
        <w:rPr>
          <w:w w:val="105"/>
          <w:sz w:val="19"/>
        </w:rPr>
        <w:t>por</w:t>
      </w:r>
      <w:r>
        <w:rPr>
          <w:spacing w:val="-25"/>
          <w:w w:val="105"/>
          <w:sz w:val="19"/>
        </w:rPr>
        <w:t> </w:t>
      </w:r>
      <w:r>
        <w:rPr>
          <w:w w:val="105"/>
          <w:sz w:val="19"/>
        </w:rPr>
        <w:t>cuatro</w:t>
      </w:r>
      <w:r>
        <w:rPr>
          <w:spacing w:val="-20"/>
          <w:w w:val="105"/>
          <w:sz w:val="19"/>
        </w:rPr>
        <w:t> </w:t>
      </w:r>
      <w:r>
        <w:rPr>
          <w:w w:val="105"/>
          <w:sz w:val="19"/>
        </w:rPr>
        <w:t>de</w:t>
      </w:r>
      <w:r>
        <w:rPr>
          <w:spacing w:val="-20"/>
          <w:w w:val="105"/>
          <w:sz w:val="19"/>
        </w:rPr>
        <w:t> </w:t>
      </w:r>
      <w:r>
        <w:rPr>
          <w:w w:val="105"/>
          <w:sz w:val="19"/>
        </w:rPr>
        <w:t>sus</w:t>
      </w:r>
      <w:r>
        <w:rPr>
          <w:spacing w:val="-23"/>
          <w:w w:val="105"/>
          <w:sz w:val="19"/>
        </w:rPr>
        <w:t> </w:t>
      </w:r>
      <w:r>
        <w:rPr>
          <w:w w:val="105"/>
          <w:sz w:val="19"/>
        </w:rPr>
        <w:t>Secretarios</w:t>
      </w:r>
      <w:r>
        <w:rPr>
          <w:spacing w:val="-23"/>
          <w:w w:val="105"/>
          <w:sz w:val="19"/>
        </w:rPr>
        <w:t> </w:t>
      </w:r>
      <w:r>
        <w:rPr>
          <w:w w:val="105"/>
          <w:sz w:val="19"/>
        </w:rPr>
        <w:t>(1992-2004)”.</w:t>
      </w:r>
      <w:r>
        <w:rPr>
          <w:spacing w:val="-23"/>
          <w:w w:val="105"/>
          <w:sz w:val="19"/>
        </w:rPr>
        <w:t> </w:t>
      </w:r>
      <w:r>
        <w:rPr>
          <w:w w:val="105"/>
          <w:sz w:val="19"/>
        </w:rPr>
        <w:t>México.</w:t>
      </w:r>
      <w:r>
        <w:rPr>
          <w:spacing w:val="-25"/>
          <w:w w:val="105"/>
          <w:sz w:val="19"/>
        </w:rPr>
        <w:t> </w:t>
      </w:r>
      <w:r>
        <w:rPr>
          <w:w w:val="105"/>
          <w:sz w:val="19"/>
        </w:rPr>
        <w:t>FCE.</w:t>
      </w:r>
    </w:p>
    <w:p>
      <w:pPr>
        <w:spacing w:line="244" w:lineRule="auto" w:before="0"/>
        <w:ind w:left="115" w:right="127" w:firstLine="0"/>
        <w:jc w:val="left"/>
        <w:rPr>
          <w:sz w:val="19"/>
        </w:rPr>
      </w:pPr>
      <w:r>
        <w:rPr>
          <w:b/>
          <w:w w:val="105"/>
          <w:sz w:val="19"/>
        </w:rPr>
        <w:t>Larrue</w:t>
      </w:r>
      <w:r>
        <w:rPr>
          <w:w w:val="105"/>
          <w:sz w:val="19"/>
        </w:rPr>
        <w:t>, Corinne (2000). “Analyser les politiques publiques d’environnement.” L’Harmattan, París. </w:t>
      </w:r>
      <w:r>
        <w:rPr>
          <w:b/>
          <w:w w:val="105"/>
          <w:sz w:val="19"/>
        </w:rPr>
        <w:t>Lema </w:t>
      </w:r>
      <w:r>
        <w:rPr>
          <w:w w:val="105"/>
          <w:sz w:val="19"/>
        </w:rPr>
        <w:t>Labadie, José. (2007). “La calidad educativa, un tema controvertido”. Revista REENCUENTRO, Diciembre, Año/N° 050. UAM-Xochimilco. D.F.</w:t>
      </w:r>
    </w:p>
    <w:p>
      <w:pPr>
        <w:spacing w:line="242" w:lineRule="auto" w:before="3"/>
        <w:ind w:left="115" w:right="119" w:firstLine="0"/>
        <w:jc w:val="both"/>
        <w:rPr>
          <w:sz w:val="19"/>
        </w:rPr>
      </w:pPr>
      <w:r>
        <w:rPr>
          <w:b/>
          <w:w w:val="105"/>
          <w:sz w:val="19"/>
        </w:rPr>
        <w:t>Lemaitre</w:t>
      </w:r>
      <w:r>
        <w:rPr>
          <w:w w:val="105"/>
          <w:sz w:val="19"/>
        </w:rPr>
        <w:t>,</w:t>
      </w:r>
      <w:r>
        <w:rPr>
          <w:spacing w:val="-13"/>
          <w:w w:val="105"/>
          <w:sz w:val="19"/>
        </w:rPr>
        <w:t> </w:t>
      </w:r>
      <w:r>
        <w:rPr>
          <w:w w:val="105"/>
          <w:sz w:val="19"/>
        </w:rPr>
        <w:t>María</w:t>
      </w:r>
      <w:r>
        <w:rPr>
          <w:spacing w:val="-10"/>
          <w:w w:val="105"/>
          <w:sz w:val="19"/>
        </w:rPr>
        <w:t> </w:t>
      </w:r>
      <w:r>
        <w:rPr>
          <w:spacing w:val="-3"/>
          <w:w w:val="105"/>
          <w:sz w:val="19"/>
        </w:rPr>
        <w:t>José</w:t>
      </w:r>
      <w:r>
        <w:rPr>
          <w:spacing w:val="-7"/>
          <w:w w:val="105"/>
          <w:sz w:val="19"/>
        </w:rPr>
        <w:t> </w:t>
      </w:r>
      <w:r>
        <w:rPr>
          <w:w w:val="105"/>
          <w:sz w:val="19"/>
        </w:rPr>
        <w:t>(2004).</w:t>
      </w:r>
      <w:r>
        <w:rPr>
          <w:spacing w:val="-10"/>
          <w:w w:val="105"/>
          <w:sz w:val="19"/>
        </w:rPr>
        <w:t> </w:t>
      </w:r>
      <w:r>
        <w:rPr>
          <w:w w:val="105"/>
          <w:sz w:val="19"/>
        </w:rPr>
        <w:t>“Redes</w:t>
      </w:r>
      <w:r>
        <w:rPr>
          <w:spacing w:val="-10"/>
          <w:w w:val="105"/>
          <w:sz w:val="19"/>
        </w:rPr>
        <w:t> </w:t>
      </w:r>
      <w:r>
        <w:rPr>
          <w:w w:val="105"/>
          <w:sz w:val="19"/>
        </w:rPr>
        <w:t>de</w:t>
      </w:r>
      <w:r>
        <w:rPr>
          <w:spacing w:val="-10"/>
          <w:w w:val="105"/>
          <w:sz w:val="19"/>
        </w:rPr>
        <w:t> </w:t>
      </w:r>
      <w:r>
        <w:rPr>
          <w:w w:val="105"/>
          <w:sz w:val="19"/>
        </w:rPr>
        <w:t>agencias</w:t>
      </w:r>
      <w:r>
        <w:rPr>
          <w:spacing w:val="-10"/>
          <w:w w:val="105"/>
          <w:sz w:val="19"/>
        </w:rPr>
        <w:t> </w:t>
      </w:r>
      <w:r>
        <w:rPr>
          <w:w w:val="105"/>
          <w:sz w:val="19"/>
        </w:rPr>
        <w:t>de</w:t>
      </w:r>
      <w:r>
        <w:rPr>
          <w:spacing w:val="-10"/>
          <w:w w:val="105"/>
          <w:sz w:val="19"/>
        </w:rPr>
        <w:t> </w:t>
      </w:r>
      <w:r>
        <w:rPr>
          <w:w w:val="105"/>
          <w:sz w:val="19"/>
        </w:rPr>
        <w:t>aseguramiento</w:t>
      </w:r>
      <w:r>
        <w:rPr>
          <w:spacing w:val="-10"/>
          <w:w w:val="105"/>
          <w:sz w:val="19"/>
        </w:rPr>
        <w:t> </w:t>
      </w:r>
      <w:r>
        <w:rPr>
          <w:w w:val="105"/>
          <w:sz w:val="19"/>
        </w:rPr>
        <w:t>de</w:t>
      </w:r>
      <w:r>
        <w:rPr>
          <w:spacing w:val="-10"/>
          <w:w w:val="105"/>
          <w:sz w:val="19"/>
        </w:rPr>
        <w:t> </w:t>
      </w:r>
      <w:r>
        <w:rPr>
          <w:w w:val="105"/>
          <w:sz w:val="19"/>
        </w:rPr>
        <w:t>la</w:t>
      </w:r>
      <w:r>
        <w:rPr>
          <w:spacing w:val="-10"/>
          <w:w w:val="105"/>
          <w:sz w:val="19"/>
        </w:rPr>
        <w:t> </w:t>
      </w:r>
      <w:r>
        <w:rPr>
          <w:w w:val="105"/>
          <w:sz w:val="19"/>
        </w:rPr>
        <w:t>calidad</w:t>
      </w:r>
      <w:r>
        <w:rPr>
          <w:spacing w:val="-10"/>
          <w:w w:val="105"/>
          <w:sz w:val="19"/>
        </w:rPr>
        <w:t> </w:t>
      </w:r>
      <w:r>
        <w:rPr>
          <w:w w:val="105"/>
          <w:sz w:val="19"/>
        </w:rPr>
        <w:t>de</w:t>
      </w:r>
      <w:r>
        <w:rPr>
          <w:spacing w:val="-10"/>
          <w:w w:val="105"/>
          <w:sz w:val="19"/>
        </w:rPr>
        <w:t> </w:t>
      </w:r>
      <w:r>
        <w:rPr>
          <w:w w:val="105"/>
          <w:sz w:val="19"/>
        </w:rPr>
        <w:t>la</w:t>
      </w:r>
      <w:r>
        <w:rPr>
          <w:spacing w:val="-10"/>
          <w:w w:val="105"/>
          <w:sz w:val="19"/>
        </w:rPr>
        <w:t> </w:t>
      </w:r>
      <w:r>
        <w:rPr>
          <w:w w:val="105"/>
          <w:sz w:val="19"/>
        </w:rPr>
        <w:t>educación superior</w:t>
      </w:r>
      <w:r>
        <w:rPr>
          <w:spacing w:val="-6"/>
          <w:w w:val="105"/>
          <w:sz w:val="19"/>
        </w:rPr>
        <w:t> </w:t>
      </w:r>
      <w:r>
        <w:rPr>
          <w:w w:val="105"/>
          <w:sz w:val="19"/>
        </w:rPr>
        <w:t>a</w:t>
      </w:r>
      <w:r>
        <w:rPr>
          <w:spacing w:val="-2"/>
          <w:w w:val="105"/>
          <w:sz w:val="19"/>
        </w:rPr>
        <w:t> </w:t>
      </w:r>
      <w:r>
        <w:rPr>
          <w:w w:val="105"/>
          <w:sz w:val="19"/>
        </w:rPr>
        <w:t>nivel</w:t>
      </w:r>
      <w:r>
        <w:rPr>
          <w:spacing w:val="-2"/>
          <w:w w:val="105"/>
          <w:sz w:val="19"/>
        </w:rPr>
        <w:t> </w:t>
      </w:r>
      <w:r>
        <w:rPr>
          <w:w w:val="105"/>
          <w:sz w:val="19"/>
        </w:rPr>
        <w:t>internacional</w:t>
      </w:r>
      <w:r>
        <w:rPr>
          <w:spacing w:val="-2"/>
          <w:w w:val="105"/>
          <w:sz w:val="19"/>
        </w:rPr>
        <w:t> </w:t>
      </w:r>
      <w:r>
        <w:rPr>
          <w:w w:val="105"/>
          <w:sz w:val="19"/>
        </w:rPr>
        <w:t>y</w:t>
      </w:r>
      <w:r>
        <w:rPr>
          <w:spacing w:val="-4"/>
          <w:w w:val="105"/>
          <w:sz w:val="19"/>
        </w:rPr>
        <w:t> </w:t>
      </w:r>
      <w:r>
        <w:rPr>
          <w:w w:val="105"/>
          <w:sz w:val="19"/>
        </w:rPr>
        <w:t>regional”.</w:t>
      </w:r>
      <w:r>
        <w:rPr>
          <w:spacing w:val="-9"/>
          <w:w w:val="105"/>
          <w:sz w:val="19"/>
        </w:rPr>
        <w:t> </w:t>
      </w:r>
      <w:r>
        <w:rPr>
          <w:w w:val="105"/>
          <w:sz w:val="19"/>
        </w:rPr>
        <w:t>Revista</w:t>
      </w:r>
      <w:r>
        <w:rPr>
          <w:spacing w:val="-2"/>
          <w:w w:val="105"/>
          <w:sz w:val="19"/>
        </w:rPr>
        <w:t> </w:t>
      </w:r>
      <w:r>
        <w:rPr>
          <w:w w:val="105"/>
          <w:sz w:val="19"/>
        </w:rPr>
        <w:t>Iberoamericana</w:t>
      </w:r>
      <w:r>
        <w:rPr>
          <w:spacing w:val="-2"/>
          <w:w w:val="105"/>
          <w:sz w:val="19"/>
        </w:rPr>
        <w:t> </w:t>
      </w:r>
      <w:r>
        <w:rPr>
          <w:w w:val="105"/>
          <w:sz w:val="19"/>
        </w:rPr>
        <w:t>de</w:t>
      </w:r>
      <w:r>
        <w:rPr>
          <w:spacing w:val="-2"/>
          <w:w w:val="105"/>
          <w:sz w:val="19"/>
        </w:rPr>
        <w:t> </w:t>
      </w:r>
      <w:r>
        <w:rPr>
          <w:w w:val="105"/>
          <w:sz w:val="19"/>
        </w:rPr>
        <w:t>Educación.</w:t>
      </w:r>
      <w:r>
        <w:rPr>
          <w:spacing w:val="-9"/>
          <w:w w:val="105"/>
          <w:sz w:val="19"/>
        </w:rPr>
        <w:t> </w:t>
      </w:r>
      <w:r>
        <w:rPr>
          <w:w w:val="105"/>
          <w:sz w:val="19"/>
        </w:rPr>
        <w:t>Nº</w:t>
      </w:r>
      <w:r>
        <w:rPr>
          <w:spacing w:val="-2"/>
          <w:w w:val="105"/>
          <w:sz w:val="19"/>
        </w:rPr>
        <w:t> </w:t>
      </w:r>
      <w:r>
        <w:rPr>
          <w:w w:val="105"/>
          <w:sz w:val="19"/>
        </w:rPr>
        <w:t>35.</w:t>
      </w:r>
      <w:r>
        <w:rPr>
          <w:spacing w:val="-2"/>
          <w:w w:val="105"/>
          <w:sz w:val="19"/>
        </w:rPr>
        <w:t> </w:t>
      </w:r>
      <w:r>
        <w:rPr>
          <w:w w:val="105"/>
          <w:sz w:val="19"/>
        </w:rPr>
        <w:t>pp.</w:t>
      </w:r>
      <w:r>
        <w:rPr>
          <w:spacing w:val="-5"/>
          <w:w w:val="105"/>
          <w:sz w:val="19"/>
        </w:rPr>
        <w:t> </w:t>
      </w:r>
      <w:r>
        <w:rPr>
          <w:w w:val="105"/>
          <w:sz w:val="19"/>
        </w:rPr>
        <w:t>73-87. </w:t>
      </w:r>
      <w:r>
        <w:rPr>
          <w:sz w:val="19"/>
        </w:rPr>
        <w:t>Puede  consultarse  en:</w:t>
      </w:r>
      <w:r>
        <w:rPr>
          <w:spacing w:val="11"/>
          <w:sz w:val="19"/>
        </w:rPr>
        <w:t> </w:t>
      </w:r>
      <w:hyperlink r:id="rId155">
        <w:r>
          <w:rPr>
            <w:color w:val="0000FF"/>
            <w:sz w:val="19"/>
            <w:u w:val="single" w:color="0000FF"/>
          </w:rPr>
          <w:t>http://www.campus-oei.org/revista/rie35a01.pdf</w:t>
        </w:r>
      </w:hyperlink>
    </w:p>
    <w:p>
      <w:pPr>
        <w:spacing w:line="252" w:lineRule="auto" w:before="0"/>
        <w:ind w:left="115" w:right="32" w:firstLine="0"/>
        <w:jc w:val="left"/>
        <w:rPr>
          <w:sz w:val="19"/>
        </w:rPr>
      </w:pPr>
      <w:r>
        <w:rPr>
          <w:b/>
          <w:w w:val="105"/>
          <w:sz w:val="19"/>
        </w:rPr>
        <w:t>Lindblom</w:t>
      </w:r>
      <w:r>
        <w:rPr>
          <w:w w:val="105"/>
          <w:sz w:val="19"/>
        </w:rPr>
        <w:t>, Charles E. (2003) “La ciencia de </w:t>
      </w:r>
      <w:r>
        <w:rPr>
          <w:i/>
          <w:w w:val="105"/>
          <w:sz w:val="19"/>
        </w:rPr>
        <w:t>salir del paso</w:t>
      </w:r>
      <w:r>
        <w:rPr>
          <w:w w:val="105"/>
          <w:sz w:val="19"/>
        </w:rPr>
        <w:t>”. En Aguilar Villanueva, Luis, (2003) “La hechura de las Políticas”. Grupo Editorial Miguel Ángel Porrúa.</w:t>
      </w:r>
    </w:p>
    <w:p>
      <w:pPr>
        <w:spacing w:line="242" w:lineRule="auto" w:before="0"/>
        <w:ind w:left="115" w:right="54" w:firstLine="0"/>
        <w:jc w:val="left"/>
        <w:rPr>
          <w:sz w:val="19"/>
        </w:rPr>
      </w:pPr>
      <w:r>
        <w:rPr>
          <w:b/>
          <w:w w:val="105"/>
          <w:sz w:val="19"/>
        </w:rPr>
        <w:t>Lijphart</w:t>
      </w:r>
      <w:r>
        <w:rPr>
          <w:w w:val="105"/>
          <w:sz w:val="19"/>
        </w:rPr>
        <w:t>, Arend. (1999). “Constitutional Choices for New Democracies”. Journal of Democracy. </w:t>
      </w:r>
      <w:r>
        <w:rPr>
          <w:b/>
          <w:w w:val="105"/>
          <w:sz w:val="19"/>
        </w:rPr>
        <w:t>Lowi</w:t>
      </w:r>
      <w:r>
        <w:rPr>
          <w:w w:val="105"/>
          <w:sz w:val="19"/>
        </w:rPr>
        <w:t>, Theodore (1964). “American Business and public Policy Case Studies and Political Theory”. En World Politics</w:t>
      </w:r>
      <w:r>
        <w:rPr>
          <w:i/>
          <w:w w:val="105"/>
          <w:sz w:val="19"/>
        </w:rPr>
        <w:t>, </w:t>
      </w:r>
      <w:r>
        <w:rPr>
          <w:w w:val="105"/>
          <w:sz w:val="19"/>
        </w:rPr>
        <w:t>XVI, pp. 677-715.</w:t>
      </w:r>
    </w:p>
    <w:p>
      <w:pPr>
        <w:spacing w:line="247" w:lineRule="auto" w:before="9"/>
        <w:ind w:left="115" w:right="124" w:firstLine="0"/>
        <w:jc w:val="both"/>
        <w:rPr>
          <w:sz w:val="19"/>
        </w:rPr>
      </w:pPr>
      <w:r>
        <w:rPr>
          <w:w w:val="105"/>
          <w:sz w:val="19"/>
        </w:rPr>
        <w:t>-------------------.</w:t>
      </w:r>
      <w:r>
        <w:rPr>
          <w:spacing w:val="-25"/>
          <w:w w:val="105"/>
          <w:sz w:val="19"/>
        </w:rPr>
        <w:t> </w:t>
      </w:r>
      <w:r>
        <w:rPr>
          <w:w w:val="105"/>
          <w:sz w:val="19"/>
        </w:rPr>
        <w:t>(1972).</w:t>
      </w:r>
      <w:r>
        <w:rPr>
          <w:spacing w:val="-26"/>
          <w:w w:val="105"/>
          <w:sz w:val="19"/>
        </w:rPr>
        <w:t> </w:t>
      </w:r>
      <w:r>
        <w:rPr>
          <w:w w:val="105"/>
          <w:sz w:val="19"/>
        </w:rPr>
        <w:t>“Four</w:t>
      </w:r>
      <w:r>
        <w:rPr>
          <w:spacing w:val="-23"/>
          <w:w w:val="105"/>
          <w:sz w:val="19"/>
        </w:rPr>
        <w:t> </w:t>
      </w:r>
      <w:r>
        <w:rPr>
          <w:w w:val="105"/>
          <w:sz w:val="19"/>
        </w:rPr>
        <w:t>Systems</w:t>
      </w:r>
      <w:r>
        <w:rPr>
          <w:spacing w:val="-18"/>
          <w:w w:val="105"/>
          <w:sz w:val="19"/>
        </w:rPr>
        <w:t> </w:t>
      </w:r>
      <w:r>
        <w:rPr>
          <w:w w:val="105"/>
          <w:sz w:val="19"/>
        </w:rPr>
        <w:t>of</w:t>
      </w:r>
      <w:r>
        <w:rPr>
          <w:spacing w:val="-20"/>
          <w:w w:val="105"/>
          <w:sz w:val="19"/>
        </w:rPr>
        <w:t> </w:t>
      </w:r>
      <w:r>
        <w:rPr>
          <w:w w:val="105"/>
          <w:sz w:val="19"/>
        </w:rPr>
        <w:t>Policy,</w:t>
      </w:r>
      <w:r>
        <w:rPr>
          <w:spacing w:val="-20"/>
          <w:w w:val="105"/>
          <w:sz w:val="19"/>
        </w:rPr>
        <w:t> </w:t>
      </w:r>
      <w:r>
        <w:rPr>
          <w:w w:val="105"/>
          <w:sz w:val="19"/>
        </w:rPr>
        <w:t>Politics</w:t>
      </w:r>
      <w:r>
        <w:rPr>
          <w:spacing w:val="-23"/>
          <w:w w:val="105"/>
          <w:sz w:val="19"/>
        </w:rPr>
        <w:t> </w:t>
      </w:r>
      <w:r>
        <w:rPr>
          <w:w w:val="105"/>
          <w:sz w:val="19"/>
        </w:rPr>
        <w:t>and</w:t>
      </w:r>
      <w:r>
        <w:rPr>
          <w:spacing w:val="-20"/>
          <w:w w:val="105"/>
          <w:sz w:val="19"/>
        </w:rPr>
        <w:t> </w:t>
      </w:r>
      <w:r>
        <w:rPr>
          <w:w w:val="105"/>
          <w:sz w:val="19"/>
        </w:rPr>
        <w:t>Choice”,</w:t>
      </w:r>
      <w:r>
        <w:rPr>
          <w:spacing w:val="-26"/>
          <w:w w:val="105"/>
          <w:sz w:val="19"/>
        </w:rPr>
        <w:t> </w:t>
      </w:r>
      <w:r>
        <w:rPr>
          <w:w w:val="105"/>
          <w:sz w:val="19"/>
        </w:rPr>
        <w:t>Public</w:t>
      </w:r>
      <w:r>
        <w:rPr>
          <w:spacing w:val="-20"/>
          <w:w w:val="105"/>
          <w:sz w:val="19"/>
        </w:rPr>
        <w:t> </w:t>
      </w:r>
      <w:r>
        <w:rPr>
          <w:w w:val="105"/>
          <w:sz w:val="19"/>
        </w:rPr>
        <w:t>Administration</w:t>
      </w:r>
      <w:r>
        <w:rPr>
          <w:spacing w:val="-20"/>
          <w:w w:val="105"/>
          <w:sz w:val="19"/>
        </w:rPr>
        <w:t> </w:t>
      </w:r>
      <w:r>
        <w:rPr>
          <w:w w:val="105"/>
          <w:sz w:val="19"/>
        </w:rPr>
        <w:t>Review. </w:t>
      </w:r>
      <w:r>
        <w:rPr>
          <w:b/>
          <w:w w:val="105"/>
          <w:sz w:val="19"/>
        </w:rPr>
        <w:t>Lowenthal</w:t>
      </w:r>
      <w:r>
        <w:rPr>
          <w:w w:val="105"/>
          <w:sz w:val="19"/>
        </w:rPr>
        <w:t>, P. R. (in Press). “The Evolution </w:t>
      </w:r>
      <w:r>
        <w:rPr>
          <w:spacing w:val="-3"/>
          <w:w w:val="105"/>
          <w:sz w:val="19"/>
        </w:rPr>
        <w:t>and </w:t>
      </w:r>
      <w:r>
        <w:rPr>
          <w:w w:val="105"/>
          <w:sz w:val="19"/>
        </w:rPr>
        <w:t>Influence </w:t>
      </w:r>
      <w:r>
        <w:rPr>
          <w:spacing w:val="2"/>
          <w:w w:val="105"/>
          <w:sz w:val="19"/>
        </w:rPr>
        <w:t>of </w:t>
      </w:r>
      <w:r>
        <w:rPr>
          <w:w w:val="105"/>
          <w:sz w:val="19"/>
        </w:rPr>
        <w:t>Social Presence Theory on Online Learning. To appear </w:t>
      </w:r>
      <w:r>
        <w:rPr>
          <w:spacing w:val="-4"/>
          <w:w w:val="105"/>
          <w:sz w:val="19"/>
        </w:rPr>
        <w:t>in </w:t>
      </w:r>
      <w:r>
        <w:rPr>
          <w:spacing w:val="5"/>
          <w:w w:val="105"/>
          <w:sz w:val="19"/>
        </w:rPr>
        <w:t>T. </w:t>
      </w:r>
      <w:r>
        <w:rPr>
          <w:w w:val="105"/>
          <w:sz w:val="19"/>
        </w:rPr>
        <w:t>T. Kidd” (Ed.), Online education and adult learning: New frontiers for teaching</w:t>
      </w:r>
      <w:r>
        <w:rPr>
          <w:spacing w:val="-22"/>
          <w:w w:val="105"/>
          <w:sz w:val="19"/>
        </w:rPr>
        <w:t> </w:t>
      </w:r>
      <w:r>
        <w:rPr>
          <w:w w:val="105"/>
          <w:sz w:val="19"/>
        </w:rPr>
        <w:t>practices.</w:t>
      </w:r>
      <w:r>
        <w:rPr>
          <w:spacing w:val="-25"/>
          <w:w w:val="105"/>
          <w:sz w:val="19"/>
        </w:rPr>
        <w:t> </w:t>
      </w:r>
      <w:r>
        <w:rPr>
          <w:w w:val="105"/>
          <w:sz w:val="19"/>
        </w:rPr>
        <w:t>Hershey,</w:t>
      </w:r>
      <w:r>
        <w:rPr>
          <w:spacing w:val="-26"/>
          <w:w w:val="105"/>
          <w:sz w:val="19"/>
        </w:rPr>
        <w:t> </w:t>
      </w:r>
      <w:r>
        <w:rPr>
          <w:w w:val="105"/>
          <w:sz w:val="19"/>
        </w:rPr>
        <w:t>PA:</w:t>
      </w:r>
      <w:r>
        <w:rPr>
          <w:spacing w:val="-20"/>
          <w:w w:val="105"/>
          <w:sz w:val="19"/>
        </w:rPr>
        <w:t> </w:t>
      </w:r>
      <w:r>
        <w:rPr>
          <w:w w:val="105"/>
          <w:sz w:val="19"/>
        </w:rPr>
        <w:t>IGI</w:t>
      </w:r>
      <w:r>
        <w:rPr>
          <w:spacing w:val="-26"/>
          <w:w w:val="105"/>
          <w:sz w:val="19"/>
        </w:rPr>
        <w:t> </w:t>
      </w:r>
      <w:r>
        <w:rPr>
          <w:w w:val="105"/>
          <w:sz w:val="19"/>
        </w:rPr>
        <w:t>Global.</w:t>
      </w:r>
    </w:p>
    <w:p>
      <w:pPr>
        <w:spacing w:after="0" w:line="247" w:lineRule="auto"/>
        <w:jc w:val="both"/>
        <w:rPr>
          <w:sz w:val="19"/>
        </w:rPr>
        <w:sectPr>
          <w:footerReference w:type="default" r:id="rId150"/>
          <w:pgSz w:w="11910" w:h="16840"/>
          <w:pgMar w:footer="1457" w:header="0" w:top="1580" w:bottom="1640" w:left="1540" w:right="1520"/>
        </w:sectPr>
      </w:pPr>
    </w:p>
    <w:p>
      <w:pPr>
        <w:pStyle w:val="BodyText"/>
        <w:rPr>
          <w:sz w:val="20"/>
        </w:rPr>
      </w:pPr>
    </w:p>
    <w:p>
      <w:pPr>
        <w:pStyle w:val="BodyText"/>
        <w:spacing w:before="10"/>
        <w:rPr>
          <w:sz w:val="15"/>
        </w:rPr>
      </w:pPr>
    </w:p>
    <w:p>
      <w:pPr>
        <w:spacing w:line="244" w:lineRule="auto" w:before="81"/>
        <w:ind w:left="115" w:right="41" w:firstLine="0"/>
        <w:jc w:val="left"/>
        <w:rPr>
          <w:i/>
          <w:sz w:val="19"/>
        </w:rPr>
      </w:pPr>
      <w:r>
        <w:rPr>
          <w:b/>
          <w:w w:val="105"/>
          <w:sz w:val="19"/>
        </w:rPr>
        <w:t>Lynch</w:t>
      </w:r>
      <w:r>
        <w:rPr>
          <w:w w:val="105"/>
          <w:sz w:val="19"/>
        </w:rPr>
        <w:t>, G. Patricio y Manso, P. Juan (2000). “Estilos de liderazgo en directores de educación básica y media en la región del Bío-Bío” en Paideia Revista de Educación, num. 029. Universidad de Concepción. Chile. pp. 97-104. Puede consultarse en: </w:t>
      </w:r>
      <w:hyperlink r:id="rId157">
        <w:r>
          <w:rPr>
            <w:i/>
            <w:color w:val="0000FF"/>
            <w:w w:val="105"/>
            <w:sz w:val="19"/>
            <w:u w:val="single" w:color="0000FF"/>
          </w:rPr>
          <w:t>http://redalyc.uaemex.mx/redalyc/src/inicio/ArtPdfRed.jsp?iCve=15002907&amp;iCveNum=1417</w:t>
        </w:r>
      </w:hyperlink>
    </w:p>
    <w:p>
      <w:pPr>
        <w:pStyle w:val="BodyText"/>
        <w:spacing w:before="3"/>
        <w:rPr>
          <w:i/>
          <w:sz w:val="13"/>
        </w:rPr>
      </w:pPr>
    </w:p>
    <w:p>
      <w:pPr>
        <w:spacing w:before="81"/>
        <w:ind w:left="115" w:right="0" w:firstLine="0"/>
        <w:jc w:val="both"/>
        <w:rPr>
          <w:b/>
          <w:sz w:val="19"/>
        </w:rPr>
      </w:pPr>
      <w:r>
        <w:rPr>
          <w:b/>
          <w:w w:val="103"/>
          <w:sz w:val="19"/>
        </w:rPr>
        <w:t>M</w:t>
      </w:r>
    </w:p>
    <w:p>
      <w:pPr>
        <w:spacing w:line="247" w:lineRule="auto" w:before="2"/>
        <w:ind w:left="115" w:right="124" w:firstLine="0"/>
        <w:jc w:val="both"/>
        <w:rPr>
          <w:sz w:val="19"/>
        </w:rPr>
      </w:pPr>
      <w:r>
        <w:rPr>
          <w:b/>
          <w:w w:val="105"/>
          <w:sz w:val="19"/>
        </w:rPr>
        <w:t>Mainwaring</w:t>
      </w:r>
      <w:r>
        <w:rPr>
          <w:w w:val="105"/>
          <w:sz w:val="19"/>
        </w:rPr>
        <w:t>,</w:t>
      </w:r>
      <w:r>
        <w:rPr>
          <w:spacing w:val="-13"/>
          <w:w w:val="105"/>
          <w:sz w:val="19"/>
        </w:rPr>
        <w:t> </w:t>
      </w:r>
      <w:r>
        <w:rPr>
          <w:w w:val="105"/>
          <w:sz w:val="19"/>
        </w:rPr>
        <w:t>Scott</w:t>
      </w:r>
      <w:r>
        <w:rPr>
          <w:spacing w:val="-16"/>
          <w:w w:val="105"/>
          <w:sz w:val="19"/>
        </w:rPr>
        <w:t> </w:t>
      </w:r>
      <w:r>
        <w:rPr>
          <w:w w:val="105"/>
          <w:sz w:val="19"/>
        </w:rPr>
        <w:t>y</w:t>
      </w:r>
      <w:r>
        <w:rPr>
          <w:spacing w:val="-13"/>
          <w:w w:val="105"/>
          <w:sz w:val="19"/>
        </w:rPr>
        <w:t> </w:t>
      </w:r>
      <w:r>
        <w:rPr>
          <w:w w:val="105"/>
          <w:sz w:val="19"/>
        </w:rPr>
        <w:t>Matthew</w:t>
      </w:r>
      <w:r>
        <w:rPr>
          <w:spacing w:val="-16"/>
          <w:w w:val="105"/>
          <w:sz w:val="19"/>
        </w:rPr>
        <w:t> </w:t>
      </w:r>
      <w:r>
        <w:rPr>
          <w:w w:val="105"/>
          <w:sz w:val="19"/>
        </w:rPr>
        <w:t>Shugart.</w:t>
      </w:r>
      <w:r>
        <w:rPr>
          <w:spacing w:val="-18"/>
          <w:w w:val="105"/>
          <w:sz w:val="19"/>
        </w:rPr>
        <w:t> </w:t>
      </w:r>
      <w:r>
        <w:rPr>
          <w:w w:val="105"/>
          <w:sz w:val="19"/>
        </w:rPr>
        <w:t>(1997ª).</w:t>
      </w:r>
      <w:r>
        <w:rPr>
          <w:spacing w:val="-13"/>
          <w:w w:val="105"/>
          <w:sz w:val="19"/>
        </w:rPr>
        <w:t> </w:t>
      </w:r>
      <w:r>
        <w:rPr>
          <w:w w:val="105"/>
          <w:sz w:val="19"/>
        </w:rPr>
        <w:t>“Presidentialism</w:t>
      </w:r>
      <w:r>
        <w:rPr>
          <w:spacing w:val="-13"/>
          <w:w w:val="105"/>
          <w:sz w:val="19"/>
        </w:rPr>
        <w:t> </w:t>
      </w:r>
      <w:r>
        <w:rPr>
          <w:w w:val="105"/>
          <w:sz w:val="19"/>
        </w:rPr>
        <w:t>and</w:t>
      </w:r>
      <w:r>
        <w:rPr>
          <w:spacing w:val="-11"/>
          <w:w w:val="105"/>
          <w:sz w:val="19"/>
        </w:rPr>
        <w:t> </w:t>
      </w:r>
      <w:r>
        <w:rPr>
          <w:w w:val="105"/>
          <w:sz w:val="19"/>
        </w:rPr>
        <w:t>Democracy</w:t>
      </w:r>
      <w:r>
        <w:rPr>
          <w:spacing w:val="-22"/>
          <w:w w:val="105"/>
          <w:sz w:val="19"/>
        </w:rPr>
        <w:t> </w:t>
      </w:r>
      <w:r>
        <w:rPr>
          <w:spacing w:val="-3"/>
          <w:w w:val="105"/>
          <w:sz w:val="19"/>
        </w:rPr>
        <w:t>in</w:t>
      </w:r>
      <w:r>
        <w:rPr>
          <w:spacing w:val="-11"/>
          <w:w w:val="105"/>
          <w:sz w:val="19"/>
        </w:rPr>
        <w:t> </w:t>
      </w:r>
      <w:r>
        <w:rPr>
          <w:w w:val="105"/>
          <w:sz w:val="19"/>
        </w:rPr>
        <w:t>Latin</w:t>
      </w:r>
      <w:r>
        <w:rPr>
          <w:spacing w:val="-11"/>
          <w:w w:val="105"/>
          <w:sz w:val="19"/>
        </w:rPr>
        <w:t> </w:t>
      </w:r>
      <w:r>
        <w:rPr>
          <w:w w:val="105"/>
          <w:sz w:val="19"/>
        </w:rPr>
        <w:t>America”. Cambridge,</w:t>
      </w:r>
      <w:r>
        <w:rPr>
          <w:spacing w:val="-30"/>
          <w:w w:val="105"/>
          <w:sz w:val="19"/>
        </w:rPr>
        <w:t> </w:t>
      </w:r>
      <w:r>
        <w:rPr>
          <w:w w:val="105"/>
          <w:sz w:val="19"/>
        </w:rPr>
        <w:t>MA:</w:t>
      </w:r>
      <w:r>
        <w:rPr>
          <w:spacing w:val="-31"/>
          <w:w w:val="105"/>
          <w:sz w:val="19"/>
        </w:rPr>
        <w:t> </w:t>
      </w:r>
      <w:r>
        <w:rPr>
          <w:w w:val="105"/>
          <w:sz w:val="19"/>
        </w:rPr>
        <w:t>Cambridge</w:t>
      </w:r>
      <w:r>
        <w:rPr>
          <w:spacing w:val="-26"/>
          <w:w w:val="105"/>
          <w:sz w:val="19"/>
        </w:rPr>
        <w:t> </w:t>
      </w:r>
      <w:r>
        <w:rPr>
          <w:w w:val="105"/>
          <w:sz w:val="19"/>
        </w:rPr>
        <w:t>University</w:t>
      </w:r>
      <w:r>
        <w:rPr>
          <w:spacing w:val="-32"/>
          <w:w w:val="105"/>
          <w:sz w:val="19"/>
        </w:rPr>
        <w:t> </w:t>
      </w:r>
      <w:r>
        <w:rPr>
          <w:w w:val="105"/>
          <w:sz w:val="19"/>
        </w:rPr>
        <w:t>Press.</w:t>
      </w:r>
    </w:p>
    <w:p>
      <w:pPr>
        <w:spacing w:line="247" w:lineRule="auto" w:before="0"/>
        <w:ind w:left="115" w:right="127" w:firstLine="0"/>
        <w:jc w:val="both"/>
        <w:rPr>
          <w:sz w:val="19"/>
        </w:rPr>
      </w:pPr>
      <w:r>
        <w:rPr>
          <w:b/>
          <w:w w:val="105"/>
          <w:sz w:val="19"/>
        </w:rPr>
        <w:t>Majone</w:t>
      </w:r>
      <w:r>
        <w:rPr>
          <w:w w:val="105"/>
          <w:sz w:val="19"/>
        </w:rPr>
        <w:t>, G. D. (1978). “The uses of policy Analysis, en the future and the past: Essays of Programs”, Russell Sage Foundation.</w:t>
      </w:r>
    </w:p>
    <w:p>
      <w:pPr>
        <w:spacing w:line="247" w:lineRule="auto" w:before="0"/>
        <w:ind w:left="115" w:right="41" w:firstLine="0"/>
        <w:jc w:val="left"/>
        <w:rPr>
          <w:sz w:val="19"/>
        </w:rPr>
      </w:pPr>
      <w:r>
        <w:rPr>
          <w:b/>
          <w:w w:val="105"/>
          <w:sz w:val="19"/>
        </w:rPr>
        <w:t>Maldonado</w:t>
      </w:r>
      <w:r>
        <w:rPr>
          <w:w w:val="105"/>
          <w:sz w:val="19"/>
        </w:rPr>
        <w:t>,</w:t>
      </w:r>
      <w:r>
        <w:rPr>
          <w:spacing w:val="-11"/>
          <w:w w:val="105"/>
          <w:sz w:val="19"/>
        </w:rPr>
        <w:t> </w:t>
      </w:r>
      <w:r>
        <w:rPr>
          <w:w w:val="105"/>
          <w:sz w:val="19"/>
        </w:rPr>
        <w:t>Alma</w:t>
      </w:r>
      <w:r>
        <w:rPr>
          <w:spacing w:val="-5"/>
          <w:w w:val="105"/>
          <w:sz w:val="19"/>
        </w:rPr>
        <w:t> </w:t>
      </w:r>
      <w:r>
        <w:rPr>
          <w:w w:val="105"/>
          <w:sz w:val="19"/>
        </w:rPr>
        <w:t>(2000).</w:t>
      </w:r>
      <w:r>
        <w:rPr>
          <w:spacing w:val="-11"/>
          <w:w w:val="105"/>
          <w:sz w:val="19"/>
        </w:rPr>
        <w:t> </w:t>
      </w:r>
      <w:r>
        <w:rPr>
          <w:w w:val="105"/>
          <w:sz w:val="19"/>
        </w:rPr>
        <w:t>“Los</w:t>
      </w:r>
      <w:r>
        <w:rPr>
          <w:spacing w:val="-8"/>
          <w:w w:val="105"/>
          <w:sz w:val="19"/>
        </w:rPr>
        <w:t> </w:t>
      </w:r>
      <w:r>
        <w:rPr>
          <w:w w:val="105"/>
          <w:sz w:val="19"/>
        </w:rPr>
        <w:t>organismos</w:t>
      </w:r>
      <w:r>
        <w:rPr>
          <w:spacing w:val="-5"/>
          <w:w w:val="105"/>
          <w:sz w:val="19"/>
        </w:rPr>
        <w:t> </w:t>
      </w:r>
      <w:r>
        <w:rPr>
          <w:w w:val="105"/>
          <w:sz w:val="19"/>
        </w:rPr>
        <w:t>internacionales</w:t>
      </w:r>
      <w:r>
        <w:rPr>
          <w:spacing w:val="-8"/>
          <w:w w:val="105"/>
          <w:sz w:val="19"/>
        </w:rPr>
        <w:t> </w:t>
      </w:r>
      <w:r>
        <w:rPr>
          <w:w w:val="105"/>
          <w:sz w:val="19"/>
        </w:rPr>
        <w:t>y</w:t>
      </w:r>
      <w:r>
        <w:rPr>
          <w:spacing w:val="-11"/>
          <w:w w:val="105"/>
          <w:sz w:val="19"/>
        </w:rPr>
        <w:t> </w:t>
      </w:r>
      <w:r>
        <w:rPr>
          <w:w w:val="105"/>
          <w:sz w:val="19"/>
        </w:rPr>
        <w:t>la</w:t>
      </w:r>
      <w:r>
        <w:rPr>
          <w:spacing w:val="-5"/>
          <w:w w:val="105"/>
          <w:sz w:val="19"/>
        </w:rPr>
        <w:t> </w:t>
      </w:r>
      <w:r>
        <w:rPr>
          <w:w w:val="105"/>
          <w:sz w:val="19"/>
        </w:rPr>
        <w:t>educación</w:t>
      </w:r>
      <w:r>
        <w:rPr>
          <w:spacing w:val="-5"/>
          <w:w w:val="105"/>
          <w:sz w:val="19"/>
        </w:rPr>
        <w:t> </w:t>
      </w:r>
      <w:r>
        <w:rPr>
          <w:w w:val="105"/>
          <w:sz w:val="19"/>
        </w:rPr>
        <w:t>superior</w:t>
      </w:r>
      <w:r>
        <w:rPr>
          <w:spacing w:val="-5"/>
          <w:w w:val="105"/>
          <w:sz w:val="19"/>
        </w:rPr>
        <w:t> </w:t>
      </w:r>
      <w:r>
        <w:rPr>
          <w:w w:val="105"/>
          <w:sz w:val="19"/>
        </w:rPr>
        <w:t>en</w:t>
      </w:r>
      <w:r>
        <w:rPr>
          <w:spacing w:val="-5"/>
          <w:w w:val="105"/>
          <w:sz w:val="19"/>
        </w:rPr>
        <w:t> </w:t>
      </w:r>
      <w:r>
        <w:rPr>
          <w:w w:val="105"/>
          <w:sz w:val="19"/>
        </w:rPr>
        <w:t>México”.</w:t>
      </w:r>
      <w:r>
        <w:rPr>
          <w:spacing w:val="-9"/>
          <w:w w:val="105"/>
          <w:sz w:val="19"/>
        </w:rPr>
        <w:t> </w:t>
      </w:r>
      <w:r>
        <w:rPr>
          <w:spacing w:val="3"/>
          <w:w w:val="105"/>
          <w:sz w:val="19"/>
        </w:rPr>
        <w:t>El </w:t>
      </w:r>
      <w:r>
        <w:rPr>
          <w:w w:val="105"/>
          <w:sz w:val="19"/>
        </w:rPr>
        <w:t>caso</w:t>
      </w:r>
      <w:r>
        <w:rPr>
          <w:spacing w:val="-16"/>
          <w:w w:val="105"/>
          <w:sz w:val="19"/>
        </w:rPr>
        <w:t> </w:t>
      </w:r>
      <w:r>
        <w:rPr>
          <w:spacing w:val="-3"/>
          <w:w w:val="105"/>
          <w:sz w:val="19"/>
        </w:rPr>
        <w:t>de</w:t>
      </w:r>
      <w:r>
        <w:rPr>
          <w:spacing w:val="-16"/>
          <w:w w:val="105"/>
          <w:sz w:val="19"/>
        </w:rPr>
        <w:t> </w:t>
      </w:r>
      <w:r>
        <w:rPr>
          <w:w w:val="105"/>
          <w:sz w:val="19"/>
        </w:rPr>
        <w:t>la</w:t>
      </w:r>
      <w:r>
        <w:rPr>
          <w:spacing w:val="-13"/>
          <w:w w:val="105"/>
          <w:sz w:val="19"/>
        </w:rPr>
        <w:t> </w:t>
      </w:r>
      <w:r>
        <w:rPr>
          <w:w w:val="105"/>
          <w:sz w:val="19"/>
        </w:rPr>
        <w:t>Educación</w:t>
      </w:r>
      <w:r>
        <w:rPr>
          <w:spacing w:val="-16"/>
          <w:w w:val="105"/>
          <w:sz w:val="19"/>
        </w:rPr>
        <w:t> </w:t>
      </w:r>
      <w:r>
        <w:rPr>
          <w:w w:val="105"/>
          <w:sz w:val="19"/>
        </w:rPr>
        <w:t>superior</w:t>
      </w:r>
      <w:r>
        <w:rPr>
          <w:spacing w:val="-16"/>
          <w:w w:val="105"/>
          <w:sz w:val="19"/>
        </w:rPr>
        <w:t> </w:t>
      </w:r>
      <w:r>
        <w:rPr>
          <w:w w:val="105"/>
          <w:sz w:val="19"/>
        </w:rPr>
        <w:t>y</w:t>
      </w:r>
      <w:r>
        <w:rPr>
          <w:spacing w:val="-16"/>
          <w:w w:val="105"/>
          <w:sz w:val="19"/>
        </w:rPr>
        <w:t> </w:t>
      </w:r>
      <w:r>
        <w:rPr>
          <w:w w:val="105"/>
          <w:sz w:val="19"/>
        </w:rPr>
        <w:t>el</w:t>
      </w:r>
      <w:r>
        <w:rPr>
          <w:spacing w:val="-19"/>
          <w:w w:val="105"/>
          <w:sz w:val="19"/>
        </w:rPr>
        <w:t> </w:t>
      </w:r>
      <w:r>
        <w:rPr>
          <w:w w:val="105"/>
          <w:sz w:val="19"/>
        </w:rPr>
        <w:t>Banco</w:t>
      </w:r>
      <w:r>
        <w:rPr>
          <w:spacing w:val="-13"/>
          <w:w w:val="105"/>
          <w:sz w:val="19"/>
        </w:rPr>
        <w:t> </w:t>
      </w:r>
      <w:r>
        <w:rPr>
          <w:w w:val="105"/>
          <w:sz w:val="19"/>
        </w:rPr>
        <w:t>Mundial</w:t>
      </w:r>
      <w:r>
        <w:rPr>
          <w:spacing w:val="-16"/>
          <w:w w:val="105"/>
          <w:sz w:val="19"/>
        </w:rPr>
        <w:t> </w:t>
      </w:r>
      <w:r>
        <w:rPr>
          <w:w w:val="105"/>
          <w:sz w:val="19"/>
        </w:rPr>
        <w:t>en</w:t>
      </w:r>
      <w:r>
        <w:rPr>
          <w:spacing w:val="-13"/>
          <w:w w:val="105"/>
          <w:sz w:val="19"/>
        </w:rPr>
        <w:t> </w:t>
      </w:r>
      <w:r>
        <w:rPr>
          <w:w w:val="105"/>
          <w:sz w:val="19"/>
        </w:rPr>
        <w:t>Perfiles</w:t>
      </w:r>
      <w:r>
        <w:rPr>
          <w:spacing w:val="-16"/>
          <w:w w:val="105"/>
          <w:sz w:val="19"/>
        </w:rPr>
        <w:t> </w:t>
      </w:r>
      <w:r>
        <w:rPr>
          <w:w w:val="105"/>
          <w:sz w:val="19"/>
        </w:rPr>
        <w:t>Educativos</w:t>
      </w:r>
      <w:r>
        <w:rPr>
          <w:i/>
          <w:w w:val="105"/>
          <w:sz w:val="19"/>
        </w:rPr>
        <w:t>,</w:t>
      </w:r>
      <w:r>
        <w:rPr>
          <w:i/>
          <w:spacing w:val="-19"/>
          <w:w w:val="105"/>
          <w:sz w:val="19"/>
        </w:rPr>
        <w:t> </w:t>
      </w:r>
      <w:r>
        <w:rPr>
          <w:w w:val="105"/>
          <w:sz w:val="19"/>
        </w:rPr>
        <w:t>enero-marzo,</w:t>
      </w:r>
      <w:r>
        <w:rPr>
          <w:spacing w:val="-19"/>
          <w:w w:val="105"/>
          <w:sz w:val="19"/>
        </w:rPr>
        <w:t> </w:t>
      </w:r>
      <w:r>
        <w:rPr>
          <w:w w:val="105"/>
          <w:sz w:val="19"/>
        </w:rPr>
        <w:t>número</w:t>
      </w:r>
      <w:r>
        <w:rPr>
          <w:spacing w:val="-17"/>
          <w:w w:val="105"/>
          <w:sz w:val="19"/>
        </w:rPr>
        <w:t> </w:t>
      </w:r>
      <w:r>
        <w:rPr>
          <w:w w:val="105"/>
          <w:sz w:val="19"/>
        </w:rPr>
        <w:t>87: Universidad Nacional Autónoma de México. Puede consultarse en: </w:t>
      </w:r>
      <w:hyperlink r:id="rId158">
        <w:r>
          <w:rPr>
            <w:color w:val="0000FF"/>
            <w:w w:val="105"/>
            <w:sz w:val="19"/>
            <w:u w:val="single" w:color="0000FF"/>
          </w:rPr>
          <w:t>http://redalyc.uaemex.mx/redalyc/src/inicio/ArtPdfRed.jsp?iCve=13208704&amp;iCveNum=199</w:t>
        </w:r>
      </w:hyperlink>
    </w:p>
    <w:p>
      <w:pPr>
        <w:spacing w:line="252" w:lineRule="auto" w:before="0"/>
        <w:ind w:left="115" w:right="131" w:firstLine="0"/>
        <w:jc w:val="both"/>
        <w:rPr>
          <w:sz w:val="19"/>
        </w:rPr>
      </w:pPr>
      <w:r>
        <w:rPr>
          <w:w w:val="105"/>
          <w:sz w:val="19"/>
        </w:rPr>
        <w:t>Malo,</w:t>
      </w:r>
      <w:r>
        <w:rPr>
          <w:spacing w:val="-9"/>
          <w:w w:val="105"/>
          <w:sz w:val="19"/>
        </w:rPr>
        <w:t> </w:t>
      </w:r>
      <w:r>
        <w:rPr>
          <w:w w:val="105"/>
          <w:sz w:val="19"/>
        </w:rPr>
        <w:t>Salvador</w:t>
      </w:r>
      <w:r>
        <w:rPr>
          <w:spacing w:val="-9"/>
          <w:w w:val="105"/>
          <w:sz w:val="19"/>
        </w:rPr>
        <w:t> </w:t>
      </w:r>
      <w:r>
        <w:rPr>
          <w:w w:val="105"/>
          <w:sz w:val="19"/>
        </w:rPr>
        <w:t>(2003).</w:t>
      </w:r>
      <w:r>
        <w:rPr>
          <w:spacing w:val="-11"/>
          <w:w w:val="105"/>
          <w:sz w:val="19"/>
        </w:rPr>
        <w:t> </w:t>
      </w:r>
      <w:r>
        <w:rPr>
          <w:w w:val="105"/>
          <w:sz w:val="19"/>
        </w:rPr>
        <w:t>“El</w:t>
      </w:r>
      <w:r>
        <w:rPr>
          <w:spacing w:val="-12"/>
          <w:w w:val="105"/>
          <w:sz w:val="19"/>
        </w:rPr>
        <w:t> </w:t>
      </w:r>
      <w:r>
        <w:rPr>
          <w:w w:val="105"/>
          <w:sz w:val="19"/>
        </w:rPr>
        <w:t>futuro</w:t>
      </w:r>
      <w:r>
        <w:rPr>
          <w:spacing w:val="-6"/>
          <w:w w:val="105"/>
          <w:sz w:val="19"/>
        </w:rPr>
        <w:t> </w:t>
      </w:r>
      <w:r>
        <w:rPr>
          <w:w w:val="105"/>
          <w:sz w:val="19"/>
        </w:rPr>
        <w:t>del</w:t>
      </w:r>
      <w:r>
        <w:rPr>
          <w:spacing w:val="-9"/>
          <w:w w:val="105"/>
          <w:sz w:val="19"/>
        </w:rPr>
        <w:t> </w:t>
      </w:r>
      <w:r>
        <w:rPr>
          <w:w w:val="105"/>
          <w:sz w:val="19"/>
        </w:rPr>
        <w:t>Ceneval”</w:t>
      </w:r>
      <w:r>
        <w:rPr>
          <w:spacing w:val="-13"/>
          <w:w w:val="105"/>
          <w:sz w:val="19"/>
        </w:rPr>
        <w:t> </w:t>
      </w:r>
      <w:r>
        <w:rPr>
          <w:spacing w:val="2"/>
          <w:w w:val="105"/>
          <w:sz w:val="19"/>
        </w:rPr>
        <w:t>en</w:t>
      </w:r>
      <w:r>
        <w:rPr>
          <w:spacing w:val="-5"/>
          <w:w w:val="105"/>
          <w:sz w:val="19"/>
        </w:rPr>
        <w:t> </w:t>
      </w:r>
      <w:r>
        <w:rPr>
          <w:i/>
          <w:spacing w:val="-4"/>
          <w:w w:val="105"/>
          <w:sz w:val="19"/>
        </w:rPr>
        <w:t>Boletín</w:t>
      </w:r>
      <w:r>
        <w:rPr>
          <w:i/>
          <w:spacing w:val="-6"/>
          <w:w w:val="105"/>
          <w:sz w:val="19"/>
        </w:rPr>
        <w:t> </w:t>
      </w:r>
      <w:r>
        <w:rPr>
          <w:i/>
          <w:w w:val="105"/>
          <w:sz w:val="19"/>
        </w:rPr>
        <w:t>CENEVAL,</w:t>
      </w:r>
      <w:r>
        <w:rPr>
          <w:i/>
          <w:spacing w:val="-11"/>
          <w:w w:val="105"/>
          <w:sz w:val="19"/>
        </w:rPr>
        <w:t> </w:t>
      </w:r>
      <w:r>
        <w:rPr>
          <w:w w:val="105"/>
          <w:sz w:val="19"/>
        </w:rPr>
        <w:t>Abril-junio</w:t>
      </w:r>
      <w:r>
        <w:rPr>
          <w:spacing w:val="-11"/>
          <w:w w:val="105"/>
          <w:sz w:val="19"/>
        </w:rPr>
        <w:t> </w:t>
      </w:r>
      <w:r>
        <w:rPr>
          <w:w w:val="105"/>
          <w:sz w:val="19"/>
        </w:rPr>
        <w:t>2003,</w:t>
      </w:r>
      <w:r>
        <w:rPr>
          <w:spacing w:val="-8"/>
          <w:w w:val="105"/>
          <w:sz w:val="19"/>
        </w:rPr>
        <w:t> </w:t>
      </w:r>
      <w:r>
        <w:rPr>
          <w:w w:val="105"/>
          <w:sz w:val="19"/>
        </w:rPr>
        <w:t>Núm.</w:t>
      </w:r>
      <w:r>
        <w:rPr>
          <w:spacing w:val="-8"/>
          <w:w w:val="105"/>
          <w:sz w:val="19"/>
        </w:rPr>
        <w:t> </w:t>
      </w:r>
      <w:r>
        <w:rPr>
          <w:spacing w:val="-3"/>
          <w:w w:val="105"/>
          <w:sz w:val="19"/>
        </w:rPr>
        <w:t>Puede </w:t>
      </w:r>
      <w:r>
        <w:rPr>
          <w:spacing w:val="-1"/>
          <w:sz w:val="19"/>
        </w:rPr>
        <w:t>consultarse  </w:t>
      </w:r>
      <w:r>
        <w:rPr>
          <w:sz w:val="19"/>
        </w:rPr>
        <w:t>en: </w:t>
      </w:r>
      <w:r>
        <w:rPr>
          <w:spacing w:val="36"/>
          <w:sz w:val="19"/>
        </w:rPr>
        <w:t> </w:t>
      </w:r>
      <w:hyperlink r:id="rId146">
        <w:r>
          <w:rPr>
            <w:color w:val="0000FF"/>
            <w:sz w:val="19"/>
            <w:u w:val="single" w:color="0000FF"/>
          </w:rPr>
          <w:t>http://www.ceneval.edu.mx/portalceneval/docs/0/boletin1.pdf</w:t>
        </w:r>
      </w:hyperlink>
    </w:p>
    <w:p>
      <w:pPr>
        <w:spacing w:line="247" w:lineRule="auto" w:before="0"/>
        <w:ind w:left="116" w:right="127" w:hanging="1"/>
        <w:jc w:val="left"/>
        <w:rPr>
          <w:sz w:val="19"/>
        </w:rPr>
      </w:pPr>
      <w:r>
        <w:rPr>
          <w:w w:val="105"/>
          <w:sz w:val="19"/>
        </w:rPr>
        <w:t>------------------- (2004). “El futuro de la evaluación en México” en </w:t>
      </w:r>
      <w:r>
        <w:rPr>
          <w:i/>
          <w:w w:val="105"/>
          <w:sz w:val="19"/>
        </w:rPr>
        <w:t>Boletín CENEVAL, </w:t>
      </w:r>
      <w:r>
        <w:rPr>
          <w:w w:val="105"/>
          <w:sz w:val="19"/>
        </w:rPr>
        <w:t>Septiembre- Octubre 2004, Núm. 8. Puede consultarse en: </w:t>
      </w:r>
      <w:hyperlink r:id="rId159">
        <w:r>
          <w:rPr>
            <w:color w:val="0000FF"/>
            <w:w w:val="105"/>
            <w:sz w:val="19"/>
            <w:u w:val="single" w:color="0000FF"/>
          </w:rPr>
          <w:t>http://www.ceneval.edu.mx/portalceneval/docs/100/numero8.pdf</w:t>
        </w:r>
      </w:hyperlink>
    </w:p>
    <w:p>
      <w:pPr>
        <w:spacing w:line="244" w:lineRule="auto" w:before="1"/>
        <w:ind w:left="115" w:right="125" w:firstLine="0"/>
        <w:jc w:val="both"/>
        <w:rPr>
          <w:sz w:val="19"/>
        </w:rPr>
      </w:pPr>
      <w:r>
        <w:rPr>
          <w:b/>
          <w:w w:val="105"/>
          <w:sz w:val="19"/>
        </w:rPr>
        <w:t>Mancera </w:t>
      </w:r>
      <w:r>
        <w:rPr>
          <w:w w:val="105"/>
          <w:sz w:val="19"/>
        </w:rPr>
        <w:t>C. y Vega L. (2000). ”Oportunidades y retos del federalismo educativo: El camino recorrido 1992-2000”. Memoria del quehacer educativo 1995-2000. Secretaría de Educación Pública.</w:t>
      </w:r>
    </w:p>
    <w:p>
      <w:pPr>
        <w:spacing w:line="252" w:lineRule="auto" w:before="0"/>
        <w:ind w:left="116" w:right="525" w:hanging="1"/>
        <w:jc w:val="left"/>
        <w:rPr>
          <w:sz w:val="19"/>
        </w:rPr>
      </w:pPr>
      <w:r>
        <w:rPr>
          <w:b/>
          <w:w w:val="105"/>
          <w:sz w:val="19"/>
        </w:rPr>
        <w:t>Martínez</w:t>
      </w:r>
      <w:r>
        <w:rPr>
          <w:b/>
          <w:spacing w:val="-15"/>
          <w:w w:val="105"/>
          <w:sz w:val="19"/>
        </w:rPr>
        <w:t> </w:t>
      </w:r>
      <w:r>
        <w:rPr>
          <w:w w:val="105"/>
          <w:sz w:val="19"/>
        </w:rPr>
        <w:t>R.</w:t>
      </w:r>
      <w:r>
        <w:rPr>
          <w:spacing w:val="-19"/>
          <w:w w:val="105"/>
          <w:sz w:val="19"/>
        </w:rPr>
        <w:t> </w:t>
      </w:r>
      <w:r>
        <w:rPr>
          <w:w w:val="105"/>
          <w:sz w:val="19"/>
        </w:rPr>
        <w:t>Felipe</w:t>
      </w:r>
      <w:r>
        <w:rPr>
          <w:spacing w:val="-15"/>
          <w:w w:val="105"/>
          <w:sz w:val="19"/>
        </w:rPr>
        <w:t> </w:t>
      </w:r>
      <w:r>
        <w:rPr>
          <w:w w:val="105"/>
          <w:sz w:val="19"/>
        </w:rPr>
        <w:t>et.</w:t>
      </w:r>
      <w:r>
        <w:rPr>
          <w:spacing w:val="-19"/>
          <w:w w:val="105"/>
          <w:sz w:val="19"/>
        </w:rPr>
        <w:t> </w:t>
      </w:r>
      <w:r>
        <w:rPr>
          <w:w w:val="105"/>
          <w:sz w:val="19"/>
        </w:rPr>
        <w:t>al.</w:t>
      </w:r>
      <w:r>
        <w:rPr>
          <w:spacing w:val="-21"/>
          <w:w w:val="105"/>
          <w:sz w:val="19"/>
        </w:rPr>
        <w:t> </w:t>
      </w:r>
      <w:r>
        <w:rPr>
          <w:w w:val="105"/>
          <w:sz w:val="19"/>
        </w:rPr>
        <w:t>(2002)</w:t>
      </w:r>
      <w:r>
        <w:rPr>
          <w:spacing w:val="-22"/>
          <w:w w:val="105"/>
          <w:sz w:val="19"/>
        </w:rPr>
        <w:t> </w:t>
      </w:r>
      <w:r>
        <w:rPr>
          <w:i/>
          <w:w w:val="105"/>
          <w:sz w:val="19"/>
        </w:rPr>
        <w:t>Los</w:t>
      </w:r>
      <w:r>
        <w:rPr>
          <w:i/>
          <w:spacing w:val="-18"/>
          <w:w w:val="105"/>
          <w:sz w:val="19"/>
        </w:rPr>
        <w:t> </w:t>
      </w:r>
      <w:r>
        <w:rPr>
          <w:i/>
          <w:w w:val="105"/>
          <w:sz w:val="19"/>
        </w:rPr>
        <w:t>dilemas</w:t>
      </w:r>
      <w:r>
        <w:rPr>
          <w:i/>
          <w:spacing w:val="-19"/>
          <w:w w:val="105"/>
          <w:sz w:val="19"/>
        </w:rPr>
        <w:t> </w:t>
      </w:r>
      <w:r>
        <w:rPr>
          <w:i/>
          <w:w w:val="105"/>
          <w:sz w:val="19"/>
        </w:rPr>
        <w:t>del</w:t>
      </w:r>
      <w:r>
        <w:rPr>
          <w:i/>
          <w:spacing w:val="-22"/>
          <w:w w:val="105"/>
          <w:sz w:val="19"/>
        </w:rPr>
        <w:t> </w:t>
      </w:r>
      <w:r>
        <w:rPr>
          <w:i/>
          <w:w w:val="105"/>
          <w:sz w:val="19"/>
        </w:rPr>
        <w:t>Instituto</w:t>
      </w:r>
      <w:r>
        <w:rPr>
          <w:i/>
          <w:spacing w:val="-15"/>
          <w:w w:val="105"/>
          <w:sz w:val="19"/>
        </w:rPr>
        <w:t> </w:t>
      </w:r>
      <w:r>
        <w:rPr>
          <w:i/>
          <w:w w:val="105"/>
          <w:sz w:val="19"/>
        </w:rPr>
        <w:t>Nacional</w:t>
      </w:r>
      <w:r>
        <w:rPr>
          <w:i/>
          <w:spacing w:val="-16"/>
          <w:w w:val="105"/>
          <w:sz w:val="19"/>
        </w:rPr>
        <w:t> </w:t>
      </w:r>
      <w:r>
        <w:rPr>
          <w:i/>
          <w:w w:val="105"/>
          <w:sz w:val="19"/>
        </w:rPr>
        <w:t>de</w:t>
      </w:r>
      <w:r>
        <w:rPr>
          <w:i/>
          <w:spacing w:val="-15"/>
          <w:w w:val="105"/>
          <w:sz w:val="19"/>
        </w:rPr>
        <w:t> </w:t>
      </w:r>
      <w:r>
        <w:rPr>
          <w:i/>
          <w:w w:val="105"/>
          <w:sz w:val="19"/>
        </w:rPr>
        <w:t>Evaluación</w:t>
      </w:r>
      <w:r>
        <w:rPr>
          <w:i/>
          <w:spacing w:val="-15"/>
          <w:w w:val="105"/>
          <w:sz w:val="19"/>
        </w:rPr>
        <w:t> </w:t>
      </w:r>
      <w:r>
        <w:rPr>
          <w:i/>
          <w:w w:val="105"/>
          <w:sz w:val="19"/>
        </w:rPr>
        <w:t>Educativa</w:t>
      </w:r>
      <w:r>
        <w:rPr>
          <w:w w:val="105"/>
          <w:sz w:val="19"/>
        </w:rPr>
        <w:t>. México.</w:t>
      </w:r>
      <w:r>
        <w:rPr>
          <w:spacing w:val="-28"/>
          <w:w w:val="105"/>
          <w:sz w:val="19"/>
        </w:rPr>
        <w:t> </w:t>
      </w:r>
      <w:r>
        <w:rPr>
          <w:w w:val="105"/>
          <w:sz w:val="19"/>
        </w:rPr>
        <w:t>Observatorio</w:t>
      </w:r>
      <w:r>
        <w:rPr>
          <w:spacing w:val="-23"/>
          <w:w w:val="105"/>
          <w:sz w:val="19"/>
        </w:rPr>
        <w:t> </w:t>
      </w:r>
      <w:r>
        <w:rPr>
          <w:w w:val="105"/>
          <w:sz w:val="19"/>
        </w:rPr>
        <w:t>Ciudadano</w:t>
      </w:r>
      <w:r>
        <w:rPr>
          <w:spacing w:val="-26"/>
          <w:w w:val="105"/>
          <w:sz w:val="19"/>
        </w:rPr>
        <w:t> </w:t>
      </w:r>
      <w:r>
        <w:rPr>
          <w:w w:val="105"/>
          <w:sz w:val="19"/>
        </w:rPr>
        <w:t>de</w:t>
      </w:r>
      <w:r>
        <w:rPr>
          <w:spacing w:val="-26"/>
          <w:w w:val="105"/>
          <w:sz w:val="19"/>
        </w:rPr>
        <w:t> </w:t>
      </w:r>
      <w:r>
        <w:rPr>
          <w:w w:val="105"/>
          <w:sz w:val="19"/>
        </w:rPr>
        <w:t>la</w:t>
      </w:r>
      <w:r>
        <w:rPr>
          <w:spacing w:val="-23"/>
          <w:w w:val="105"/>
          <w:sz w:val="19"/>
        </w:rPr>
        <w:t> </w:t>
      </w:r>
      <w:r>
        <w:rPr>
          <w:w w:val="105"/>
          <w:sz w:val="19"/>
        </w:rPr>
        <w:t>Educación.</w:t>
      </w:r>
    </w:p>
    <w:p>
      <w:pPr>
        <w:spacing w:line="247" w:lineRule="auto" w:before="0"/>
        <w:ind w:left="115" w:right="126" w:firstLine="0"/>
        <w:jc w:val="both"/>
        <w:rPr>
          <w:sz w:val="19"/>
        </w:rPr>
      </w:pPr>
      <w:r>
        <w:rPr>
          <w:w w:val="105"/>
          <w:sz w:val="19"/>
        </w:rPr>
        <w:t>-------------------- </w:t>
      </w:r>
      <w:r>
        <w:rPr>
          <w:i/>
          <w:w w:val="105"/>
          <w:sz w:val="19"/>
        </w:rPr>
        <w:t>et. al. </w:t>
      </w:r>
      <w:r>
        <w:rPr>
          <w:w w:val="105"/>
          <w:sz w:val="19"/>
        </w:rPr>
        <w:t>(2002a) </w:t>
      </w:r>
      <w:r>
        <w:rPr>
          <w:i/>
          <w:w w:val="105"/>
          <w:sz w:val="19"/>
        </w:rPr>
        <w:t>El debate sobre el INEE</w:t>
      </w:r>
      <w:r>
        <w:rPr>
          <w:w w:val="105"/>
          <w:sz w:val="19"/>
        </w:rPr>
        <w:t>. México. Observatorio Ciudadano de la Educación</w:t>
      </w:r>
    </w:p>
    <w:p>
      <w:pPr>
        <w:spacing w:line="244" w:lineRule="auto" w:before="0"/>
        <w:ind w:left="115" w:right="125" w:firstLine="0"/>
        <w:jc w:val="both"/>
        <w:rPr>
          <w:sz w:val="19"/>
        </w:rPr>
      </w:pPr>
      <w:r>
        <w:rPr>
          <w:w w:val="105"/>
          <w:sz w:val="19"/>
        </w:rPr>
        <w:t>------------------------. (1996). “La calidad de la educación en Aguascalientes. Diseño de un Sistema de Indicadores”. Universidad Autónoma de Aguascalientes, Instituto de Educación de Aguascalientes.</w:t>
      </w:r>
    </w:p>
    <w:p>
      <w:pPr>
        <w:spacing w:line="247" w:lineRule="auto" w:before="3"/>
        <w:ind w:left="115" w:right="127" w:firstLine="0"/>
        <w:jc w:val="both"/>
        <w:rPr>
          <w:sz w:val="19"/>
        </w:rPr>
      </w:pPr>
      <w:r>
        <w:rPr>
          <w:w w:val="105"/>
          <w:sz w:val="19"/>
        </w:rPr>
        <w:t>---------------------------.(2003).</w:t>
      </w:r>
      <w:r>
        <w:rPr>
          <w:spacing w:val="-13"/>
          <w:w w:val="105"/>
          <w:sz w:val="19"/>
        </w:rPr>
        <w:t> </w:t>
      </w:r>
      <w:r>
        <w:rPr>
          <w:w w:val="105"/>
          <w:sz w:val="19"/>
        </w:rPr>
        <w:t>“Calidad</w:t>
      </w:r>
      <w:r>
        <w:rPr>
          <w:spacing w:val="-7"/>
          <w:w w:val="105"/>
          <w:sz w:val="19"/>
        </w:rPr>
        <w:t> </w:t>
      </w:r>
      <w:r>
        <w:rPr>
          <w:w w:val="105"/>
          <w:sz w:val="19"/>
        </w:rPr>
        <w:t>y</w:t>
      </w:r>
      <w:r>
        <w:rPr>
          <w:spacing w:val="-12"/>
          <w:w w:val="105"/>
          <w:sz w:val="19"/>
        </w:rPr>
        <w:t> </w:t>
      </w:r>
      <w:r>
        <w:rPr>
          <w:w w:val="105"/>
          <w:sz w:val="19"/>
        </w:rPr>
        <w:t>equidad</w:t>
      </w:r>
      <w:r>
        <w:rPr>
          <w:spacing w:val="-9"/>
          <w:w w:val="105"/>
          <w:sz w:val="19"/>
        </w:rPr>
        <w:t> </w:t>
      </w:r>
      <w:r>
        <w:rPr>
          <w:spacing w:val="-3"/>
          <w:w w:val="105"/>
          <w:sz w:val="19"/>
        </w:rPr>
        <w:t>en</w:t>
      </w:r>
      <w:r>
        <w:rPr>
          <w:spacing w:val="-7"/>
          <w:w w:val="105"/>
          <w:sz w:val="19"/>
        </w:rPr>
        <w:t> </w:t>
      </w:r>
      <w:r>
        <w:rPr>
          <w:w w:val="105"/>
          <w:sz w:val="19"/>
        </w:rPr>
        <w:t>educación.</w:t>
      </w:r>
      <w:r>
        <w:rPr>
          <w:spacing w:val="-15"/>
          <w:w w:val="105"/>
          <w:sz w:val="19"/>
        </w:rPr>
        <w:t> </w:t>
      </w:r>
      <w:r>
        <w:rPr>
          <w:w w:val="105"/>
          <w:sz w:val="19"/>
        </w:rPr>
        <w:t>20</w:t>
      </w:r>
      <w:r>
        <w:rPr>
          <w:spacing w:val="-7"/>
          <w:w w:val="105"/>
          <w:sz w:val="19"/>
        </w:rPr>
        <w:t> </w:t>
      </w:r>
      <w:r>
        <w:rPr>
          <w:w w:val="105"/>
          <w:sz w:val="19"/>
        </w:rPr>
        <w:t>años</w:t>
      </w:r>
      <w:r>
        <w:rPr>
          <w:spacing w:val="-12"/>
          <w:w w:val="105"/>
          <w:sz w:val="19"/>
        </w:rPr>
        <w:t> </w:t>
      </w:r>
      <w:r>
        <w:rPr>
          <w:w w:val="105"/>
          <w:sz w:val="19"/>
        </w:rPr>
        <w:t>de</w:t>
      </w:r>
      <w:r>
        <w:rPr>
          <w:spacing w:val="-7"/>
          <w:w w:val="105"/>
          <w:sz w:val="19"/>
        </w:rPr>
        <w:t> </w:t>
      </w:r>
      <w:r>
        <w:rPr>
          <w:w w:val="105"/>
          <w:sz w:val="19"/>
        </w:rPr>
        <w:t>reflexiones”.</w:t>
      </w:r>
      <w:r>
        <w:rPr>
          <w:spacing w:val="-9"/>
          <w:w w:val="105"/>
          <w:sz w:val="19"/>
        </w:rPr>
        <w:t> </w:t>
      </w:r>
      <w:r>
        <w:rPr>
          <w:w w:val="105"/>
          <w:sz w:val="19"/>
        </w:rPr>
        <w:t>AULA</w:t>
      </w:r>
      <w:r>
        <w:rPr>
          <w:spacing w:val="-12"/>
          <w:w w:val="105"/>
          <w:sz w:val="19"/>
        </w:rPr>
        <w:t> </w:t>
      </w:r>
      <w:r>
        <w:rPr>
          <w:spacing w:val="-3"/>
          <w:w w:val="105"/>
          <w:sz w:val="19"/>
        </w:rPr>
        <w:t>XXI. </w:t>
      </w:r>
      <w:r>
        <w:rPr>
          <w:sz w:val="19"/>
        </w:rPr>
        <w:t>SANTILLANA.</w:t>
      </w:r>
      <w:r>
        <w:rPr>
          <w:spacing w:val="38"/>
          <w:sz w:val="19"/>
        </w:rPr>
        <w:t> </w:t>
      </w:r>
      <w:r>
        <w:rPr>
          <w:sz w:val="19"/>
        </w:rPr>
        <w:t>México.</w:t>
      </w:r>
    </w:p>
    <w:p>
      <w:pPr>
        <w:spacing w:line="244" w:lineRule="auto" w:before="0"/>
        <w:ind w:left="115" w:right="122" w:firstLine="0"/>
        <w:jc w:val="both"/>
        <w:rPr>
          <w:sz w:val="19"/>
        </w:rPr>
      </w:pPr>
      <w:r>
        <w:rPr>
          <w:b/>
          <w:w w:val="105"/>
          <w:sz w:val="19"/>
        </w:rPr>
        <w:t>---------------------------</w:t>
      </w:r>
      <w:r>
        <w:rPr>
          <w:w w:val="105"/>
          <w:sz w:val="19"/>
        </w:rPr>
        <w:t>.(2004). “El diseño de sistemas de indicadores educativos: consideraciones teórico-metodológicas”, manuscrito no publicado, Instituto Nacional para la Evaluación de la </w:t>
      </w:r>
      <w:r>
        <w:rPr>
          <w:sz w:val="19"/>
        </w:rPr>
        <w:t>Educación, México.</w:t>
      </w:r>
    </w:p>
    <w:p>
      <w:pPr>
        <w:spacing w:line="244" w:lineRule="auto" w:before="0"/>
        <w:ind w:left="115" w:right="123" w:firstLine="0"/>
        <w:jc w:val="both"/>
        <w:rPr>
          <w:sz w:val="19"/>
        </w:rPr>
      </w:pPr>
      <w:r>
        <w:rPr>
          <w:w w:val="105"/>
          <w:sz w:val="19"/>
        </w:rPr>
        <w:t>---------------------------.(2006). “Sistema Nacional de Indicadores </w:t>
      </w:r>
      <w:r>
        <w:rPr>
          <w:spacing w:val="-3"/>
          <w:w w:val="105"/>
          <w:sz w:val="19"/>
        </w:rPr>
        <w:t>Educativos. </w:t>
      </w:r>
      <w:r>
        <w:rPr>
          <w:w w:val="105"/>
          <w:sz w:val="19"/>
        </w:rPr>
        <w:t>Elementos para el documento</w:t>
      </w:r>
      <w:r>
        <w:rPr>
          <w:spacing w:val="-10"/>
          <w:w w:val="105"/>
          <w:sz w:val="19"/>
        </w:rPr>
        <w:t> </w:t>
      </w:r>
      <w:r>
        <w:rPr>
          <w:w w:val="105"/>
          <w:sz w:val="19"/>
        </w:rPr>
        <w:t>base”,</w:t>
      </w:r>
      <w:r>
        <w:rPr>
          <w:spacing w:val="-15"/>
          <w:w w:val="105"/>
          <w:sz w:val="19"/>
        </w:rPr>
        <w:t> </w:t>
      </w:r>
      <w:r>
        <w:rPr>
          <w:w w:val="105"/>
          <w:sz w:val="19"/>
        </w:rPr>
        <w:t>manuscrito</w:t>
      </w:r>
      <w:r>
        <w:rPr>
          <w:spacing w:val="-6"/>
          <w:w w:val="105"/>
          <w:sz w:val="19"/>
        </w:rPr>
        <w:t> </w:t>
      </w:r>
      <w:r>
        <w:rPr>
          <w:spacing w:val="2"/>
          <w:w w:val="105"/>
          <w:sz w:val="19"/>
        </w:rPr>
        <w:t>no</w:t>
      </w:r>
      <w:r>
        <w:rPr>
          <w:spacing w:val="-10"/>
          <w:w w:val="105"/>
          <w:sz w:val="19"/>
        </w:rPr>
        <w:t> </w:t>
      </w:r>
      <w:r>
        <w:rPr>
          <w:w w:val="105"/>
          <w:sz w:val="19"/>
        </w:rPr>
        <w:t>publicado,</w:t>
      </w:r>
      <w:r>
        <w:rPr>
          <w:spacing w:val="-10"/>
          <w:w w:val="105"/>
          <w:sz w:val="19"/>
        </w:rPr>
        <w:t> </w:t>
      </w:r>
      <w:r>
        <w:rPr>
          <w:w w:val="105"/>
          <w:sz w:val="19"/>
        </w:rPr>
        <w:t>Instituto</w:t>
      </w:r>
      <w:r>
        <w:rPr>
          <w:spacing w:val="-6"/>
          <w:w w:val="105"/>
          <w:sz w:val="19"/>
        </w:rPr>
        <w:t> </w:t>
      </w:r>
      <w:r>
        <w:rPr>
          <w:w w:val="105"/>
          <w:sz w:val="19"/>
        </w:rPr>
        <w:t>Nacional</w:t>
      </w:r>
      <w:r>
        <w:rPr>
          <w:spacing w:val="-10"/>
          <w:w w:val="105"/>
          <w:sz w:val="19"/>
        </w:rPr>
        <w:t> </w:t>
      </w:r>
      <w:r>
        <w:rPr>
          <w:w w:val="105"/>
          <w:sz w:val="19"/>
        </w:rPr>
        <w:t>para</w:t>
      </w:r>
      <w:r>
        <w:rPr>
          <w:spacing w:val="-10"/>
          <w:w w:val="105"/>
          <w:sz w:val="19"/>
        </w:rPr>
        <w:t> </w:t>
      </w:r>
      <w:r>
        <w:rPr>
          <w:w w:val="105"/>
          <w:sz w:val="19"/>
        </w:rPr>
        <w:t>la</w:t>
      </w:r>
      <w:r>
        <w:rPr>
          <w:spacing w:val="-10"/>
          <w:w w:val="105"/>
          <w:sz w:val="19"/>
        </w:rPr>
        <w:t> </w:t>
      </w:r>
      <w:r>
        <w:rPr>
          <w:w w:val="105"/>
          <w:sz w:val="19"/>
        </w:rPr>
        <w:t>Evaluación</w:t>
      </w:r>
      <w:r>
        <w:rPr>
          <w:spacing w:val="-10"/>
          <w:w w:val="105"/>
          <w:sz w:val="19"/>
        </w:rPr>
        <w:t> </w:t>
      </w:r>
      <w:r>
        <w:rPr>
          <w:w w:val="105"/>
          <w:sz w:val="19"/>
        </w:rPr>
        <w:t>de</w:t>
      </w:r>
      <w:r>
        <w:rPr>
          <w:spacing w:val="-6"/>
          <w:w w:val="105"/>
          <w:sz w:val="19"/>
        </w:rPr>
        <w:t> </w:t>
      </w:r>
      <w:r>
        <w:rPr>
          <w:w w:val="105"/>
          <w:sz w:val="19"/>
        </w:rPr>
        <w:t>la</w:t>
      </w:r>
      <w:r>
        <w:rPr>
          <w:spacing w:val="-10"/>
          <w:w w:val="105"/>
          <w:sz w:val="19"/>
        </w:rPr>
        <w:t> </w:t>
      </w:r>
      <w:r>
        <w:rPr>
          <w:w w:val="105"/>
          <w:sz w:val="19"/>
        </w:rPr>
        <w:t>Educación, México.</w:t>
      </w:r>
    </w:p>
    <w:p>
      <w:pPr>
        <w:spacing w:line="247" w:lineRule="auto" w:before="3"/>
        <w:ind w:left="115" w:right="110" w:firstLine="0"/>
        <w:jc w:val="left"/>
        <w:rPr>
          <w:sz w:val="19"/>
        </w:rPr>
      </w:pPr>
      <w:r>
        <w:rPr>
          <w:b/>
          <w:w w:val="105"/>
          <w:sz w:val="19"/>
        </w:rPr>
        <w:t>Massimo</w:t>
      </w:r>
      <w:r>
        <w:rPr>
          <w:w w:val="105"/>
          <w:sz w:val="19"/>
        </w:rPr>
        <w:t>, Amadio. (2005). “Informe 2005 de Seguimiento a Educación para Todos” (UNESCO). </w:t>
      </w:r>
      <w:r>
        <w:rPr>
          <w:b/>
          <w:w w:val="105"/>
          <w:sz w:val="19"/>
        </w:rPr>
        <w:t>Méndez </w:t>
      </w:r>
      <w:r>
        <w:rPr>
          <w:w w:val="105"/>
          <w:sz w:val="19"/>
        </w:rPr>
        <w:t>de Hoyos, Irma. (2007). “El estado actual de la democracia en México: Retos, avances y retrocesos”, por Fernando Castaños, Julio Labastida Martín del Campo y Miguel Armando López Leyva (coords.). Revista “política y Gobierno”. Polit. gob v16 n.1 México 2009. Disponible en: </w:t>
      </w:r>
      <w:hyperlink r:id="rId160">
        <w:r>
          <w:rPr>
            <w:w w:val="105"/>
            <w:sz w:val="19"/>
          </w:rPr>
          <w:t>http://www.redalyc.org/src/inicio/ArtPdfRed.jsp?iCve=32519319009</w:t>
        </w:r>
      </w:hyperlink>
    </w:p>
    <w:p>
      <w:pPr>
        <w:spacing w:line="247" w:lineRule="auto" w:before="0"/>
        <w:ind w:left="115" w:right="128" w:firstLine="0"/>
        <w:jc w:val="both"/>
        <w:rPr>
          <w:sz w:val="19"/>
        </w:rPr>
      </w:pPr>
      <w:r>
        <w:rPr>
          <w:w w:val="105"/>
          <w:sz w:val="19"/>
        </w:rPr>
        <w:t>Redalyc. Sistema de Información Científica. Red de Revistas Científicas de América Latina, el Caribe, España y Portugal.</w:t>
      </w:r>
    </w:p>
    <w:p>
      <w:pPr>
        <w:spacing w:line="242" w:lineRule="auto" w:before="0"/>
        <w:ind w:left="115" w:right="124" w:firstLine="0"/>
        <w:jc w:val="both"/>
        <w:rPr>
          <w:sz w:val="19"/>
        </w:rPr>
      </w:pPr>
      <w:r>
        <w:rPr>
          <w:b/>
          <w:w w:val="105"/>
          <w:sz w:val="19"/>
        </w:rPr>
        <w:t>Méndez</w:t>
      </w:r>
      <w:r>
        <w:rPr>
          <w:w w:val="105"/>
          <w:sz w:val="19"/>
        </w:rPr>
        <w:t>, José Luis. (1993). “La política pública como variable dependiente: hacia un análisis</w:t>
      </w:r>
      <w:r>
        <w:rPr>
          <w:spacing w:val="-38"/>
          <w:w w:val="105"/>
          <w:sz w:val="19"/>
        </w:rPr>
        <w:t> </w:t>
      </w:r>
      <w:r>
        <w:rPr>
          <w:w w:val="105"/>
          <w:sz w:val="19"/>
        </w:rPr>
        <w:t>más integral</w:t>
      </w:r>
      <w:r>
        <w:rPr>
          <w:spacing w:val="-17"/>
          <w:w w:val="105"/>
          <w:sz w:val="19"/>
        </w:rPr>
        <w:t> </w:t>
      </w:r>
      <w:r>
        <w:rPr>
          <w:w w:val="105"/>
          <w:sz w:val="19"/>
        </w:rPr>
        <w:t>de</w:t>
      </w:r>
      <w:r>
        <w:rPr>
          <w:spacing w:val="-17"/>
          <w:w w:val="105"/>
          <w:sz w:val="19"/>
        </w:rPr>
        <w:t> </w:t>
      </w:r>
      <w:r>
        <w:rPr>
          <w:w w:val="105"/>
          <w:sz w:val="19"/>
        </w:rPr>
        <w:t>las</w:t>
      </w:r>
      <w:r>
        <w:rPr>
          <w:spacing w:val="-17"/>
          <w:w w:val="105"/>
          <w:sz w:val="19"/>
        </w:rPr>
        <w:t> </w:t>
      </w:r>
      <w:r>
        <w:rPr>
          <w:w w:val="105"/>
          <w:sz w:val="19"/>
        </w:rPr>
        <w:t>políticas</w:t>
      </w:r>
      <w:r>
        <w:rPr>
          <w:spacing w:val="-17"/>
          <w:w w:val="105"/>
          <w:sz w:val="19"/>
        </w:rPr>
        <w:t> </w:t>
      </w:r>
      <w:r>
        <w:rPr>
          <w:w w:val="105"/>
          <w:sz w:val="19"/>
        </w:rPr>
        <w:t>públicas”.</w:t>
      </w:r>
      <w:r>
        <w:rPr>
          <w:spacing w:val="-20"/>
          <w:w w:val="105"/>
          <w:sz w:val="19"/>
        </w:rPr>
        <w:t> </w:t>
      </w:r>
      <w:r>
        <w:rPr>
          <w:w w:val="105"/>
          <w:sz w:val="19"/>
        </w:rPr>
        <w:t>Foro</w:t>
      </w:r>
      <w:r>
        <w:rPr>
          <w:spacing w:val="-17"/>
          <w:w w:val="105"/>
          <w:sz w:val="19"/>
        </w:rPr>
        <w:t> </w:t>
      </w:r>
      <w:r>
        <w:rPr>
          <w:w w:val="105"/>
          <w:sz w:val="19"/>
        </w:rPr>
        <w:t>Internacional</w:t>
      </w:r>
      <w:r>
        <w:rPr>
          <w:spacing w:val="-13"/>
          <w:w w:val="105"/>
          <w:sz w:val="19"/>
        </w:rPr>
        <w:t> </w:t>
      </w:r>
      <w:r>
        <w:rPr>
          <w:w w:val="105"/>
          <w:sz w:val="19"/>
        </w:rPr>
        <w:t>Vol.</w:t>
      </w:r>
      <w:r>
        <w:rPr>
          <w:spacing w:val="-21"/>
          <w:w w:val="105"/>
          <w:sz w:val="19"/>
        </w:rPr>
        <w:t> </w:t>
      </w:r>
      <w:r>
        <w:rPr>
          <w:spacing w:val="2"/>
          <w:w w:val="105"/>
          <w:sz w:val="19"/>
        </w:rPr>
        <w:t>33</w:t>
      </w:r>
      <w:r>
        <w:rPr>
          <w:spacing w:val="-17"/>
          <w:w w:val="105"/>
          <w:sz w:val="19"/>
        </w:rPr>
        <w:t> </w:t>
      </w:r>
      <w:r>
        <w:rPr>
          <w:w w:val="105"/>
          <w:sz w:val="19"/>
        </w:rPr>
        <w:t>No.</w:t>
      </w:r>
      <w:r>
        <w:rPr>
          <w:spacing w:val="-17"/>
          <w:w w:val="105"/>
          <w:sz w:val="19"/>
        </w:rPr>
        <w:t> </w:t>
      </w:r>
      <w:r>
        <w:rPr>
          <w:w w:val="105"/>
          <w:sz w:val="19"/>
        </w:rPr>
        <w:t>1,</w:t>
      </w:r>
      <w:r>
        <w:rPr>
          <w:spacing w:val="-20"/>
          <w:w w:val="105"/>
          <w:sz w:val="19"/>
        </w:rPr>
        <w:t> </w:t>
      </w:r>
      <w:r>
        <w:rPr>
          <w:w w:val="105"/>
          <w:sz w:val="19"/>
        </w:rPr>
        <w:t>pp.</w:t>
      </w:r>
      <w:r>
        <w:rPr>
          <w:spacing w:val="-17"/>
          <w:w w:val="105"/>
          <w:sz w:val="19"/>
        </w:rPr>
        <w:t> </w:t>
      </w:r>
      <w:r>
        <w:rPr>
          <w:w w:val="105"/>
          <w:sz w:val="19"/>
        </w:rPr>
        <w:t>11-114.</w:t>
      </w:r>
    </w:p>
    <w:p>
      <w:pPr>
        <w:spacing w:line="247" w:lineRule="auto" w:before="0"/>
        <w:ind w:left="115" w:right="116" w:firstLine="0"/>
        <w:jc w:val="both"/>
        <w:rPr>
          <w:sz w:val="19"/>
        </w:rPr>
      </w:pPr>
      <w:r>
        <w:rPr>
          <w:w w:val="105"/>
          <w:sz w:val="19"/>
        </w:rPr>
        <w:t>-------------------------. (2000). “La política pública como variable dependiente: hacia un análisis </w:t>
      </w:r>
      <w:r>
        <w:rPr>
          <w:spacing w:val="2"/>
          <w:w w:val="105"/>
          <w:sz w:val="19"/>
        </w:rPr>
        <w:t>más </w:t>
      </w:r>
      <w:r>
        <w:rPr>
          <w:w w:val="105"/>
          <w:sz w:val="19"/>
        </w:rPr>
        <w:t>integral</w:t>
      </w:r>
      <w:r>
        <w:rPr>
          <w:spacing w:val="-5"/>
          <w:w w:val="105"/>
          <w:sz w:val="19"/>
        </w:rPr>
        <w:t> </w:t>
      </w:r>
      <w:r>
        <w:rPr>
          <w:w w:val="105"/>
          <w:sz w:val="19"/>
        </w:rPr>
        <w:t>de</w:t>
      </w:r>
      <w:r>
        <w:rPr>
          <w:spacing w:val="-3"/>
          <w:w w:val="105"/>
          <w:sz w:val="19"/>
        </w:rPr>
        <w:t> </w:t>
      </w:r>
      <w:r>
        <w:rPr>
          <w:w w:val="105"/>
          <w:sz w:val="19"/>
        </w:rPr>
        <w:t>las</w:t>
      </w:r>
      <w:r>
        <w:rPr>
          <w:spacing w:val="-10"/>
          <w:w w:val="105"/>
          <w:sz w:val="19"/>
        </w:rPr>
        <w:t> </w:t>
      </w:r>
      <w:r>
        <w:rPr>
          <w:w w:val="105"/>
          <w:sz w:val="19"/>
        </w:rPr>
        <w:t>políticas</w:t>
      </w:r>
      <w:r>
        <w:rPr>
          <w:spacing w:val="-7"/>
          <w:w w:val="105"/>
          <w:sz w:val="19"/>
        </w:rPr>
        <w:t> </w:t>
      </w:r>
      <w:r>
        <w:rPr>
          <w:w w:val="105"/>
          <w:sz w:val="19"/>
        </w:rPr>
        <w:t>públicas”.</w:t>
      </w:r>
      <w:r>
        <w:rPr>
          <w:spacing w:val="-3"/>
          <w:w w:val="105"/>
          <w:sz w:val="19"/>
        </w:rPr>
        <w:t> </w:t>
      </w:r>
      <w:r>
        <w:rPr>
          <w:w w:val="105"/>
          <w:sz w:val="19"/>
        </w:rPr>
        <w:t>Lecturas</w:t>
      </w:r>
      <w:r>
        <w:rPr>
          <w:spacing w:val="-7"/>
          <w:w w:val="105"/>
          <w:sz w:val="19"/>
        </w:rPr>
        <w:t> </w:t>
      </w:r>
      <w:r>
        <w:rPr>
          <w:w w:val="105"/>
          <w:sz w:val="19"/>
        </w:rPr>
        <w:t>básicas</w:t>
      </w:r>
      <w:r>
        <w:rPr>
          <w:spacing w:val="-6"/>
          <w:w w:val="105"/>
          <w:sz w:val="19"/>
        </w:rPr>
        <w:t> </w:t>
      </w:r>
      <w:r>
        <w:rPr>
          <w:w w:val="105"/>
          <w:sz w:val="19"/>
        </w:rPr>
        <w:t>de</w:t>
      </w:r>
      <w:r>
        <w:rPr>
          <w:spacing w:val="-3"/>
          <w:w w:val="105"/>
          <w:sz w:val="19"/>
        </w:rPr>
        <w:t> </w:t>
      </w:r>
      <w:r>
        <w:rPr>
          <w:w w:val="105"/>
          <w:sz w:val="19"/>
        </w:rPr>
        <w:t>administración</w:t>
      </w:r>
      <w:r>
        <w:rPr>
          <w:spacing w:val="-3"/>
          <w:w w:val="105"/>
          <w:sz w:val="19"/>
        </w:rPr>
        <w:t> </w:t>
      </w:r>
      <w:r>
        <w:rPr>
          <w:w w:val="105"/>
          <w:sz w:val="19"/>
        </w:rPr>
        <w:t>y</w:t>
      </w:r>
      <w:r>
        <w:rPr>
          <w:spacing w:val="-3"/>
          <w:w w:val="105"/>
          <w:sz w:val="19"/>
        </w:rPr>
        <w:t> </w:t>
      </w:r>
      <w:r>
        <w:rPr>
          <w:w w:val="105"/>
          <w:sz w:val="19"/>
        </w:rPr>
        <w:t>políticas</w:t>
      </w:r>
      <w:r>
        <w:rPr>
          <w:spacing w:val="-7"/>
          <w:w w:val="105"/>
          <w:sz w:val="19"/>
        </w:rPr>
        <w:t> </w:t>
      </w:r>
      <w:r>
        <w:rPr>
          <w:w w:val="105"/>
          <w:sz w:val="19"/>
        </w:rPr>
        <w:t>públicas,</w:t>
      </w:r>
      <w:r>
        <w:rPr>
          <w:spacing w:val="-5"/>
          <w:w w:val="105"/>
          <w:sz w:val="19"/>
        </w:rPr>
        <w:t> </w:t>
      </w:r>
      <w:r>
        <w:rPr>
          <w:w w:val="105"/>
          <w:sz w:val="19"/>
        </w:rPr>
        <w:t>México, El</w:t>
      </w:r>
      <w:r>
        <w:rPr>
          <w:spacing w:val="-21"/>
          <w:w w:val="105"/>
          <w:sz w:val="19"/>
        </w:rPr>
        <w:t> </w:t>
      </w:r>
      <w:r>
        <w:rPr>
          <w:w w:val="105"/>
          <w:sz w:val="19"/>
        </w:rPr>
        <w:t>Colegio</w:t>
      </w:r>
      <w:r>
        <w:rPr>
          <w:spacing w:val="-19"/>
          <w:w w:val="105"/>
          <w:sz w:val="19"/>
        </w:rPr>
        <w:t> </w:t>
      </w:r>
      <w:r>
        <w:rPr>
          <w:spacing w:val="2"/>
          <w:w w:val="105"/>
          <w:sz w:val="19"/>
        </w:rPr>
        <w:t>de</w:t>
      </w:r>
      <w:r>
        <w:rPr>
          <w:spacing w:val="-19"/>
          <w:w w:val="105"/>
          <w:sz w:val="19"/>
        </w:rPr>
        <w:t> </w:t>
      </w:r>
      <w:r>
        <w:rPr>
          <w:w w:val="105"/>
          <w:sz w:val="19"/>
        </w:rPr>
        <w:t>México.</w:t>
      </w:r>
    </w:p>
    <w:p>
      <w:pPr>
        <w:spacing w:line="242" w:lineRule="auto" w:before="0"/>
        <w:ind w:left="115" w:right="126" w:firstLine="0"/>
        <w:jc w:val="both"/>
        <w:rPr>
          <w:sz w:val="19"/>
        </w:rPr>
      </w:pPr>
      <w:r>
        <w:rPr>
          <w:w w:val="105"/>
          <w:sz w:val="19"/>
        </w:rPr>
        <w:t>Méndez,</w:t>
      </w:r>
      <w:r>
        <w:rPr>
          <w:spacing w:val="-13"/>
          <w:w w:val="105"/>
          <w:sz w:val="19"/>
        </w:rPr>
        <w:t> </w:t>
      </w:r>
      <w:r>
        <w:rPr>
          <w:w w:val="105"/>
          <w:sz w:val="19"/>
        </w:rPr>
        <w:t>José</w:t>
      </w:r>
      <w:r>
        <w:rPr>
          <w:spacing w:val="-9"/>
          <w:w w:val="105"/>
          <w:sz w:val="19"/>
        </w:rPr>
        <w:t> </w:t>
      </w:r>
      <w:r>
        <w:rPr>
          <w:w w:val="105"/>
          <w:sz w:val="19"/>
        </w:rPr>
        <w:t>(Comp.).</w:t>
      </w:r>
      <w:r>
        <w:rPr>
          <w:spacing w:val="-9"/>
          <w:w w:val="105"/>
          <w:sz w:val="19"/>
        </w:rPr>
        <w:t> </w:t>
      </w:r>
      <w:r>
        <w:rPr>
          <w:w w:val="105"/>
          <w:sz w:val="19"/>
        </w:rPr>
        <w:t>(2000).</w:t>
      </w:r>
      <w:r>
        <w:rPr>
          <w:spacing w:val="-9"/>
          <w:w w:val="105"/>
          <w:sz w:val="19"/>
        </w:rPr>
        <w:t> </w:t>
      </w:r>
      <w:r>
        <w:rPr>
          <w:w w:val="105"/>
          <w:sz w:val="19"/>
        </w:rPr>
        <w:t>“Lecturas</w:t>
      </w:r>
      <w:r>
        <w:rPr>
          <w:spacing w:val="-9"/>
          <w:w w:val="105"/>
          <w:sz w:val="19"/>
        </w:rPr>
        <w:t> </w:t>
      </w:r>
      <w:r>
        <w:rPr>
          <w:w w:val="105"/>
          <w:sz w:val="19"/>
        </w:rPr>
        <w:t>Básicas</w:t>
      </w:r>
      <w:r>
        <w:rPr>
          <w:spacing w:val="-12"/>
          <w:w w:val="105"/>
          <w:sz w:val="19"/>
        </w:rPr>
        <w:t> </w:t>
      </w:r>
      <w:r>
        <w:rPr>
          <w:w w:val="105"/>
          <w:sz w:val="19"/>
        </w:rPr>
        <w:t>de</w:t>
      </w:r>
      <w:r>
        <w:rPr>
          <w:spacing w:val="-9"/>
          <w:w w:val="105"/>
          <w:sz w:val="19"/>
        </w:rPr>
        <w:t> </w:t>
      </w:r>
      <w:r>
        <w:rPr>
          <w:w w:val="105"/>
          <w:sz w:val="19"/>
        </w:rPr>
        <w:t>Administración</w:t>
      </w:r>
      <w:r>
        <w:rPr>
          <w:spacing w:val="-9"/>
          <w:w w:val="105"/>
          <w:sz w:val="19"/>
        </w:rPr>
        <w:t> </w:t>
      </w:r>
      <w:r>
        <w:rPr>
          <w:w w:val="105"/>
          <w:sz w:val="19"/>
        </w:rPr>
        <w:t>y</w:t>
      </w:r>
      <w:r>
        <w:rPr>
          <w:spacing w:val="-12"/>
          <w:w w:val="105"/>
          <w:sz w:val="19"/>
        </w:rPr>
        <w:t> </w:t>
      </w:r>
      <w:r>
        <w:rPr>
          <w:w w:val="105"/>
          <w:sz w:val="19"/>
        </w:rPr>
        <w:t>Políticas</w:t>
      </w:r>
      <w:r>
        <w:rPr>
          <w:spacing w:val="-5"/>
          <w:w w:val="105"/>
          <w:sz w:val="19"/>
        </w:rPr>
        <w:t> </w:t>
      </w:r>
      <w:r>
        <w:rPr>
          <w:w w:val="105"/>
          <w:sz w:val="19"/>
        </w:rPr>
        <w:t>Públicas”.</w:t>
      </w:r>
      <w:r>
        <w:rPr>
          <w:spacing w:val="-14"/>
          <w:w w:val="105"/>
          <w:sz w:val="19"/>
        </w:rPr>
        <w:t> </w:t>
      </w:r>
      <w:r>
        <w:rPr>
          <w:w w:val="105"/>
          <w:sz w:val="19"/>
        </w:rPr>
        <w:t>México: El</w:t>
      </w:r>
      <w:r>
        <w:rPr>
          <w:spacing w:val="-21"/>
          <w:w w:val="105"/>
          <w:sz w:val="19"/>
        </w:rPr>
        <w:t> </w:t>
      </w:r>
      <w:r>
        <w:rPr>
          <w:w w:val="105"/>
          <w:sz w:val="19"/>
        </w:rPr>
        <w:t>Colegio</w:t>
      </w:r>
      <w:r>
        <w:rPr>
          <w:spacing w:val="-19"/>
          <w:w w:val="105"/>
          <w:sz w:val="19"/>
        </w:rPr>
        <w:t> </w:t>
      </w:r>
      <w:r>
        <w:rPr>
          <w:spacing w:val="2"/>
          <w:w w:val="105"/>
          <w:sz w:val="19"/>
        </w:rPr>
        <w:t>de</w:t>
      </w:r>
      <w:r>
        <w:rPr>
          <w:spacing w:val="-19"/>
          <w:w w:val="105"/>
          <w:sz w:val="19"/>
        </w:rPr>
        <w:t> </w:t>
      </w:r>
      <w:r>
        <w:rPr>
          <w:w w:val="105"/>
          <w:sz w:val="19"/>
        </w:rPr>
        <w:t>México.</w:t>
      </w:r>
    </w:p>
    <w:p>
      <w:pPr>
        <w:spacing w:line="247" w:lineRule="auto" w:before="5"/>
        <w:ind w:left="115" w:right="133" w:firstLine="0"/>
        <w:jc w:val="both"/>
        <w:rPr>
          <w:sz w:val="19"/>
        </w:rPr>
      </w:pPr>
      <w:r>
        <w:rPr>
          <w:b/>
          <w:w w:val="105"/>
          <w:sz w:val="19"/>
        </w:rPr>
        <w:t>Mendoza</w:t>
      </w:r>
      <w:r>
        <w:rPr>
          <w:b/>
          <w:spacing w:val="-10"/>
          <w:w w:val="105"/>
          <w:sz w:val="19"/>
        </w:rPr>
        <w:t> </w:t>
      </w:r>
      <w:r>
        <w:rPr>
          <w:w w:val="105"/>
          <w:sz w:val="19"/>
        </w:rPr>
        <w:t>R.,</w:t>
      </w:r>
      <w:r>
        <w:rPr>
          <w:spacing w:val="-6"/>
          <w:w w:val="105"/>
          <w:sz w:val="19"/>
        </w:rPr>
        <w:t> </w:t>
      </w:r>
      <w:r>
        <w:rPr>
          <w:w w:val="105"/>
          <w:sz w:val="19"/>
        </w:rPr>
        <w:t>Javier</w:t>
      </w:r>
      <w:r>
        <w:rPr>
          <w:spacing w:val="-7"/>
          <w:w w:val="105"/>
          <w:sz w:val="19"/>
        </w:rPr>
        <w:t> </w:t>
      </w:r>
      <w:r>
        <w:rPr>
          <w:w w:val="105"/>
          <w:sz w:val="19"/>
        </w:rPr>
        <w:t>(2002).</w:t>
      </w:r>
      <w:r>
        <w:rPr>
          <w:spacing w:val="-11"/>
          <w:w w:val="105"/>
          <w:sz w:val="19"/>
        </w:rPr>
        <w:t> </w:t>
      </w:r>
      <w:r>
        <w:rPr>
          <w:w w:val="105"/>
          <w:sz w:val="19"/>
        </w:rPr>
        <w:t>“Transición</w:t>
      </w:r>
      <w:r>
        <w:rPr>
          <w:spacing w:val="-8"/>
          <w:w w:val="105"/>
          <w:sz w:val="19"/>
        </w:rPr>
        <w:t> </w:t>
      </w:r>
      <w:r>
        <w:rPr>
          <w:w w:val="105"/>
          <w:sz w:val="19"/>
        </w:rPr>
        <w:t>de</w:t>
      </w:r>
      <w:r>
        <w:rPr>
          <w:spacing w:val="-4"/>
          <w:w w:val="105"/>
          <w:sz w:val="19"/>
        </w:rPr>
        <w:t> </w:t>
      </w:r>
      <w:r>
        <w:rPr>
          <w:w w:val="105"/>
          <w:sz w:val="19"/>
        </w:rPr>
        <w:t>la</w:t>
      </w:r>
      <w:r>
        <w:rPr>
          <w:spacing w:val="-8"/>
          <w:w w:val="105"/>
          <w:sz w:val="19"/>
        </w:rPr>
        <w:t> </w:t>
      </w:r>
      <w:r>
        <w:rPr>
          <w:w w:val="105"/>
          <w:sz w:val="19"/>
        </w:rPr>
        <w:t>educación</w:t>
      </w:r>
      <w:r>
        <w:rPr>
          <w:spacing w:val="-4"/>
          <w:w w:val="105"/>
          <w:sz w:val="19"/>
        </w:rPr>
        <w:t> </w:t>
      </w:r>
      <w:r>
        <w:rPr>
          <w:w w:val="105"/>
          <w:sz w:val="19"/>
        </w:rPr>
        <w:t>superior</w:t>
      </w:r>
      <w:r>
        <w:rPr>
          <w:spacing w:val="-11"/>
          <w:w w:val="105"/>
          <w:sz w:val="19"/>
        </w:rPr>
        <w:t> </w:t>
      </w:r>
      <w:r>
        <w:rPr>
          <w:w w:val="105"/>
          <w:sz w:val="19"/>
        </w:rPr>
        <w:t>contemporánea</w:t>
      </w:r>
      <w:r>
        <w:rPr>
          <w:spacing w:val="-8"/>
          <w:w w:val="105"/>
          <w:sz w:val="19"/>
        </w:rPr>
        <w:t> </w:t>
      </w:r>
      <w:r>
        <w:rPr>
          <w:w w:val="105"/>
          <w:sz w:val="19"/>
        </w:rPr>
        <w:t>en</w:t>
      </w:r>
      <w:r>
        <w:rPr>
          <w:spacing w:val="-4"/>
          <w:w w:val="105"/>
          <w:sz w:val="19"/>
        </w:rPr>
        <w:t> </w:t>
      </w:r>
      <w:r>
        <w:rPr>
          <w:w w:val="105"/>
          <w:sz w:val="19"/>
        </w:rPr>
        <w:t>México:</w:t>
      </w:r>
      <w:r>
        <w:rPr>
          <w:spacing w:val="-11"/>
          <w:w w:val="105"/>
          <w:sz w:val="19"/>
        </w:rPr>
        <w:t> </w:t>
      </w:r>
      <w:r>
        <w:rPr>
          <w:w w:val="105"/>
          <w:sz w:val="19"/>
        </w:rPr>
        <w:t>de</w:t>
      </w:r>
      <w:r>
        <w:rPr>
          <w:spacing w:val="-6"/>
          <w:w w:val="105"/>
          <w:sz w:val="19"/>
        </w:rPr>
        <w:t> </w:t>
      </w:r>
      <w:r>
        <w:rPr>
          <w:w w:val="105"/>
          <w:sz w:val="19"/>
        </w:rPr>
        <w:t>la planeación</w:t>
      </w:r>
      <w:r>
        <w:rPr>
          <w:spacing w:val="-33"/>
          <w:w w:val="105"/>
          <w:sz w:val="19"/>
        </w:rPr>
        <w:t> </w:t>
      </w:r>
      <w:r>
        <w:rPr>
          <w:w w:val="105"/>
          <w:sz w:val="19"/>
        </w:rPr>
        <w:t>al</w:t>
      </w:r>
      <w:r>
        <w:rPr>
          <w:spacing w:val="-28"/>
          <w:w w:val="105"/>
          <w:sz w:val="19"/>
        </w:rPr>
        <w:t> </w:t>
      </w:r>
      <w:r>
        <w:rPr>
          <w:w w:val="105"/>
          <w:sz w:val="19"/>
        </w:rPr>
        <w:t>Estado</w:t>
      </w:r>
      <w:r>
        <w:rPr>
          <w:spacing w:val="-30"/>
          <w:w w:val="105"/>
          <w:sz w:val="19"/>
        </w:rPr>
        <w:t> </w:t>
      </w:r>
      <w:r>
        <w:rPr>
          <w:w w:val="105"/>
          <w:sz w:val="19"/>
        </w:rPr>
        <w:t>evaluador”.</w:t>
      </w:r>
      <w:r>
        <w:rPr>
          <w:spacing w:val="-33"/>
          <w:w w:val="105"/>
          <w:sz w:val="19"/>
        </w:rPr>
        <w:t> </w:t>
      </w:r>
      <w:r>
        <w:rPr>
          <w:w w:val="105"/>
          <w:sz w:val="19"/>
        </w:rPr>
        <w:t>México,</w:t>
      </w:r>
      <w:r>
        <w:rPr>
          <w:spacing w:val="-33"/>
          <w:w w:val="105"/>
          <w:sz w:val="19"/>
        </w:rPr>
        <w:t> </w:t>
      </w:r>
      <w:r>
        <w:rPr>
          <w:w w:val="105"/>
          <w:sz w:val="19"/>
        </w:rPr>
        <w:t>CESU-UNAM.</w:t>
      </w:r>
    </w:p>
    <w:p>
      <w:pPr>
        <w:spacing w:line="247" w:lineRule="auto" w:before="0"/>
        <w:ind w:left="115" w:right="126" w:firstLine="0"/>
        <w:jc w:val="both"/>
        <w:rPr>
          <w:sz w:val="19"/>
        </w:rPr>
      </w:pPr>
      <w:r>
        <w:rPr>
          <w:w w:val="105"/>
          <w:sz w:val="19"/>
        </w:rPr>
        <w:t>-------------------------. (2002). “Las políticas de educación superior y el cambio institucional”, en Humberto Muñoz García, coord. Universidad: política y cambio institucional, CESU- Universidad Nacional Autónoma de México-Miguel Ángel Porrúa, México</w:t>
      </w:r>
    </w:p>
    <w:p>
      <w:pPr>
        <w:spacing w:after="0" w:line="247" w:lineRule="auto"/>
        <w:jc w:val="both"/>
        <w:rPr>
          <w:sz w:val="19"/>
        </w:rPr>
        <w:sectPr>
          <w:footerReference w:type="default" r:id="rId156"/>
          <w:pgSz w:w="11910" w:h="16840"/>
          <w:pgMar w:footer="1457" w:header="0" w:top="1580" w:bottom="1640" w:left="1540" w:right="1520"/>
          <w:pgNumType w:start="271"/>
        </w:sectPr>
      </w:pPr>
    </w:p>
    <w:p>
      <w:pPr>
        <w:pStyle w:val="BodyText"/>
        <w:rPr>
          <w:sz w:val="20"/>
        </w:rPr>
      </w:pPr>
    </w:p>
    <w:p>
      <w:pPr>
        <w:pStyle w:val="BodyText"/>
        <w:spacing w:before="10"/>
        <w:rPr>
          <w:sz w:val="15"/>
        </w:rPr>
      </w:pPr>
    </w:p>
    <w:p>
      <w:pPr>
        <w:spacing w:line="247" w:lineRule="auto" w:before="81"/>
        <w:ind w:left="115" w:right="107" w:firstLine="0"/>
        <w:jc w:val="both"/>
        <w:rPr>
          <w:sz w:val="19"/>
        </w:rPr>
      </w:pPr>
      <w:r>
        <w:rPr>
          <w:b/>
          <w:w w:val="105"/>
          <w:sz w:val="19"/>
        </w:rPr>
        <w:t>Mexicanos</w:t>
      </w:r>
      <w:r>
        <w:rPr>
          <w:b/>
          <w:spacing w:val="-6"/>
          <w:w w:val="105"/>
          <w:sz w:val="19"/>
        </w:rPr>
        <w:t> </w:t>
      </w:r>
      <w:r>
        <w:rPr>
          <w:b/>
          <w:w w:val="105"/>
          <w:sz w:val="19"/>
        </w:rPr>
        <w:t>primero</w:t>
      </w:r>
      <w:r>
        <w:rPr>
          <w:w w:val="105"/>
          <w:sz w:val="19"/>
        </w:rPr>
        <w:t>.</w:t>
      </w:r>
      <w:r>
        <w:rPr>
          <w:spacing w:val="-5"/>
          <w:w w:val="105"/>
          <w:sz w:val="19"/>
        </w:rPr>
        <w:t> </w:t>
      </w:r>
      <w:r>
        <w:rPr>
          <w:w w:val="105"/>
          <w:sz w:val="19"/>
        </w:rPr>
        <w:t>“BRECHAS</w:t>
      </w:r>
      <w:r>
        <w:rPr>
          <w:spacing w:val="-8"/>
          <w:w w:val="105"/>
          <w:sz w:val="19"/>
        </w:rPr>
        <w:t> </w:t>
      </w:r>
      <w:r>
        <w:rPr>
          <w:w w:val="105"/>
          <w:sz w:val="19"/>
        </w:rPr>
        <w:t>Estado</w:t>
      </w:r>
      <w:r>
        <w:rPr>
          <w:spacing w:val="-5"/>
          <w:w w:val="105"/>
          <w:sz w:val="19"/>
        </w:rPr>
        <w:t> </w:t>
      </w:r>
      <w:r>
        <w:rPr>
          <w:w w:val="105"/>
          <w:sz w:val="19"/>
        </w:rPr>
        <w:t>de</w:t>
      </w:r>
      <w:r>
        <w:rPr>
          <w:spacing w:val="-5"/>
          <w:w w:val="105"/>
          <w:sz w:val="19"/>
        </w:rPr>
        <w:t> </w:t>
      </w:r>
      <w:r>
        <w:rPr>
          <w:w w:val="105"/>
          <w:sz w:val="19"/>
        </w:rPr>
        <w:t>la</w:t>
      </w:r>
      <w:r>
        <w:rPr>
          <w:spacing w:val="-3"/>
          <w:w w:val="105"/>
          <w:sz w:val="19"/>
        </w:rPr>
        <w:t> Educación</w:t>
      </w:r>
      <w:r>
        <w:rPr>
          <w:spacing w:val="-5"/>
          <w:w w:val="105"/>
          <w:sz w:val="19"/>
        </w:rPr>
        <w:t> </w:t>
      </w:r>
      <w:r>
        <w:rPr>
          <w:w w:val="105"/>
          <w:sz w:val="19"/>
        </w:rPr>
        <w:t>en</w:t>
      </w:r>
      <w:r>
        <w:rPr>
          <w:spacing w:val="-3"/>
          <w:w w:val="105"/>
          <w:sz w:val="19"/>
        </w:rPr>
        <w:t> México </w:t>
      </w:r>
      <w:r>
        <w:rPr>
          <w:w w:val="105"/>
          <w:sz w:val="19"/>
        </w:rPr>
        <w:t>2010”.</w:t>
      </w:r>
      <w:r>
        <w:rPr>
          <w:spacing w:val="-8"/>
          <w:w w:val="105"/>
          <w:sz w:val="19"/>
        </w:rPr>
        <w:t> </w:t>
      </w:r>
      <w:r>
        <w:rPr>
          <w:w w:val="105"/>
          <w:sz w:val="19"/>
        </w:rPr>
        <w:t>Puede</w:t>
      </w:r>
      <w:r>
        <w:rPr>
          <w:spacing w:val="-5"/>
          <w:w w:val="105"/>
          <w:sz w:val="19"/>
        </w:rPr>
        <w:t> </w:t>
      </w:r>
      <w:r>
        <w:rPr>
          <w:w w:val="105"/>
          <w:sz w:val="19"/>
        </w:rPr>
        <w:t>consultarse</w:t>
      </w:r>
      <w:r>
        <w:rPr>
          <w:spacing w:val="-5"/>
          <w:w w:val="105"/>
          <w:sz w:val="19"/>
        </w:rPr>
        <w:t> </w:t>
      </w:r>
      <w:r>
        <w:rPr>
          <w:spacing w:val="-3"/>
          <w:w w:val="105"/>
          <w:sz w:val="19"/>
        </w:rPr>
        <w:t>en </w:t>
      </w:r>
      <w:hyperlink r:id="rId161">
        <w:r>
          <w:rPr>
            <w:color w:val="0000FF"/>
            <w:w w:val="105"/>
            <w:sz w:val="19"/>
            <w:u w:val="single" w:color="0000FF"/>
          </w:rPr>
          <w:t>http://www.mexicanosprimero.org/images/stories/Brechas_2010_-</w:t>
        </w:r>
      </w:hyperlink>
    </w:p>
    <w:p>
      <w:pPr>
        <w:spacing w:before="0"/>
        <w:ind w:left="115" w:right="0" w:firstLine="0"/>
        <w:jc w:val="both"/>
        <w:rPr>
          <w:sz w:val="19"/>
        </w:rPr>
      </w:pPr>
      <w:r>
        <w:rPr>
          <w:color w:val="0000FF"/>
          <w:w w:val="105"/>
          <w:sz w:val="19"/>
          <w:u w:val="single" w:color="0000FF"/>
        </w:rPr>
        <w:t>_presentacion_Mexicanos_Primero_16.noviembre.2010.pdf</w:t>
      </w:r>
    </w:p>
    <w:p>
      <w:pPr>
        <w:spacing w:line="247" w:lineRule="auto" w:before="2"/>
        <w:ind w:left="115" w:right="103" w:firstLine="0"/>
        <w:jc w:val="left"/>
        <w:rPr>
          <w:sz w:val="19"/>
        </w:rPr>
      </w:pPr>
      <w:r>
        <w:rPr>
          <w:b/>
          <w:w w:val="105"/>
          <w:sz w:val="19"/>
        </w:rPr>
        <w:t>Meyer</w:t>
      </w:r>
      <w:r>
        <w:rPr>
          <w:w w:val="105"/>
          <w:sz w:val="19"/>
        </w:rPr>
        <w:t>, John, y Francisco Ramírez. (2002). </w:t>
      </w:r>
      <w:r>
        <w:rPr>
          <w:spacing w:val="-3"/>
          <w:w w:val="105"/>
          <w:sz w:val="19"/>
        </w:rPr>
        <w:t>“La </w:t>
      </w:r>
      <w:r>
        <w:rPr>
          <w:w w:val="105"/>
          <w:sz w:val="19"/>
        </w:rPr>
        <w:t>institucionalización mundial </w:t>
      </w:r>
      <w:r>
        <w:rPr>
          <w:spacing w:val="-3"/>
          <w:w w:val="105"/>
          <w:sz w:val="19"/>
        </w:rPr>
        <w:t>de </w:t>
      </w:r>
      <w:r>
        <w:rPr>
          <w:w w:val="105"/>
          <w:sz w:val="19"/>
        </w:rPr>
        <w:t>la educación”, en Jürgen</w:t>
      </w:r>
      <w:r>
        <w:rPr>
          <w:spacing w:val="-18"/>
          <w:w w:val="105"/>
          <w:sz w:val="19"/>
        </w:rPr>
        <w:t> </w:t>
      </w:r>
      <w:r>
        <w:rPr>
          <w:w w:val="105"/>
          <w:sz w:val="19"/>
        </w:rPr>
        <w:t>Schriwer,</w:t>
      </w:r>
      <w:r>
        <w:rPr>
          <w:spacing w:val="-21"/>
          <w:w w:val="105"/>
          <w:sz w:val="19"/>
        </w:rPr>
        <w:t> </w:t>
      </w:r>
      <w:r>
        <w:rPr>
          <w:w w:val="105"/>
          <w:sz w:val="19"/>
        </w:rPr>
        <w:t>coord.,</w:t>
      </w:r>
      <w:r>
        <w:rPr>
          <w:spacing w:val="-23"/>
          <w:w w:val="105"/>
          <w:sz w:val="19"/>
        </w:rPr>
        <w:t> </w:t>
      </w:r>
      <w:r>
        <w:rPr>
          <w:w w:val="105"/>
          <w:sz w:val="19"/>
        </w:rPr>
        <w:t>Formación</w:t>
      </w:r>
      <w:r>
        <w:rPr>
          <w:spacing w:val="-18"/>
          <w:w w:val="105"/>
          <w:sz w:val="19"/>
        </w:rPr>
        <w:t> </w:t>
      </w:r>
      <w:r>
        <w:rPr>
          <w:spacing w:val="-3"/>
          <w:w w:val="105"/>
          <w:sz w:val="19"/>
        </w:rPr>
        <w:t>del</w:t>
      </w:r>
      <w:r>
        <w:rPr>
          <w:spacing w:val="-16"/>
          <w:w w:val="105"/>
          <w:sz w:val="19"/>
        </w:rPr>
        <w:t> </w:t>
      </w:r>
      <w:r>
        <w:rPr>
          <w:w w:val="105"/>
          <w:sz w:val="19"/>
        </w:rPr>
        <w:t>discurso</w:t>
      </w:r>
      <w:r>
        <w:rPr>
          <w:spacing w:val="-21"/>
          <w:w w:val="105"/>
          <w:sz w:val="19"/>
        </w:rPr>
        <w:t> </w:t>
      </w:r>
      <w:r>
        <w:rPr>
          <w:spacing w:val="2"/>
          <w:w w:val="105"/>
          <w:sz w:val="19"/>
        </w:rPr>
        <w:t>en</w:t>
      </w:r>
      <w:r>
        <w:rPr>
          <w:spacing w:val="-21"/>
          <w:w w:val="105"/>
          <w:sz w:val="19"/>
        </w:rPr>
        <w:t> </w:t>
      </w:r>
      <w:r>
        <w:rPr>
          <w:w w:val="105"/>
          <w:sz w:val="19"/>
        </w:rPr>
        <w:t>la</w:t>
      </w:r>
      <w:r>
        <w:rPr>
          <w:spacing w:val="-21"/>
          <w:w w:val="105"/>
          <w:sz w:val="19"/>
        </w:rPr>
        <w:t> </w:t>
      </w:r>
      <w:r>
        <w:rPr>
          <w:w w:val="105"/>
          <w:sz w:val="19"/>
        </w:rPr>
        <w:t>educación</w:t>
      </w:r>
      <w:r>
        <w:rPr>
          <w:spacing w:val="-21"/>
          <w:w w:val="105"/>
          <w:sz w:val="19"/>
        </w:rPr>
        <w:t> </w:t>
      </w:r>
      <w:r>
        <w:rPr>
          <w:w w:val="105"/>
          <w:sz w:val="19"/>
        </w:rPr>
        <w:t>comparada,Pomares,</w:t>
      </w:r>
      <w:r>
        <w:rPr>
          <w:spacing w:val="-23"/>
          <w:w w:val="105"/>
          <w:sz w:val="19"/>
        </w:rPr>
        <w:t> </w:t>
      </w:r>
      <w:r>
        <w:rPr>
          <w:w w:val="105"/>
          <w:sz w:val="19"/>
        </w:rPr>
        <w:t>Barcelona. </w:t>
      </w:r>
      <w:r>
        <w:rPr>
          <w:b/>
          <w:w w:val="105"/>
          <w:sz w:val="19"/>
        </w:rPr>
        <w:t>Mier y Terán</w:t>
      </w:r>
      <w:r>
        <w:rPr>
          <w:w w:val="105"/>
          <w:sz w:val="19"/>
        </w:rPr>
        <w:t>, Martha y Rabell, Cecilia. (2002). “Desigualdades </w:t>
      </w:r>
      <w:r>
        <w:rPr>
          <w:spacing w:val="3"/>
          <w:w w:val="105"/>
          <w:sz w:val="19"/>
        </w:rPr>
        <w:t>en </w:t>
      </w:r>
      <w:r>
        <w:rPr>
          <w:w w:val="105"/>
          <w:sz w:val="19"/>
        </w:rPr>
        <w:t>la escolaridad de los niños mexicanos”.</w:t>
      </w:r>
      <w:r>
        <w:rPr>
          <w:spacing w:val="-19"/>
          <w:w w:val="105"/>
          <w:sz w:val="19"/>
        </w:rPr>
        <w:t> </w:t>
      </w:r>
      <w:r>
        <w:rPr>
          <w:w w:val="105"/>
          <w:sz w:val="19"/>
        </w:rPr>
        <w:t>Revista</w:t>
      </w:r>
      <w:r>
        <w:rPr>
          <w:spacing w:val="-15"/>
          <w:w w:val="105"/>
          <w:sz w:val="19"/>
        </w:rPr>
        <w:t> </w:t>
      </w:r>
      <w:r>
        <w:rPr>
          <w:w w:val="105"/>
          <w:sz w:val="19"/>
        </w:rPr>
        <w:t>Mexicana</w:t>
      </w:r>
      <w:r>
        <w:rPr>
          <w:spacing w:val="-15"/>
          <w:w w:val="105"/>
          <w:sz w:val="19"/>
        </w:rPr>
        <w:t> </w:t>
      </w:r>
      <w:r>
        <w:rPr>
          <w:w w:val="105"/>
          <w:sz w:val="19"/>
        </w:rPr>
        <w:t>de</w:t>
      </w:r>
      <w:r>
        <w:rPr>
          <w:spacing w:val="-15"/>
          <w:w w:val="105"/>
          <w:sz w:val="19"/>
        </w:rPr>
        <w:t> </w:t>
      </w:r>
      <w:r>
        <w:rPr>
          <w:w w:val="105"/>
          <w:sz w:val="19"/>
        </w:rPr>
        <w:t>Sociología.</w:t>
      </w:r>
      <w:r>
        <w:rPr>
          <w:spacing w:val="-15"/>
          <w:w w:val="105"/>
          <w:sz w:val="19"/>
        </w:rPr>
        <w:t> </w:t>
      </w:r>
      <w:r>
        <w:rPr>
          <w:spacing w:val="-3"/>
          <w:w w:val="105"/>
          <w:sz w:val="19"/>
        </w:rPr>
        <w:t>IIS-UNAM,</w:t>
      </w:r>
      <w:r>
        <w:rPr>
          <w:spacing w:val="-15"/>
          <w:w w:val="105"/>
          <w:sz w:val="19"/>
        </w:rPr>
        <w:t> </w:t>
      </w:r>
      <w:r>
        <w:rPr>
          <w:w w:val="105"/>
          <w:sz w:val="19"/>
        </w:rPr>
        <w:t>Vol.</w:t>
      </w:r>
      <w:r>
        <w:rPr>
          <w:spacing w:val="-19"/>
          <w:w w:val="105"/>
          <w:sz w:val="19"/>
        </w:rPr>
        <w:t> </w:t>
      </w:r>
      <w:r>
        <w:rPr>
          <w:w w:val="105"/>
          <w:sz w:val="19"/>
        </w:rPr>
        <w:t>64.</w:t>
      </w:r>
      <w:r>
        <w:rPr>
          <w:spacing w:val="-19"/>
          <w:w w:val="105"/>
          <w:sz w:val="19"/>
        </w:rPr>
        <w:t> </w:t>
      </w:r>
      <w:r>
        <w:rPr>
          <w:w w:val="105"/>
          <w:sz w:val="19"/>
        </w:rPr>
        <w:t>Núm.</w:t>
      </w:r>
      <w:r>
        <w:rPr>
          <w:spacing w:val="-19"/>
          <w:w w:val="105"/>
          <w:sz w:val="19"/>
        </w:rPr>
        <w:t> </w:t>
      </w:r>
      <w:r>
        <w:rPr>
          <w:w w:val="105"/>
          <w:sz w:val="19"/>
        </w:rPr>
        <w:t>3,</w:t>
      </w:r>
      <w:r>
        <w:rPr>
          <w:spacing w:val="-15"/>
          <w:w w:val="105"/>
          <w:sz w:val="19"/>
        </w:rPr>
        <w:t> </w:t>
      </w:r>
      <w:r>
        <w:rPr>
          <w:w w:val="105"/>
          <w:sz w:val="19"/>
        </w:rPr>
        <w:t>julio-septiembre,</w:t>
      </w:r>
      <w:r>
        <w:rPr>
          <w:spacing w:val="-19"/>
          <w:w w:val="105"/>
          <w:sz w:val="19"/>
        </w:rPr>
        <w:t> </w:t>
      </w:r>
      <w:r>
        <w:rPr>
          <w:w w:val="105"/>
          <w:sz w:val="19"/>
        </w:rPr>
        <w:t>México, págs.</w:t>
      </w:r>
      <w:r>
        <w:rPr>
          <w:spacing w:val="-28"/>
          <w:w w:val="105"/>
          <w:sz w:val="19"/>
        </w:rPr>
        <w:t> </w:t>
      </w:r>
      <w:r>
        <w:rPr>
          <w:w w:val="105"/>
          <w:sz w:val="19"/>
        </w:rPr>
        <w:t>67-85.</w:t>
      </w:r>
    </w:p>
    <w:p>
      <w:pPr>
        <w:spacing w:line="242" w:lineRule="auto" w:before="0"/>
        <w:ind w:left="115" w:right="106" w:firstLine="0"/>
        <w:jc w:val="both"/>
        <w:rPr>
          <w:sz w:val="19"/>
        </w:rPr>
      </w:pPr>
      <w:r>
        <w:rPr>
          <w:b/>
          <w:w w:val="105"/>
          <w:sz w:val="19"/>
        </w:rPr>
        <w:t>Millán</w:t>
      </w:r>
      <w:r>
        <w:rPr>
          <w:w w:val="105"/>
          <w:sz w:val="19"/>
        </w:rPr>
        <w:t>, Antonio; Rivera, Rubén; Ramírez, María Soledad. (2007). “Calidad y educación en instituciones educativas”</w:t>
      </w:r>
      <w:r>
        <w:rPr>
          <w:i/>
          <w:w w:val="105"/>
          <w:sz w:val="19"/>
        </w:rPr>
        <w:t>. </w:t>
      </w:r>
      <w:r>
        <w:rPr>
          <w:w w:val="105"/>
          <w:sz w:val="19"/>
        </w:rPr>
        <w:t>ITESM. Ed. Trillas. México.</w:t>
      </w:r>
    </w:p>
    <w:p>
      <w:pPr>
        <w:spacing w:line="242" w:lineRule="auto" w:before="5"/>
        <w:ind w:left="115" w:right="120" w:firstLine="0"/>
        <w:jc w:val="both"/>
        <w:rPr>
          <w:sz w:val="19"/>
        </w:rPr>
      </w:pPr>
      <w:r>
        <w:rPr>
          <w:b/>
          <w:w w:val="105"/>
          <w:sz w:val="19"/>
        </w:rPr>
        <w:t>Miranda </w:t>
      </w:r>
      <w:r>
        <w:rPr>
          <w:w w:val="105"/>
          <w:sz w:val="19"/>
        </w:rPr>
        <w:t>López, Francisco. (2004) “La reforma de la política educativa: gestión y competencia institucional frente a la tradición corporativa”, en Sociológica núm. 54, enero - abril.</w:t>
      </w:r>
    </w:p>
    <w:p>
      <w:pPr>
        <w:spacing w:line="247" w:lineRule="auto" w:before="5"/>
        <w:ind w:left="115" w:right="102" w:firstLine="0"/>
        <w:jc w:val="both"/>
        <w:rPr>
          <w:sz w:val="19"/>
        </w:rPr>
      </w:pPr>
      <w:r>
        <w:rPr>
          <w:w w:val="105"/>
          <w:sz w:val="19"/>
        </w:rPr>
        <w:t>---------------------------------. (2007). “Mejora de la calidad educativa en México: posiciones y </w:t>
      </w:r>
      <w:r>
        <w:rPr>
          <w:sz w:val="19"/>
        </w:rPr>
        <w:t>propuestas”.  México, BM-SEP-FLACSO</w:t>
      </w:r>
    </w:p>
    <w:p>
      <w:pPr>
        <w:spacing w:line="247" w:lineRule="auto" w:before="0"/>
        <w:ind w:left="115" w:right="139" w:firstLine="0"/>
        <w:jc w:val="left"/>
        <w:rPr>
          <w:sz w:val="19"/>
        </w:rPr>
      </w:pPr>
      <w:r>
        <w:rPr>
          <w:b/>
          <w:w w:val="105"/>
          <w:sz w:val="19"/>
        </w:rPr>
        <w:t>Miranda</w:t>
      </w:r>
      <w:r>
        <w:rPr>
          <w:w w:val="105"/>
          <w:sz w:val="19"/>
        </w:rPr>
        <w:t>, Juan Carlos y Araya G, Lorena del Carmen. (2003). “Eficiencia escolar </w:t>
      </w:r>
      <w:r>
        <w:rPr>
          <w:spacing w:val="2"/>
          <w:w w:val="105"/>
          <w:sz w:val="19"/>
        </w:rPr>
        <w:t>en </w:t>
      </w:r>
      <w:r>
        <w:rPr>
          <w:w w:val="105"/>
          <w:sz w:val="19"/>
        </w:rPr>
        <w:t>las escuelas del MECE/Rural desde la perspectiva del análisis envolvente de datos (DEA).” Estudios pedagógicos (Valdivia) [online]. 2003, no.29, pp. 27-37. Puede consultarse en: </w:t>
      </w:r>
      <w:hyperlink r:id="rId162">
        <w:r>
          <w:rPr>
            <w:color w:val="0000FF"/>
            <w:spacing w:val="-1"/>
            <w:sz w:val="19"/>
            <w:u w:val="single" w:color="0000FF"/>
          </w:rPr>
          <w:t>http://www.scielo.cl/scielo.php?script=sci_arttext&amp;pid=S071807052003002900002&amp;lng=es&amp;nrm=is</w:t>
        </w:r>
      </w:hyperlink>
      <w:r>
        <w:rPr>
          <w:color w:val="0000FF"/>
          <w:spacing w:val="-1"/>
          <w:sz w:val="19"/>
          <w:u w:val="single" w:color="0000FF"/>
        </w:rPr>
        <w:t>      </w:t>
      </w:r>
      <w:r>
        <w:rPr>
          <w:color w:val="0000FF"/>
          <w:w w:val="105"/>
          <w:sz w:val="19"/>
          <w:u w:val="single" w:color="0000FF"/>
        </w:rPr>
        <w:t>o</w:t>
      </w:r>
    </w:p>
    <w:p>
      <w:pPr>
        <w:spacing w:line="244" w:lineRule="auto" w:before="0"/>
        <w:ind w:left="115" w:right="98" w:firstLine="0"/>
        <w:jc w:val="both"/>
        <w:rPr>
          <w:sz w:val="19"/>
        </w:rPr>
      </w:pPr>
      <w:r>
        <w:rPr>
          <w:b/>
          <w:w w:val="105"/>
          <w:sz w:val="19"/>
        </w:rPr>
        <w:t>Mogollón</w:t>
      </w:r>
      <w:r>
        <w:rPr>
          <w:w w:val="105"/>
          <w:sz w:val="19"/>
        </w:rPr>
        <w:t>,</w:t>
      </w:r>
      <w:r>
        <w:rPr>
          <w:spacing w:val="-24"/>
          <w:w w:val="105"/>
          <w:sz w:val="19"/>
        </w:rPr>
        <w:t> </w:t>
      </w:r>
      <w:r>
        <w:rPr>
          <w:w w:val="105"/>
          <w:sz w:val="19"/>
        </w:rPr>
        <w:t>de</w:t>
      </w:r>
      <w:r>
        <w:rPr>
          <w:spacing w:val="-18"/>
          <w:w w:val="105"/>
          <w:sz w:val="19"/>
        </w:rPr>
        <w:t> </w:t>
      </w:r>
      <w:r>
        <w:rPr>
          <w:w w:val="105"/>
          <w:sz w:val="19"/>
        </w:rPr>
        <w:t>González</w:t>
      </w:r>
      <w:r>
        <w:rPr>
          <w:spacing w:val="-14"/>
          <w:w w:val="105"/>
          <w:sz w:val="19"/>
        </w:rPr>
        <w:t> </w:t>
      </w:r>
      <w:r>
        <w:rPr>
          <w:w w:val="105"/>
          <w:sz w:val="19"/>
        </w:rPr>
        <w:t>Amada</w:t>
      </w:r>
      <w:r>
        <w:rPr>
          <w:spacing w:val="-18"/>
          <w:w w:val="105"/>
          <w:sz w:val="19"/>
        </w:rPr>
        <w:t> </w:t>
      </w:r>
      <w:r>
        <w:rPr>
          <w:w w:val="105"/>
          <w:sz w:val="19"/>
        </w:rPr>
        <w:t>(2002).</w:t>
      </w:r>
      <w:r>
        <w:rPr>
          <w:spacing w:val="-17"/>
          <w:w w:val="105"/>
          <w:sz w:val="19"/>
        </w:rPr>
        <w:t> </w:t>
      </w:r>
      <w:r>
        <w:rPr>
          <w:w w:val="105"/>
          <w:sz w:val="19"/>
        </w:rPr>
        <w:t>“Calidad</w:t>
      </w:r>
      <w:r>
        <w:rPr>
          <w:spacing w:val="-15"/>
          <w:w w:val="105"/>
          <w:sz w:val="19"/>
        </w:rPr>
        <w:t> </w:t>
      </w:r>
      <w:r>
        <w:rPr>
          <w:w w:val="105"/>
          <w:sz w:val="19"/>
        </w:rPr>
        <w:t>y</w:t>
      </w:r>
      <w:r>
        <w:rPr>
          <w:spacing w:val="-17"/>
          <w:w w:val="105"/>
          <w:sz w:val="19"/>
        </w:rPr>
        <w:t> </w:t>
      </w:r>
      <w:r>
        <w:rPr>
          <w:w w:val="105"/>
          <w:sz w:val="19"/>
        </w:rPr>
        <w:t>Enfoques</w:t>
      </w:r>
      <w:r>
        <w:rPr>
          <w:spacing w:val="-20"/>
          <w:w w:val="105"/>
          <w:sz w:val="19"/>
        </w:rPr>
        <w:t> </w:t>
      </w:r>
      <w:r>
        <w:rPr>
          <w:w w:val="105"/>
          <w:sz w:val="19"/>
        </w:rPr>
        <w:t>de</w:t>
      </w:r>
      <w:r>
        <w:rPr>
          <w:spacing w:val="-18"/>
          <w:w w:val="105"/>
          <w:sz w:val="19"/>
        </w:rPr>
        <w:t> </w:t>
      </w:r>
      <w:r>
        <w:rPr>
          <w:w w:val="105"/>
          <w:sz w:val="19"/>
        </w:rPr>
        <w:t>la</w:t>
      </w:r>
      <w:r>
        <w:rPr>
          <w:spacing w:val="-15"/>
          <w:w w:val="105"/>
          <w:sz w:val="19"/>
        </w:rPr>
        <w:t> </w:t>
      </w:r>
      <w:r>
        <w:rPr>
          <w:w w:val="105"/>
          <w:sz w:val="19"/>
        </w:rPr>
        <w:t>Supervisión”</w:t>
      </w:r>
      <w:r>
        <w:rPr>
          <w:spacing w:val="-20"/>
          <w:w w:val="105"/>
          <w:sz w:val="19"/>
        </w:rPr>
        <w:t> </w:t>
      </w:r>
      <w:r>
        <w:rPr>
          <w:w w:val="105"/>
          <w:sz w:val="19"/>
        </w:rPr>
        <w:t>en</w:t>
      </w:r>
      <w:r>
        <w:rPr>
          <w:spacing w:val="-20"/>
          <w:w w:val="105"/>
          <w:sz w:val="19"/>
        </w:rPr>
        <w:t> </w:t>
      </w:r>
      <w:r>
        <w:rPr>
          <w:spacing w:val="-2"/>
          <w:w w:val="105"/>
          <w:sz w:val="19"/>
        </w:rPr>
        <w:t>Revista</w:t>
      </w:r>
      <w:r>
        <w:rPr>
          <w:spacing w:val="-14"/>
          <w:w w:val="105"/>
          <w:sz w:val="19"/>
        </w:rPr>
        <w:t> </w:t>
      </w:r>
      <w:r>
        <w:rPr>
          <w:w w:val="105"/>
          <w:sz w:val="19"/>
        </w:rPr>
        <w:t>Ciencias de</w:t>
      </w:r>
      <w:r>
        <w:rPr>
          <w:spacing w:val="-10"/>
          <w:w w:val="105"/>
          <w:sz w:val="19"/>
        </w:rPr>
        <w:t> </w:t>
      </w:r>
      <w:r>
        <w:rPr>
          <w:w w:val="105"/>
          <w:sz w:val="19"/>
        </w:rPr>
        <w:t>la</w:t>
      </w:r>
      <w:r>
        <w:rPr>
          <w:spacing w:val="-10"/>
          <w:w w:val="105"/>
          <w:sz w:val="19"/>
        </w:rPr>
        <w:t> </w:t>
      </w:r>
      <w:r>
        <w:rPr>
          <w:w w:val="105"/>
          <w:sz w:val="19"/>
        </w:rPr>
        <w:t>Educación.</w:t>
      </w:r>
      <w:r>
        <w:rPr>
          <w:spacing w:val="-13"/>
          <w:w w:val="105"/>
          <w:sz w:val="19"/>
        </w:rPr>
        <w:t> </w:t>
      </w:r>
      <w:r>
        <w:rPr>
          <w:w w:val="105"/>
          <w:sz w:val="19"/>
        </w:rPr>
        <w:t>Año</w:t>
      </w:r>
      <w:r>
        <w:rPr>
          <w:spacing w:val="-10"/>
          <w:w w:val="105"/>
          <w:sz w:val="19"/>
        </w:rPr>
        <w:t> </w:t>
      </w:r>
      <w:r>
        <w:rPr>
          <w:w w:val="105"/>
          <w:sz w:val="19"/>
        </w:rPr>
        <w:t>2</w:t>
      </w:r>
      <w:r>
        <w:rPr>
          <w:spacing w:val="-10"/>
          <w:w w:val="105"/>
          <w:sz w:val="19"/>
        </w:rPr>
        <w:t> </w:t>
      </w:r>
      <w:r>
        <w:rPr>
          <w:w w:val="105"/>
          <w:sz w:val="19"/>
        </w:rPr>
        <w:t>-</w:t>
      </w:r>
      <w:r>
        <w:rPr>
          <w:spacing w:val="-17"/>
          <w:w w:val="105"/>
          <w:sz w:val="19"/>
        </w:rPr>
        <w:t> </w:t>
      </w:r>
      <w:r>
        <w:rPr>
          <w:w w:val="105"/>
          <w:sz w:val="19"/>
        </w:rPr>
        <w:t>Número</w:t>
      </w:r>
      <w:r>
        <w:rPr>
          <w:spacing w:val="-15"/>
          <w:w w:val="105"/>
          <w:sz w:val="19"/>
        </w:rPr>
        <w:t> </w:t>
      </w:r>
      <w:r>
        <w:rPr>
          <w:w w:val="105"/>
          <w:sz w:val="19"/>
        </w:rPr>
        <w:t>20.</w:t>
      </w:r>
      <w:r>
        <w:rPr>
          <w:spacing w:val="-13"/>
          <w:w w:val="105"/>
          <w:sz w:val="19"/>
        </w:rPr>
        <w:t> </w:t>
      </w:r>
      <w:r>
        <w:rPr>
          <w:w w:val="105"/>
          <w:sz w:val="19"/>
        </w:rPr>
        <w:t>Universidad</w:t>
      </w:r>
      <w:r>
        <w:rPr>
          <w:spacing w:val="-10"/>
          <w:w w:val="105"/>
          <w:sz w:val="19"/>
        </w:rPr>
        <w:t> </w:t>
      </w:r>
      <w:r>
        <w:rPr>
          <w:spacing w:val="-3"/>
          <w:w w:val="105"/>
          <w:sz w:val="19"/>
        </w:rPr>
        <w:t>de</w:t>
      </w:r>
      <w:r>
        <w:rPr>
          <w:spacing w:val="-10"/>
          <w:w w:val="105"/>
          <w:sz w:val="19"/>
        </w:rPr>
        <w:t> </w:t>
      </w:r>
      <w:r>
        <w:rPr>
          <w:w w:val="105"/>
          <w:sz w:val="19"/>
        </w:rPr>
        <w:t>Carabobo.</w:t>
      </w:r>
      <w:r>
        <w:rPr>
          <w:spacing w:val="-10"/>
          <w:w w:val="105"/>
          <w:sz w:val="19"/>
        </w:rPr>
        <w:t> </w:t>
      </w:r>
      <w:r>
        <w:rPr>
          <w:w w:val="105"/>
          <w:sz w:val="19"/>
        </w:rPr>
        <w:t>Venezuela.</w:t>
      </w:r>
      <w:r>
        <w:rPr>
          <w:spacing w:val="-10"/>
          <w:w w:val="105"/>
          <w:sz w:val="19"/>
        </w:rPr>
        <w:t> </w:t>
      </w:r>
      <w:r>
        <w:rPr>
          <w:w w:val="105"/>
          <w:sz w:val="19"/>
        </w:rPr>
        <w:t>Puede</w:t>
      </w:r>
      <w:r>
        <w:rPr>
          <w:spacing w:val="-10"/>
          <w:w w:val="105"/>
          <w:sz w:val="19"/>
        </w:rPr>
        <w:t> </w:t>
      </w:r>
      <w:r>
        <w:rPr>
          <w:w w:val="105"/>
          <w:sz w:val="19"/>
        </w:rPr>
        <w:t>consultarse</w:t>
      </w:r>
      <w:r>
        <w:rPr>
          <w:spacing w:val="-10"/>
          <w:w w:val="105"/>
          <w:sz w:val="19"/>
        </w:rPr>
        <w:t> </w:t>
      </w:r>
      <w:r>
        <w:rPr>
          <w:w w:val="105"/>
          <w:sz w:val="19"/>
        </w:rPr>
        <w:t>en: </w:t>
      </w:r>
      <w:hyperlink r:id="rId163">
        <w:r>
          <w:rPr>
            <w:color w:val="0000FF"/>
            <w:w w:val="105"/>
            <w:sz w:val="19"/>
            <w:u w:val="single" w:color="0000FF"/>
          </w:rPr>
          <w:t>http://servicio.cid.uc.edu.ve/educacion/revista/</w:t>
        </w:r>
      </w:hyperlink>
    </w:p>
    <w:p>
      <w:pPr>
        <w:spacing w:line="247" w:lineRule="auto" w:before="0"/>
        <w:ind w:left="115" w:right="106" w:firstLine="0"/>
        <w:jc w:val="both"/>
        <w:rPr>
          <w:sz w:val="19"/>
        </w:rPr>
      </w:pPr>
      <w:r>
        <w:rPr>
          <w:b/>
          <w:w w:val="105"/>
          <w:sz w:val="19"/>
        </w:rPr>
        <w:t>Molinar </w:t>
      </w:r>
      <w:r>
        <w:rPr>
          <w:w w:val="105"/>
          <w:sz w:val="19"/>
        </w:rPr>
        <w:t>Horcasitas, Juan. (1991). “El tiempo de la legitimidad: elecciones, autoritarismo y democracia en México”. México, D. F., México: Cal y Arena.</w:t>
      </w:r>
    </w:p>
    <w:p>
      <w:pPr>
        <w:spacing w:line="247" w:lineRule="auto" w:before="0"/>
        <w:ind w:left="115" w:right="107" w:firstLine="0"/>
        <w:jc w:val="both"/>
        <w:rPr>
          <w:sz w:val="19"/>
        </w:rPr>
      </w:pPr>
      <w:r>
        <w:rPr>
          <w:b/>
          <w:w w:val="105"/>
          <w:sz w:val="19"/>
        </w:rPr>
        <w:t>Molinar</w:t>
      </w:r>
      <w:r>
        <w:rPr>
          <w:b/>
          <w:spacing w:val="-11"/>
          <w:w w:val="105"/>
          <w:sz w:val="19"/>
        </w:rPr>
        <w:t> </w:t>
      </w:r>
      <w:r>
        <w:rPr>
          <w:w w:val="105"/>
          <w:sz w:val="19"/>
        </w:rPr>
        <w:t>Horcasitas,</w:t>
      </w:r>
      <w:r>
        <w:rPr>
          <w:spacing w:val="-15"/>
          <w:w w:val="105"/>
          <w:sz w:val="19"/>
        </w:rPr>
        <w:t> </w:t>
      </w:r>
      <w:r>
        <w:rPr>
          <w:w w:val="105"/>
          <w:sz w:val="19"/>
        </w:rPr>
        <w:t>Juan</w:t>
      </w:r>
      <w:r>
        <w:rPr>
          <w:spacing w:val="-11"/>
          <w:w w:val="105"/>
          <w:sz w:val="19"/>
        </w:rPr>
        <w:t> </w:t>
      </w:r>
      <w:r>
        <w:rPr>
          <w:w w:val="105"/>
          <w:sz w:val="19"/>
        </w:rPr>
        <w:t>y</w:t>
      </w:r>
      <w:r>
        <w:rPr>
          <w:spacing w:val="-17"/>
          <w:w w:val="105"/>
          <w:sz w:val="19"/>
        </w:rPr>
        <w:t> </w:t>
      </w:r>
      <w:r>
        <w:rPr>
          <w:w w:val="105"/>
          <w:sz w:val="19"/>
        </w:rPr>
        <w:t>Jefrey</w:t>
      </w:r>
      <w:r>
        <w:rPr>
          <w:spacing w:val="-15"/>
          <w:w w:val="105"/>
          <w:sz w:val="19"/>
        </w:rPr>
        <w:t> </w:t>
      </w:r>
      <w:r>
        <w:rPr>
          <w:w w:val="105"/>
          <w:sz w:val="19"/>
        </w:rPr>
        <w:t>A.</w:t>
      </w:r>
      <w:r>
        <w:rPr>
          <w:spacing w:val="-17"/>
          <w:w w:val="105"/>
          <w:sz w:val="19"/>
        </w:rPr>
        <w:t> </w:t>
      </w:r>
      <w:r>
        <w:rPr>
          <w:w w:val="105"/>
          <w:sz w:val="19"/>
        </w:rPr>
        <w:t>Weldon.</w:t>
      </w:r>
      <w:r>
        <w:rPr>
          <w:spacing w:val="-11"/>
          <w:w w:val="105"/>
          <w:sz w:val="19"/>
        </w:rPr>
        <w:t> </w:t>
      </w:r>
      <w:r>
        <w:rPr>
          <w:w w:val="105"/>
          <w:sz w:val="19"/>
        </w:rPr>
        <w:t>(2001).</w:t>
      </w:r>
      <w:r>
        <w:rPr>
          <w:spacing w:val="-11"/>
          <w:w w:val="105"/>
          <w:sz w:val="19"/>
        </w:rPr>
        <w:t> </w:t>
      </w:r>
      <w:r>
        <w:rPr>
          <w:w w:val="105"/>
          <w:sz w:val="19"/>
        </w:rPr>
        <w:t>“Reforming</w:t>
      </w:r>
      <w:r>
        <w:rPr>
          <w:spacing w:val="-11"/>
          <w:w w:val="105"/>
          <w:sz w:val="19"/>
        </w:rPr>
        <w:t> </w:t>
      </w:r>
      <w:r>
        <w:rPr>
          <w:w w:val="105"/>
          <w:sz w:val="19"/>
        </w:rPr>
        <w:t>Electoral</w:t>
      </w:r>
      <w:r>
        <w:rPr>
          <w:spacing w:val="-11"/>
          <w:w w:val="105"/>
          <w:sz w:val="19"/>
        </w:rPr>
        <w:t> </w:t>
      </w:r>
      <w:r>
        <w:rPr>
          <w:w w:val="105"/>
          <w:sz w:val="19"/>
        </w:rPr>
        <w:t>Systems</w:t>
      </w:r>
      <w:r>
        <w:rPr>
          <w:spacing w:val="-8"/>
          <w:w w:val="105"/>
          <w:sz w:val="19"/>
        </w:rPr>
        <w:t> </w:t>
      </w:r>
      <w:r>
        <w:rPr>
          <w:spacing w:val="-5"/>
          <w:w w:val="105"/>
          <w:sz w:val="19"/>
        </w:rPr>
        <w:t>in</w:t>
      </w:r>
      <w:r>
        <w:rPr>
          <w:spacing w:val="-11"/>
          <w:w w:val="105"/>
          <w:sz w:val="19"/>
        </w:rPr>
        <w:t> </w:t>
      </w:r>
      <w:r>
        <w:rPr>
          <w:w w:val="105"/>
          <w:sz w:val="19"/>
        </w:rPr>
        <w:t>Mexico”.</w:t>
      </w:r>
      <w:r>
        <w:rPr>
          <w:spacing w:val="-11"/>
          <w:w w:val="105"/>
          <w:sz w:val="19"/>
        </w:rPr>
        <w:t> </w:t>
      </w:r>
      <w:r>
        <w:rPr>
          <w:w w:val="105"/>
          <w:sz w:val="19"/>
        </w:rPr>
        <w:t>En “Mixed-Member Electoral Systems: The Best of Both Worlds?”, editado por Mathew Shugart y Martín</w:t>
      </w:r>
      <w:r>
        <w:rPr>
          <w:spacing w:val="-24"/>
          <w:w w:val="105"/>
          <w:sz w:val="19"/>
        </w:rPr>
        <w:t> </w:t>
      </w:r>
      <w:r>
        <w:rPr>
          <w:w w:val="105"/>
          <w:sz w:val="19"/>
        </w:rPr>
        <w:t>Wattenberg.</w:t>
      </w:r>
      <w:r>
        <w:rPr>
          <w:spacing w:val="-24"/>
          <w:w w:val="105"/>
          <w:sz w:val="19"/>
        </w:rPr>
        <w:t> </w:t>
      </w:r>
      <w:r>
        <w:rPr>
          <w:w w:val="105"/>
          <w:sz w:val="19"/>
        </w:rPr>
        <w:t>Nueva</w:t>
      </w:r>
      <w:r>
        <w:rPr>
          <w:spacing w:val="-24"/>
          <w:w w:val="105"/>
          <w:sz w:val="19"/>
        </w:rPr>
        <w:t> </w:t>
      </w:r>
      <w:r>
        <w:rPr>
          <w:w w:val="105"/>
          <w:sz w:val="19"/>
        </w:rPr>
        <w:t>York:</w:t>
      </w:r>
      <w:r>
        <w:rPr>
          <w:spacing w:val="-27"/>
          <w:w w:val="105"/>
          <w:sz w:val="19"/>
        </w:rPr>
        <w:t> </w:t>
      </w:r>
      <w:r>
        <w:rPr>
          <w:w w:val="105"/>
          <w:sz w:val="19"/>
        </w:rPr>
        <w:t>Oxford</w:t>
      </w:r>
      <w:r>
        <w:rPr>
          <w:spacing w:val="-22"/>
          <w:w w:val="105"/>
          <w:sz w:val="19"/>
        </w:rPr>
        <w:t> </w:t>
      </w:r>
      <w:r>
        <w:rPr>
          <w:w w:val="105"/>
          <w:sz w:val="19"/>
        </w:rPr>
        <w:t>University</w:t>
      </w:r>
      <w:r>
        <w:rPr>
          <w:spacing w:val="-23"/>
          <w:w w:val="105"/>
          <w:sz w:val="19"/>
        </w:rPr>
        <w:t> </w:t>
      </w:r>
      <w:r>
        <w:rPr>
          <w:w w:val="105"/>
          <w:sz w:val="19"/>
        </w:rPr>
        <w:t>Press.</w:t>
      </w:r>
    </w:p>
    <w:p>
      <w:pPr>
        <w:spacing w:line="244" w:lineRule="auto" w:before="0"/>
        <w:ind w:left="115" w:right="108" w:firstLine="0"/>
        <w:jc w:val="both"/>
        <w:rPr>
          <w:sz w:val="19"/>
        </w:rPr>
      </w:pPr>
      <w:r>
        <w:rPr>
          <w:b/>
          <w:w w:val="105"/>
          <w:sz w:val="19"/>
        </w:rPr>
        <w:t>Monaldi</w:t>
      </w:r>
      <w:r>
        <w:rPr>
          <w:w w:val="105"/>
          <w:sz w:val="19"/>
        </w:rPr>
        <w:t>,</w:t>
      </w:r>
      <w:r>
        <w:rPr>
          <w:spacing w:val="-17"/>
          <w:w w:val="105"/>
          <w:sz w:val="19"/>
        </w:rPr>
        <w:t> </w:t>
      </w:r>
      <w:r>
        <w:rPr>
          <w:w w:val="105"/>
          <w:sz w:val="19"/>
        </w:rPr>
        <w:t>Francisco.</w:t>
      </w:r>
      <w:r>
        <w:rPr>
          <w:spacing w:val="-19"/>
          <w:w w:val="105"/>
          <w:sz w:val="19"/>
        </w:rPr>
        <w:t> </w:t>
      </w:r>
      <w:r>
        <w:rPr>
          <w:w w:val="105"/>
          <w:sz w:val="19"/>
        </w:rPr>
        <w:t>(2005).</w:t>
      </w:r>
      <w:r>
        <w:rPr>
          <w:spacing w:val="-19"/>
          <w:w w:val="105"/>
          <w:sz w:val="19"/>
        </w:rPr>
        <w:t> </w:t>
      </w:r>
      <w:r>
        <w:rPr>
          <w:w w:val="105"/>
          <w:sz w:val="19"/>
        </w:rPr>
        <w:t>“The</w:t>
      </w:r>
      <w:r>
        <w:rPr>
          <w:spacing w:val="-17"/>
          <w:w w:val="105"/>
          <w:sz w:val="19"/>
        </w:rPr>
        <w:t> </w:t>
      </w:r>
      <w:r>
        <w:rPr>
          <w:w w:val="105"/>
          <w:sz w:val="19"/>
        </w:rPr>
        <w:t>Role</w:t>
      </w:r>
      <w:r>
        <w:rPr>
          <w:spacing w:val="-19"/>
          <w:w w:val="105"/>
          <w:sz w:val="19"/>
        </w:rPr>
        <w:t> </w:t>
      </w:r>
      <w:r>
        <w:rPr>
          <w:spacing w:val="2"/>
          <w:w w:val="105"/>
          <w:sz w:val="19"/>
        </w:rPr>
        <w:t>of</w:t>
      </w:r>
      <w:r>
        <w:rPr>
          <w:spacing w:val="-19"/>
          <w:w w:val="105"/>
          <w:sz w:val="19"/>
        </w:rPr>
        <w:t> </w:t>
      </w:r>
      <w:r>
        <w:rPr>
          <w:w w:val="105"/>
          <w:sz w:val="19"/>
        </w:rPr>
        <w:t>Regional</w:t>
      </w:r>
      <w:r>
        <w:rPr>
          <w:spacing w:val="-17"/>
          <w:w w:val="105"/>
          <w:sz w:val="19"/>
        </w:rPr>
        <w:t> </w:t>
      </w:r>
      <w:r>
        <w:rPr>
          <w:w w:val="105"/>
          <w:sz w:val="19"/>
        </w:rPr>
        <w:t>Political</w:t>
      </w:r>
      <w:r>
        <w:rPr>
          <w:spacing w:val="-17"/>
          <w:w w:val="105"/>
          <w:sz w:val="19"/>
        </w:rPr>
        <w:t> </w:t>
      </w:r>
      <w:r>
        <w:rPr>
          <w:w w:val="105"/>
          <w:sz w:val="19"/>
        </w:rPr>
        <w:t>Authorities</w:t>
      </w:r>
      <w:r>
        <w:rPr>
          <w:spacing w:val="-9"/>
          <w:w w:val="105"/>
          <w:sz w:val="19"/>
        </w:rPr>
        <w:t> </w:t>
      </w:r>
      <w:r>
        <w:rPr>
          <w:spacing w:val="-5"/>
          <w:w w:val="105"/>
          <w:sz w:val="19"/>
        </w:rPr>
        <w:t>in</w:t>
      </w:r>
      <w:r>
        <w:rPr>
          <w:spacing w:val="-14"/>
          <w:w w:val="105"/>
          <w:sz w:val="19"/>
        </w:rPr>
        <w:t> </w:t>
      </w:r>
      <w:r>
        <w:rPr>
          <w:w w:val="105"/>
          <w:sz w:val="19"/>
        </w:rPr>
        <w:t>the</w:t>
      </w:r>
      <w:r>
        <w:rPr>
          <w:spacing w:val="-14"/>
          <w:w w:val="105"/>
          <w:sz w:val="19"/>
        </w:rPr>
        <w:t> </w:t>
      </w:r>
      <w:r>
        <w:rPr>
          <w:w w:val="105"/>
          <w:sz w:val="19"/>
        </w:rPr>
        <w:t>National</w:t>
      </w:r>
      <w:r>
        <w:rPr>
          <w:spacing w:val="-17"/>
          <w:w w:val="105"/>
          <w:sz w:val="19"/>
        </w:rPr>
        <w:t> </w:t>
      </w:r>
      <w:r>
        <w:rPr>
          <w:w w:val="105"/>
          <w:sz w:val="19"/>
        </w:rPr>
        <w:t>Policymaking Process: A Comparative Perspective </w:t>
      </w:r>
      <w:r>
        <w:rPr>
          <w:spacing w:val="3"/>
          <w:w w:val="105"/>
          <w:sz w:val="19"/>
        </w:rPr>
        <w:t>of </w:t>
      </w:r>
      <w:r>
        <w:rPr>
          <w:w w:val="105"/>
          <w:sz w:val="19"/>
        </w:rPr>
        <w:t>Latin American Cases”. Banco Interamericano de Desarrollo,</w:t>
      </w:r>
      <w:r>
        <w:rPr>
          <w:spacing w:val="-33"/>
          <w:w w:val="105"/>
          <w:sz w:val="19"/>
        </w:rPr>
        <w:t> </w:t>
      </w:r>
      <w:r>
        <w:rPr>
          <w:w w:val="105"/>
          <w:sz w:val="19"/>
        </w:rPr>
        <w:t>Washington,</w:t>
      </w:r>
      <w:r>
        <w:rPr>
          <w:spacing w:val="-30"/>
          <w:w w:val="105"/>
          <w:sz w:val="19"/>
        </w:rPr>
        <w:t> </w:t>
      </w:r>
      <w:r>
        <w:rPr>
          <w:w w:val="105"/>
          <w:sz w:val="19"/>
        </w:rPr>
        <w:t>DC.</w:t>
      </w:r>
      <w:r>
        <w:rPr>
          <w:spacing w:val="-28"/>
          <w:w w:val="105"/>
          <w:sz w:val="19"/>
        </w:rPr>
        <w:t> </w:t>
      </w:r>
      <w:r>
        <w:rPr>
          <w:w w:val="105"/>
          <w:sz w:val="19"/>
        </w:rPr>
        <w:t>Mimeo.</w:t>
      </w:r>
    </w:p>
    <w:p>
      <w:pPr>
        <w:spacing w:line="247" w:lineRule="auto" w:before="3"/>
        <w:ind w:left="115" w:right="106" w:firstLine="0"/>
        <w:jc w:val="both"/>
        <w:rPr>
          <w:sz w:val="19"/>
        </w:rPr>
      </w:pPr>
      <w:r>
        <w:rPr>
          <w:b/>
          <w:w w:val="105"/>
          <w:sz w:val="19"/>
        </w:rPr>
        <w:t>Montaudon </w:t>
      </w:r>
      <w:r>
        <w:rPr>
          <w:w w:val="105"/>
          <w:sz w:val="19"/>
        </w:rPr>
        <w:t>T., Cynthia. (2004). “Historia de la calidad mundial”. México, Universidad Iberoamericana Puebla e Instituto de Estudios Superiores de Occidente.</w:t>
      </w:r>
    </w:p>
    <w:p>
      <w:pPr>
        <w:spacing w:line="247" w:lineRule="auto" w:before="0"/>
        <w:ind w:left="115" w:right="103" w:firstLine="0"/>
        <w:jc w:val="both"/>
        <w:rPr>
          <w:sz w:val="19"/>
        </w:rPr>
      </w:pPr>
      <w:r>
        <w:rPr>
          <w:b/>
          <w:w w:val="105"/>
          <w:sz w:val="19"/>
        </w:rPr>
        <w:t>Moyado</w:t>
      </w:r>
      <w:r>
        <w:rPr>
          <w:w w:val="105"/>
          <w:sz w:val="19"/>
        </w:rPr>
        <w:t>, Francisco (2010). “Gobernanza y calidad en la gestión pública”, en Gestión de Calidad, México. Siglo XXI editores.</w:t>
      </w:r>
    </w:p>
    <w:p>
      <w:pPr>
        <w:spacing w:line="242" w:lineRule="auto" w:before="0"/>
        <w:ind w:left="115" w:right="108" w:firstLine="0"/>
        <w:jc w:val="both"/>
        <w:rPr>
          <w:sz w:val="19"/>
        </w:rPr>
      </w:pPr>
      <w:r>
        <w:rPr>
          <w:b/>
          <w:w w:val="105"/>
          <w:sz w:val="19"/>
        </w:rPr>
        <w:t>Mueller</w:t>
      </w:r>
      <w:r>
        <w:rPr>
          <w:w w:val="105"/>
          <w:sz w:val="19"/>
        </w:rPr>
        <w:t>, Dennis. (1996ª). “Perspectives on Public Choice”. Cambridge, RU:Cambridge University Press.</w:t>
      </w:r>
    </w:p>
    <w:p>
      <w:pPr>
        <w:spacing w:line="247" w:lineRule="auto" w:before="5"/>
        <w:ind w:left="115" w:right="114" w:firstLine="0"/>
        <w:jc w:val="both"/>
        <w:rPr>
          <w:sz w:val="19"/>
        </w:rPr>
      </w:pPr>
      <w:r>
        <w:rPr>
          <w:b/>
          <w:w w:val="105"/>
          <w:sz w:val="19"/>
        </w:rPr>
        <w:t>Muñiz</w:t>
      </w:r>
      <w:r>
        <w:rPr>
          <w:w w:val="105"/>
          <w:sz w:val="19"/>
        </w:rPr>
        <w:t>,</w:t>
      </w:r>
      <w:r>
        <w:rPr>
          <w:spacing w:val="-3"/>
          <w:w w:val="105"/>
          <w:sz w:val="19"/>
        </w:rPr>
        <w:t> </w:t>
      </w:r>
      <w:r>
        <w:rPr>
          <w:w w:val="105"/>
          <w:sz w:val="19"/>
        </w:rPr>
        <w:t>M.,</w:t>
      </w:r>
      <w:r>
        <w:rPr>
          <w:spacing w:val="-8"/>
          <w:w w:val="105"/>
          <w:sz w:val="19"/>
        </w:rPr>
        <w:t> </w:t>
      </w:r>
      <w:r>
        <w:rPr>
          <w:w w:val="105"/>
          <w:sz w:val="19"/>
        </w:rPr>
        <w:t>P.</w:t>
      </w:r>
      <w:r>
        <w:rPr>
          <w:spacing w:val="-6"/>
          <w:w w:val="105"/>
          <w:sz w:val="19"/>
        </w:rPr>
        <w:t> </w:t>
      </w:r>
      <w:r>
        <w:rPr>
          <w:w w:val="105"/>
          <w:sz w:val="19"/>
        </w:rPr>
        <w:t>et.</w:t>
      </w:r>
      <w:r>
        <w:rPr>
          <w:spacing w:val="-7"/>
          <w:w w:val="105"/>
          <w:sz w:val="19"/>
        </w:rPr>
        <w:t> </w:t>
      </w:r>
      <w:r>
        <w:rPr>
          <w:w w:val="105"/>
          <w:sz w:val="19"/>
        </w:rPr>
        <w:t>al.</w:t>
      </w:r>
      <w:r>
        <w:rPr>
          <w:spacing w:val="-6"/>
          <w:w w:val="105"/>
          <w:sz w:val="19"/>
        </w:rPr>
        <w:t> </w:t>
      </w:r>
      <w:r>
        <w:rPr>
          <w:w w:val="105"/>
          <w:sz w:val="19"/>
        </w:rPr>
        <w:t>(2004 y</w:t>
      </w:r>
      <w:r>
        <w:rPr>
          <w:spacing w:val="-6"/>
          <w:w w:val="105"/>
          <w:sz w:val="19"/>
        </w:rPr>
        <w:t> </w:t>
      </w:r>
      <w:r>
        <w:rPr>
          <w:w w:val="105"/>
          <w:sz w:val="19"/>
        </w:rPr>
        <w:t>2005).</w:t>
      </w:r>
      <w:r>
        <w:rPr>
          <w:spacing w:val="-2"/>
          <w:w w:val="105"/>
          <w:sz w:val="19"/>
        </w:rPr>
        <w:t> </w:t>
      </w:r>
      <w:r>
        <w:rPr>
          <w:w w:val="105"/>
          <w:sz w:val="19"/>
        </w:rPr>
        <w:t>“Panorama</w:t>
      </w:r>
      <w:r>
        <w:rPr>
          <w:spacing w:val="-6"/>
          <w:w w:val="105"/>
          <w:sz w:val="19"/>
        </w:rPr>
        <w:t> </w:t>
      </w:r>
      <w:r>
        <w:rPr>
          <w:spacing w:val="-3"/>
          <w:w w:val="105"/>
          <w:sz w:val="19"/>
        </w:rPr>
        <w:t>educativo</w:t>
      </w:r>
      <w:r>
        <w:rPr>
          <w:spacing w:val="1"/>
          <w:w w:val="105"/>
          <w:sz w:val="19"/>
        </w:rPr>
        <w:t> </w:t>
      </w:r>
      <w:r>
        <w:rPr>
          <w:w w:val="105"/>
          <w:sz w:val="19"/>
        </w:rPr>
        <w:t>de México</w:t>
      </w:r>
      <w:r>
        <w:rPr>
          <w:spacing w:val="-6"/>
          <w:w w:val="105"/>
          <w:sz w:val="19"/>
        </w:rPr>
        <w:t> </w:t>
      </w:r>
      <w:r>
        <w:rPr>
          <w:w w:val="105"/>
          <w:sz w:val="19"/>
        </w:rPr>
        <w:t>2003 Y</w:t>
      </w:r>
      <w:r>
        <w:rPr>
          <w:spacing w:val="-6"/>
          <w:w w:val="105"/>
          <w:sz w:val="19"/>
        </w:rPr>
        <w:t> </w:t>
      </w:r>
      <w:r>
        <w:rPr>
          <w:w w:val="105"/>
          <w:sz w:val="19"/>
        </w:rPr>
        <w:t>2004.</w:t>
      </w:r>
      <w:r>
        <w:rPr>
          <w:spacing w:val="-6"/>
          <w:w w:val="105"/>
          <w:sz w:val="19"/>
        </w:rPr>
        <w:t> </w:t>
      </w:r>
      <w:r>
        <w:rPr>
          <w:w w:val="105"/>
          <w:sz w:val="19"/>
        </w:rPr>
        <w:t>Indicadores</w:t>
      </w:r>
      <w:r>
        <w:rPr>
          <w:spacing w:val="-6"/>
          <w:w w:val="105"/>
          <w:sz w:val="19"/>
        </w:rPr>
        <w:t> </w:t>
      </w:r>
      <w:r>
        <w:rPr>
          <w:w w:val="105"/>
          <w:sz w:val="19"/>
        </w:rPr>
        <w:t>del sistema</w:t>
      </w:r>
      <w:r>
        <w:rPr>
          <w:spacing w:val="-23"/>
          <w:w w:val="105"/>
          <w:sz w:val="19"/>
        </w:rPr>
        <w:t> </w:t>
      </w:r>
      <w:r>
        <w:rPr>
          <w:w w:val="105"/>
          <w:sz w:val="19"/>
        </w:rPr>
        <w:t>educativo</w:t>
      </w:r>
      <w:r>
        <w:rPr>
          <w:spacing w:val="-20"/>
          <w:w w:val="105"/>
          <w:sz w:val="19"/>
        </w:rPr>
        <w:t> </w:t>
      </w:r>
      <w:r>
        <w:rPr>
          <w:w w:val="105"/>
          <w:sz w:val="19"/>
        </w:rPr>
        <w:t>nacional”.</w:t>
      </w:r>
      <w:r>
        <w:rPr>
          <w:spacing w:val="-23"/>
          <w:w w:val="105"/>
          <w:sz w:val="19"/>
        </w:rPr>
        <w:t> </w:t>
      </w:r>
      <w:r>
        <w:rPr>
          <w:w w:val="105"/>
          <w:sz w:val="19"/>
        </w:rPr>
        <w:t>Instituto</w:t>
      </w:r>
      <w:r>
        <w:rPr>
          <w:spacing w:val="-20"/>
          <w:w w:val="105"/>
          <w:sz w:val="19"/>
        </w:rPr>
        <w:t> </w:t>
      </w:r>
      <w:r>
        <w:rPr>
          <w:w w:val="105"/>
          <w:sz w:val="19"/>
        </w:rPr>
        <w:t>Nacional</w:t>
      </w:r>
      <w:r>
        <w:rPr>
          <w:spacing w:val="-23"/>
          <w:w w:val="105"/>
          <w:sz w:val="19"/>
        </w:rPr>
        <w:t> </w:t>
      </w:r>
      <w:r>
        <w:rPr>
          <w:w w:val="105"/>
          <w:sz w:val="19"/>
        </w:rPr>
        <w:t>para</w:t>
      </w:r>
      <w:r>
        <w:rPr>
          <w:spacing w:val="-23"/>
          <w:w w:val="105"/>
          <w:sz w:val="19"/>
        </w:rPr>
        <w:t> </w:t>
      </w:r>
      <w:r>
        <w:rPr>
          <w:w w:val="105"/>
          <w:sz w:val="19"/>
        </w:rPr>
        <w:t>la</w:t>
      </w:r>
      <w:r>
        <w:rPr>
          <w:spacing w:val="-23"/>
          <w:w w:val="105"/>
          <w:sz w:val="19"/>
        </w:rPr>
        <w:t> </w:t>
      </w:r>
      <w:r>
        <w:rPr>
          <w:w w:val="105"/>
          <w:sz w:val="19"/>
        </w:rPr>
        <w:t>Evaluación</w:t>
      </w:r>
      <w:r>
        <w:rPr>
          <w:spacing w:val="-20"/>
          <w:w w:val="105"/>
          <w:sz w:val="19"/>
        </w:rPr>
        <w:t> </w:t>
      </w:r>
      <w:r>
        <w:rPr>
          <w:w w:val="105"/>
          <w:sz w:val="19"/>
        </w:rPr>
        <w:t>de</w:t>
      </w:r>
      <w:r>
        <w:rPr>
          <w:spacing w:val="-20"/>
          <w:w w:val="105"/>
          <w:sz w:val="19"/>
        </w:rPr>
        <w:t> </w:t>
      </w:r>
      <w:r>
        <w:rPr>
          <w:w w:val="105"/>
          <w:sz w:val="19"/>
        </w:rPr>
        <w:t>la</w:t>
      </w:r>
      <w:r>
        <w:rPr>
          <w:spacing w:val="-23"/>
          <w:w w:val="105"/>
          <w:sz w:val="19"/>
        </w:rPr>
        <w:t> </w:t>
      </w:r>
      <w:r>
        <w:rPr>
          <w:w w:val="105"/>
          <w:sz w:val="19"/>
        </w:rPr>
        <w:t>Educación,</w:t>
      </w:r>
      <w:r>
        <w:rPr>
          <w:spacing w:val="-25"/>
          <w:w w:val="105"/>
          <w:sz w:val="19"/>
        </w:rPr>
        <w:t> </w:t>
      </w:r>
      <w:r>
        <w:rPr>
          <w:w w:val="105"/>
          <w:sz w:val="19"/>
        </w:rPr>
        <w:t>México.</w:t>
      </w:r>
    </w:p>
    <w:p>
      <w:pPr>
        <w:spacing w:line="244" w:lineRule="auto" w:before="0"/>
        <w:ind w:left="115" w:right="103" w:firstLine="0"/>
        <w:jc w:val="both"/>
        <w:rPr>
          <w:sz w:val="19"/>
        </w:rPr>
      </w:pPr>
      <w:r>
        <w:rPr>
          <w:b/>
          <w:w w:val="105"/>
          <w:sz w:val="19"/>
        </w:rPr>
        <w:t>Muñoz</w:t>
      </w:r>
      <w:r>
        <w:rPr>
          <w:w w:val="105"/>
          <w:sz w:val="19"/>
        </w:rPr>
        <w:t>, Aldo. (2005). “El sindicalismo mexicano frente a la reforma del Estado. El impacto de la descentralización educativa y el cambio político en el Sindicato Nacional de Trabajadores de la Educación 1992-1998”, México: Universidad Iberoamericana.</w:t>
      </w:r>
    </w:p>
    <w:p>
      <w:pPr>
        <w:spacing w:line="244" w:lineRule="auto" w:before="3"/>
        <w:ind w:left="115" w:right="104" w:firstLine="0"/>
        <w:jc w:val="both"/>
        <w:rPr>
          <w:sz w:val="19"/>
        </w:rPr>
      </w:pPr>
      <w:r>
        <w:rPr>
          <w:w w:val="105"/>
          <w:sz w:val="19"/>
        </w:rPr>
        <w:t>---------------.</w:t>
      </w:r>
      <w:r>
        <w:rPr>
          <w:spacing w:val="-16"/>
          <w:w w:val="105"/>
          <w:sz w:val="19"/>
        </w:rPr>
        <w:t> </w:t>
      </w:r>
      <w:r>
        <w:rPr>
          <w:w w:val="105"/>
          <w:sz w:val="19"/>
        </w:rPr>
        <w:t>(2006a).</w:t>
      </w:r>
      <w:r>
        <w:rPr>
          <w:spacing w:val="-16"/>
          <w:w w:val="105"/>
          <w:sz w:val="19"/>
        </w:rPr>
        <w:t> </w:t>
      </w:r>
      <w:r>
        <w:rPr>
          <w:w w:val="105"/>
          <w:sz w:val="19"/>
        </w:rPr>
        <w:t>“Control</w:t>
      </w:r>
      <w:r>
        <w:rPr>
          <w:spacing w:val="-9"/>
          <w:w w:val="105"/>
          <w:sz w:val="19"/>
        </w:rPr>
        <w:t> </w:t>
      </w:r>
      <w:r>
        <w:rPr>
          <w:w w:val="105"/>
          <w:sz w:val="19"/>
        </w:rPr>
        <w:t>sindical</w:t>
      </w:r>
      <w:r>
        <w:rPr>
          <w:spacing w:val="-9"/>
          <w:w w:val="105"/>
          <w:sz w:val="19"/>
        </w:rPr>
        <w:t> </w:t>
      </w:r>
      <w:r>
        <w:rPr>
          <w:w w:val="105"/>
          <w:sz w:val="19"/>
        </w:rPr>
        <w:t>y</w:t>
      </w:r>
      <w:r>
        <w:rPr>
          <w:spacing w:val="-17"/>
          <w:w w:val="105"/>
          <w:sz w:val="19"/>
        </w:rPr>
        <w:t> </w:t>
      </w:r>
      <w:r>
        <w:rPr>
          <w:w w:val="105"/>
          <w:sz w:val="19"/>
        </w:rPr>
        <w:t>gobernabilidad:</w:t>
      </w:r>
      <w:r>
        <w:rPr>
          <w:spacing w:val="-12"/>
          <w:w w:val="105"/>
          <w:sz w:val="19"/>
        </w:rPr>
        <w:t> </w:t>
      </w:r>
      <w:r>
        <w:rPr>
          <w:w w:val="105"/>
          <w:sz w:val="19"/>
        </w:rPr>
        <w:t>paradojas</w:t>
      </w:r>
      <w:r>
        <w:rPr>
          <w:spacing w:val="-18"/>
          <w:w w:val="105"/>
          <w:sz w:val="19"/>
        </w:rPr>
        <w:t> </w:t>
      </w:r>
      <w:r>
        <w:rPr>
          <w:w w:val="105"/>
          <w:sz w:val="19"/>
        </w:rPr>
        <w:t>de</w:t>
      </w:r>
      <w:r>
        <w:rPr>
          <w:spacing w:val="-12"/>
          <w:w w:val="105"/>
          <w:sz w:val="19"/>
        </w:rPr>
        <w:t> </w:t>
      </w:r>
      <w:r>
        <w:rPr>
          <w:w w:val="105"/>
          <w:sz w:val="19"/>
        </w:rPr>
        <w:t>la</w:t>
      </w:r>
      <w:r>
        <w:rPr>
          <w:spacing w:val="-12"/>
          <w:w w:val="105"/>
          <w:sz w:val="19"/>
        </w:rPr>
        <w:t> </w:t>
      </w:r>
      <w:r>
        <w:rPr>
          <w:w w:val="105"/>
          <w:sz w:val="19"/>
        </w:rPr>
        <w:t>democracia</w:t>
      </w:r>
      <w:r>
        <w:rPr>
          <w:spacing w:val="-12"/>
          <w:w w:val="105"/>
          <w:sz w:val="19"/>
        </w:rPr>
        <w:t> </w:t>
      </w:r>
      <w:r>
        <w:rPr>
          <w:w w:val="105"/>
          <w:sz w:val="19"/>
        </w:rPr>
        <w:t>mexicana”,</w:t>
      </w:r>
      <w:r>
        <w:rPr>
          <w:spacing w:val="-12"/>
          <w:w w:val="105"/>
          <w:sz w:val="19"/>
        </w:rPr>
        <w:t> </w:t>
      </w:r>
      <w:r>
        <w:rPr>
          <w:spacing w:val="-3"/>
          <w:w w:val="105"/>
          <w:sz w:val="19"/>
        </w:rPr>
        <w:t>en </w:t>
      </w:r>
      <w:r>
        <w:rPr>
          <w:w w:val="105"/>
          <w:sz w:val="19"/>
        </w:rPr>
        <w:t>Darío</w:t>
      </w:r>
      <w:r>
        <w:rPr>
          <w:spacing w:val="-7"/>
          <w:w w:val="105"/>
          <w:sz w:val="19"/>
        </w:rPr>
        <w:t> </w:t>
      </w:r>
      <w:r>
        <w:rPr>
          <w:w w:val="105"/>
          <w:sz w:val="19"/>
        </w:rPr>
        <w:t>Salinas</w:t>
      </w:r>
      <w:r>
        <w:rPr>
          <w:spacing w:val="-5"/>
          <w:w w:val="105"/>
          <w:sz w:val="19"/>
        </w:rPr>
        <w:t> </w:t>
      </w:r>
      <w:r>
        <w:rPr>
          <w:w w:val="105"/>
          <w:sz w:val="19"/>
        </w:rPr>
        <w:t>(coord.)</w:t>
      </w:r>
      <w:r>
        <w:rPr>
          <w:spacing w:val="-7"/>
          <w:w w:val="105"/>
          <w:sz w:val="19"/>
        </w:rPr>
        <w:t> </w:t>
      </w:r>
      <w:r>
        <w:rPr>
          <w:w w:val="105"/>
          <w:sz w:val="19"/>
        </w:rPr>
        <w:t>“Democratización</w:t>
      </w:r>
      <w:r>
        <w:rPr>
          <w:spacing w:val="-2"/>
          <w:w w:val="105"/>
          <w:sz w:val="19"/>
        </w:rPr>
        <w:t> </w:t>
      </w:r>
      <w:r>
        <w:rPr>
          <w:w w:val="105"/>
          <w:sz w:val="19"/>
        </w:rPr>
        <w:t>y</w:t>
      </w:r>
      <w:r>
        <w:rPr>
          <w:spacing w:val="-7"/>
          <w:w w:val="105"/>
          <w:sz w:val="19"/>
        </w:rPr>
        <w:t> </w:t>
      </w:r>
      <w:r>
        <w:rPr>
          <w:w w:val="105"/>
          <w:sz w:val="19"/>
        </w:rPr>
        <w:t>tensiones</w:t>
      </w:r>
      <w:r>
        <w:rPr>
          <w:spacing w:val="-7"/>
          <w:w w:val="105"/>
          <w:sz w:val="19"/>
        </w:rPr>
        <w:t> </w:t>
      </w:r>
      <w:r>
        <w:rPr>
          <w:spacing w:val="-3"/>
          <w:w w:val="105"/>
          <w:sz w:val="19"/>
        </w:rPr>
        <w:t>de</w:t>
      </w:r>
      <w:r>
        <w:rPr>
          <w:spacing w:val="-7"/>
          <w:w w:val="105"/>
          <w:sz w:val="19"/>
        </w:rPr>
        <w:t> </w:t>
      </w:r>
      <w:r>
        <w:rPr>
          <w:w w:val="105"/>
          <w:sz w:val="19"/>
        </w:rPr>
        <w:t>gobernabilidad</w:t>
      </w:r>
      <w:r>
        <w:rPr>
          <w:spacing w:val="-7"/>
          <w:w w:val="105"/>
          <w:sz w:val="19"/>
        </w:rPr>
        <w:t> </w:t>
      </w:r>
      <w:r>
        <w:rPr>
          <w:w w:val="105"/>
          <w:sz w:val="19"/>
        </w:rPr>
        <w:t>en</w:t>
      </w:r>
      <w:r>
        <w:rPr>
          <w:spacing w:val="-7"/>
          <w:w w:val="105"/>
          <w:sz w:val="19"/>
        </w:rPr>
        <w:t> </w:t>
      </w:r>
      <w:r>
        <w:rPr>
          <w:w w:val="105"/>
          <w:sz w:val="19"/>
        </w:rPr>
        <w:t>mérica</w:t>
      </w:r>
      <w:r>
        <w:rPr>
          <w:spacing w:val="-7"/>
          <w:w w:val="105"/>
          <w:sz w:val="19"/>
        </w:rPr>
        <w:t> </w:t>
      </w:r>
      <w:r>
        <w:rPr>
          <w:w w:val="105"/>
          <w:sz w:val="19"/>
        </w:rPr>
        <w:t>Latina”,</w:t>
      </w:r>
      <w:r>
        <w:rPr>
          <w:spacing w:val="-7"/>
          <w:w w:val="105"/>
          <w:sz w:val="19"/>
        </w:rPr>
        <w:t> </w:t>
      </w:r>
      <w:r>
        <w:rPr>
          <w:w w:val="105"/>
          <w:sz w:val="19"/>
        </w:rPr>
        <w:t>México: </w:t>
      </w:r>
      <w:r>
        <w:rPr>
          <w:sz w:val="19"/>
        </w:rPr>
        <w:t>Gernika/Fundación  Friedrich</w:t>
      </w:r>
      <w:r>
        <w:rPr>
          <w:spacing w:val="8"/>
          <w:sz w:val="19"/>
        </w:rPr>
        <w:t> </w:t>
      </w:r>
      <w:r>
        <w:rPr>
          <w:spacing w:val="-2"/>
          <w:sz w:val="19"/>
        </w:rPr>
        <w:t>Ebert.</w:t>
      </w:r>
    </w:p>
    <w:p>
      <w:pPr>
        <w:spacing w:line="242" w:lineRule="auto" w:before="3"/>
        <w:ind w:left="115" w:right="106" w:firstLine="0"/>
        <w:jc w:val="both"/>
        <w:rPr>
          <w:sz w:val="19"/>
        </w:rPr>
      </w:pPr>
      <w:r>
        <w:rPr>
          <w:w w:val="105"/>
          <w:sz w:val="19"/>
        </w:rPr>
        <w:t>------------------.</w:t>
      </w:r>
      <w:r>
        <w:rPr>
          <w:spacing w:val="-20"/>
          <w:w w:val="105"/>
          <w:sz w:val="19"/>
        </w:rPr>
        <w:t> </w:t>
      </w:r>
      <w:r>
        <w:rPr>
          <w:w w:val="105"/>
          <w:sz w:val="19"/>
        </w:rPr>
        <w:t>(2006b).</w:t>
      </w:r>
      <w:r>
        <w:rPr>
          <w:spacing w:val="-16"/>
          <w:w w:val="105"/>
          <w:sz w:val="19"/>
        </w:rPr>
        <w:t> </w:t>
      </w:r>
      <w:r>
        <w:rPr>
          <w:w w:val="105"/>
          <w:sz w:val="19"/>
        </w:rPr>
        <w:t>“El</w:t>
      </w:r>
      <w:r>
        <w:rPr>
          <w:spacing w:val="-16"/>
          <w:w w:val="105"/>
          <w:sz w:val="19"/>
        </w:rPr>
        <w:t> </w:t>
      </w:r>
      <w:r>
        <w:rPr>
          <w:w w:val="105"/>
          <w:sz w:val="19"/>
        </w:rPr>
        <w:t>sindicalismo</w:t>
      </w:r>
      <w:r>
        <w:rPr>
          <w:spacing w:val="-16"/>
          <w:w w:val="105"/>
          <w:sz w:val="19"/>
        </w:rPr>
        <w:t> </w:t>
      </w:r>
      <w:r>
        <w:rPr>
          <w:w w:val="105"/>
          <w:sz w:val="19"/>
        </w:rPr>
        <w:t>corporativo</w:t>
      </w:r>
      <w:r>
        <w:rPr>
          <w:spacing w:val="-18"/>
          <w:w w:val="105"/>
          <w:sz w:val="19"/>
        </w:rPr>
        <w:t> </w:t>
      </w:r>
      <w:r>
        <w:rPr>
          <w:w w:val="105"/>
          <w:sz w:val="19"/>
        </w:rPr>
        <w:t>mexicano</w:t>
      </w:r>
      <w:r>
        <w:rPr>
          <w:spacing w:val="-16"/>
          <w:w w:val="105"/>
          <w:sz w:val="19"/>
        </w:rPr>
        <w:t> </w:t>
      </w:r>
      <w:r>
        <w:rPr>
          <w:w w:val="105"/>
          <w:sz w:val="19"/>
        </w:rPr>
        <w:t>y</w:t>
      </w:r>
      <w:r>
        <w:rPr>
          <w:spacing w:val="-19"/>
          <w:w w:val="105"/>
          <w:sz w:val="19"/>
        </w:rPr>
        <w:t> </w:t>
      </w:r>
      <w:r>
        <w:rPr>
          <w:w w:val="105"/>
          <w:sz w:val="19"/>
        </w:rPr>
        <w:t>los</w:t>
      </w:r>
      <w:r>
        <w:rPr>
          <w:spacing w:val="-16"/>
          <w:w w:val="105"/>
          <w:sz w:val="19"/>
        </w:rPr>
        <w:t> </w:t>
      </w:r>
      <w:r>
        <w:rPr>
          <w:w w:val="105"/>
          <w:sz w:val="19"/>
        </w:rPr>
        <w:t>partidos</w:t>
      </w:r>
      <w:r>
        <w:rPr>
          <w:spacing w:val="-21"/>
          <w:w w:val="105"/>
          <w:sz w:val="19"/>
        </w:rPr>
        <w:t> </w:t>
      </w:r>
      <w:r>
        <w:rPr>
          <w:w w:val="105"/>
          <w:sz w:val="19"/>
        </w:rPr>
        <w:t>políticos</w:t>
      </w:r>
      <w:r>
        <w:rPr>
          <w:spacing w:val="-13"/>
          <w:w w:val="105"/>
          <w:sz w:val="19"/>
        </w:rPr>
        <w:t> </w:t>
      </w:r>
      <w:r>
        <w:rPr>
          <w:w w:val="105"/>
          <w:sz w:val="19"/>
        </w:rPr>
        <w:t>en</w:t>
      </w:r>
      <w:r>
        <w:rPr>
          <w:spacing w:val="-16"/>
          <w:w w:val="105"/>
          <w:sz w:val="19"/>
        </w:rPr>
        <w:t> </w:t>
      </w:r>
      <w:r>
        <w:rPr>
          <w:w w:val="105"/>
          <w:sz w:val="19"/>
        </w:rPr>
        <w:t>tiempos</w:t>
      </w:r>
      <w:r>
        <w:rPr>
          <w:spacing w:val="-16"/>
          <w:w w:val="105"/>
          <w:sz w:val="19"/>
        </w:rPr>
        <w:t> </w:t>
      </w:r>
      <w:r>
        <w:rPr>
          <w:w w:val="105"/>
          <w:sz w:val="19"/>
        </w:rPr>
        <w:t>de alternancia”,</w:t>
      </w:r>
      <w:r>
        <w:rPr>
          <w:spacing w:val="-29"/>
          <w:w w:val="105"/>
          <w:sz w:val="19"/>
        </w:rPr>
        <w:t> </w:t>
      </w:r>
      <w:r>
        <w:rPr>
          <w:w w:val="105"/>
          <w:sz w:val="19"/>
        </w:rPr>
        <w:t>Nueva</w:t>
      </w:r>
      <w:r>
        <w:rPr>
          <w:spacing w:val="-27"/>
          <w:w w:val="105"/>
          <w:sz w:val="19"/>
        </w:rPr>
        <w:t> </w:t>
      </w:r>
      <w:r>
        <w:rPr>
          <w:w w:val="105"/>
          <w:sz w:val="19"/>
        </w:rPr>
        <w:t>Antropología</w:t>
      </w:r>
      <w:r>
        <w:rPr>
          <w:spacing w:val="-27"/>
          <w:w w:val="105"/>
          <w:sz w:val="19"/>
        </w:rPr>
        <w:t> </w:t>
      </w:r>
      <w:r>
        <w:rPr>
          <w:w w:val="105"/>
          <w:sz w:val="19"/>
        </w:rPr>
        <w:t>núm.</w:t>
      </w:r>
      <w:r>
        <w:rPr>
          <w:spacing w:val="-29"/>
          <w:w w:val="105"/>
          <w:sz w:val="19"/>
        </w:rPr>
        <w:t> </w:t>
      </w:r>
      <w:r>
        <w:rPr>
          <w:w w:val="105"/>
          <w:sz w:val="19"/>
        </w:rPr>
        <w:t>66,</w:t>
      </w:r>
      <w:r>
        <w:rPr>
          <w:spacing w:val="-30"/>
          <w:w w:val="105"/>
          <w:sz w:val="19"/>
        </w:rPr>
        <w:t> </w:t>
      </w:r>
      <w:r>
        <w:rPr>
          <w:w w:val="105"/>
          <w:sz w:val="19"/>
        </w:rPr>
        <w:t>México:</w:t>
      </w:r>
      <w:r>
        <w:rPr>
          <w:spacing w:val="-30"/>
          <w:w w:val="105"/>
          <w:sz w:val="19"/>
        </w:rPr>
        <w:t> </w:t>
      </w:r>
      <w:r>
        <w:rPr>
          <w:w w:val="105"/>
          <w:sz w:val="19"/>
        </w:rPr>
        <w:t>Conaculta/INAH.</w:t>
      </w:r>
    </w:p>
    <w:p>
      <w:pPr>
        <w:spacing w:line="252" w:lineRule="auto" w:before="0"/>
        <w:ind w:left="115" w:right="104" w:firstLine="0"/>
        <w:jc w:val="both"/>
        <w:rPr>
          <w:sz w:val="19"/>
        </w:rPr>
      </w:pPr>
      <w:r>
        <w:rPr>
          <w:i/>
          <w:w w:val="105"/>
          <w:sz w:val="19"/>
        </w:rPr>
        <w:t>-------------t.</w:t>
      </w:r>
      <w:r>
        <w:rPr>
          <w:i/>
          <w:spacing w:val="-7"/>
          <w:w w:val="105"/>
          <w:sz w:val="19"/>
        </w:rPr>
        <w:t> </w:t>
      </w:r>
      <w:r>
        <w:rPr>
          <w:i/>
          <w:w w:val="105"/>
          <w:sz w:val="19"/>
        </w:rPr>
        <w:t>al.</w:t>
      </w:r>
      <w:r>
        <w:rPr>
          <w:w w:val="105"/>
          <w:sz w:val="19"/>
        </w:rPr>
        <w:t>,</w:t>
      </w:r>
      <w:r>
        <w:rPr>
          <w:spacing w:val="-7"/>
          <w:w w:val="105"/>
          <w:sz w:val="19"/>
        </w:rPr>
        <w:t> </w:t>
      </w:r>
      <w:r>
        <w:rPr>
          <w:w w:val="105"/>
          <w:sz w:val="19"/>
        </w:rPr>
        <w:t>(2008)</w:t>
      </w:r>
      <w:r>
        <w:rPr>
          <w:spacing w:val="-8"/>
          <w:w w:val="105"/>
          <w:sz w:val="19"/>
        </w:rPr>
        <w:t> </w:t>
      </w:r>
      <w:r>
        <w:rPr>
          <w:i/>
          <w:w w:val="105"/>
          <w:sz w:val="19"/>
        </w:rPr>
        <w:t>La</w:t>
      </w:r>
      <w:r>
        <w:rPr>
          <w:i/>
          <w:spacing w:val="-9"/>
          <w:w w:val="105"/>
          <w:sz w:val="19"/>
        </w:rPr>
        <w:t> </w:t>
      </w:r>
      <w:r>
        <w:rPr>
          <w:i/>
          <w:w w:val="105"/>
          <w:sz w:val="19"/>
        </w:rPr>
        <w:t>nueva</w:t>
      </w:r>
      <w:r>
        <w:rPr>
          <w:i/>
          <w:spacing w:val="-9"/>
          <w:w w:val="105"/>
          <w:sz w:val="19"/>
        </w:rPr>
        <w:t> </w:t>
      </w:r>
      <w:r>
        <w:rPr>
          <w:i/>
          <w:w w:val="105"/>
          <w:sz w:val="19"/>
        </w:rPr>
        <w:t>alianza</w:t>
      </w:r>
      <w:r>
        <w:rPr>
          <w:i/>
          <w:spacing w:val="-9"/>
          <w:w w:val="105"/>
          <w:sz w:val="19"/>
        </w:rPr>
        <w:t> </w:t>
      </w:r>
      <w:r>
        <w:rPr>
          <w:i/>
          <w:w w:val="105"/>
          <w:sz w:val="19"/>
        </w:rPr>
        <w:t>por</w:t>
      </w:r>
      <w:r>
        <w:rPr>
          <w:i/>
          <w:spacing w:val="-7"/>
          <w:w w:val="105"/>
          <w:sz w:val="19"/>
        </w:rPr>
        <w:t> </w:t>
      </w:r>
      <w:r>
        <w:rPr>
          <w:i/>
          <w:w w:val="105"/>
          <w:sz w:val="19"/>
        </w:rPr>
        <w:t>la</w:t>
      </w:r>
      <w:r>
        <w:rPr>
          <w:i/>
          <w:spacing w:val="-9"/>
          <w:w w:val="105"/>
          <w:sz w:val="19"/>
        </w:rPr>
        <w:t> </w:t>
      </w:r>
      <w:r>
        <w:rPr>
          <w:i/>
          <w:w w:val="105"/>
          <w:sz w:val="19"/>
        </w:rPr>
        <w:t>calidad</w:t>
      </w:r>
      <w:r>
        <w:rPr>
          <w:i/>
          <w:spacing w:val="-9"/>
          <w:w w:val="105"/>
          <w:sz w:val="19"/>
        </w:rPr>
        <w:t> </w:t>
      </w:r>
      <w:r>
        <w:rPr>
          <w:i/>
          <w:w w:val="105"/>
          <w:sz w:val="19"/>
        </w:rPr>
        <w:t>educativa</w:t>
      </w:r>
      <w:r>
        <w:rPr>
          <w:w w:val="105"/>
          <w:sz w:val="19"/>
        </w:rPr>
        <w:t>.</w:t>
      </w:r>
      <w:r>
        <w:rPr>
          <w:spacing w:val="-7"/>
          <w:w w:val="105"/>
          <w:sz w:val="19"/>
        </w:rPr>
        <w:t> </w:t>
      </w:r>
      <w:r>
        <w:rPr>
          <w:w w:val="105"/>
          <w:sz w:val="19"/>
        </w:rPr>
        <w:t>México.</w:t>
      </w:r>
      <w:r>
        <w:rPr>
          <w:spacing w:val="-5"/>
          <w:w w:val="105"/>
          <w:sz w:val="19"/>
        </w:rPr>
        <w:t> </w:t>
      </w:r>
      <w:r>
        <w:rPr>
          <w:w w:val="105"/>
          <w:sz w:val="19"/>
        </w:rPr>
        <w:t>Observatorio</w:t>
      </w:r>
      <w:r>
        <w:rPr>
          <w:spacing w:val="-5"/>
          <w:w w:val="105"/>
          <w:sz w:val="19"/>
        </w:rPr>
        <w:t> </w:t>
      </w:r>
      <w:r>
        <w:rPr>
          <w:w w:val="105"/>
          <w:sz w:val="19"/>
        </w:rPr>
        <w:t>Ciudadano de la</w:t>
      </w:r>
      <w:r>
        <w:rPr>
          <w:spacing w:val="-39"/>
          <w:w w:val="105"/>
          <w:sz w:val="19"/>
        </w:rPr>
        <w:t> </w:t>
      </w:r>
      <w:r>
        <w:rPr>
          <w:w w:val="105"/>
          <w:sz w:val="19"/>
        </w:rPr>
        <w:t>Educación.</w:t>
      </w:r>
    </w:p>
    <w:p>
      <w:pPr>
        <w:spacing w:line="244" w:lineRule="auto" w:before="0"/>
        <w:ind w:left="115" w:right="106" w:firstLine="0"/>
        <w:jc w:val="both"/>
        <w:rPr>
          <w:sz w:val="19"/>
        </w:rPr>
      </w:pPr>
      <w:r>
        <w:rPr>
          <w:w w:val="105"/>
          <w:sz w:val="19"/>
        </w:rPr>
        <w:t>------------------.</w:t>
      </w:r>
      <w:r>
        <w:rPr>
          <w:spacing w:val="-12"/>
          <w:w w:val="105"/>
          <w:sz w:val="19"/>
        </w:rPr>
        <w:t> </w:t>
      </w:r>
      <w:r>
        <w:rPr>
          <w:w w:val="105"/>
          <w:sz w:val="19"/>
        </w:rPr>
        <w:t>(2010).</w:t>
      </w:r>
      <w:r>
        <w:rPr>
          <w:spacing w:val="-13"/>
          <w:w w:val="105"/>
          <w:sz w:val="19"/>
        </w:rPr>
        <w:t> </w:t>
      </w:r>
      <w:r>
        <w:rPr>
          <w:spacing w:val="-3"/>
          <w:w w:val="105"/>
          <w:sz w:val="19"/>
        </w:rPr>
        <w:t>“La</w:t>
      </w:r>
      <w:r>
        <w:rPr>
          <w:spacing w:val="-7"/>
          <w:w w:val="105"/>
          <w:sz w:val="19"/>
        </w:rPr>
        <w:t> </w:t>
      </w:r>
      <w:r>
        <w:rPr>
          <w:w w:val="105"/>
          <w:sz w:val="19"/>
        </w:rPr>
        <w:t>influencia</w:t>
      </w:r>
      <w:r>
        <w:rPr>
          <w:spacing w:val="-10"/>
          <w:w w:val="105"/>
          <w:sz w:val="19"/>
        </w:rPr>
        <w:t> </w:t>
      </w:r>
      <w:r>
        <w:rPr>
          <w:w w:val="105"/>
          <w:sz w:val="19"/>
        </w:rPr>
        <w:t>del</w:t>
      </w:r>
      <w:r>
        <w:rPr>
          <w:spacing w:val="-5"/>
          <w:w w:val="105"/>
          <w:sz w:val="19"/>
        </w:rPr>
        <w:t> </w:t>
      </w:r>
      <w:r>
        <w:rPr>
          <w:w w:val="105"/>
          <w:sz w:val="19"/>
        </w:rPr>
        <w:t>SNTE.</w:t>
      </w:r>
      <w:r>
        <w:rPr>
          <w:spacing w:val="-13"/>
          <w:w w:val="105"/>
          <w:sz w:val="19"/>
        </w:rPr>
        <w:t> </w:t>
      </w:r>
      <w:r>
        <w:rPr>
          <w:w w:val="105"/>
          <w:sz w:val="19"/>
        </w:rPr>
        <w:t>El</w:t>
      </w:r>
      <w:r>
        <w:rPr>
          <w:spacing w:val="-6"/>
          <w:w w:val="105"/>
          <w:sz w:val="19"/>
        </w:rPr>
        <w:t> </w:t>
      </w:r>
      <w:r>
        <w:rPr>
          <w:spacing w:val="-4"/>
          <w:w w:val="105"/>
          <w:sz w:val="19"/>
        </w:rPr>
        <w:t>reto</w:t>
      </w:r>
      <w:r>
        <w:rPr>
          <w:spacing w:val="-10"/>
          <w:w w:val="105"/>
          <w:sz w:val="19"/>
        </w:rPr>
        <w:t> </w:t>
      </w:r>
      <w:r>
        <w:rPr>
          <w:w w:val="105"/>
          <w:sz w:val="19"/>
        </w:rPr>
        <w:t>de</w:t>
      </w:r>
      <w:r>
        <w:rPr>
          <w:spacing w:val="-10"/>
          <w:w w:val="105"/>
          <w:sz w:val="19"/>
        </w:rPr>
        <w:t> </w:t>
      </w:r>
      <w:r>
        <w:rPr>
          <w:w w:val="105"/>
          <w:sz w:val="19"/>
        </w:rPr>
        <w:t>gobierno</w:t>
      </w:r>
      <w:r>
        <w:rPr>
          <w:spacing w:val="-7"/>
          <w:w w:val="105"/>
          <w:sz w:val="19"/>
        </w:rPr>
        <w:t> </w:t>
      </w:r>
      <w:r>
        <w:rPr>
          <w:w w:val="105"/>
          <w:sz w:val="19"/>
        </w:rPr>
        <w:t>y</w:t>
      </w:r>
      <w:r>
        <w:rPr>
          <w:spacing w:val="-13"/>
          <w:w w:val="105"/>
          <w:sz w:val="19"/>
        </w:rPr>
        <w:t> </w:t>
      </w:r>
      <w:r>
        <w:rPr>
          <w:w w:val="105"/>
          <w:sz w:val="19"/>
        </w:rPr>
        <w:t>sindicato</w:t>
      </w:r>
      <w:r>
        <w:rPr>
          <w:spacing w:val="-7"/>
          <w:w w:val="105"/>
          <w:sz w:val="19"/>
        </w:rPr>
        <w:t> </w:t>
      </w:r>
      <w:r>
        <w:rPr>
          <w:w w:val="105"/>
          <w:sz w:val="19"/>
        </w:rPr>
        <w:t>es</w:t>
      </w:r>
      <w:r>
        <w:rPr>
          <w:spacing w:val="-13"/>
          <w:w w:val="105"/>
          <w:sz w:val="19"/>
        </w:rPr>
        <w:t> </w:t>
      </w:r>
      <w:r>
        <w:rPr>
          <w:w w:val="105"/>
          <w:sz w:val="19"/>
        </w:rPr>
        <w:t>que</w:t>
      </w:r>
      <w:r>
        <w:rPr>
          <w:spacing w:val="-10"/>
          <w:w w:val="105"/>
          <w:sz w:val="19"/>
        </w:rPr>
        <w:t> </w:t>
      </w:r>
      <w:r>
        <w:rPr>
          <w:w w:val="105"/>
          <w:sz w:val="19"/>
        </w:rPr>
        <w:t>el</w:t>
      </w:r>
      <w:r>
        <w:rPr>
          <w:spacing w:val="-10"/>
          <w:w w:val="105"/>
          <w:sz w:val="19"/>
        </w:rPr>
        <w:t> </w:t>
      </w:r>
      <w:r>
        <w:rPr>
          <w:w w:val="105"/>
          <w:sz w:val="19"/>
        </w:rPr>
        <w:t>magisterio fortalezca</w:t>
      </w:r>
      <w:r>
        <w:rPr>
          <w:spacing w:val="-15"/>
          <w:w w:val="105"/>
          <w:sz w:val="19"/>
        </w:rPr>
        <w:t> </w:t>
      </w:r>
      <w:r>
        <w:rPr>
          <w:w w:val="105"/>
          <w:sz w:val="19"/>
        </w:rPr>
        <w:t>su</w:t>
      </w:r>
      <w:r>
        <w:rPr>
          <w:spacing w:val="-15"/>
          <w:w w:val="105"/>
          <w:sz w:val="19"/>
        </w:rPr>
        <w:t> </w:t>
      </w:r>
      <w:r>
        <w:rPr>
          <w:w w:val="105"/>
          <w:sz w:val="19"/>
        </w:rPr>
        <w:t>fuerza</w:t>
      </w:r>
      <w:r>
        <w:rPr>
          <w:spacing w:val="-10"/>
          <w:w w:val="105"/>
          <w:sz w:val="19"/>
        </w:rPr>
        <w:t> </w:t>
      </w:r>
      <w:r>
        <w:rPr>
          <w:w w:val="105"/>
          <w:sz w:val="19"/>
        </w:rPr>
        <w:t>organizativa</w:t>
      </w:r>
      <w:r>
        <w:rPr>
          <w:spacing w:val="-12"/>
          <w:w w:val="105"/>
          <w:sz w:val="19"/>
        </w:rPr>
        <w:t> </w:t>
      </w:r>
      <w:r>
        <w:rPr>
          <w:w w:val="105"/>
          <w:sz w:val="19"/>
        </w:rPr>
        <w:t>a</w:t>
      </w:r>
      <w:r>
        <w:rPr>
          <w:spacing w:val="-12"/>
          <w:w w:val="105"/>
          <w:sz w:val="19"/>
        </w:rPr>
        <w:t> </w:t>
      </w:r>
      <w:r>
        <w:rPr>
          <w:w w:val="105"/>
          <w:sz w:val="19"/>
        </w:rPr>
        <w:t>partir</w:t>
      </w:r>
      <w:r>
        <w:rPr>
          <w:spacing w:val="-15"/>
          <w:w w:val="105"/>
          <w:sz w:val="19"/>
        </w:rPr>
        <w:t> </w:t>
      </w:r>
      <w:r>
        <w:rPr>
          <w:spacing w:val="2"/>
          <w:w w:val="105"/>
          <w:sz w:val="19"/>
        </w:rPr>
        <w:t>de</w:t>
      </w:r>
      <w:r>
        <w:rPr>
          <w:spacing w:val="-15"/>
          <w:w w:val="105"/>
          <w:sz w:val="19"/>
        </w:rPr>
        <w:t> </w:t>
      </w:r>
      <w:r>
        <w:rPr>
          <w:w w:val="105"/>
          <w:sz w:val="19"/>
        </w:rPr>
        <w:t>la</w:t>
      </w:r>
      <w:r>
        <w:rPr>
          <w:spacing w:val="-15"/>
          <w:w w:val="105"/>
          <w:sz w:val="19"/>
        </w:rPr>
        <w:t> </w:t>
      </w:r>
      <w:r>
        <w:rPr>
          <w:w w:val="105"/>
          <w:sz w:val="19"/>
        </w:rPr>
        <w:t>actuación</w:t>
      </w:r>
      <w:r>
        <w:rPr>
          <w:spacing w:val="-12"/>
          <w:w w:val="105"/>
          <w:sz w:val="19"/>
        </w:rPr>
        <w:t> </w:t>
      </w:r>
      <w:r>
        <w:rPr>
          <w:w w:val="105"/>
          <w:sz w:val="19"/>
        </w:rPr>
        <w:t>transparente</w:t>
      </w:r>
      <w:r>
        <w:rPr>
          <w:spacing w:val="-15"/>
          <w:w w:val="105"/>
          <w:sz w:val="19"/>
        </w:rPr>
        <w:t> </w:t>
      </w:r>
      <w:r>
        <w:rPr>
          <w:spacing w:val="-3"/>
          <w:w w:val="105"/>
          <w:sz w:val="19"/>
        </w:rPr>
        <w:t>de</w:t>
      </w:r>
      <w:r>
        <w:rPr>
          <w:spacing w:val="-8"/>
          <w:w w:val="105"/>
          <w:sz w:val="19"/>
        </w:rPr>
        <w:t> </w:t>
      </w:r>
      <w:r>
        <w:rPr>
          <w:spacing w:val="-3"/>
          <w:w w:val="105"/>
          <w:sz w:val="19"/>
        </w:rPr>
        <w:t>sus</w:t>
      </w:r>
      <w:r>
        <w:rPr>
          <w:spacing w:val="-15"/>
          <w:w w:val="105"/>
          <w:sz w:val="19"/>
        </w:rPr>
        <w:t> </w:t>
      </w:r>
      <w:r>
        <w:rPr>
          <w:w w:val="105"/>
          <w:sz w:val="19"/>
        </w:rPr>
        <w:t>líderes”.</w:t>
      </w:r>
      <w:r>
        <w:rPr>
          <w:spacing w:val="-17"/>
          <w:w w:val="105"/>
          <w:sz w:val="19"/>
        </w:rPr>
        <w:t> </w:t>
      </w:r>
      <w:r>
        <w:rPr>
          <w:w w:val="105"/>
          <w:sz w:val="19"/>
        </w:rPr>
        <w:t>Jueves</w:t>
      </w:r>
      <w:r>
        <w:rPr>
          <w:spacing w:val="-18"/>
          <w:w w:val="105"/>
          <w:sz w:val="19"/>
        </w:rPr>
        <w:t> </w:t>
      </w:r>
      <w:r>
        <w:rPr>
          <w:w w:val="105"/>
          <w:sz w:val="19"/>
        </w:rPr>
        <w:t>14</w:t>
      </w:r>
      <w:r>
        <w:rPr>
          <w:spacing w:val="-15"/>
          <w:w w:val="105"/>
          <w:sz w:val="19"/>
        </w:rPr>
        <w:t> </w:t>
      </w:r>
      <w:r>
        <w:rPr>
          <w:w w:val="105"/>
          <w:sz w:val="19"/>
        </w:rPr>
        <w:t>de octubre</w:t>
      </w:r>
      <w:r>
        <w:rPr>
          <w:spacing w:val="-18"/>
          <w:w w:val="105"/>
          <w:sz w:val="19"/>
        </w:rPr>
        <w:t> </w:t>
      </w:r>
      <w:r>
        <w:rPr>
          <w:w w:val="105"/>
          <w:sz w:val="19"/>
        </w:rPr>
        <w:t>de</w:t>
      </w:r>
      <w:r>
        <w:rPr>
          <w:spacing w:val="-18"/>
          <w:w w:val="105"/>
          <w:sz w:val="19"/>
        </w:rPr>
        <w:t> </w:t>
      </w:r>
      <w:r>
        <w:rPr>
          <w:w w:val="105"/>
          <w:sz w:val="19"/>
        </w:rPr>
        <w:t>2010</w:t>
      </w:r>
      <w:r>
        <w:rPr>
          <w:spacing w:val="-18"/>
          <w:w w:val="105"/>
          <w:sz w:val="19"/>
        </w:rPr>
        <w:t> </w:t>
      </w:r>
      <w:r>
        <w:rPr>
          <w:w w:val="105"/>
          <w:sz w:val="19"/>
        </w:rPr>
        <w:t>Aldo</w:t>
      </w:r>
      <w:r>
        <w:rPr>
          <w:spacing w:val="-18"/>
          <w:w w:val="105"/>
          <w:sz w:val="19"/>
        </w:rPr>
        <w:t> </w:t>
      </w:r>
      <w:r>
        <w:rPr>
          <w:w w:val="105"/>
          <w:sz w:val="19"/>
        </w:rPr>
        <w:t>Muñoz</w:t>
      </w:r>
      <w:r>
        <w:rPr>
          <w:spacing w:val="-17"/>
          <w:w w:val="105"/>
          <w:sz w:val="19"/>
        </w:rPr>
        <w:t> </w:t>
      </w:r>
      <w:r>
        <w:rPr>
          <w:w w:val="105"/>
          <w:sz w:val="19"/>
        </w:rPr>
        <w:t>Armenta</w:t>
      </w:r>
      <w:r>
        <w:rPr>
          <w:spacing w:val="-15"/>
          <w:w w:val="105"/>
          <w:sz w:val="19"/>
        </w:rPr>
        <w:t> </w:t>
      </w:r>
      <w:r>
        <w:rPr>
          <w:w w:val="105"/>
          <w:sz w:val="19"/>
        </w:rPr>
        <w:t>|</w:t>
      </w:r>
      <w:r>
        <w:rPr>
          <w:spacing w:val="-22"/>
          <w:w w:val="105"/>
          <w:sz w:val="19"/>
        </w:rPr>
        <w:t> </w:t>
      </w:r>
      <w:r>
        <w:rPr>
          <w:w w:val="105"/>
          <w:sz w:val="19"/>
        </w:rPr>
        <w:t>El</w:t>
      </w:r>
      <w:r>
        <w:rPr>
          <w:spacing w:val="-19"/>
          <w:w w:val="105"/>
          <w:sz w:val="19"/>
        </w:rPr>
        <w:t> </w:t>
      </w:r>
      <w:r>
        <w:rPr>
          <w:w w:val="105"/>
          <w:sz w:val="19"/>
        </w:rPr>
        <w:t>Universal</w:t>
      </w:r>
    </w:p>
    <w:p>
      <w:pPr>
        <w:tabs>
          <w:tab w:pos="6298" w:val="left" w:leader="none"/>
          <w:tab w:pos="7400" w:val="left" w:leader="none"/>
          <w:tab w:pos="8496" w:val="left" w:leader="none"/>
        </w:tabs>
        <w:spacing w:line="247" w:lineRule="auto" w:before="3"/>
        <w:ind w:left="115" w:right="101" w:firstLine="0"/>
        <w:jc w:val="left"/>
        <w:rPr>
          <w:sz w:val="19"/>
        </w:rPr>
      </w:pPr>
      <w:r>
        <w:rPr>
          <w:w w:val="105"/>
          <w:sz w:val="19"/>
        </w:rPr>
        <w:t>------------------. (2010). </w:t>
      </w:r>
      <w:r>
        <w:rPr>
          <w:spacing w:val="-3"/>
          <w:w w:val="105"/>
          <w:sz w:val="19"/>
        </w:rPr>
        <w:t>“El </w:t>
      </w:r>
      <w:r>
        <w:rPr>
          <w:w w:val="105"/>
          <w:sz w:val="19"/>
        </w:rPr>
        <w:t>SNTE y Nueva alianza: </w:t>
      </w:r>
      <w:r>
        <w:rPr>
          <w:spacing w:val="-4"/>
          <w:w w:val="105"/>
          <w:sz w:val="19"/>
        </w:rPr>
        <w:t>del </w:t>
      </w:r>
      <w:r>
        <w:rPr>
          <w:w w:val="105"/>
          <w:sz w:val="19"/>
        </w:rPr>
        <w:t>control político del magisterio a la cohabitación pragmática electoral”. El Cotidiano, núm. 168, julio-agosto, 2011, pp. 95-107 Universidad Autónoma Metropolitana – Azcapotzalco Distrito Federal, México. Disponible en: </w:t>
      </w:r>
      <w:hyperlink r:id="rId160">
        <w:r>
          <w:rPr>
            <w:color w:val="0000FF"/>
            <w:spacing w:val="-1"/>
            <w:sz w:val="19"/>
            <w:u w:val="single" w:color="0000FF"/>
          </w:rPr>
          <w:t>http://www.redalyc.org/src/inicio/ArtPdfRed.jsp?iCve=32519319009</w:t>
        </w:r>
      </w:hyperlink>
      <w:r>
        <w:rPr>
          <w:color w:val="0000FF"/>
          <w:spacing w:val="-1"/>
          <w:sz w:val="19"/>
        </w:rPr>
        <w:tab/>
      </w:r>
      <w:r>
        <w:rPr>
          <w:w w:val="105"/>
          <w:sz w:val="19"/>
        </w:rPr>
        <w:t>Redalyc</w:t>
        <w:tab/>
        <w:t>Sistema</w:t>
        <w:tab/>
        <w:t>de Información</w:t>
      </w:r>
      <w:r>
        <w:rPr>
          <w:spacing w:val="-21"/>
          <w:w w:val="105"/>
          <w:sz w:val="19"/>
        </w:rPr>
        <w:t> </w:t>
      </w:r>
      <w:r>
        <w:rPr>
          <w:w w:val="105"/>
          <w:sz w:val="19"/>
        </w:rPr>
        <w:t>Científica</w:t>
      </w:r>
      <w:r>
        <w:rPr>
          <w:spacing w:val="-13"/>
          <w:w w:val="105"/>
          <w:sz w:val="19"/>
        </w:rPr>
        <w:t> </w:t>
      </w:r>
      <w:r>
        <w:rPr>
          <w:spacing w:val="-3"/>
          <w:w w:val="105"/>
          <w:sz w:val="19"/>
        </w:rPr>
        <w:t>Red</w:t>
      </w:r>
      <w:r>
        <w:rPr>
          <w:spacing w:val="-18"/>
          <w:w w:val="105"/>
          <w:sz w:val="19"/>
        </w:rPr>
        <w:t> </w:t>
      </w:r>
      <w:r>
        <w:rPr>
          <w:w w:val="105"/>
          <w:sz w:val="19"/>
        </w:rPr>
        <w:t>de</w:t>
      </w:r>
      <w:r>
        <w:rPr>
          <w:spacing w:val="-18"/>
          <w:w w:val="105"/>
          <w:sz w:val="19"/>
        </w:rPr>
        <w:t> </w:t>
      </w:r>
      <w:r>
        <w:rPr>
          <w:w w:val="105"/>
          <w:sz w:val="19"/>
        </w:rPr>
        <w:t>Revistas</w:t>
      </w:r>
      <w:r>
        <w:rPr>
          <w:spacing w:val="-21"/>
          <w:w w:val="105"/>
          <w:sz w:val="19"/>
        </w:rPr>
        <w:t> </w:t>
      </w:r>
      <w:r>
        <w:rPr>
          <w:w w:val="105"/>
          <w:sz w:val="19"/>
        </w:rPr>
        <w:t>Científicas</w:t>
      </w:r>
      <w:r>
        <w:rPr>
          <w:spacing w:val="-15"/>
          <w:w w:val="105"/>
          <w:sz w:val="19"/>
        </w:rPr>
        <w:t> </w:t>
      </w:r>
      <w:r>
        <w:rPr>
          <w:w w:val="105"/>
          <w:sz w:val="19"/>
        </w:rPr>
        <w:t>de</w:t>
      </w:r>
      <w:r>
        <w:rPr>
          <w:spacing w:val="-18"/>
          <w:w w:val="105"/>
          <w:sz w:val="19"/>
        </w:rPr>
        <w:t> </w:t>
      </w:r>
      <w:r>
        <w:rPr>
          <w:w w:val="105"/>
          <w:sz w:val="19"/>
        </w:rPr>
        <w:t>América</w:t>
      </w:r>
      <w:r>
        <w:rPr>
          <w:spacing w:val="-18"/>
          <w:w w:val="105"/>
          <w:sz w:val="19"/>
        </w:rPr>
        <w:t> </w:t>
      </w:r>
      <w:r>
        <w:rPr>
          <w:w w:val="105"/>
          <w:sz w:val="19"/>
        </w:rPr>
        <w:t>Latina,</w:t>
      </w:r>
      <w:r>
        <w:rPr>
          <w:spacing w:val="-23"/>
          <w:w w:val="105"/>
          <w:sz w:val="19"/>
        </w:rPr>
        <w:t> </w:t>
      </w:r>
      <w:r>
        <w:rPr>
          <w:w w:val="105"/>
          <w:sz w:val="19"/>
        </w:rPr>
        <w:t>el</w:t>
      </w:r>
      <w:r>
        <w:rPr>
          <w:spacing w:val="-18"/>
          <w:w w:val="105"/>
          <w:sz w:val="19"/>
        </w:rPr>
        <w:t> </w:t>
      </w:r>
      <w:r>
        <w:rPr>
          <w:w w:val="105"/>
          <w:sz w:val="19"/>
        </w:rPr>
        <w:t>Caribe,</w:t>
      </w:r>
      <w:r>
        <w:rPr>
          <w:spacing w:val="-23"/>
          <w:w w:val="105"/>
          <w:sz w:val="19"/>
        </w:rPr>
        <w:t> </w:t>
      </w:r>
      <w:r>
        <w:rPr>
          <w:w w:val="105"/>
          <w:sz w:val="19"/>
        </w:rPr>
        <w:t>España</w:t>
      </w:r>
      <w:r>
        <w:rPr>
          <w:spacing w:val="-18"/>
          <w:w w:val="105"/>
          <w:sz w:val="19"/>
        </w:rPr>
        <w:t> </w:t>
      </w:r>
      <w:r>
        <w:rPr>
          <w:w w:val="105"/>
          <w:sz w:val="19"/>
        </w:rPr>
        <w:t>y</w:t>
      </w:r>
      <w:r>
        <w:rPr>
          <w:spacing w:val="-22"/>
          <w:w w:val="105"/>
          <w:sz w:val="19"/>
        </w:rPr>
        <w:t> </w:t>
      </w:r>
      <w:r>
        <w:rPr>
          <w:w w:val="105"/>
          <w:sz w:val="19"/>
        </w:rPr>
        <w:t>Portugal.</w:t>
      </w:r>
    </w:p>
    <w:p>
      <w:pPr>
        <w:spacing w:after="0" w:line="247" w:lineRule="auto"/>
        <w:jc w:val="left"/>
        <w:rPr>
          <w:sz w:val="19"/>
        </w:rPr>
        <w:sectPr>
          <w:pgSz w:w="11910" w:h="16840"/>
          <w:pgMar w:header="0" w:footer="1457" w:top="1580" w:bottom="1640" w:left="1540" w:right="1540"/>
        </w:sectPr>
      </w:pPr>
    </w:p>
    <w:p>
      <w:pPr>
        <w:pStyle w:val="BodyText"/>
        <w:rPr>
          <w:sz w:val="20"/>
        </w:rPr>
      </w:pPr>
    </w:p>
    <w:p>
      <w:pPr>
        <w:pStyle w:val="BodyText"/>
        <w:spacing w:before="10"/>
        <w:rPr>
          <w:sz w:val="15"/>
        </w:rPr>
      </w:pPr>
    </w:p>
    <w:p>
      <w:pPr>
        <w:spacing w:line="247" w:lineRule="auto" w:before="81"/>
        <w:ind w:left="115" w:right="103" w:firstLine="0"/>
        <w:jc w:val="both"/>
        <w:rPr>
          <w:sz w:val="19"/>
        </w:rPr>
      </w:pPr>
      <w:r>
        <w:rPr>
          <w:b/>
          <w:w w:val="105"/>
          <w:sz w:val="19"/>
        </w:rPr>
        <w:t>Muñoz</w:t>
      </w:r>
      <w:r>
        <w:rPr>
          <w:w w:val="105"/>
          <w:sz w:val="19"/>
        </w:rPr>
        <w:t>, Héctor. (1999). “Libertad bajo registro: obstáculos al derecho de asociación sindical”, en Graciela Bensusán et. al., “Libertad sindical”, México. Instituto de Investigaciones Económicas- UNAM/UAM-Iztapalapa/Centro Americano para la Solidaridad Sindical Internacional/AFL-CIO/ Frente Auténtico del Trabajo.</w:t>
      </w:r>
    </w:p>
    <w:p>
      <w:pPr>
        <w:spacing w:line="252" w:lineRule="auto" w:before="0"/>
        <w:ind w:left="115" w:right="191" w:firstLine="0"/>
        <w:jc w:val="left"/>
        <w:rPr>
          <w:sz w:val="19"/>
        </w:rPr>
      </w:pPr>
      <w:r>
        <w:rPr>
          <w:b/>
          <w:w w:val="105"/>
          <w:sz w:val="19"/>
        </w:rPr>
        <w:t>Muñoz</w:t>
      </w:r>
      <w:r>
        <w:rPr>
          <w:w w:val="105"/>
          <w:sz w:val="19"/>
        </w:rPr>
        <w:t>, Izquierdo, C. </w:t>
      </w:r>
      <w:r>
        <w:rPr>
          <w:i/>
          <w:w w:val="105"/>
          <w:sz w:val="19"/>
        </w:rPr>
        <w:t>et. al., </w:t>
      </w:r>
      <w:r>
        <w:rPr>
          <w:w w:val="105"/>
          <w:sz w:val="19"/>
        </w:rPr>
        <w:t>(2009) </w:t>
      </w:r>
      <w:r>
        <w:rPr>
          <w:i/>
          <w:w w:val="105"/>
          <w:sz w:val="19"/>
        </w:rPr>
        <w:t>El INEE: un balance necesario</w:t>
      </w:r>
      <w:r>
        <w:rPr>
          <w:w w:val="105"/>
          <w:sz w:val="19"/>
        </w:rPr>
        <w:t>. México. Observatorio Ciudadano de la Educación</w:t>
      </w:r>
    </w:p>
    <w:p>
      <w:pPr>
        <w:spacing w:line="247" w:lineRule="auto" w:before="0"/>
        <w:ind w:left="115" w:right="103" w:firstLine="0"/>
        <w:jc w:val="left"/>
        <w:rPr>
          <w:sz w:val="19"/>
        </w:rPr>
      </w:pPr>
      <w:r>
        <w:rPr>
          <w:b/>
          <w:w w:val="105"/>
          <w:sz w:val="19"/>
        </w:rPr>
        <w:t>Muñoz-Repiso</w:t>
      </w:r>
      <w:r>
        <w:rPr>
          <w:w w:val="105"/>
          <w:sz w:val="19"/>
        </w:rPr>
        <w:t>,</w:t>
      </w:r>
      <w:r>
        <w:rPr>
          <w:spacing w:val="-13"/>
          <w:w w:val="105"/>
          <w:sz w:val="19"/>
        </w:rPr>
        <w:t> </w:t>
      </w:r>
      <w:r>
        <w:rPr>
          <w:spacing w:val="-3"/>
          <w:w w:val="105"/>
          <w:sz w:val="19"/>
        </w:rPr>
        <w:t>M.</w:t>
      </w:r>
      <w:r>
        <w:rPr>
          <w:spacing w:val="-8"/>
          <w:w w:val="105"/>
          <w:sz w:val="19"/>
        </w:rPr>
        <w:t> </w:t>
      </w:r>
      <w:r>
        <w:rPr>
          <w:w w:val="105"/>
          <w:sz w:val="19"/>
        </w:rPr>
        <w:t>y</w:t>
      </w:r>
      <w:r>
        <w:rPr>
          <w:spacing w:val="-8"/>
          <w:w w:val="105"/>
          <w:sz w:val="19"/>
        </w:rPr>
        <w:t> </w:t>
      </w:r>
      <w:r>
        <w:rPr>
          <w:w w:val="105"/>
          <w:sz w:val="19"/>
        </w:rPr>
        <w:t>Murillo,</w:t>
      </w:r>
      <w:r>
        <w:rPr>
          <w:spacing w:val="-13"/>
          <w:w w:val="105"/>
          <w:sz w:val="19"/>
        </w:rPr>
        <w:t> </w:t>
      </w:r>
      <w:r>
        <w:rPr>
          <w:w w:val="105"/>
          <w:sz w:val="19"/>
        </w:rPr>
        <w:t>F.J.</w:t>
      </w:r>
      <w:r>
        <w:rPr>
          <w:spacing w:val="-8"/>
          <w:w w:val="105"/>
          <w:sz w:val="19"/>
        </w:rPr>
        <w:t> </w:t>
      </w:r>
      <w:r>
        <w:rPr>
          <w:w w:val="105"/>
          <w:sz w:val="19"/>
        </w:rPr>
        <w:t>(2001).</w:t>
      </w:r>
      <w:r>
        <w:rPr>
          <w:spacing w:val="-12"/>
          <w:w w:val="105"/>
          <w:sz w:val="19"/>
        </w:rPr>
        <w:t> </w:t>
      </w:r>
      <w:r>
        <w:rPr>
          <w:w w:val="105"/>
          <w:sz w:val="19"/>
        </w:rPr>
        <w:t>“Un</w:t>
      </w:r>
      <w:r>
        <w:rPr>
          <w:spacing w:val="-8"/>
          <w:w w:val="105"/>
          <w:sz w:val="19"/>
        </w:rPr>
        <w:t> </w:t>
      </w:r>
      <w:r>
        <w:rPr>
          <w:spacing w:val="-3"/>
          <w:w w:val="105"/>
          <w:sz w:val="19"/>
        </w:rPr>
        <w:t>balance</w:t>
      </w:r>
      <w:r>
        <w:rPr>
          <w:spacing w:val="-8"/>
          <w:w w:val="105"/>
          <w:sz w:val="19"/>
        </w:rPr>
        <w:t> </w:t>
      </w:r>
      <w:r>
        <w:rPr>
          <w:w w:val="105"/>
          <w:sz w:val="19"/>
        </w:rPr>
        <w:t>provisional</w:t>
      </w:r>
      <w:r>
        <w:rPr>
          <w:spacing w:val="-4"/>
          <w:w w:val="105"/>
          <w:sz w:val="19"/>
        </w:rPr>
        <w:t> </w:t>
      </w:r>
      <w:r>
        <w:rPr>
          <w:w w:val="105"/>
          <w:sz w:val="19"/>
        </w:rPr>
        <w:t>sobre</w:t>
      </w:r>
      <w:r>
        <w:rPr>
          <w:spacing w:val="-8"/>
          <w:w w:val="105"/>
          <w:sz w:val="19"/>
        </w:rPr>
        <w:t> </w:t>
      </w:r>
      <w:r>
        <w:rPr>
          <w:w w:val="105"/>
          <w:sz w:val="19"/>
        </w:rPr>
        <w:t>la</w:t>
      </w:r>
      <w:r>
        <w:rPr>
          <w:spacing w:val="-8"/>
          <w:w w:val="105"/>
          <w:sz w:val="19"/>
        </w:rPr>
        <w:t> </w:t>
      </w:r>
      <w:r>
        <w:rPr>
          <w:w w:val="105"/>
          <w:sz w:val="19"/>
        </w:rPr>
        <w:t>calidad</w:t>
      </w:r>
      <w:r>
        <w:rPr>
          <w:spacing w:val="-8"/>
          <w:w w:val="105"/>
          <w:sz w:val="19"/>
        </w:rPr>
        <w:t> </w:t>
      </w:r>
      <w:r>
        <w:rPr>
          <w:spacing w:val="-4"/>
          <w:w w:val="105"/>
          <w:sz w:val="19"/>
        </w:rPr>
        <w:t>de</w:t>
      </w:r>
      <w:r>
        <w:rPr>
          <w:spacing w:val="-8"/>
          <w:w w:val="105"/>
          <w:sz w:val="19"/>
        </w:rPr>
        <w:t> </w:t>
      </w:r>
      <w:r>
        <w:rPr>
          <w:w w:val="105"/>
          <w:sz w:val="19"/>
        </w:rPr>
        <w:t>la</w:t>
      </w:r>
      <w:r>
        <w:rPr>
          <w:spacing w:val="-8"/>
          <w:w w:val="105"/>
          <w:sz w:val="19"/>
        </w:rPr>
        <w:t> </w:t>
      </w:r>
      <w:r>
        <w:rPr>
          <w:w w:val="105"/>
          <w:sz w:val="19"/>
        </w:rPr>
        <w:t>educación: eficacia</w:t>
      </w:r>
      <w:r>
        <w:rPr>
          <w:spacing w:val="-12"/>
          <w:w w:val="105"/>
          <w:sz w:val="19"/>
        </w:rPr>
        <w:t> </w:t>
      </w:r>
      <w:r>
        <w:rPr>
          <w:w w:val="105"/>
          <w:sz w:val="19"/>
        </w:rPr>
        <w:t>escolar</w:t>
      </w:r>
      <w:r>
        <w:rPr>
          <w:spacing w:val="-16"/>
          <w:w w:val="105"/>
          <w:sz w:val="19"/>
        </w:rPr>
        <w:t> </w:t>
      </w:r>
      <w:r>
        <w:rPr>
          <w:w w:val="105"/>
          <w:sz w:val="19"/>
        </w:rPr>
        <w:t>y</w:t>
      </w:r>
      <w:r>
        <w:rPr>
          <w:spacing w:val="-22"/>
          <w:w w:val="105"/>
          <w:sz w:val="19"/>
        </w:rPr>
        <w:t> </w:t>
      </w:r>
      <w:r>
        <w:rPr>
          <w:w w:val="105"/>
          <w:sz w:val="19"/>
        </w:rPr>
        <w:t>mejora</w:t>
      </w:r>
      <w:r>
        <w:rPr>
          <w:spacing w:val="-16"/>
          <w:w w:val="105"/>
          <w:sz w:val="19"/>
        </w:rPr>
        <w:t> </w:t>
      </w:r>
      <w:r>
        <w:rPr>
          <w:w w:val="105"/>
          <w:sz w:val="19"/>
        </w:rPr>
        <w:t>de</w:t>
      </w:r>
      <w:r>
        <w:rPr>
          <w:spacing w:val="-12"/>
          <w:w w:val="105"/>
          <w:sz w:val="19"/>
        </w:rPr>
        <w:t> </w:t>
      </w:r>
      <w:r>
        <w:rPr>
          <w:spacing w:val="-3"/>
          <w:w w:val="105"/>
          <w:sz w:val="19"/>
        </w:rPr>
        <w:t>la</w:t>
      </w:r>
      <w:r>
        <w:rPr>
          <w:spacing w:val="-16"/>
          <w:w w:val="105"/>
          <w:sz w:val="19"/>
        </w:rPr>
        <w:t> </w:t>
      </w:r>
      <w:r>
        <w:rPr>
          <w:w w:val="105"/>
          <w:sz w:val="19"/>
        </w:rPr>
        <w:t>escuela.</w:t>
      </w:r>
      <w:r>
        <w:rPr>
          <w:spacing w:val="-16"/>
          <w:w w:val="105"/>
          <w:sz w:val="19"/>
        </w:rPr>
        <w:t> </w:t>
      </w:r>
      <w:r>
        <w:rPr>
          <w:w w:val="105"/>
          <w:sz w:val="19"/>
        </w:rPr>
        <w:t>Organización</w:t>
      </w:r>
      <w:r>
        <w:rPr>
          <w:spacing w:val="-16"/>
          <w:w w:val="105"/>
          <w:sz w:val="19"/>
        </w:rPr>
        <w:t> </w:t>
      </w:r>
      <w:r>
        <w:rPr>
          <w:w w:val="105"/>
          <w:sz w:val="19"/>
        </w:rPr>
        <w:t>y</w:t>
      </w:r>
      <w:r>
        <w:rPr>
          <w:spacing w:val="-16"/>
          <w:w w:val="105"/>
          <w:sz w:val="19"/>
        </w:rPr>
        <w:t> </w:t>
      </w:r>
      <w:r>
        <w:rPr>
          <w:w w:val="105"/>
          <w:sz w:val="19"/>
        </w:rPr>
        <w:t>Gestión</w:t>
      </w:r>
      <w:r>
        <w:rPr>
          <w:spacing w:val="-16"/>
          <w:w w:val="105"/>
          <w:sz w:val="19"/>
        </w:rPr>
        <w:t> </w:t>
      </w:r>
      <w:r>
        <w:rPr>
          <w:w w:val="105"/>
          <w:sz w:val="19"/>
        </w:rPr>
        <w:t>Educativa”.</w:t>
      </w:r>
      <w:r>
        <w:rPr>
          <w:spacing w:val="-21"/>
          <w:w w:val="105"/>
          <w:sz w:val="19"/>
        </w:rPr>
        <w:t> </w:t>
      </w:r>
      <w:r>
        <w:rPr>
          <w:w w:val="105"/>
          <w:sz w:val="19"/>
        </w:rPr>
        <w:t>Puede</w:t>
      </w:r>
      <w:r>
        <w:rPr>
          <w:spacing w:val="-16"/>
          <w:w w:val="105"/>
          <w:sz w:val="19"/>
        </w:rPr>
        <w:t> </w:t>
      </w:r>
      <w:r>
        <w:rPr>
          <w:w w:val="105"/>
          <w:sz w:val="19"/>
        </w:rPr>
        <w:t>consultarse</w:t>
      </w:r>
      <w:r>
        <w:rPr>
          <w:spacing w:val="-16"/>
          <w:w w:val="105"/>
          <w:sz w:val="19"/>
        </w:rPr>
        <w:t> </w:t>
      </w:r>
      <w:r>
        <w:rPr>
          <w:w w:val="105"/>
          <w:sz w:val="19"/>
        </w:rPr>
        <w:t>en: </w:t>
      </w:r>
      <w:hyperlink r:id="rId164">
        <w:r>
          <w:rPr>
            <w:w w:val="105"/>
            <w:sz w:val="19"/>
          </w:rPr>
          <w:t>http://redalyc.uaemex.mx/redalyc/pdf/551/55114080015.pdf.</w:t>
        </w:r>
      </w:hyperlink>
    </w:p>
    <w:p>
      <w:pPr>
        <w:spacing w:line="242" w:lineRule="auto" w:before="0"/>
        <w:ind w:left="115" w:right="191" w:firstLine="0"/>
        <w:jc w:val="left"/>
        <w:rPr>
          <w:sz w:val="19"/>
        </w:rPr>
      </w:pPr>
      <w:r>
        <w:rPr>
          <w:b/>
          <w:w w:val="105"/>
          <w:sz w:val="19"/>
        </w:rPr>
        <w:t>Murillo </w:t>
      </w:r>
      <w:r>
        <w:rPr>
          <w:w w:val="105"/>
          <w:sz w:val="19"/>
        </w:rPr>
        <w:t>Torrecilla, Francisco Javier; Román, Marcela. (2008). “La evaluación educativa como derecho humano”. Revista Iberoamericana de Evaluación Educativa. Año/vol. 1.</w:t>
      </w:r>
    </w:p>
    <w:p>
      <w:pPr>
        <w:spacing w:line="247" w:lineRule="auto" w:before="0"/>
        <w:ind w:left="115" w:right="103" w:firstLine="0"/>
        <w:jc w:val="left"/>
        <w:rPr>
          <w:sz w:val="19"/>
        </w:rPr>
      </w:pPr>
      <w:r>
        <w:rPr>
          <w:b/>
          <w:w w:val="105"/>
          <w:sz w:val="19"/>
        </w:rPr>
        <w:t>Murillo</w:t>
      </w:r>
      <w:r>
        <w:rPr>
          <w:w w:val="105"/>
          <w:sz w:val="19"/>
        </w:rPr>
        <w:t>, Torrecilla Javier. F (2003). “Una panorámica de la investigación iberoamericana sobre eficacia escolar en REICE (Revista Electrónica Iberoamericana sobre Calidad, Eficacia y Cambio en Educación)” Vol. 1, No. 1. Puede consultarse en: </w:t>
      </w:r>
      <w:hyperlink r:id="rId165">
        <w:r>
          <w:rPr>
            <w:color w:val="0000FF"/>
            <w:w w:val="105"/>
            <w:sz w:val="19"/>
            <w:u w:val="single" w:color="0000FF"/>
          </w:rPr>
          <w:t>http://www.ice.deusto.es/RINACE/reice/vol1n1/Murillo.pdf</w:t>
        </w:r>
      </w:hyperlink>
    </w:p>
    <w:p>
      <w:pPr>
        <w:spacing w:before="1"/>
        <w:ind w:left="115" w:right="110" w:firstLine="0"/>
        <w:jc w:val="left"/>
        <w:rPr>
          <w:sz w:val="19"/>
        </w:rPr>
      </w:pPr>
      <w:r>
        <w:rPr>
          <w:w w:val="105"/>
          <w:sz w:val="19"/>
        </w:rPr>
        <w:t>------------------------------.  (2004).  “Un marco  comprensivo  de mejora  de la  eficacia escolar”   en</w:t>
      </w:r>
    </w:p>
    <w:p>
      <w:pPr>
        <w:spacing w:before="2"/>
        <w:ind w:left="115" w:right="191" w:firstLine="0"/>
        <w:jc w:val="left"/>
        <w:rPr>
          <w:sz w:val="19"/>
        </w:rPr>
      </w:pPr>
      <w:r>
        <w:rPr>
          <w:i/>
          <w:w w:val="105"/>
          <w:sz w:val="19"/>
        </w:rPr>
        <w:t>Revista Mexicana de Investigación Educativa, </w:t>
      </w:r>
      <w:r>
        <w:rPr>
          <w:w w:val="105"/>
          <w:sz w:val="19"/>
        </w:rPr>
        <w:t>Vol. 9, No. 21, abril-junio. Pp. 319-359.</w:t>
      </w:r>
    </w:p>
    <w:p>
      <w:pPr>
        <w:spacing w:line="247" w:lineRule="auto" w:before="7"/>
        <w:ind w:left="115" w:right="103" w:firstLine="0"/>
        <w:jc w:val="left"/>
        <w:rPr>
          <w:sz w:val="19"/>
        </w:rPr>
      </w:pPr>
      <w:r>
        <w:rPr>
          <w:b/>
          <w:w w:val="105"/>
          <w:sz w:val="19"/>
        </w:rPr>
        <w:t>Myers</w:t>
      </w:r>
      <w:r>
        <w:rPr>
          <w:w w:val="105"/>
          <w:sz w:val="19"/>
        </w:rPr>
        <w:t>, Robert G. y J. Francisco Martínez (2008). “La educación preescolar en México: la política de calidad y equidad en perspectiva”, en Lorenza Villa Lever (coord.) “La educación   preescolar:</w:t>
      </w:r>
    </w:p>
    <w:p>
      <w:pPr>
        <w:spacing w:line="247" w:lineRule="auto" w:before="0"/>
        <w:ind w:left="115" w:right="110" w:firstLine="0"/>
        <w:jc w:val="left"/>
        <w:rPr>
          <w:sz w:val="19"/>
        </w:rPr>
      </w:pPr>
      <w:r>
        <w:rPr>
          <w:w w:val="105"/>
          <w:sz w:val="19"/>
        </w:rPr>
        <w:t>¿Hacia dónde debería dirigirse la política educativa?”, México, Aula XXI Santillana- Observatorio Ciudadano de la Educación.</w:t>
      </w:r>
    </w:p>
    <w:p>
      <w:pPr>
        <w:pStyle w:val="BodyText"/>
        <w:spacing w:before="9"/>
        <w:rPr>
          <w:sz w:val="18"/>
        </w:rPr>
      </w:pPr>
    </w:p>
    <w:p>
      <w:pPr>
        <w:spacing w:before="0"/>
        <w:ind w:left="115" w:right="0" w:firstLine="0"/>
        <w:jc w:val="left"/>
        <w:rPr>
          <w:b/>
          <w:sz w:val="19"/>
        </w:rPr>
      </w:pPr>
      <w:r>
        <w:rPr>
          <w:b/>
          <w:w w:val="103"/>
          <w:sz w:val="19"/>
        </w:rPr>
        <w:t>N</w:t>
      </w:r>
    </w:p>
    <w:p>
      <w:pPr>
        <w:spacing w:line="244" w:lineRule="auto" w:before="7"/>
        <w:ind w:left="115" w:right="105" w:firstLine="0"/>
        <w:jc w:val="both"/>
        <w:rPr>
          <w:sz w:val="19"/>
        </w:rPr>
      </w:pPr>
      <w:r>
        <w:rPr>
          <w:b/>
          <w:w w:val="105"/>
          <w:sz w:val="19"/>
        </w:rPr>
        <w:t>Nacif</w:t>
      </w:r>
      <w:r>
        <w:rPr>
          <w:w w:val="105"/>
          <w:sz w:val="19"/>
        </w:rPr>
        <w:t>, Benito. (2002). “Understanding Party Discipline </w:t>
      </w:r>
      <w:r>
        <w:rPr>
          <w:spacing w:val="-3"/>
          <w:w w:val="105"/>
          <w:sz w:val="19"/>
        </w:rPr>
        <w:t>in </w:t>
      </w:r>
      <w:r>
        <w:rPr>
          <w:w w:val="105"/>
          <w:sz w:val="19"/>
        </w:rPr>
        <w:t>the Mexican Chambers of Deputies: The Centralized</w:t>
      </w:r>
      <w:r>
        <w:rPr>
          <w:spacing w:val="-13"/>
          <w:w w:val="105"/>
          <w:sz w:val="19"/>
        </w:rPr>
        <w:t> </w:t>
      </w:r>
      <w:r>
        <w:rPr>
          <w:w w:val="105"/>
          <w:sz w:val="19"/>
        </w:rPr>
        <w:t>Party</w:t>
      </w:r>
      <w:r>
        <w:rPr>
          <w:spacing w:val="-19"/>
          <w:w w:val="105"/>
          <w:sz w:val="19"/>
        </w:rPr>
        <w:t> </w:t>
      </w:r>
      <w:r>
        <w:rPr>
          <w:w w:val="105"/>
          <w:sz w:val="19"/>
        </w:rPr>
        <w:t>Model”.</w:t>
      </w:r>
      <w:r>
        <w:rPr>
          <w:spacing w:val="-13"/>
          <w:w w:val="105"/>
          <w:sz w:val="19"/>
        </w:rPr>
        <w:t> </w:t>
      </w:r>
      <w:r>
        <w:rPr>
          <w:spacing w:val="-4"/>
          <w:w w:val="105"/>
          <w:sz w:val="19"/>
        </w:rPr>
        <w:t>En</w:t>
      </w:r>
      <w:r>
        <w:rPr>
          <w:spacing w:val="-12"/>
          <w:w w:val="105"/>
          <w:sz w:val="19"/>
        </w:rPr>
        <w:t> </w:t>
      </w:r>
      <w:r>
        <w:rPr>
          <w:spacing w:val="-3"/>
          <w:w w:val="105"/>
          <w:sz w:val="19"/>
        </w:rPr>
        <w:t>“Legislative</w:t>
      </w:r>
      <w:r>
        <w:rPr>
          <w:spacing w:val="-12"/>
          <w:w w:val="105"/>
          <w:sz w:val="19"/>
        </w:rPr>
        <w:t> </w:t>
      </w:r>
      <w:r>
        <w:rPr>
          <w:w w:val="105"/>
          <w:sz w:val="19"/>
        </w:rPr>
        <w:t>Politics</w:t>
      </w:r>
      <w:r>
        <w:rPr>
          <w:spacing w:val="-16"/>
          <w:w w:val="105"/>
          <w:sz w:val="19"/>
        </w:rPr>
        <w:t> </w:t>
      </w:r>
      <w:r>
        <w:rPr>
          <w:spacing w:val="-3"/>
          <w:w w:val="105"/>
          <w:sz w:val="19"/>
        </w:rPr>
        <w:t>in</w:t>
      </w:r>
      <w:r>
        <w:rPr>
          <w:spacing w:val="-12"/>
          <w:w w:val="105"/>
          <w:sz w:val="19"/>
        </w:rPr>
        <w:t> </w:t>
      </w:r>
      <w:r>
        <w:rPr>
          <w:w w:val="105"/>
          <w:sz w:val="19"/>
        </w:rPr>
        <w:t>Latin</w:t>
      </w:r>
      <w:r>
        <w:rPr>
          <w:spacing w:val="-12"/>
          <w:w w:val="105"/>
          <w:sz w:val="19"/>
        </w:rPr>
        <w:t> </w:t>
      </w:r>
      <w:r>
        <w:rPr>
          <w:w w:val="105"/>
          <w:sz w:val="19"/>
        </w:rPr>
        <w:t>America”,</w:t>
      </w:r>
      <w:r>
        <w:rPr>
          <w:spacing w:val="-19"/>
          <w:w w:val="105"/>
          <w:sz w:val="19"/>
        </w:rPr>
        <w:t> </w:t>
      </w:r>
      <w:r>
        <w:rPr>
          <w:w w:val="105"/>
          <w:sz w:val="19"/>
        </w:rPr>
        <w:t>editado</w:t>
      </w:r>
      <w:r>
        <w:rPr>
          <w:spacing w:val="-13"/>
          <w:w w:val="105"/>
          <w:sz w:val="19"/>
        </w:rPr>
        <w:t> </w:t>
      </w:r>
      <w:r>
        <w:rPr>
          <w:w w:val="105"/>
          <w:sz w:val="19"/>
        </w:rPr>
        <w:t>por</w:t>
      </w:r>
      <w:r>
        <w:rPr>
          <w:spacing w:val="-19"/>
          <w:w w:val="105"/>
          <w:sz w:val="19"/>
        </w:rPr>
        <w:t> </w:t>
      </w:r>
      <w:r>
        <w:rPr>
          <w:w w:val="105"/>
          <w:sz w:val="19"/>
        </w:rPr>
        <w:t>Scott</w:t>
      </w:r>
      <w:r>
        <w:rPr>
          <w:spacing w:val="-13"/>
          <w:w w:val="105"/>
          <w:sz w:val="19"/>
        </w:rPr>
        <w:t> </w:t>
      </w:r>
      <w:r>
        <w:rPr>
          <w:w w:val="105"/>
          <w:sz w:val="19"/>
        </w:rPr>
        <w:t>Morgenstern</w:t>
      </w:r>
      <w:r>
        <w:rPr>
          <w:spacing w:val="-12"/>
          <w:w w:val="105"/>
          <w:sz w:val="19"/>
        </w:rPr>
        <w:t> </w:t>
      </w:r>
      <w:r>
        <w:rPr>
          <w:w w:val="105"/>
          <w:sz w:val="19"/>
        </w:rPr>
        <w:t>y </w:t>
      </w:r>
      <w:r>
        <w:rPr>
          <w:spacing w:val="-3"/>
          <w:w w:val="105"/>
          <w:sz w:val="19"/>
        </w:rPr>
        <w:t>Benito</w:t>
      </w:r>
      <w:r>
        <w:rPr>
          <w:spacing w:val="-20"/>
          <w:w w:val="105"/>
          <w:sz w:val="19"/>
        </w:rPr>
        <w:t> </w:t>
      </w:r>
      <w:r>
        <w:rPr>
          <w:w w:val="105"/>
          <w:sz w:val="19"/>
        </w:rPr>
        <w:t>Nacif.</w:t>
      </w:r>
      <w:r>
        <w:rPr>
          <w:spacing w:val="-23"/>
          <w:w w:val="105"/>
          <w:sz w:val="19"/>
        </w:rPr>
        <w:t> </w:t>
      </w:r>
      <w:r>
        <w:rPr>
          <w:w w:val="105"/>
          <w:sz w:val="19"/>
        </w:rPr>
        <w:t>Cambridge,</w:t>
      </w:r>
      <w:r>
        <w:rPr>
          <w:spacing w:val="-24"/>
          <w:w w:val="105"/>
          <w:sz w:val="19"/>
        </w:rPr>
        <w:t> </w:t>
      </w:r>
      <w:r>
        <w:rPr>
          <w:w w:val="105"/>
          <w:sz w:val="19"/>
        </w:rPr>
        <w:t>RU:</w:t>
      </w:r>
      <w:r>
        <w:rPr>
          <w:spacing w:val="-20"/>
          <w:w w:val="105"/>
          <w:sz w:val="19"/>
        </w:rPr>
        <w:t> </w:t>
      </w:r>
      <w:r>
        <w:rPr>
          <w:w w:val="105"/>
          <w:sz w:val="19"/>
        </w:rPr>
        <w:t>Cambridge</w:t>
      </w:r>
      <w:r>
        <w:rPr>
          <w:spacing w:val="-22"/>
          <w:w w:val="105"/>
          <w:sz w:val="19"/>
        </w:rPr>
        <w:t> </w:t>
      </w:r>
      <w:r>
        <w:rPr>
          <w:w w:val="105"/>
          <w:sz w:val="19"/>
        </w:rPr>
        <w:t>University</w:t>
      </w:r>
      <w:r>
        <w:rPr>
          <w:spacing w:val="-20"/>
          <w:w w:val="105"/>
          <w:sz w:val="19"/>
        </w:rPr>
        <w:t> </w:t>
      </w:r>
      <w:r>
        <w:rPr>
          <w:w w:val="105"/>
          <w:sz w:val="19"/>
        </w:rPr>
        <w:t>Press.</w:t>
      </w:r>
    </w:p>
    <w:p>
      <w:pPr>
        <w:spacing w:line="244" w:lineRule="auto" w:before="3"/>
        <w:ind w:left="115" w:right="100" w:firstLine="0"/>
        <w:jc w:val="both"/>
        <w:rPr>
          <w:sz w:val="19"/>
        </w:rPr>
      </w:pPr>
      <w:r>
        <w:rPr>
          <w:b/>
          <w:w w:val="105"/>
          <w:sz w:val="19"/>
        </w:rPr>
        <w:t>Noguera </w:t>
      </w:r>
      <w:r>
        <w:rPr>
          <w:w w:val="105"/>
          <w:sz w:val="19"/>
        </w:rPr>
        <w:t>Arrom, Joana (2004). “Las competencias básicas en Educación de calidad para todos: iniciativas iberoamericanas”. IXI Semana Monográfica de la Educación. 22 al 26 de noviembre de 2004.</w:t>
      </w:r>
    </w:p>
    <w:p>
      <w:pPr>
        <w:spacing w:line="440" w:lineRule="atLeast" w:before="7"/>
        <w:ind w:left="115" w:right="8539" w:firstLine="0"/>
        <w:jc w:val="left"/>
        <w:rPr>
          <w:b/>
          <w:sz w:val="19"/>
        </w:rPr>
      </w:pPr>
      <w:r>
        <w:rPr>
          <w:b/>
          <w:w w:val="105"/>
          <w:sz w:val="19"/>
        </w:rPr>
        <w:t>Ñ O</w:t>
      </w:r>
    </w:p>
    <w:p>
      <w:pPr>
        <w:spacing w:line="242" w:lineRule="auto" w:before="7"/>
        <w:ind w:left="115" w:right="191" w:firstLine="0"/>
        <w:jc w:val="left"/>
        <w:rPr>
          <w:sz w:val="19"/>
        </w:rPr>
      </w:pPr>
      <w:r>
        <w:rPr>
          <w:b/>
          <w:w w:val="105"/>
          <w:sz w:val="19"/>
        </w:rPr>
        <w:t>OCDE </w:t>
      </w:r>
      <w:r>
        <w:rPr>
          <w:w w:val="105"/>
          <w:sz w:val="19"/>
        </w:rPr>
        <w:t>(1991). “Escuelas y calidad de la enseñanza. Informe internacional”. España, Paidós- Ministerio de Educación y ciencia</w:t>
      </w:r>
    </w:p>
    <w:p>
      <w:pPr>
        <w:spacing w:before="0"/>
        <w:ind w:left="115" w:right="191" w:firstLine="0"/>
        <w:jc w:val="left"/>
        <w:rPr>
          <w:sz w:val="19"/>
        </w:rPr>
      </w:pPr>
      <w:r>
        <w:rPr>
          <w:b/>
          <w:w w:val="105"/>
          <w:sz w:val="19"/>
        </w:rPr>
        <w:t>OECD </w:t>
      </w:r>
      <w:r>
        <w:rPr>
          <w:w w:val="105"/>
          <w:sz w:val="19"/>
        </w:rPr>
        <w:t>(2003, 2004 y 2005). “Education at a glance”. OECD Indicators, OECD.</w:t>
      </w:r>
    </w:p>
    <w:p>
      <w:pPr>
        <w:spacing w:line="247" w:lineRule="auto" w:before="7"/>
        <w:ind w:left="115" w:right="191" w:firstLine="0"/>
        <w:jc w:val="left"/>
        <w:rPr>
          <w:sz w:val="19"/>
        </w:rPr>
      </w:pPr>
      <w:r>
        <w:rPr>
          <w:w w:val="105"/>
          <w:sz w:val="19"/>
        </w:rPr>
        <w:t>OCDE (2010). “Mejorar las escuelas: Estrategias para la acción en México”, OECD Publishing. </w:t>
      </w:r>
      <w:r>
        <w:rPr>
          <w:sz w:val="19"/>
        </w:rPr>
        <w:t>Puede  consultarse  en </w:t>
      </w:r>
      <w:hyperlink r:id="rId166">
        <w:r>
          <w:rPr>
            <w:sz w:val="19"/>
          </w:rPr>
          <w:t>http://dx.doi.org/10.1787/9789264087682-es</w:t>
        </w:r>
      </w:hyperlink>
    </w:p>
    <w:p>
      <w:pPr>
        <w:spacing w:line="242" w:lineRule="auto" w:before="0"/>
        <w:ind w:left="115" w:right="191" w:firstLine="0"/>
        <w:jc w:val="left"/>
        <w:rPr>
          <w:sz w:val="19"/>
        </w:rPr>
      </w:pPr>
      <w:r>
        <w:rPr>
          <w:b/>
          <w:w w:val="105"/>
          <w:sz w:val="19"/>
        </w:rPr>
        <w:t>OEI </w:t>
      </w:r>
      <w:r>
        <w:rPr>
          <w:w w:val="105"/>
          <w:sz w:val="19"/>
        </w:rPr>
        <w:t>(1995), V Cumbre Iberoamericana de Jefes de Estado y de Gobierno (San Carlos de Bariloche, 16 y 17 de octubre de 1995). Puede consultarse en:</w:t>
      </w:r>
    </w:p>
    <w:p>
      <w:pPr>
        <w:spacing w:line="247" w:lineRule="auto" w:before="5"/>
        <w:ind w:left="115" w:right="110" w:firstLine="0"/>
        <w:jc w:val="left"/>
        <w:rPr>
          <w:sz w:val="19"/>
        </w:rPr>
      </w:pPr>
      <w:r>
        <w:rPr>
          <w:color w:val="0000FF"/>
          <w:w w:val="105"/>
          <w:sz w:val="19"/>
          <w:u w:val="single" w:color="0000FF"/>
        </w:rPr>
        <w:t>V</w:t>
      </w:r>
      <w:r>
        <w:rPr>
          <w:color w:val="0000FF"/>
          <w:spacing w:val="-8"/>
          <w:w w:val="105"/>
          <w:sz w:val="19"/>
          <w:u w:val="single" w:color="0000FF"/>
        </w:rPr>
        <w:t> </w:t>
      </w:r>
      <w:r>
        <w:rPr>
          <w:color w:val="0000FF"/>
          <w:w w:val="105"/>
          <w:sz w:val="19"/>
          <w:u w:val="single" w:color="0000FF"/>
        </w:rPr>
        <w:t>Cumbre</w:t>
      </w:r>
      <w:r>
        <w:rPr>
          <w:color w:val="0000FF"/>
          <w:spacing w:val="-8"/>
          <w:w w:val="105"/>
          <w:sz w:val="19"/>
          <w:u w:val="single" w:color="0000FF"/>
        </w:rPr>
        <w:t> </w:t>
      </w:r>
      <w:r>
        <w:rPr>
          <w:color w:val="0000FF"/>
          <w:w w:val="105"/>
          <w:sz w:val="19"/>
          <w:u w:val="single" w:color="0000FF"/>
        </w:rPr>
        <w:t>Iberoamericana</w:t>
      </w:r>
      <w:r>
        <w:rPr>
          <w:color w:val="0000FF"/>
          <w:spacing w:val="-8"/>
          <w:w w:val="105"/>
          <w:sz w:val="19"/>
          <w:u w:val="single" w:color="0000FF"/>
        </w:rPr>
        <w:t> </w:t>
      </w:r>
      <w:r>
        <w:rPr>
          <w:color w:val="0000FF"/>
          <w:w w:val="105"/>
          <w:sz w:val="19"/>
          <w:u w:val="single" w:color="0000FF"/>
        </w:rPr>
        <w:t>de</w:t>
      </w:r>
      <w:r>
        <w:rPr>
          <w:color w:val="0000FF"/>
          <w:spacing w:val="-13"/>
          <w:w w:val="105"/>
          <w:sz w:val="19"/>
          <w:u w:val="single" w:color="0000FF"/>
        </w:rPr>
        <w:t> </w:t>
      </w:r>
      <w:r>
        <w:rPr>
          <w:color w:val="0000FF"/>
          <w:w w:val="105"/>
          <w:sz w:val="19"/>
          <w:u w:val="single" w:color="0000FF"/>
        </w:rPr>
        <w:t>Jefes</w:t>
      </w:r>
      <w:r>
        <w:rPr>
          <w:color w:val="0000FF"/>
          <w:spacing w:val="-8"/>
          <w:w w:val="105"/>
          <w:sz w:val="19"/>
          <w:u w:val="single" w:color="0000FF"/>
        </w:rPr>
        <w:t> </w:t>
      </w:r>
      <w:r>
        <w:rPr>
          <w:color w:val="0000FF"/>
          <w:w w:val="105"/>
          <w:sz w:val="19"/>
          <w:u w:val="single" w:color="0000FF"/>
        </w:rPr>
        <w:t>de</w:t>
      </w:r>
      <w:r>
        <w:rPr>
          <w:color w:val="0000FF"/>
          <w:spacing w:val="-8"/>
          <w:w w:val="105"/>
          <w:sz w:val="19"/>
          <w:u w:val="single" w:color="0000FF"/>
        </w:rPr>
        <w:t> </w:t>
      </w:r>
      <w:r>
        <w:rPr>
          <w:color w:val="0000FF"/>
          <w:w w:val="105"/>
          <w:sz w:val="19"/>
          <w:u w:val="single" w:color="0000FF"/>
        </w:rPr>
        <w:t>Estado</w:t>
      </w:r>
      <w:r>
        <w:rPr>
          <w:color w:val="0000FF"/>
          <w:spacing w:val="-5"/>
          <w:w w:val="105"/>
          <w:sz w:val="19"/>
          <w:u w:val="single" w:color="0000FF"/>
        </w:rPr>
        <w:t> </w:t>
      </w:r>
      <w:r>
        <w:rPr>
          <w:color w:val="0000FF"/>
          <w:w w:val="105"/>
          <w:sz w:val="19"/>
          <w:u w:val="single" w:color="0000FF"/>
        </w:rPr>
        <w:t>y</w:t>
      </w:r>
      <w:r>
        <w:rPr>
          <w:color w:val="0000FF"/>
          <w:spacing w:val="-12"/>
          <w:w w:val="105"/>
          <w:sz w:val="19"/>
          <w:u w:val="single" w:color="0000FF"/>
        </w:rPr>
        <w:t> </w:t>
      </w:r>
      <w:r>
        <w:rPr>
          <w:color w:val="0000FF"/>
          <w:w w:val="105"/>
          <w:sz w:val="19"/>
          <w:u w:val="single" w:color="0000FF"/>
        </w:rPr>
        <w:t>de</w:t>
      </w:r>
      <w:r>
        <w:rPr>
          <w:color w:val="0000FF"/>
          <w:spacing w:val="-8"/>
          <w:w w:val="105"/>
          <w:sz w:val="19"/>
          <w:u w:val="single" w:color="0000FF"/>
        </w:rPr>
        <w:t> </w:t>
      </w:r>
      <w:r>
        <w:rPr>
          <w:color w:val="0000FF"/>
          <w:w w:val="105"/>
          <w:sz w:val="19"/>
          <w:u w:val="single" w:color="0000FF"/>
        </w:rPr>
        <w:t>Gobierno</w:t>
      </w:r>
      <w:r>
        <w:rPr>
          <w:color w:val="0000FF"/>
          <w:spacing w:val="-5"/>
          <w:w w:val="105"/>
          <w:sz w:val="19"/>
          <w:u w:val="single" w:color="0000FF"/>
        </w:rPr>
        <w:t> </w:t>
      </w:r>
      <w:r>
        <w:rPr>
          <w:color w:val="0000FF"/>
          <w:w w:val="105"/>
          <w:sz w:val="19"/>
          <w:u w:val="single" w:color="0000FF"/>
        </w:rPr>
        <w:t>(San</w:t>
      </w:r>
      <w:r>
        <w:rPr>
          <w:color w:val="0000FF"/>
          <w:spacing w:val="-15"/>
          <w:w w:val="105"/>
          <w:sz w:val="19"/>
          <w:u w:val="single" w:color="0000FF"/>
        </w:rPr>
        <w:t> </w:t>
      </w:r>
      <w:r>
        <w:rPr>
          <w:color w:val="0000FF"/>
          <w:w w:val="105"/>
          <w:sz w:val="19"/>
          <w:u w:val="single" w:color="0000FF"/>
        </w:rPr>
        <w:t>Carlos</w:t>
      </w:r>
      <w:r>
        <w:rPr>
          <w:color w:val="0000FF"/>
          <w:spacing w:val="-8"/>
          <w:w w:val="105"/>
          <w:sz w:val="19"/>
          <w:u w:val="single" w:color="0000FF"/>
        </w:rPr>
        <w:t> </w:t>
      </w:r>
      <w:r>
        <w:rPr>
          <w:color w:val="0000FF"/>
          <w:spacing w:val="-3"/>
          <w:w w:val="105"/>
          <w:sz w:val="19"/>
          <w:u w:val="single" w:color="0000FF"/>
        </w:rPr>
        <w:t>de</w:t>
      </w:r>
      <w:r>
        <w:rPr>
          <w:color w:val="0000FF"/>
          <w:spacing w:val="-8"/>
          <w:w w:val="105"/>
          <w:sz w:val="19"/>
          <w:u w:val="single" w:color="0000FF"/>
        </w:rPr>
        <w:t> </w:t>
      </w:r>
      <w:r>
        <w:rPr>
          <w:color w:val="0000FF"/>
          <w:w w:val="105"/>
          <w:sz w:val="19"/>
          <w:u w:val="single" w:color="0000FF"/>
        </w:rPr>
        <w:t>Bariloche,</w:t>
      </w:r>
      <w:r>
        <w:rPr>
          <w:color w:val="0000FF"/>
          <w:spacing w:val="-11"/>
          <w:w w:val="105"/>
          <w:sz w:val="19"/>
          <w:u w:val="single" w:color="0000FF"/>
        </w:rPr>
        <w:t> </w:t>
      </w:r>
      <w:r>
        <w:rPr>
          <w:color w:val="0000FF"/>
          <w:w w:val="105"/>
          <w:sz w:val="19"/>
          <w:u w:val="single" w:color="0000FF"/>
        </w:rPr>
        <w:t>16</w:t>
      </w:r>
      <w:r>
        <w:rPr>
          <w:color w:val="0000FF"/>
          <w:spacing w:val="-8"/>
          <w:w w:val="105"/>
          <w:sz w:val="19"/>
          <w:u w:val="single" w:color="0000FF"/>
        </w:rPr>
        <w:t> </w:t>
      </w:r>
      <w:r>
        <w:rPr>
          <w:color w:val="0000FF"/>
          <w:w w:val="105"/>
          <w:sz w:val="19"/>
          <w:u w:val="single" w:color="0000FF"/>
        </w:rPr>
        <w:t>y</w:t>
      </w:r>
      <w:r>
        <w:rPr>
          <w:color w:val="0000FF"/>
          <w:spacing w:val="-12"/>
          <w:w w:val="105"/>
          <w:sz w:val="19"/>
          <w:u w:val="single" w:color="0000FF"/>
        </w:rPr>
        <w:t> </w:t>
      </w:r>
      <w:r>
        <w:rPr>
          <w:color w:val="0000FF"/>
          <w:w w:val="105"/>
          <w:sz w:val="19"/>
          <w:u w:val="single" w:color="0000FF"/>
        </w:rPr>
        <w:t>17</w:t>
      </w:r>
      <w:r>
        <w:rPr>
          <w:color w:val="0000FF"/>
          <w:spacing w:val="-8"/>
          <w:w w:val="105"/>
          <w:sz w:val="19"/>
          <w:u w:val="single" w:color="0000FF"/>
        </w:rPr>
        <w:t> </w:t>
      </w:r>
      <w:r>
        <w:rPr>
          <w:color w:val="0000FF"/>
          <w:spacing w:val="-3"/>
          <w:w w:val="105"/>
          <w:sz w:val="19"/>
          <w:u w:val="single" w:color="0000FF"/>
        </w:rPr>
        <w:t>de </w:t>
      </w:r>
      <w:r>
        <w:rPr>
          <w:color w:val="0000FF"/>
          <w:w w:val="105"/>
          <w:sz w:val="19"/>
          <w:u w:val="single" w:color="0000FF"/>
        </w:rPr>
        <w:t>octubre de</w:t>
      </w:r>
      <w:r>
        <w:rPr>
          <w:color w:val="0000FF"/>
          <w:spacing w:val="-40"/>
          <w:w w:val="105"/>
          <w:sz w:val="19"/>
          <w:u w:val="single" w:color="0000FF"/>
        </w:rPr>
        <w:t> </w:t>
      </w:r>
      <w:r>
        <w:rPr>
          <w:color w:val="0000FF"/>
          <w:w w:val="105"/>
          <w:sz w:val="19"/>
          <w:u w:val="single" w:color="0000FF"/>
        </w:rPr>
        <w:t>1995)</w:t>
      </w:r>
    </w:p>
    <w:p>
      <w:pPr>
        <w:spacing w:line="247" w:lineRule="auto" w:before="0"/>
        <w:ind w:left="115" w:right="191" w:firstLine="0"/>
        <w:jc w:val="left"/>
        <w:rPr>
          <w:sz w:val="19"/>
        </w:rPr>
      </w:pPr>
      <w:r>
        <w:rPr>
          <w:b/>
          <w:w w:val="105"/>
          <w:sz w:val="19"/>
        </w:rPr>
        <w:t>OEI </w:t>
      </w:r>
      <w:r>
        <w:rPr>
          <w:w w:val="105"/>
          <w:sz w:val="19"/>
        </w:rPr>
        <w:t>(1995), V Conferencia Iberoamericana de Educación (Buenos Aires, Argentina, 7 y 8 de septiembre de 1995). Puede consultarse en:</w:t>
      </w:r>
    </w:p>
    <w:p>
      <w:pPr>
        <w:pStyle w:val="ListParagraph"/>
        <w:numPr>
          <w:ilvl w:val="0"/>
          <w:numId w:val="20"/>
        </w:numPr>
        <w:tabs>
          <w:tab w:pos="328" w:val="left" w:leader="none"/>
        </w:tabs>
        <w:spacing w:line="242" w:lineRule="auto" w:before="0" w:after="0"/>
        <w:ind w:left="116" w:right="106" w:firstLine="0"/>
        <w:jc w:val="left"/>
        <w:rPr>
          <w:sz w:val="19"/>
        </w:rPr>
      </w:pPr>
      <w:r>
        <w:rPr>
          <w:color w:val="0000FF"/>
          <w:w w:val="105"/>
          <w:sz w:val="19"/>
          <w:u w:val="single" w:color="0000FF"/>
        </w:rPr>
        <w:t>Conferencia Iberoamericana </w:t>
      </w:r>
      <w:r>
        <w:rPr>
          <w:color w:val="0000FF"/>
          <w:spacing w:val="-3"/>
          <w:w w:val="105"/>
          <w:sz w:val="19"/>
          <w:u w:val="single" w:color="0000FF"/>
        </w:rPr>
        <w:t>de </w:t>
      </w:r>
      <w:r>
        <w:rPr>
          <w:color w:val="0000FF"/>
          <w:w w:val="105"/>
          <w:sz w:val="19"/>
          <w:u w:val="single" w:color="0000FF"/>
        </w:rPr>
        <w:t>Educación (Buenos Aires, Argentina, 7 y 8 de septiembre </w:t>
      </w:r>
      <w:r>
        <w:rPr>
          <w:color w:val="0000FF"/>
          <w:spacing w:val="-3"/>
          <w:w w:val="105"/>
          <w:sz w:val="19"/>
          <w:u w:val="single" w:color="0000FF"/>
        </w:rPr>
        <w:t>de </w:t>
      </w:r>
      <w:r>
        <w:rPr>
          <w:color w:val="0000FF"/>
          <w:w w:val="105"/>
          <w:sz w:val="19"/>
          <w:u w:val="single" w:color="0000FF"/>
        </w:rPr>
        <w:t>1995)</w:t>
      </w:r>
    </w:p>
    <w:p>
      <w:pPr>
        <w:spacing w:line="247" w:lineRule="auto" w:before="0"/>
        <w:ind w:left="115" w:right="191" w:firstLine="0"/>
        <w:jc w:val="left"/>
        <w:rPr>
          <w:sz w:val="19"/>
        </w:rPr>
      </w:pPr>
      <w:r>
        <w:rPr>
          <w:b/>
          <w:w w:val="105"/>
          <w:sz w:val="19"/>
        </w:rPr>
        <w:t>OEI </w:t>
      </w:r>
      <w:r>
        <w:rPr>
          <w:w w:val="105"/>
          <w:sz w:val="19"/>
        </w:rPr>
        <w:t>(1996). VI Conferencia Iberoamericana de Educación (Concepción, Chile 24 y 25 de septiembre de 1996). Puede consultarse en:</w:t>
      </w:r>
    </w:p>
    <w:p>
      <w:pPr>
        <w:pStyle w:val="ListParagraph"/>
        <w:numPr>
          <w:ilvl w:val="0"/>
          <w:numId w:val="20"/>
        </w:numPr>
        <w:tabs>
          <w:tab w:pos="347" w:val="left" w:leader="none"/>
        </w:tabs>
        <w:spacing w:line="244" w:lineRule="auto" w:before="0" w:after="0"/>
        <w:ind w:left="116" w:right="105" w:firstLine="0"/>
        <w:jc w:val="left"/>
        <w:rPr>
          <w:sz w:val="19"/>
        </w:rPr>
      </w:pPr>
      <w:r>
        <w:rPr>
          <w:color w:val="0000FF"/>
          <w:w w:val="105"/>
          <w:sz w:val="19"/>
          <w:u w:val="single" w:color="0000FF"/>
        </w:rPr>
        <w:t>Conferencia</w:t>
      </w:r>
      <w:r>
        <w:rPr>
          <w:color w:val="0000FF"/>
          <w:spacing w:val="-12"/>
          <w:w w:val="105"/>
          <w:sz w:val="19"/>
          <w:u w:val="single" w:color="0000FF"/>
        </w:rPr>
        <w:t> </w:t>
      </w:r>
      <w:r>
        <w:rPr>
          <w:color w:val="0000FF"/>
          <w:w w:val="105"/>
          <w:sz w:val="19"/>
          <w:u w:val="single" w:color="0000FF"/>
        </w:rPr>
        <w:t>Iberoamericana</w:t>
      </w:r>
      <w:r>
        <w:rPr>
          <w:color w:val="0000FF"/>
          <w:spacing w:val="-19"/>
          <w:w w:val="105"/>
          <w:sz w:val="19"/>
          <w:u w:val="single" w:color="0000FF"/>
        </w:rPr>
        <w:t> </w:t>
      </w:r>
      <w:r>
        <w:rPr>
          <w:color w:val="0000FF"/>
          <w:w w:val="105"/>
          <w:sz w:val="19"/>
          <w:u w:val="single" w:color="0000FF"/>
        </w:rPr>
        <w:t>de</w:t>
      </w:r>
      <w:r>
        <w:rPr>
          <w:color w:val="0000FF"/>
          <w:spacing w:val="-16"/>
          <w:w w:val="105"/>
          <w:sz w:val="19"/>
          <w:u w:val="single" w:color="0000FF"/>
        </w:rPr>
        <w:t> </w:t>
      </w:r>
      <w:r>
        <w:rPr>
          <w:color w:val="0000FF"/>
          <w:w w:val="105"/>
          <w:sz w:val="19"/>
          <w:u w:val="single" w:color="0000FF"/>
        </w:rPr>
        <w:t>Educación</w:t>
      </w:r>
      <w:r>
        <w:rPr>
          <w:color w:val="0000FF"/>
          <w:spacing w:val="-16"/>
          <w:w w:val="105"/>
          <w:sz w:val="19"/>
          <w:u w:val="single" w:color="0000FF"/>
        </w:rPr>
        <w:t> </w:t>
      </w:r>
      <w:r>
        <w:rPr>
          <w:color w:val="0000FF"/>
          <w:w w:val="105"/>
          <w:sz w:val="19"/>
          <w:u w:val="single" w:color="0000FF"/>
        </w:rPr>
        <w:t>(Concepción,</w:t>
      </w:r>
      <w:r>
        <w:rPr>
          <w:color w:val="0000FF"/>
          <w:spacing w:val="-21"/>
          <w:w w:val="105"/>
          <w:sz w:val="19"/>
          <w:u w:val="single" w:color="0000FF"/>
        </w:rPr>
        <w:t> </w:t>
      </w:r>
      <w:r>
        <w:rPr>
          <w:color w:val="0000FF"/>
          <w:w w:val="105"/>
          <w:sz w:val="19"/>
          <w:u w:val="single" w:color="0000FF"/>
        </w:rPr>
        <w:t>Chile</w:t>
      </w:r>
      <w:r>
        <w:rPr>
          <w:color w:val="0000FF"/>
          <w:spacing w:val="-19"/>
          <w:w w:val="105"/>
          <w:sz w:val="19"/>
          <w:u w:val="single" w:color="0000FF"/>
        </w:rPr>
        <w:t> </w:t>
      </w:r>
      <w:r>
        <w:rPr>
          <w:color w:val="0000FF"/>
          <w:w w:val="105"/>
          <w:sz w:val="19"/>
          <w:u w:val="single" w:color="0000FF"/>
        </w:rPr>
        <w:t>24</w:t>
      </w:r>
      <w:r>
        <w:rPr>
          <w:color w:val="0000FF"/>
          <w:spacing w:val="-16"/>
          <w:w w:val="105"/>
          <w:sz w:val="19"/>
          <w:u w:val="single" w:color="0000FF"/>
        </w:rPr>
        <w:t> </w:t>
      </w:r>
      <w:r>
        <w:rPr>
          <w:color w:val="0000FF"/>
          <w:w w:val="105"/>
          <w:sz w:val="19"/>
          <w:u w:val="single" w:color="0000FF"/>
        </w:rPr>
        <w:t>y</w:t>
      </w:r>
      <w:r>
        <w:rPr>
          <w:color w:val="0000FF"/>
          <w:spacing w:val="-20"/>
          <w:w w:val="105"/>
          <w:sz w:val="19"/>
          <w:u w:val="single" w:color="0000FF"/>
        </w:rPr>
        <w:t> </w:t>
      </w:r>
      <w:r>
        <w:rPr>
          <w:color w:val="0000FF"/>
          <w:w w:val="105"/>
          <w:sz w:val="19"/>
          <w:u w:val="single" w:color="0000FF"/>
        </w:rPr>
        <w:t>25</w:t>
      </w:r>
      <w:r>
        <w:rPr>
          <w:color w:val="0000FF"/>
          <w:spacing w:val="-16"/>
          <w:w w:val="105"/>
          <w:sz w:val="19"/>
          <w:u w:val="single" w:color="0000FF"/>
        </w:rPr>
        <w:t> </w:t>
      </w:r>
      <w:r>
        <w:rPr>
          <w:color w:val="0000FF"/>
          <w:spacing w:val="3"/>
          <w:w w:val="105"/>
          <w:sz w:val="19"/>
          <w:u w:val="single" w:color="0000FF"/>
        </w:rPr>
        <w:t>de</w:t>
      </w:r>
      <w:r>
        <w:rPr>
          <w:color w:val="0000FF"/>
          <w:spacing w:val="-16"/>
          <w:w w:val="105"/>
          <w:sz w:val="19"/>
          <w:u w:val="single" w:color="0000FF"/>
        </w:rPr>
        <w:t> </w:t>
      </w:r>
      <w:r>
        <w:rPr>
          <w:color w:val="0000FF"/>
          <w:w w:val="105"/>
          <w:sz w:val="19"/>
          <w:u w:val="single" w:color="0000FF"/>
        </w:rPr>
        <w:t>septiembre</w:t>
      </w:r>
      <w:r>
        <w:rPr>
          <w:color w:val="0000FF"/>
          <w:spacing w:val="-16"/>
          <w:w w:val="105"/>
          <w:sz w:val="19"/>
          <w:u w:val="single" w:color="0000FF"/>
        </w:rPr>
        <w:t> </w:t>
      </w:r>
      <w:r>
        <w:rPr>
          <w:color w:val="0000FF"/>
          <w:w w:val="105"/>
          <w:sz w:val="19"/>
          <w:u w:val="single" w:color="0000FF"/>
        </w:rPr>
        <w:t>de</w:t>
      </w:r>
      <w:r>
        <w:rPr>
          <w:color w:val="0000FF"/>
          <w:spacing w:val="-16"/>
          <w:w w:val="105"/>
          <w:sz w:val="19"/>
          <w:u w:val="single" w:color="0000FF"/>
        </w:rPr>
        <w:t> </w:t>
      </w:r>
      <w:r>
        <w:rPr>
          <w:color w:val="0000FF"/>
          <w:w w:val="105"/>
          <w:sz w:val="19"/>
          <w:u w:val="single" w:color="0000FF"/>
        </w:rPr>
        <w:t>1996). </w:t>
      </w:r>
      <w:r>
        <w:rPr>
          <w:b/>
          <w:w w:val="105"/>
          <w:sz w:val="19"/>
        </w:rPr>
        <w:t>OEI </w:t>
      </w:r>
      <w:r>
        <w:rPr>
          <w:w w:val="105"/>
          <w:sz w:val="19"/>
        </w:rPr>
        <w:t>(1996). VI Cumbre Iberoamericana de Jefes de Estado y de Gobierno (Santiago </w:t>
      </w:r>
      <w:r>
        <w:rPr>
          <w:spacing w:val="-3"/>
          <w:w w:val="105"/>
          <w:sz w:val="19"/>
        </w:rPr>
        <w:t>de </w:t>
      </w:r>
      <w:r>
        <w:rPr>
          <w:w w:val="105"/>
          <w:sz w:val="19"/>
        </w:rPr>
        <w:t>Chile y Viña</w:t>
      </w:r>
      <w:r>
        <w:rPr>
          <w:spacing w:val="-13"/>
          <w:w w:val="105"/>
          <w:sz w:val="19"/>
        </w:rPr>
        <w:t> </w:t>
      </w:r>
      <w:r>
        <w:rPr>
          <w:w w:val="105"/>
          <w:sz w:val="19"/>
        </w:rPr>
        <w:t>del</w:t>
      </w:r>
      <w:r>
        <w:rPr>
          <w:spacing w:val="-15"/>
          <w:w w:val="105"/>
          <w:sz w:val="19"/>
        </w:rPr>
        <w:t> </w:t>
      </w:r>
      <w:r>
        <w:rPr>
          <w:w w:val="105"/>
          <w:sz w:val="19"/>
        </w:rPr>
        <w:t>Mar,</w:t>
      </w:r>
      <w:r>
        <w:rPr>
          <w:spacing w:val="-15"/>
          <w:w w:val="105"/>
          <w:sz w:val="19"/>
        </w:rPr>
        <w:t> </w:t>
      </w:r>
      <w:r>
        <w:rPr>
          <w:w w:val="105"/>
          <w:sz w:val="19"/>
        </w:rPr>
        <w:t>13</w:t>
      </w:r>
      <w:r>
        <w:rPr>
          <w:spacing w:val="-13"/>
          <w:w w:val="105"/>
          <w:sz w:val="19"/>
        </w:rPr>
        <w:t> </w:t>
      </w:r>
      <w:r>
        <w:rPr>
          <w:w w:val="105"/>
          <w:sz w:val="19"/>
        </w:rPr>
        <w:t>y</w:t>
      </w:r>
      <w:r>
        <w:rPr>
          <w:spacing w:val="-19"/>
          <w:w w:val="105"/>
          <w:sz w:val="19"/>
        </w:rPr>
        <w:t> </w:t>
      </w:r>
      <w:r>
        <w:rPr>
          <w:spacing w:val="2"/>
          <w:w w:val="105"/>
          <w:sz w:val="19"/>
        </w:rPr>
        <w:t>14</w:t>
      </w:r>
      <w:r>
        <w:rPr>
          <w:spacing w:val="-13"/>
          <w:w w:val="105"/>
          <w:sz w:val="19"/>
        </w:rPr>
        <w:t> </w:t>
      </w:r>
      <w:r>
        <w:rPr>
          <w:w w:val="105"/>
          <w:sz w:val="19"/>
        </w:rPr>
        <w:t>de</w:t>
      </w:r>
      <w:r>
        <w:rPr>
          <w:spacing w:val="-15"/>
          <w:w w:val="105"/>
          <w:sz w:val="19"/>
        </w:rPr>
        <w:t> </w:t>
      </w:r>
      <w:r>
        <w:rPr>
          <w:w w:val="105"/>
          <w:sz w:val="19"/>
        </w:rPr>
        <w:t>noviembre</w:t>
      </w:r>
      <w:r>
        <w:rPr>
          <w:spacing w:val="-15"/>
          <w:w w:val="105"/>
          <w:sz w:val="19"/>
        </w:rPr>
        <w:t> </w:t>
      </w:r>
      <w:r>
        <w:rPr>
          <w:w w:val="105"/>
          <w:sz w:val="19"/>
        </w:rPr>
        <w:t>de</w:t>
      </w:r>
      <w:r>
        <w:rPr>
          <w:spacing w:val="-18"/>
          <w:w w:val="105"/>
          <w:sz w:val="19"/>
        </w:rPr>
        <w:t> </w:t>
      </w:r>
      <w:r>
        <w:rPr>
          <w:w w:val="105"/>
          <w:sz w:val="19"/>
        </w:rPr>
        <w:t>1996).</w:t>
      </w:r>
      <w:r>
        <w:rPr>
          <w:spacing w:val="-15"/>
          <w:w w:val="105"/>
          <w:sz w:val="19"/>
        </w:rPr>
        <w:t> </w:t>
      </w:r>
      <w:r>
        <w:rPr>
          <w:w w:val="105"/>
          <w:sz w:val="19"/>
        </w:rPr>
        <w:t>Puede</w:t>
      </w:r>
      <w:r>
        <w:rPr>
          <w:spacing w:val="-13"/>
          <w:w w:val="105"/>
          <w:sz w:val="19"/>
        </w:rPr>
        <w:t> </w:t>
      </w:r>
      <w:r>
        <w:rPr>
          <w:w w:val="105"/>
          <w:sz w:val="19"/>
        </w:rPr>
        <w:t>consultarse</w:t>
      </w:r>
      <w:r>
        <w:rPr>
          <w:spacing w:val="-13"/>
          <w:w w:val="105"/>
          <w:sz w:val="19"/>
        </w:rPr>
        <w:t> </w:t>
      </w:r>
      <w:r>
        <w:rPr>
          <w:w w:val="105"/>
          <w:sz w:val="19"/>
        </w:rPr>
        <w:t>en:</w:t>
      </w:r>
    </w:p>
    <w:p>
      <w:pPr>
        <w:pStyle w:val="ListParagraph"/>
        <w:numPr>
          <w:ilvl w:val="0"/>
          <w:numId w:val="21"/>
        </w:numPr>
        <w:tabs>
          <w:tab w:pos="361" w:val="left" w:leader="none"/>
        </w:tabs>
        <w:spacing w:line="247" w:lineRule="auto" w:before="3" w:after="0"/>
        <w:ind w:left="116" w:right="100" w:firstLine="0"/>
        <w:jc w:val="left"/>
        <w:rPr>
          <w:sz w:val="19"/>
        </w:rPr>
      </w:pPr>
      <w:r>
        <w:rPr>
          <w:color w:val="0000FF"/>
          <w:w w:val="105"/>
          <w:sz w:val="19"/>
          <w:u w:val="single" w:color="0000FF"/>
        </w:rPr>
        <w:t>Cumbre Iberoamericana </w:t>
      </w:r>
      <w:r>
        <w:rPr>
          <w:color w:val="0000FF"/>
          <w:spacing w:val="-3"/>
          <w:w w:val="105"/>
          <w:sz w:val="19"/>
          <w:u w:val="single" w:color="0000FF"/>
        </w:rPr>
        <w:t>de </w:t>
      </w:r>
      <w:r>
        <w:rPr>
          <w:color w:val="0000FF"/>
          <w:w w:val="105"/>
          <w:sz w:val="19"/>
          <w:u w:val="single" w:color="0000FF"/>
        </w:rPr>
        <w:t>Jefes de Estado y </w:t>
      </w:r>
      <w:r>
        <w:rPr>
          <w:color w:val="0000FF"/>
          <w:spacing w:val="-3"/>
          <w:w w:val="105"/>
          <w:sz w:val="19"/>
          <w:u w:val="single" w:color="0000FF"/>
        </w:rPr>
        <w:t>de </w:t>
      </w:r>
      <w:r>
        <w:rPr>
          <w:color w:val="0000FF"/>
          <w:w w:val="105"/>
          <w:sz w:val="19"/>
          <w:u w:val="single" w:color="0000FF"/>
        </w:rPr>
        <w:t>Gobierno (Santiago </w:t>
      </w:r>
      <w:r>
        <w:rPr>
          <w:color w:val="0000FF"/>
          <w:spacing w:val="-3"/>
          <w:w w:val="105"/>
          <w:sz w:val="19"/>
          <w:u w:val="single" w:color="0000FF"/>
        </w:rPr>
        <w:t>de </w:t>
      </w:r>
      <w:r>
        <w:rPr>
          <w:color w:val="0000FF"/>
          <w:w w:val="105"/>
          <w:sz w:val="19"/>
          <w:u w:val="single" w:color="0000FF"/>
        </w:rPr>
        <w:t>Chile y Viña </w:t>
      </w:r>
      <w:r>
        <w:rPr>
          <w:color w:val="0000FF"/>
          <w:spacing w:val="-3"/>
          <w:w w:val="105"/>
          <w:sz w:val="19"/>
          <w:u w:val="single" w:color="0000FF"/>
        </w:rPr>
        <w:t>del </w:t>
      </w:r>
      <w:r>
        <w:rPr>
          <w:color w:val="0000FF"/>
          <w:w w:val="105"/>
          <w:sz w:val="19"/>
          <w:u w:val="single" w:color="0000FF"/>
        </w:rPr>
        <w:t>Mar, </w:t>
      </w:r>
      <w:r>
        <w:rPr>
          <w:color w:val="0000FF"/>
          <w:w w:val="105"/>
          <w:sz w:val="19"/>
          <w:u w:val="single" w:color="0000FF"/>
        </w:rPr>
        <w:t>13</w:t>
      </w:r>
      <w:r>
        <w:rPr>
          <w:color w:val="0000FF"/>
          <w:spacing w:val="-11"/>
          <w:w w:val="105"/>
          <w:sz w:val="19"/>
          <w:u w:val="single" w:color="0000FF"/>
        </w:rPr>
        <w:t> </w:t>
      </w:r>
      <w:r>
        <w:rPr>
          <w:color w:val="0000FF"/>
          <w:w w:val="105"/>
          <w:sz w:val="19"/>
          <w:u w:val="single" w:color="0000FF"/>
        </w:rPr>
        <w:t>y</w:t>
      </w:r>
      <w:r>
        <w:rPr>
          <w:color w:val="0000FF"/>
          <w:spacing w:val="-18"/>
          <w:w w:val="105"/>
          <w:sz w:val="19"/>
          <w:u w:val="single" w:color="0000FF"/>
        </w:rPr>
        <w:t> </w:t>
      </w:r>
      <w:r>
        <w:rPr>
          <w:color w:val="0000FF"/>
          <w:spacing w:val="2"/>
          <w:w w:val="105"/>
          <w:sz w:val="19"/>
          <w:u w:val="single" w:color="0000FF"/>
        </w:rPr>
        <w:t>14</w:t>
      </w:r>
      <w:r>
        <w:rPr>
          <w:color w:val="0000FF"/>
          <w:spacing w:val="-11"/>
          <w:w w:val="105"/>
          <w:sz w:val="19"/>
          <w:u w:val="single" w:color="0000FF"/>
        </w:rPr>
        <w:t> </w:t>
      </w:r>
      <w:r>
        <w:rPr>
          <w:color w:val="0000FF"/>
          <w:w w:val="105"/>
          <w:sz w:val="19"/>
          <w:u w:val="single" w:color="0000FF"/>
        </w:rPr>
        <w:t>de</w:t>
      </w:r>
      <w:r>
        <w:rPr>
          <w:color w:val="0000FF"/>
          <w:spacing w:val="-13"/>
          <w:w w:val="105"/>
          <w:sz w:val="19"/>
          <w:u w:val="single" w:color="0000FF"/>
        </w:rPr>
        <w:t> </w:t>
      </w:r>
      <w:r>
        <w:rPr>
          <w:color w:val="0000FF"/>
          <w:w w:val="105"/>
          <w:sz w:val="19"/>
          <w:u w:val="single" w:color="0000FF"/>
        </w:rPr>
        <w:t>noviembre</w:t>
      </w:r>
      <w:r>
        <w:rPr>
          <w:color w:val="0000FF"/>
          <w:spacing w:val="-13"/>
          <w:w w:val="105"/>
          <w:sz w:val="19"/>
          <w:u w:val="single" w:color="0000FF"/>
        </w:rPr>
        <w:t> </w:t>
      </w:r>
      <w:r>
        <w:rPr>
          <w:color w:val="0000FF"/>
          <w:w w:val="105"/>
          <w:sz w:val="19"/>
          <w:u w:val="single" w:color="0000FF"/>
        </w:rPr>
        <w:t>de</w:t>
      </w:r>
      <w:r>
        <w:rPr>
          <w:color w:val="0000FF"/>
          <w:spacing w:val="-13"/>
          <w:w w:val="105"/>
          <w:sz w:val="19"/>
          <w:u w:val="single" w:color="0000FF"/>
        </w:rPr>
        <w:t> </w:t>
      </w:r>
      <w:r>
        <w:rPr>
          <w:color w:val="0000FF"/>
          <w:w w:val="105"/>
          <w:sz w:val="19"/>
          <w:u w:val="single" w:color="0000FF"/>
        </w:rPr>
        <w:t>1996)</w:t>
      </w:r>
    </w:p>
    <w:p>
      <w:pPr>
        <w:spacing w:line="247" w:lineRule="auto" w:before="0"/>
        <w:ind w:left="115" w:right="191" w:firstLine="0"/>
        <w:jc w:val="left"/>
        <w:rPr>
          <w:sz w:val="19"/>
        </w:rPr>
      </w:pPr>
      <w:r>
        <w:rPr>
          <w:b/>
          <w:w w:val="105"/>
          <w:sz w:val="19"/>
        </w:rPr>
        <w:t>OEI </w:t>
      </w:r>
      <w:r>
        <w:rPr>
          <w:w w:val="105"/>
          <w:sz w:val="19"/>
        </w:rPr>
        <w:t>(1997). VIII Conferencia Iberoamericana de Educación (Sintra, Portugal, 9 y 10 de julio de 1998). Puede consultarse en:</w:t>
      </w:r>
    </w:p>
    <w:p>
      <w:pPr>
        <w:spacing w:after="0" w:line="247" w:lineRule="auto"/>
        <w:jc w:val="left"/>
        <w:rPr>
          <w:sz w:val="19"/>
        </w:rPr>
        <w:sectPr>
          <w:pgSz w:w="11910" w:h="16840"/>
          <w:pgMar w:header="0" w:footer="1457" w:top="1580" w:bottom="1640" w:left="1540" w:right="1540"/>
        </w:sectPr>
      </w:pPr>
    </w:p>
    <w:p>
      <w:pPr>
        <w:pStyle w:val="BodyText"/>
        <w:rPr>
          <w:sz w:val="20"/>
        </w:rPr>
      </w:pPr>
    </w:p>
    <w:p>
      <w:pPr>
        <w:pStyle w:val="BodyText"/>
        <w:spacing w:before="10"/>
        <w:rPr>
          <w:sz w:val="15"/>
        </w:rPr>
      </w:pPr>
    </w:p>
    <w:p>
      <w:pPr>
        <w:pStyle w:val="ListParagraph"/>
        <w:numPr>
          <w:ilvl w:val="0"/>
          <w:numId w:val="21"/>
        </w:numPr>
        <w:tabs>
          <w:tab w:pos="452" w:val="left" w:leader="none"/>
        </w:tabs>
        <w:spacing w:line="247" w:lineRule="auto" w:before="81" w:after="0"/>
        <w:ind w:left="116" w:right="127" w:firstLine="0"/>
        <w:jc w:val="left"/>
        <w:rPr>
          <w:sz w:val="19"/>
        </w:rPr>
      </w:pPr>
      <w:r>
        <w:rPr>
          <w:color w:val="0000FF"/>
          <w:w w:val="105"/>
          <w:sz w:val="19"/>
          <w:u w:val="single" w:color="0000FF"/>
        </w:rPr>
        <w:t>Conferencia Iberoamericana </w:t>
      </w:r>
      <w:r>
        <w:rPr>
          <w:color w:val="0000FF"/>
          <w:spacing w:val="-3"/>
          <w:w w:val="105"/>
          <w:sz w:val="19"/>
          <w:u w:val="single" w:color="0000FF"/>
        </w:rPr>
        <w:t>de </w:t>
      </w:r>
      <w:r>
        <w:rPr>
          <w:color w:val="0000FF"/>
          <w:w w:val="105"/>
          <w:sz w:val="19"/>
          <w:u w:val="single" w:color="0000FF"/>
        </w:rPr>
        <w:t>Educación (Mérida, Venezuela, 25 y 26 </w:t>
      </w:r>
      <w:r>
        <w:rPr>
          <w:color w:val="0000FF"/>
          <w:spacing w:val="-3"/>
          <w:w w:val="105"/>
          <w:sz w:val="19"/>
          <w:u w:val="single" w:color="0000FF"/>
        </w:rPr>
        <w:t>de </w:t>
      </w:r>
      <w:r>
        <w:rPr>
          <w:color w:val="0000FF"/>
          <w:w w:val="105"/>
          <w:sz w:val="19"/>
          <w:u w:val="single" w:color="0000FF"/>
        </w:rPr>
        <w:t>septiembre </w:t>
      </w:r>
      <w:r>
        <w:rPr>
          <w:color w:val="0000FF"/>
          <w:spacing w:val="-3"/>
          <w:w w:val="105"/>
          <w:sz w:val="19"/>
          <w:u w:val="single" w:color="0000FF"/>
        </w:rPr>
        <w:t>de </w:t>
      </w:r>
      <w:r>
        <w:rPr>
          <w:color w:val="0000FF"/>
          <w:w w:val="105"/>
          <w:sz w:val="19"/>
          <w:u w:val="single" w:color="0000FF"/>
        </w:rPr>
        <w:t>1997).</w:t>
      </w:r>
    </w:p>
    <w:p>
      <w:pPr>
        <w:spacing w:line="242" w:lineRule="auto" w:before="0"/>
        <w:ind w:left="115" w:right="32" w:firstLine="0"/>
        <w:jc w:val="left"/>
        <w:rPr>
          <w:sz w:val="19"/>
        </w:rPr>
      </w:pPr>
      <w:r>
        <w:rPr>
          <w:b/>
          <w:w w:val="105"/>
          <w:sz w:val="19"/>
        </w:rPr>
        <w:t>OEI </w:t>
      </w:r>
      <w:r>
        <w:rPr>
          <w:w w:val="105"/>
          <w:sz w:val="19"/>
        </w:rPr>
        <w:t>(1998). VIII Cumbre Iberoamericana de Jefes de Estado y de Gobierno (Oporto, Portugal 17 y 18 de octubre de 1998). Puede consultarse en:</w:t>
      </w:r>
    </w:p>
    <w:p>
      <w:pPr>
        <w:pStyle w:val="ListParagraph"/>
        <w:numPr>
          <w:ilvl w:val="0"/>
          <w:numId w:val="21"/>
        </w:numPr>
        <w:tabs>
          <w:tab w:pos="496" w:val="left" w:leader="none"/>
        </w:tabs>
        <w:spacing w:line="247" w:lineRule="auto" w:before="5" w:after="0"/>
        <w:ind w:left="116" w:right="126" w:firstLine="0"/>
        <w:jc w:val="left"/>
        <w:rPr>
          <w:sz w:val="19"/>
        </w:rPr>
      </w:pPr>
      <w:r>
        <w:rPr>
          <w:color w:val="0000FF"/>
          <w:w w:val="105"/>
          <w:sz w:val="19"/>
          <w:u w:val="single" w:color="0000FF"/>
        </w:rPr>
        <w:t>Cumbre Iberoamericana </w:t>
      </w:r>
      <w:r>
        <w:rPr>
          <w:color w:val="0000FF"/>
          <w:spacing w:val="-3"/>
          <w:w w:val="105"/>
          <w:sz w:val="19"/>
          <w:u w:val="single" w:color="0000FF"/>
        </w:rPr>
        <w:t>de </w:t>
      </w:r>
      <w:r>
        <w:rPr>
          <w:color w:val="0000FF"/>
          <w:w w:val="105"/>
          <w:sz w:val="19"/>
          <w:u w:val="single" w:color="0000FF"/>
        </w:rPr>
        <w:t>Jefes de Estado y de Gobierno (Oporto, Portugal 17 y 18 </w:t>
      </w:r>
      <w:r>
        <w:rPr>
          <w:color w:val="0000FF"/>
          <w:spacing w:val="-3"/>
          <w:w w:val="105"/>
          <w:sz w:val="19"/>
          <w:u w:val="single" w:color="0000FF"/>
        </w:rPr>
        <w:t>de </w:t>
      </w:r>
      <w:r>
        <w:rPr>
          <w:color w:val="0000FF"/>
          <w:w w:val="105"/>
          <w:sz w:val="19"/>
          <w:u w:val="single" w:color="0000FF"/>
        </w:rPr>
        <w:t>octubre de</w:t>
      </w:r>
      <w:r>
        <w:rPr>
          <w:color w:val="0000FF"/>
          <w:spacing w:val="-40"/>
          <w:w w:val="105"/>
          <w:sz w:val="19"/>
          <w:u w:val="single" w:color="0000FF"/>
        </w:rPr>
        <w:t> </w:t>
      </w:r>
      <w:r>
        <w:rPr>
          <w:color w:val="0000FF"/>
          <w:w w:val="105"/>
          <w:sz w:val="19"/>
          <w:u w:val="single" w:color="0000FF"/>
        </w:rPr>
        <w:t>1998)</w:t>
      </w:r>
    </w:p>
    <w:p>
      <w:pPr>
        <w:spacing w:line="247" w:lineRule="auto" w:before="0"/>
        <w:ind w:left="115" w:right="127" w:firstLine="0"/>
        <w:jc w:val="left"/>
        <w:rPr>
          <w:sz w:val="19"/>
        </w:rPr>
      </w:pPr>
      <w:r>
        <w:rPr>
          <w:b/>
          <w:w w:val="105"/>
          <w:sz w:val="19"/>
        </w:rPr>
        <w:t>OEI </w:t>
      </w:r>
      <w:r>
        <w:rPr>
          <w:w w:val="105"/>
          <w:sz w:val="19"/>
        </w:rPr>
        <w:t>(1999). IX Conferencia Iberoamericana de Educación (La Habana, Cuba, 1 y 2 de julio de 1999). Puede consultarse en:</w:t>
      </w:r>
    </w:p>
    <w:p>
      <w:pPr>
        <w:pStyle w:val="ListParagraph"/>
        <w:numPr>
          <w:ilvl w:val="0"/>
          <w:numId w:val="21"/>
        </w:numPr>
        <w:tabs>
          <w:tab w:pos="347" w:val="left" w:leader="none"/>
        </w:tabs>
        <w:spacing w:line="240" w:lineRule="auto" w:before="0" w:after="0"/>
        <w:ind w:left="346" w:right="0" w:hanging="230"/>
        <w:jc w:val="left"/>
        <w:rPr>
          <w:sz w:val="19"/>
        </w:rPr>
      </w:pPr>
      <w:r>
        <w:rPr>
          <w:color w:val="0000FF"/>
          <w:w w:val="105"/>
          <w:sz w:val="19"/>
          <w:u w:val="single" w:color="0000FF"/>
        </w:rPr>
        <w:t>Conferencia</w:t>
      </w:r>
      <w:r>
        <w:rPr>
          <w:color w:val="0000FF"/>
          <w:spacing w:val="-12"/>
          <w:w w:val="105"/>
          <w:sz w:val="19"/>
          <w:u w:val="single" w:color="0000FF"/>
        </w:rPr>
        <w:t> </w:t>
      </w:r>
      <w:r>
        <w:rPr>
          <w:color w:val="0000FF"/>
          <w:w w:val="105"/>
          <w:sz w:val="19"/>
          <w:u w:val="single" w:color="0000FF"/>
        </w:rPr>
        <w:t>Iberoamericana</w:t>
      </w:r>
      <w:r>
        <w:rPr>
          <w:color w:val="0000FF"/>
          <w:spacing w:val="-17"/>
          <w:w w:val="105"/>
          <w:sz w:val="19"/>
          <w:u w:val="single" w:color="0000FF"/>
        </w:rPr>
        <w:t> </w:t>
      </w:r>
      <w:r>
        <w:rPr>
          <w:color w:val="0000FF"/>
          <w:w w:val="105"/>
          <w:sz w:val="19"/>
          <w:u w:val="single" w:color="0000FF"/>
        </w:rPr>
        <w:t>de</w:t>
      </w:r>
      <w:r>
        <w:rPr>
          <w:color w:val="0000FF"/>
          <w:spacing w:val="-17"/>
          <w:w w:val="105"/>
          <w:sz w:val="19"/>
          <w:u w:val="single" w:color="0000FF"/>
        </w:rPr>
        <w:t> </w:t>
      </w:r>
      <w:r>
        <w:rPr>
          <w:color w:val="0000FF"/>
          <w:w w:val="105"/>
          <w:sz w:val="19"/>
          <w:u w:val="single" w:color="0000FF"/>
        </w:rPr>
        <w:t>Educación</w:t>
      </w:r>
      <w:r>
        <w:rPr>
          <w:color w:val="0000FF"/>
          <w:spacing w:val="-17"/>
          <w:w w:val="105"/>
          <w:sz w:val="19"/>
          <w:u w:val="single" w:color="0000FF"/>
        </w:rPr>
        <w:t> </w:t>
      </w:r>
      <w:r>
        <w:rPr>
          <w:color w:val="0000FF"/>
          <w:w w:val="105"/>
          <w:sz w:val="19"/>
          <w:u w:val="single" w:color="0000FF"/>
        </w:rPr>
        <w:t>(La</w:t>
      </w:r>
      <w:r>
        <w:rPr>
          <w:color w:val="0000FF"/>
          <w:spacing w:val="-17"/>
          <w:w w:val="105"/>
          <w:sz w:val="19"/>
          <w:u w:val="single" w:color="0000FF"/>
        </w:rPr>
        <w:t> </w:t>
      </w:r>
      <w:r>
        <w:rPr>
          <w:color w:val="0000FF"/>
          <w:w w:val="105"/>
          <w:sz w:val="19"/>
          <w:u w:val="single" w:color="0000FF"/>
        </w:rPr>
        <w:t>Habana,</w:t>
      </w:r>
      <w:r>
        <w:rPr>
          <w:color w:val="0000FF"/>
          <w:spacing w:val="-21"/>
          <w:w w:val="105"/>
          <w:sz w:val="19"/>
          <w:u w:val="single" w:color="0000FF"/>
        </w:rPr>
        <w:t> </w:t>
      </w:r>
      <w:r>
        <w:rPr>
          <w:color w:val="0000FF"/>
          <w:w w:val="105"/>
          <w:sz w:val="19"/>
          <w:u w:val="single" w:color="0000FF"/>
        </w:rPr>
        <w:t>Cuba,</w:t>
      </w:r>
      <w:r>
        <w:rPr>
          <w:color w:val="0000FF"/>
          <w:spacing w:val="-21"/>
          <w:w w:val="105"/>
          <w:sz w:val="19"/>
          <w:u w:val="single" w:color="0000FF"/>
        </w:rPr>
        <w:t> </w:t>
      </w:r>
      <w:r>
        <w:rPr>
          <w:color w:val="0000FF"/>
          <w:w w:val="105"/>
          <w:sz w:val="19"/>
          <w:u w:val="single" w:color="0000FF"/>
        </w:rPr>
        <w:t>1</w:t>
      </w:r>
      <w:r>
        <w:rPr>
          <w:color w:val="0000FF"/>
          <w:spacing w:val="-17"/>
          <w:w w:val="105"/>
          <w:sz w:val="19"/>
          <w:u w:val="single" w:color="0000FF"/>
        </w:rPr>
        <w:t> </w:t>
      </w:r>
      <w:r>
        <w:rPr>
          <w:color w:val="0000FF"/>
          <w:w w:val="105"/>
          <w:sz w:val="19"/>
          <w:u w:val="single" w:color="0000FF"/>
        </w:rPr>
        <w:t>y</w:t>
      </w:r>
      <w:r>
        <w:rPr>
          <w:color w:val="0000FF"/>
          <w:spacing w:val="-17"/>
          <w:w w:val="105"/>
          <w:sz w:val="19"/>
          <w:u w:val="single" w:color="0000FF"/>
        </w:rPr>
        <w:t> </w:t>
      </w:r>
      <w:r>
        <w:rPr>
          <w:color w:val="0000FF"/>
          <w:w w:val="105"/>
          <w:sz w:val="19"/>
          <w:u w:val="single" w:color="0000FF"/>
        </w:rPr>
        <w:t>2</w:t>
      </w:r>
      <w:r>
        <w:rPr>
          <w:color w:val="0000FF"/>
          <w:spacing w:val="-14"/>
          <w:w w:val="105"/>
          <w:sz w:val="19"/>
          <w:u w:val="single" w:color="0000FF"/>
        </w:rPr>
        <w:t> </w:t>
      </w:r>
      <w:r>
        <w:rPr>
          <w:color w:val="0000FF"/>
          <w:spacing w:val="2"/>
          <w:w w:val="105"/>
          <w:sz w:val="19"/>
          <w:u w:val="single" w:color="0000FF"/>
        </w:rPr>
        <w:t>de</w:t>
      </w:r>
      <w:r>
        <w:rPr>
          <w:color w:val="0000FF"/>
          <w:spacing w:val="-17"/>
          <w:w w:val="105"/>
          <w:sz w:val="19"/>
          <w:u w:val="single" w:color="0000FF"/>
        </w:rPr>
        <w:t> </w:t>
      </w:r>
      <w:r>
        <w:rPr>
          <w:color w:val="0000FF"/>
          <w:w w:val="105"/>
          <w:sz w:val="19"/>
          <w:u w:val="single" w:color="0000FF"/>
        </w:rPr>
        <w:t>julio</w:t>
      </w:r>
      <w:r>
        <w:rPr>
          <w:color w:val="0000FF"/>
          <w:spacing w:val="-17"/>
          <w:w w:val="105"/>
          <w:sz w:val="19"/>
          <w:u w:val="single" w:color="0000FF"/>
        </w:rPr>
        <w:t> </w:t>
      </w:r>
      <w:r>
        <w:rPr>
          <w:color w:val="0000FF"/>
          <w:w w:val="105"/>
          <w:sz w:val="19"/>
          <w:u w:val="single" w:color="0000FF"/>
        </w:rPr>
        <w:t>de</w:t>
      </w:r>
      <w:r>
        <w:rPr>
          <w:color w:val="0000FF"/>
          <w:spacing w:val="-17"/>
          <w:w w:val="105"/>
          <w:sz w:val="19"/>
          <w:u w:val="single" w:color="0000FF"/>
        </w:rPr>
        <w:t> </w:t>
      </w:r>
      <w:r>
        <w:rPr>
          <w:color w:val="0000FF"/>
          <w:w w:val="105"/>
          <w:sz w:val="19"/>
          <w:u w:val="single" w:color="0000FF"/>
        </w:rPr>
        <w:t>1999).</w:t>
      </w:r>
    </w:p>
    <w:p>
      <w:pPr>
        <w:spacing w:line="242" w:lineRule="auto" w:before="7"/>
        <w:ind w:left="115" w:right="127" w:firstLine="0"/>
        <w:jc w:val="left"/>
        <w:rPr>
          <w:sz w:val="19"/>
        </w:rPr>
      </w:pPr>
      <w:r>
        <w:rPr>
          <w:b/>
          <w:w w:val="105"/>
          <w:sz w:val="19"/>
        </w:rPr>
        <w:t>OEI </w:t>
      </w:r>
      <w:r>
        <w:rPr>
          <w:w w:val="105"/>
          <w:sz w:val="19"/>
        </w:rPr>
        <w:t>(2000). X Conferencia Iberoamericana de Educación (Ciudad de Panamá, Panamá, 3 y 4 de julio de 2000). Puede consultarse en:</w:t>
      </w:r>
    </w:p>
    <w:p>
      <w:pPr>
        <w:pStyle w:val="ListParagraph"/>
        <w:numPr>
          <w:ilvl w:val="0"/>
          <w:numId w:val="21"/>
        </w:numPr>
        <w:tabs>
          <w:tab w:pos="335" w:val="left" w:leader="none"/>
          <w:tab w:pos="8065" w:val="left" w:leader="none"/>
        </w:tabs>
        <w:spacing w:line="247" w:lineRule="auto" w:before="0" w:after="0"/>
        <w:ind w:left="116" w:right="126" w:firstLine="0"/>
        <w:jc w:val="left"/>
        <w:rPr>
          <w:sz w:val="19"/>
        </w:rPr>
      </w:pPr>
      <w:r>
        <w:rPr>
          <w:color w:val="0000FF"/>
          <w:w w:val="105"/>
          <w:sz w:val="19"/>
          <w:u w:val="single" w:color="0000FF"/>
        </w:rPr>
        <w:t>Conferencia Iberoamericana de </w:t>
      </w:r>
      <w:r>
        <w:rPr>
          <w:color w:val="0000FF"/>
          <w:spacing w:val="-3"/>
          <w:w w:val="105"/>
          <w:sz w:val="19"/>
          <w:u w:val="single" w:color="0000FF"/>
        </w:rPr>
        <w:t>Educación </w:t>
      </w:r>
      <w:r>
        <w:rPr>
          <w:color w:val="0000FF"/>
          <w:w w:val="105"/>
          <w:sz w:val="19"/>
          <w:u w:val="single" w:color="0000FF"/>
        </w:rPr>
        <w:t>(Ciudad de Panamá, Panamá, 3   </w:t>
      </w:r>
      <w:r>
        <w:rPr>
          <w:color w:val="0000FF"/>
          <w:spacing w:val="19"/>
          <w:w w:val="105"/>
          <w:sz w:val="19"/>
          <w:u w:val="single" w:color="0000FF"/>
        </w:rPr>
        <w:t> </w:t>
      </w:r>
      <w:r>
        <w:rPr>
          <w:color w:val="0000FF"/>
          <w:w w:val="105"/>
          <w:sz w:val="19"/>
          <w:u w:val="single" w:color="0000FF"/>
        </w:rPr>
        <w:t>y 4</w:t>
      </w:r>
      <w:r>
        <w:rPr>
          <w:color w:val="0000FF"/>
          <w:spacing w:val="18"/>
          <w:w w:val="105"/>
          <w:sz w:val="19"/>
          <w:u w:val="single" w:color="0000FF"/>
        </w:rPr>
        <w:t> </w:t>
      </w:r>
      <w:r>
        <w:rPr>
          <w:color w:val="0000FF"/>
          <w:w w:val="105"/>
          <w:sz w:val="19"/>
          <w:u w:val="single" w:color="0000FF"/>
        </w:rPr>
        <w:t>de</w:t>
        <w:tab/>
        <w:t>julio</w:t>
      </w:r>
      <w:r>
        <w:rPr>
          <w:color w:val="0000FF"/>
          <w:spacing w:val="16"/>
          <w:w w:val="105"/>
          <w:sz w:val="19"/>
          <w:u w:val="single" w:color="0000FF"/>
        </w:rPr>
        <w:t> </w:t>
      </w:r>
      <w:r>
        <w:rPr>
          <w:color w:val="0000FF"/>
          <w:w w:val="105"/>
          <w:sz w:val="19"/>
          <w:u w:val="single" w:color="0000FF"/>
        </w:rPr>
        <w:t>de</w:t>
      </w:r>
      <w:r>
        <w:rPr>
          <w:color w:val="0000FF"/>
          <w:w w:val="103"/>
          <w:sz w:val="19"/>
        </w:rPr>
        <w:t> </w:t>
      </w:r>
      <w:r>
        <w:rPr>
          <w:color w:val="0000FF"/>
          <w:w w:val="105"/>
          <w:sz w:val="19"/>
          <w:u w:val="single" w:color="0000FF"/>
        </w:rPr>
        <w:t>2000)</w:t>
      </w:r>
    </w:p>
    <w:p>
      <w:pPr>
        <w:spacing w:line="242" w:lineRule="auto" w:before="0"/>
        <w:ind w:left="115" w:right="32" w:firstLine="0"/>
        <w:jc w:val="left"/>
        <w:rPr>
          <w:sz w:val="19"/>
        </w:rPr>
      </w:pPr>
      <w:r>
        <w:rPr>
          <w:b/>
          <w:w w:val="105"/>
          <w:sz w:val="19"/>
        </w:rPr>
        <w:t>OEI </w:t>
      </w:r>
      <w:r>
        <w:rPr>
          <w:w w:val="105"/>
          <w:sz w:val="19"/>
        </w:rPr>
        <w:t>(2003), XIII Conferencia Iberoamericana de Educación (Tarija, Bolivia, 4 y 5 de septiembre de 2003). Puede consultarse en:</w:t>
      </w:r>
    </w:p>
    <w:p>
      <w:pPr>
        <w:pStyle w:val="ListParagraph"/>
        <w:numPr>
          <w:ilvl w:val="0"/>
          <w:numId w:val="22"/>
        </w:numPr>
        <w:tabs>
          <w:tab w:pos="459" w:val="left" w:leader="none"/>
        </w:tabs>
        <w:spacing w:line="240" w:lineRule="auto" w:before="5" w:after="0"/>
        <w:ind w:left="116" w:right="0" w:firstLine="0"/>
        <w:jc w:val="left"/>
        <w:rPr>
          <w:sz w:val="19"/>
        </w:rPr>
      </w:pPr>
      <w:r>
        <w:rPr>
          <w:color w:val="0000FF"/>
          <w:w w:val="105"/>
          <w:sz w:val="19"/>
          <w:u w:val="single" w:color="0000FF"/>
        </w:rPr>
        <w:t>Conferencia</w:t>
      </w:r>
      <w:r>
        <w:rPr>
          <w:color w:val="0000FF"/>
          <w:spacing w:val="-16"/>
          <w:w w:val="105"/>
          <w:sz w:val="19"/>
          <w:u w:val="single" w:color="0000FF"/>
        </w:rPr>
        <w:t> </w:t>
      </w:r>
      <w:r>
        <w:rPr>
          <w:color w:val="0000FF"/>
          <w:w w:val="105"/>
          <w:sz w:val="19"/>
          <w:u w:val="single" w:color="0000FF"/>
        </w:rPr>
        <w:t>Iberoamericana</w:t>
      </w:r>
      <w:r>
        <w:rPr>
          <w:color w:val="0000FF"/>
          <w:spacing w:val="-20"/>
          <w:w w:val="105"/>
          <w:sz w:val="19"/>
          <w:u w:val="single" w:color="0000FF"/>
        </w:rPr>
        <w:t> </w:t>
      </w:r>
      <w:r>
        <w:rPr>
          <w:color w:val="0000FF"/>
          <w:w w:val="105"/>
          <w:sz w:val="19"/>
          <w:u w:val="single" w:color="0000FF"/>
        </w:rPr>
        <w:t>de</w:t>
      </w:r>
      <w:r>
        <w:rPr>
          <w:color w:val="0000FF"/>
          <w:spacing w:val="-18"/>
          <w:w w:val="105"/>
          <w:sz w:val="19"/>
          <w:u w:val="single" w:color="0000FF"/>
        </w:rPr>
        <w:t> </w:t>
      </w:r>
      <w:r>
        <w:rPr>
          <w:color w:val="0000FF"/>
          <w:w w:val="105"/>
          <w:sz w:val="19"/>
          <w:u w:val="single" w:color="0000FF"/>
        </w:rPr>
        <w:t>Educación</w:t>
      </w:r>
      <w:r>
        <w:rPr>
          <w:color w:val="0000FF"/>
          <w:spacing w:val="-20"/>
          <w:w w:val="105"/>
          <w:sz w:val="19"/>
          <w:u w:val="single" w:color="0000FF"/>
        </w:rPr>
        <w:t> </w:t>
      </w:r>
      <w:r>
        <w:rPr>
          <w:color w:val="0000FF"/>
          <w:w w:val="105"/>
          <w:sz w:val="19"/>
          <w:u w:val="single" w:color="0000FF"/>
        </w:rPr>
        <w:t>(Tarija,</w:t>
      </w:r>
      <w:r>
        <w:rPr>
          <w:color w:val="0000FF"/>
          <w:spacing w:val="-22"/>
          <w:w w:val="105"/>
          <w:sz w:val="19"/>
          <w:u w:val="single" w:color="0000FF"/>
        </w:rPr>
        <w:t> </w:t>
      </w:r>
      <w:r>
        <w:rPr>
          <w:color w:val="0000FF"/>
          <w:w w:val="105"/>
          <w:sz w:val="19"/>
          <w:u w:val="single" w:color="0000FF"/>
        </w:rPr>
        <w:t>Bolivia,</w:t>
      </w:r>
      <w:r>
        <w:rPr>
          <w:color w:val="0000FF"/>
          <w:spacing w:val="-18"/>
          <w:w w:val="105"/>
          <w:sz w:val="19"/>
          <w:u w:val="single" w:color="0000FF"/>
        </w:rPr>
        <w:t> </w:t>
      </w:r>
      <w:r>
        <w:rPr>
          <w:color w:val="0000FF"/>
          <w:w w:val="105"/>
          <w:sz w:val="19"/>
          <w:u w:val="single" w:color="0000FF"/>
        </w:rPr>
        <w:t>4</w:t>
      </w:r>
      <w:r>
        <w:rPr>
          <w:color w:val="0000FF"/>
          <w:spacing w:val="-20"/>
          <w:w w:val="105"/>
          <w:sz w:val="19"/>
          <w:u w:val="single" w:color="0000FF"/>
        </w:rPr>
        <w:t> </w:t>
      </w:r>
      <w:r>
        <w:rPr>
          <w:color w:val="0000FF"/>
          <w:w w:val="105"/>
          <w:sz w:val="19"/>
          <w:u w:val="single" w:color="0000FF"/>
        </w:rPr>
        <w:t>y</w:t>
      </w:r>
      <w:r>
        <w:rPr>
          <w:color w:val="0000FF"/>
          <w:spacing w:val="-20"/>
          <w:w w:val="105"/>
          <w:sz w:val="19"/>
          <w:u w:val="single" w:color="0000FF"/>
        </w:rPr>
        <w:t> </w:t>
      </w:r>
      <w:r>
        <w:rPr>
          <w:color w:val="0000FF"/>
          <w:w w:val="105"/>
          <w:sz w:val="19"/>
          <w:u w:val="single" w:color="0000FF"/>
        </w:rPr>
        <w:t>5</w:t>
      </w:r>
      <w:r>
        <w:rPr>
          <w:color w:val="0000FF"/>
          <w:spacing w:val="-20"/>
          <w:w w:val="105"/>
          <w:sz w:val="19"/>
          <w:u w:val="single" w:color="0000FF"/>
        </w:rPr>
        <w:t> </w:t>
      </w:r>
      <w:r>
        <w:rPr>
          <w:color w:val="0000FF"/>
          <w:w w:val="105"/>
          <w:sz w:val="19"/>
          <w:u w:val="single" w:color="0000FF"/>
        </w:rPr>
        <w:t>de</w:t>
      </w:r>
      <w:r>
        <w:rPr>
          <w:color w:val="0000FF"/>
          <w:spacing w:val="-20"/>
          <w:w w:val="105"/>
          <w:sz w:val="19"/>
          <w:u w:val="single" w:color="0000FF"/>
        </w:rPr>
        <w:t> </w:t>
      </w:r>
      <w:r>
        <w:rPr>
          <w:color w:val="0000FF"/>
          <w:w w:val="105"/>
          <w:sz w:val="19"/>
          <w:u w:val="single" w:color="0000FF"/>
        </w:rPr>
        <w:t>septiembre</w:t>
      </w:r>
      <w:r>
        <w:rPr>
          <w:color w:val="0000FF"/>
          <w:spacing w:val="-16"/>
          <w:w w:val="105"/>
          <w:sz w:val="19"/>
          <w:u w:val="single" w:color="0000FF"/>
        </w:rPr>
        <w:t> </w:t>
      </w:r>
      <w:r>
        <w:rPr>
          <w:color w:val="0000FF"/>
          <w:w w:val="105"/>
          <w:sz w:val="19"/>
          <w:u w:val="single" w:color="0000FF"/>
        </w:rPr>
        <w:t>de</w:t>
      </w:r>
      <w:r>
        <w:rPr>
          <w:color w:val="0000FF"/>
          <w:spacing w:val="-22"/>
          <w:w w:val="105"/>
          <w:sz w:val="19"/>
          <w:u w:val="single" w:color="0000FF"/>
        </w:rPr>
        <w:t> </w:t>
      </w:r>
      <w:r>
        <w:rPr>
          <w:color w:val="0000FF"/>
          <w:w w:val="105"/>
          <w:sz w:val="19"/>
          <w:u w:val="single" w:color="0000FF"/>
        </w:rPr>
        <w:t>2003)</w:t>
      </w:r>
    </w:p>
    <w:p>
      <w:pPr>
        <w:spacing w:line="242" w:lineRule="auto" w:before="7"/>
        <w:ind w:left="115" w:right="127" w:firstLine="0"/>
        <w:jc w:val="left"/>
        <w:rPr>
          <w:sz w:val="19"/>
        </w:rPr>
      </w:pPr>
      <w:r>
        <w:rPr>
          <w:b/>
          <w:w w:val="105"/>
          <w:sz w:val="19"/>
        </w:rPr>
        <w:t>OEI </w:t>
      </w:r>
      <w:r>
        <w:rPr>
          <w:w w:val="105"/>
          <w:sz w:val="19"/>
        </w:rPr>
        <w:t>(2004), XIV Conferencia Iberoamericana de Educación. (San José, Costa Rica, 28 y 29 de octubre de2004). Puede consultarse en:</w:t>
      </w:r>
    </w:p>
    <w:p>
      <w:pPr>
        <w:pStyle w:val="ListParagraph"/>
        <w:numPr>
          <w:ilvl w:val="0"/>
          <w:numId w:val="22"/>
        </w:numPr>
        <w:tabs>
          <w:tab w:pos="510" w:val="left" w:leader="none"/>
        </w:tabs>
        <w:spacing w:line="247" w:lineRule="auto" w:before="5" w:after="0"/>
        <w:ind w:left="116" w:right="124" w:firstLine="0"/>
        <w:jc w:val="left"/>
        <w:rPr>
          <w:sz w:val="19"/>
        </w:rPr>
      </w:pPr>
      <w:r>
        <w:rPr>
          <w:color w:val="0000FF"/>
          <w:w w:val="105"/>
          <w:sz w:val="19"/>
          <w:u w:val="single" w:color="0000FF"/>
        </w:rPr>
        <w:t>Conferencia Iberoamericana de Educación. </w:t>
      </w:r>
      <w:r>
        <w:rPr>
          <w:color w:val="0000FF"/>
          <w:spacing w:val="-3"/>
          <w:w w:val="105"/>
          <w:sz w:val="19"/>
          <w:u w:val="single" w:color="0000FF"/>
        </w:rPr>
        <w:t>(San </w:t>
      </w:r>
      <w:r>
        <w:rPr>
          <w:color w:val="0000FF"/>
          <w:w w:val="105"/>
          <w:sz w:val="19"/>
          <w:u w:val="single" w:color="0000FF"/>
        </w:rPr>
        <w:t>José, Costa Rica, 28 y </w:t>
      </w:r>
      <w:r>
        <w:rPr>
          <w:color w:val="0000FF"/>
          <w:spacing w:val="2"/>
          <w:w w:val="105"/>
          <w:sz w:val="19"/>
          <w:u w:val="single" w:color="0000FF"/>
        </w:rPr>
        <w:t>29 </w:t>
      </w:r>
      <w:r>
        <w:rPr>
          <w:color w:val="0000FF"/>
          <w:w w:val="105"/>
          <w:sz w:val="19"/>
          <w:u w:val="single" w:color="0000FF"/>
        </w:rPr>
        <w:t>de octubre de </w:t>
      </w:r>
      <w:r>
        <w:rPr>
          <w:color w:val="0000FF"/>
          <w:w w:val="105"/>
          <w:sz w:val="19"/>
          <w:u w:val="single" w:color="0000FF"/>
        </w:rPr>
        <w:t>2004)</w:t>
      </w:r>
    </w:p>
    <w:p>
      <w:pPr>
        <w:spacing w:line="242" w:lineRule="auto" w:before="0"/>
        <w:ind w:left="115" w:right="127" w:firstLine="0"/>
        <w:jc w:val="left"/>
        <w:rPr>
          <w:sz w:val="19"/>
        </w:rPr>
      </w:pPr>
      <w:r>
        <w:rPr>
          <w:b/>
          <w:w w:val="105"/>
          <w:sz w:val="19"/>
        </w:rPr>
        <w:t>Ornelas</w:t>
      </w:r>
      <w:r>
        <w:rPr>
          <w:w w:val="105"/>
          <w:sz w:val="19"/>
        </w:rPr>
        <w:t>,</w:t>
      </w:r>
      <w:r>
        <w:rPr>
          <w:spacing w:val="-17"/>
          <w:w w:val="105"/>
          <w:sz w:val="19"/>
        </w:rPr>
        <w:t> </w:t>
      </w:r>
      <w:r>
        <w:rPr>
          <w:w w:val="105"/>
          <w:sz w:val="19"/>
        </w:rPr>
        <w:t>Carlos.</w:t>
      </w:r>
      <w:r>
        <w:rPr>
          <w:spacing w:val="-20"/>
          <w:w w:val="105"/>
          <w:sz w:val="19"/>
        </w:rPr>
        <w:t> </w:t>
      </w:r>
      <w:r>
        <w:rPr>
          <w:w w:val="105"/>
          <w:sz w:val="19"/>
        </w:rPr>
        <w:t>(1998).</w:t>
      </w:r>
      <w:r>
        <w:rPr>
          <w:spacing w:val="-20"/>
          <w:w w:val="105"/>
          <w:sz w:val="19"/>
        </w:rPr>
        <w:t> </w:t>
      </w:r>
      <w:r>
        <w:rPr>
          <w:w w:val="105"/>
          <w:sz w:val="19"/>
        </w:rPr>
        <w:t>“La</w:t>
      </w:r>
      <w:r>
        <w:rPr>
          <w:spacing w:val="-17"/>
          <w:w w:val="105"/>
          <w:sz w:val="19"/>
        </w:rPr>
        <w:t> </w:t>
      </w:r>
      <w:r>
        <w:rPr>
          <w:w w:val="105"/>
          <w:sz w:val="19"/>
        </w:rPr>
        <w:t>descentralización</w:t>
      </w:r>
      <w:r>
        <w:rPr>
          <w:spacing w:val="-17"/>
          <w:w w:val="105"/>
          <w:sz w:val="19"/>
        </w:rPr>
        <w:t> </w:t>
      </w:r>
      <w:r>
        <w:rPr>
          <w:w w:val="105"/>
          <w:sz w:val="19"/>
        </w:rPr>
        <w:t>de</w:t>
      </w:r>
      <w:r>
        <w:rPr>
          <w:spacing w:val="-20"/>
          <w:w w:val="105"/>
          <w:sz w:val="19"/>
        </w:rPr>
        <w:t> </w:t>
      </w:r>
      <w:r>
        <w:rPr>
          <w:spacing w:val="-3"/>
          <w:w w:val="105"/>
          <w:sz w:val="19"/>
        </w:rPr>
        <w:t>la</w:t>
      </w:r>
      <w:r>
        <w:rPr>
          <w:spacing w:val="-17"/>
          <w:w w:val="105"/>
          <w:sz w:val="19"/>
        </w:rPr>
        <w:t> </w:t>
      </w:r>
      <w:r>
        <w:rPr>
          <w:w w:val="105"/>
          <w:sz w:val="19"/>
        </w:rPr>
        <w:t>educación</w:t>
      </w:r>
      <w:r>
        <w:rPr>
          <w:spacing w:val="-17"/>
          <w:w w:val="105"/>
          <w:sz w:val="19"/>
        </w:rPr>
        <w:t> </w:t>
      </w:r>
      <w:r>
        <w:rPr>
          <w:w w:val="105"/>
          <w:sz w:val="19"/>
        </w:rPr>
        <w:t>en</w:t>
      </w:r>
      <w:r>
        <w:rPr>
          <w:spacing w:val="-17"/>
          <w:w w:val="105"/>
          <w:sz w:val="19"/>
        </w:rPr>
        <w:t> </w:t>
      </w:r>
      <w:r>
        <w:rPr>
          <w:w w:val="105"/>
          <w:sz w:val="19"/>
        </w:rPr>
        <w:t>México”.</w:t>
      </w:r>
      <w:r>
        <w:rPr>
          <w:spacing w:val="-20"/>
          <w:w w:val="105"/>
          <w:sz w:val="19"/>
        </w:rPr>
        <w:t> </w:t>
      </w:r>
      <w:r>
        <w:rPr>
          <w:w w:val="105"/>
          <w:sz w:val="19"/>
        </w:rPr>
        <w:t>Perspectivas,</w:t>
      </w:r>
      <w:r>
        <w:rPr>
          <w:spacing w:val="-20"/>
          <w:w w:val="105"/>
          <w:sz w:val="19"/>
        </w:rPr>
        <w:t> </w:t>
      </w:r>
      <w:r>
        <w:rPr>
          <w:w w:val="105"/>
          <w:sz w:val="19"/>
        </w:rPr>
        <w:t>Vol.</w:t>
      </w:r>
      <w:r>
        <w:rPr>
          <w:spacing w:val="-17"/>
          <w:w w:val="105"/>
          <w:sz w:val="19"/>
        </w:rPr>
        <w:t> </w:t>
      </w:r>
      <w:r>
        <w:rPr>
          <w:w w:val="105"/>
          <w:sz w:val="19"/>
        </w:rPr>
        <w:t>XVIII Núm.</w:t>
      </w:r>
      <w:r>
        <w:rPr>
          <w:spacing w:val="-45"/>
          <w:w w:val="105"/>
          <w:sz w:val="19"/>
        </w:rPr>
        <w:t> </w:t>
      </w:r>
      <w:r>
        <w:rPr>
          <w:w w:val="105"/>
          <w:sz w:val="19"/>
        </w:rPr>
        <w:t>1 (1998).</w:t>
      </w:r>
    </w:p>
    <w:p>
      <w:pPr>
        <w:spacing w:before="0"/>
        <w:ind w:left="115" w:right="127" w:firstLine="0"/>
        <w:jc w:val="left"/>
        <w:rPr>
          <w:sz w:val="19"/>
        </w:rPr>
      </w:pPr>
      <w:r>
        <w:rPr>
          <w:w w:val="105"/>
          <w:sz w:val="19"/>
        </w:rPr>
        <w:t>------------------. (1998). “De la crisis a la reconstrucción”, México, ANUIES.</w:t>
      </w:r>
    </w:p>
    <w:p>
      <w:pPr>
        <w:spacing w:before="7"/>
        <w:ind w:left="115" w:right="127" w:firstLine="0"/>
        <w:jc w:val="left"/>
        <w:rPr>
          <w:sz w:val="19"/>
        </w:rPr>
      </w:pPr>
      <w:r>
        <w:rPr>
          <w:w w:val="105"/>
          <w:sz w:val="19"/>
        </w:rPr>
        <w:t>Poder Ejecutivo Federal (2005). Anexo Estadístico del V Informe de Gobierno. México, D.F.</w:t>
      </w:r>
    </w:p>
    <w:p>
      <w:pPr>
        <w:spacing w:line="247" w:lineRule="auto" w:before="2"/>
        <w:ind w:left="115" w:right="127" w:firstLine="0"/>
        <w:jc w:val="left"/>
        <w:rPr>
          <w:sz w:val="19"/>
        </w:rPr>
      </w:pPr>
      <w:r>
        <w:rPr>
          <w:w w:val="105"/>
          <w:sz w:val="19"/>
        </w:rPr>
        <w:t>------------------.</w:t>
      </w:r>
      <w:r>
        <w:rPr>
          <w:spacing w:val="-22"/>
          <w:w w:val="105"/>
          <w:sz w:val="19"/>
        </w:rPr>
        <w:t> </w:t>
      </w:r>
      <w:r>
        <w:rPr>
          <w:w w:val="105"/>
          <w:sz w:val="19"/>
        </w:rPr>
        <w:t>(2002).</w:t>
      </w:r>
      <w:r>
        <w:rPr>
          <w:spacing w:val="-22"/>
          <w:w w:val="105"/>
          <w:sz w:val="19"/>
        </w:rPr>
        <w:t> </w:t>
      </w:r>
      <w:r>
        <w:rPr>
          <w:w w:val="105"/>
          <w:sz w:val="19"/>
        </w:rPr>
        <w:t>“El</w:t>
      </w:r>
      <w:r>
        <w:rPr>
          <w:spacing w:val="-20"/>
          <w:w w:val="105"/>
          <w:sz w:val="19"/>
        </w:rPr>
        <w:t> </w:t>
      </w:r>
      <w:r>
        <w:rPr>
          <w:w w:val="105"/>
          <w:sz w:val="19"/>
        </w:rPr>
        <w:t>programa</w:t>
      </w:r>
      <w:r>
        <w:rPr>
          <w:spacing w:val="-22"/>
          <w:w w:val="105"/>
          <w:sz w:val="19"/>
        </w:rPr>
        <w:t> </w:t>
      </w:r>
      <w:r>
        <w:rPr>
          <w:spacing w:val="-4"/>
          <w:w w:val="105"/>
          <w:sz w:val="19"/>
        </w:rPr>
        <w:t>de</w:t>
      </w:r>
      <w:r>
        <w:rPr>
          <w:spacing w:val="-22"/>
          <w:w w:val="105"/>
          <w:sz w:val="19"/>
        </w:rPr>
        <w:t> </w:t>
      </w:r>
      <w:r>
        <w:rPr>
          <w:w w:val="105"/>
          <w:sz w:val="19"/>
        </w:rPr>
        <w:t>educación:</w:t>
      </w:r>
      <w:r>
        <w:rPr>
          <w:spacing w:val="-22"/>
          <w:w w:val="105"/>
          <w:sz w:val="19"/>
        </w:rPr>
        <w:t> </w:t>
      </w:r>
      <w:r>
        <w:rPr>
          <w:w w:val="105"/>
          <w:sz w:val="19"/>
        </w:rPr>
        <w:t>continuidad</w:t>
      </w:r>
      <w:r>
        <w:rPr>
          <w:spacing w:val="-19"/>
          <w:w w:val="105"/>
          <w:sz w:val="19"/>
        </w:rPr>
        <w:t> </w:t>
      </w:r>
      <w:r>
        <w:rPr>
          <w:w w:val="105"/>
          <w:sz w:val="19"/>
        </w:rPr>
        <w:t>y</w:t>
      </w:r>
      <w:r>
        <w:rPr>
          <w:spacing w:val="-20"/>
          <w:w w:val="105"/>
          <w:sz w:val="19"/>
        </w:rPr>
        <w:t> </w:t>
      </w:r>
      <w:r>
        <w:rPr>
          <w:w w:val="105"/>
          <w:sz w:val="19"/>
        </w:rPr>
        <w:t>cambio”.</w:t>
      </w:r>
      <w:r>
        <w:rPr>
          <w:spacing w:val="-22"/>
          <w:w w:val="105"/>
          <w:sz w:val="19"/>
        </w:rPr>
        <w:t> </w:t>
      </w:r>
      <w:r>
        <w:rPr>
          <w:w w:val="105"/>
          <w:sz w:val="19"/>
        </w:rPr>
        <w:t>Visión</w:t>
      </w:r>
      <w:r>
        <w:rPr>
          <w:spacing w:val="-22"/>
          <w:w w:val="105"/>
          <w:sz w:val="19"/>
        </w:rPr>
        <w:t> </w:t>
      </w:r>
      <w:r>
        <w:rPr>
          <w:w w:val="105"/>
          <w:sz w:val="19"/>
        </w:rPr>
        <w:t>Educativa.</w:t>
      </w:r>
      <w:r>
        <w:rPr>
          <w:spacing w:val="-22"/>
          <w:w w:val="105"/>
          <w:sz w:val="19"/>
        </w:rPr>
        <w:t> </w:t>
      </w:r>
      <w:r>
        <w:rPr>
          <w:w w:val="105"/>
          <w:sz w:val="19"/>
        </w:rPr>
        <w:t>Revista Sonorense</w:t>
      </w:r>
      <w:r>
        <w:rPr>
          <w:spacing w:val="-17"/>
          <w:w w:val="105"/>
          <w:sz w:val="19"/>
        </w:rPr>
        <w:t> </w:t>
      </w:r>
      <w:r>
        <w:rPr>
          <w:spacing w:val="-3"/>
          <w:w w:val="105"/>
          <w:sz w:val="19"/>
        </w:rPr>
        <w:t>de</w:t>
      </w:r>
      <w:r>
        <w:rPr>
          <w:spacing w:val="-17"/>
          <w:w w:val="105"/>
          <w:sz w:val="19"/>
        </w:rPr>
        <w:t> </w:t>
      </w:r>
      <w:r>
        <w:rPr>
          <w:w w:val="105"/>
          <w:sz w:val="19"/>
        </w:rPr>
        <w:t>Educación.</w:t>
      </w:r>
      <w:r>
        <w:rPr>
          <w:spacing w:val="-17"/>
          <w:w w:val="105"/>
          <w:sz w:val="19"/>
        </w:rPr>
        <w:t> </w:t>
      </w:r>
      <w:r>
        <w:rPr>
          <w:w w:val="105"/>
          <w:sz w:val="19"/>
        </w:rPr>
        <w:t>No.</w:t>
      </w:r>
      <w:r>
        <w:rPr>
          <w:spacing w:val="-17"/>
          <w:w w:val="105"/>
          <w:sz w:val="19"/>
        </w:rPr>
        <w:t> </w:t>
      </w:r>
      <w:r>
        <w:rPr>
          <w:w w:val="105"/>
          <w:sz w:val="19"/>
        </w:rPr>
        <w:t>3.</w:t>
      </w:r>
      <w:r>
        <w:rPr>
          <w:spacing w:val="-22"/>
          <w:w w:val="105"/>
          <w:sz w:val="19"/>
        </w:rPr>
        <w:t> </w:t>
      </w:r>
      <w:r>
        <w:rPr>
          <w:w w:val="105"/>
          <w:sz w:val="19"/>
        </w:rPr>
        <w:t>junio</w:t>
      </w:r>
      <w:r>
        <w:rPr>
          <w:spacing w:val="-17"/>
          <w:w w:val="105"/>
          <w:sz w:val="19"/>
        </w:rPr>
        <w:t> </w:t>
      </w:r>
      <w:r>
        <w:rPr>
          <w:w w:val="105"/>
          <w:sz w:val="19"/>
        </w:rPr>
        <w:t>de</w:t>
      </w:r>
      <w:r>
        <w:rPr>
          <w:spacing w:val="-17"/>
          <w:w w:val="105"/>
          <w:sz w:val="19"/>
        </w:rPr>
        <w:t> </w:t>
      </w:r>
      <w:r>
        <w:rPr>
          <w:w w:val="105"/>
          <w:sz w:val="19"/>
        </w:rPr>
        <w:t>2002.</w:t>
      </w:r>
      <w:r>
        <w:rPr>
          <w:spacing w:val="-21"/>
          <w:w w:val="105"/>
          <w:sz w:val="19"/>
        </w:rPr>
        <w:t> </w:t>
      </w:r>
      <w:r>
        <w:rPr>
          <w:w w:val="105"/>
          <w:sz w:val="19"/>
        </w:rPr>
        <w:t>Puede</w:t>
      </w:r>
      <w:r>
        <w:rPr>
          <w:spacing w:val="-17"/>
          <w:w w:val="105"/>
          <w:sz w:val="19"/>
        </w:rPr>
        <w:t> </w:t>
      </w:r>
      <w:r>
        <w:rPr>
          <w:w w:val="105"/>
          <w:sz w:val="19"/>
        </w:rPr>
        <w:t>consultarse</w:t>
      </w:r>
      <w:r>
        <w:rPr>
          <w:spacing w:val="-17"/>
          <w:w w:val="105"/>
          <w:sz w:val="19"/>
        </w:rPr>
        <w:t> </w:t>
      </w:r>
      <w:r>
        <w:rPr>
          <w:w w:val="105"/>
          <w:sz w:val="19"/>
        </w:rPr>
        <w:t>en:</w:t>
      </w:r>
    </w:p>
    <w:p>
      <w:pPr>
        <w:spacing w:before="0"/>
        <w:ind w:left="115" w:right="127" w:firstLine="0"/>
        <w:jc w:val="left"/>
        <w:rPr>
          <w:sz w:val="19"/>
        </w:rPr>
      </w:pPr>
      <w:hyperlink r:id="rId167">
        <w:r>
          <w:rPr>
            <w:color w:val="0000FF"/>
            <w:w w:val="105"/>
            <w:sz w:val="19"/>
            <w:u w:val="single" w:color="0000FF"/>
          </w:rPr>
          <w:t>http://www.sec-sonora.gob.mx/ve/ve3/indexve.html</w:t>
        </w:r>
      </w:hyperlink>
    </w:p>
    <w:p>
      <w:pPr>
        <w:spacing w:before="7"/>
        <w:ind w:left="115" w:right="127" w:firstLine="0"/>
        <w:jc w:val="left"/>
        <w:rPr>
          <w:sz w:val="19"/>
        </w:rPr>
      </w:pPr>
      <w:r>
        <w:rPr>
          <w:w w:val="105"/>
          <w:sz w:val="19"/>
        </w:rPr>
        <w:t>------------------. (2009). “El Sistema Educativo Mexicano”. FCE. México.</w:t>
      </w:r>
    </w:p>
    <w:p>
      <w:pPr>
        <w:spacing w:before="2"/>
        <w:ind w:left="115" w:right="127" w:firstLine="0"/>
        <w:jc w:val="left"/>
        <w:rPr>
          <w:sz w:val="19"/>
        </w:rPr>
      </w:pPr>
      <w:r>
        <w:rPr>
          <w:w w:val="105"/>
          <w:sz w:val="19"/>
        </w:rPr>
        <w:t>------------------. (2011).“La educación en septiembre”. Contracorriente, 07/09/2011, México. D.F.</w:t>
      </w:r>
    </w:p>
    <w:p>
      <w:pPr>
        <w:spacing w:line="247" w:lineRule="auto" w:before="7"/>
        <w:ind w:left="115" w:right="127" w:firstLine="0"/>
        <w:jc w:val="left"/>
        <w:rPr>
          <w:sz w:val="19"/>
        </w:rPr>
      </w:pPr>
      <w:r>
        <w:rPr>
          <w:w w:val="105"/>
          <w:sz w:val="19"/>
        </w:rPr>
        <w:t>---------------------. (2012). “Educación, colonización y rebeldía. La herencia del pacto Calderón- Gordillo”. Siglo XXI editores. México.</w:t>
      </w:r>
    </w:p>
    <w:p>
      <w:pPr>
        <w:spacing w:line="244" w:lineRule="auto" w:before="0"/>
        <w:ind w:left="115" w:right="127" w:firstLine="0"/>
        <w:jc w:val="left"/>
        <w:rPr>
          <w:sz w:val="19"/>
        </w:rPr>
      </w:pPr>
      <w:r>
        <w:rPr>
          <w:b/>
          <w:w w:val="105"/>
          <w:sz w:val="19"/>
        </w:rPr>
        <w:t>Ortega </w:t>
      </w:r>
      <w:r>
        <w:rPr>
          <w:w w:val="105"/>
          <w:sz w:val="19"/>
        </w:rPr>
        <w:t>Estrada, Federico. (2003). “La equidad en educación”. Revista Latinoamericana de Estudios Educativos, 2° trimestre, año/vol. XXXIII, número 002. Centro de Estudios Educativos. Distrito Federal, México. pp. 119-134. Puede consultarse en: </w:t>
      </w:r>
      <w:hyperlink r:id="rId168">
        <w:r>
          <w:rPr>
            <w:color w:val="0000FF"/>
            <w:w w:val="105"/>
            <w:sz w:val="19"/>
            <w:u w:val="single" w:color="0000FF"/>
          </w:rPr>
          <w:t>http://redalyc.uaemex.mx/redalyc/src/inicio/ArtPdfRed.jsp?iCve=27033205&amp;iCveNum=1008</w:t>
        </w:r>
      </w:hyperlink>
    </w:p>
    <w:p>
      <w:pPr>
        <w:pStyle w:val="BodyText"/>
        <w:spacing w:before="5"/>
        <w:rPr>
          <w:sz w:val="12"/>
        </w:rPr>
      </w:pPr>
    </w:p>
    <w:p>
      <w:pPr>
        <w:spacing w:before="81"/>
        <w:ind w:left="115" w:right="0" w:firstLine="0"/>
        <w:jc w:val="both"/>
        <w:rPr>
          <w:b/>
          <w:sz w:val="19"/>
        </w:rPr>
      </w:pPr>
      <w:r>
        <w:rPr>
          <w:b/>
          <w:w w:val="103"/>
          <w:sz w:val="19"/>
        </w:rPr>
        <w:t>P</w:t>
      </w:r>
    </w:p>
    <w:p>
      <w:pPr>
        <w:spacing w:line="244" w:lineRule="auto" w:before="7"/>
        <w:ind w:left="115" w:right="127" w:firstLine="0"/>
        <w:jc w:val="both"/>
        <w:rPr>
          <w:sz w:val="19"/>
        </w:rPr>
      </w:pPr>
      <w:r>
        <w:rPr>
          <w:b/>
          <w:w w:val="105"/>
          <w:sz w:val="19"/>
        </w:rPr>
        <w:t>Parrado </w:t>
      </w:r>
      <w:r>
        <w:rPr>
          <w:w w:val="105"/>
          <w:sz w:val="19"/>
        </w:rPr>
        <w:t>Díez, Salvador y Ruíz López, Joaquín (2010). “La gestión de la calidad total en la administración pública: mímesis y némesis”, en Francisco Moyado (compilador). Gestión de calidad, México, Siglo XXI editores.</w:t>
      </w:r>
    </w:p>
    <w:p>
      <w:pPr>
        <w:spacing w:line="244" w:lineRule="auto" w:before="3"/>
        <w:ind w:left="115" w:right="117" w:firstLine="0"/>
        <w:jc w:val="both"/>
        <w:rPr>
          <w:sz w:val="19"/>
        </w:rPr>
      </w:pPr>
      <w:r>
        <w:rPr>
          <w:b/>
          <w:w w:val="105"/>
          <w:sz w:val="19"/>
        </w:rPr>
        <w:t>Pérez</w:t>
      </w:r>
      <w:r>
        <w:rPr>
          <w:b/>
          <w:spacing w:val="-3"/>
          <w:w w:val="105"/>
          <w:sz w:val="19"/>
        </w:rPr>
        <w:t> </w:t>
      </w:r>
      <w:r>
        <w:rPr>
          <w:w w:val="105"/>
          <w:sz w:val="19"/>
        </w:rPr>
        <w:t>Menayo,</w:t>
      </w:r>
      <w:r>
        <w:rPr>
          <w:spacing w:val="-8"/>
          <w:w w:val="105"/>
          <w:sz w:val="19"/>
        </w:rPr>
        <w:t> </w:t>
      </w:r>
      <w:r>
        <w:rPr>
          <w:w w:val="105"/>
          <w:sz w:val="19"/>
        </w:rPr>
        <w:t>V.</w:t>
      </w:r>
      <w:r>
        <w:rPr>
          <w:spacing w:val="-8"/>
          <w:w w:val="105"/>
          <w:sz w:val="19"/>
        </w:rPr>
        <w:t> </w:t>
      </w:r>
      <w:r>
        <w:rPr>
          <w:w w:val="105"/>
          <w:sz w:val="19"/>
        </w:rPr>
        <w:t>(1998).</w:t>
      </w:r>
      <w:r>
        <w:rPr>
          <w:spacing w:val="-8"/>
          <w:w w:val="105"/>
          <w:sz w:val="19"/>
        </w:rPr>
        <w:t> </w:t>
      </w:r>
      <w:r>
        <w:rPr>
          <w:w w:val="105"/>
          <w:sz w:val="19"/>
        </w:rPr>
        <w:t>“La</w:t>
      </w:r>
      <w:r>
        <w:rPr>
          <w:spacing w:val="-11"/>
          <w:w w:val="105"/>
          <w:sz w:val="19"/>
        </w:rPr>
        <w:t> </w:t>
      </w:r>
      <w:r>
        <w:rPr>
          <w:w w:val="105"/>
          <w:sz w:val="19"/>
        </w:rPr>
        <w:t>calidad</w:t>
      </w:r>
      <w:r>
        <w:rPr>
          <w:spacing w:val="-8"/>
          <w:w w:val="105"/>
          <w:sz w:val="19"/>
        </w:rPr>
        <w:t> </w:t>
      </w:r>
      <w:r>
        <w:rPr>
          <w:w w:val="105"/>
          <w:sz w:val="19"/>
        </w:rPr>
        <w:t>como</w:t>
      </w:r>
      <w:r>
        <w:rPr>
          <w:spacing w:val="-8"/>
          <w:w w:val="105"/>
          <w:sz w:val="19"/>
        </w:rPr>
        <w:t> </w:t>
      </w:r>
      <w:r>
        <w:rPr>
          <w:w w:val="105"/>
          <w:sz w:val="19"/>
        </w:rPr>
        <w:t>yacimiento</w:t>
      </w:r>
      <w:r>
        <w:rPr>
          <w:spacing w:val="-8"/>
          <w:w w:val="105"/>
          <w:sz w:val="19"/>
        </w:rPr>
        <w:t> </w:t>
      </w:r>
      <w:r>
        <w:rPr>
          <w:w w:val="105"/>
          <w:sz w:val="19"/>
        </w:rPr>
        <w:t>de</w:t>
      </w:r>
      <w:r>
        <w:rPr>
          <w:spacing w:val="-8"/>
          <w:w w:val="105"/>
          <w:sz w:val="19"/>
        </w:rPr>
        <w:t> </w:t>
      </w:r>
      <w:r>
        <w:rPr>
          <w:w w:val="105"/>
          <w:sz w:val="19"/>
        </w:rPr>
        <w:t>la</w:t>
      </w:r>
      <w:r>
        <w:rPr>
          <w:spacing w:val="-8"/>
          <w:w w:val="105"/>
          <w:sz w:val="19"/>
        </w:rPr>
        <w:t> </w:t>
      </w:r>
      <w:r>
        <w:rPr>
          <w:w w:val="105"/>
          <w:sz w:val="19"/>
        </w:rPr>
        <w:t>nueva</w:t>
      </w:r>
      <w:r>
        <w:rPr>
          <w:spacing w:val="-8"/>
          <w:w w:val="105"/>
          <w:sz w:val="19"/>
        </w:rPr>
        <w:t> </w:t>
      </w:r>
      <w:r>
        <w:rPr>
          <w:w w:val="105"/>
          <w:sz w:val="19"/>
        </w:rPr>
        <w:t>gestión</w:t>
      </w:r>
      <w:r>
        <w:rPr>
          <w:spacing w:val="-8"/>
          <w:w w:val="105"/>
          <w:sz w:val="19"/>
        </w:rPr>
        <w:t> </w:t>
      </w:r>
      <w:r>
        <w:rPr>
          <w:w w:val="105"/>
          <w:sz w:val="19"/>
        </w:rPr>
        <w:t>pública:</w:t>
      </w:r>
      <w:r>
        <w:rPr>
          <w:spacing w:val="-13"/>
          <w:w w:val="105"/>
          <w:sz w:val="19"/>
        </w:rPr>
        <w:t> </w:t>
      </w:r>
      <w:r>
        <w:rPr>
          <w:w w:val="105"/>
          <w:sz w:val="19"/>
        </w:rPr>
        <w:t>la</w:t>
      </w:r>
      <w:r>
        <w:rPr>
          <w:spacing w:val="-8"/>
          <w:w w:val="105"/>
          <w:sz w:val="19"/>
        </w:rPr>
        <w:t> </w:t>
      </w:r>
      <w:r>
        <w:rPr>
          <w:w w:val="105"/>
          <w:sz w:val="19"/>
        </w:rPr>
        <w:t>experiencia del </w:t>
      </w:r>
      <w:r>
        <w:rPr>
          <w:spacing w:val="-3"/>
          <w:w w:val="105"/>
          <w:sz w:val="19"/>
        </w:rPr>
        <w:t>Instituto </w:t>
      </w:r>
      <w:r>
        <w:rPr>
          <w:w w:val="105"/>
          <w:sz w:val="19"/>
        </w:rPr>
        <w:t>Nacional de la Seguridad Social”. Gestión y Análisis de Políticas Públicas </w:t>
      </w:r>
      <w:r>
        <w:rPr>
          <w:spacing w:val="-2"/>
          <w:w w:val="105"/>
          <w:sz w:val="19"/>
        </w:rPr>
        <w:t>(MAP); </w:t>
      </w:r>
      <w:r>
        <w:rPr>
          <w:w w:val="105"/>
          <w:sz w:val="19"/>
        </w:rPr>
        <w:t>N° </w:t>
      </w:r>
      <w:r>
        <w:rPr>
          <w:sz w:val="19"/>
        </w:rPr>
        <w:t>11-12,</w:t>
      </w:r>
      <w:r>
        <w:rPr>
          <w:spacing w:val="39"/>
          <w:sz w:val="19"/>
        </w:rPr>
        <w:t> </w:t>
      </w:r>
      <w:r>
        <w:rPr>
          <w:sz w:val="19"/>
        </w:rPr>
        <w:t>enero-agosto-</w:t>
      </w:r>
    </w:p>
    <w:p>
      <w:pPr>
        <w:spacing w:line="247" w:lineRule="auto" w:before="3"/>
        <w:ind w:left="115" w:right="127" w:firstLine="0"/>
        <w:jc w:val="both"/>
        <w:rPr>
          <w:sz w:val="19"/>
        </w:rPr>
      </w:pPr>
      <w:r>
        <w:rPr>
          <w:b/>
          <w:w w:val="105"/>
          <w:sz w:val="19"/>
        </w:rPr>
        <w:t>Plan Nacional de Educación </w:t>
      </w:r>
      <w:r>
        <w:rPr>
          <w:w w:val="105"/>
          <w:sz w:val="19"/>
        </w:rPr>
        <w:t>2000/2006 (2001). México. Presidencia de la Republica. Puede </w:t>
      </w:r>
      <w:r>
        <w:rPr>
          <w:sz w:val="19"/>
        </w:rPr>
        <w:t>consultarse   en&gt;   </w:t>
      </w:r>
      <w:hyperlink r:id="rId169">
        <w:r>
          <w:rPr>
            <w:color w:val="0000FF"/>
            <w:sz w:val="19"/>
            <w:u w:val="single" w:color="0000FF"/>
          </w:rPr>
          <w:t>http://bibliotecadigital.conevyt.org.mx/colecciones/conevyt/educa.pdf</w:t>
        </w:r>
      </w:hyperlink>
    </w:p>
    <w:p>
      <w:pPr>
        <w:spacing w:line="242" w:lineRule="auto" w:before="0"/>
        <w:ind w:left="115" w:right="134" w:firstLine="0"/>
        <w:jc w:val="both"/>
        <w:rPr>
          <w:sz w:val="19"/>
        </w:rPr>
      </w:pPr>
      <w:r>
        <w:rPr>
          <w:b/>
          <w:w w:val="105"/>
          <w:sz w:val="19"/>
        </w:rPr>
        <w:t>Poder Ejecutivo </w:t>
      </w:r>
      <w:r>
        <w:rPr>
          <w:w w:val="105"/>
          <w:sz w:val="19"/>
        </w:rPr>
        <w:t>(2002). “Decreto de la creación del Instituto Nacional para la Evaluación de la Educación”. Diario Oficial, 08/08/2002. México D.F.</w:t>
      </w:r>
    </w:p>
    <w:p>
      <w:pPr>
        <w:tabs>
          <w:tab w:pos="2097" w:val="left" w:leader="none"/>
          <w:tab w:pos="3661" w:val="left" w:leader="none"/>
          <w:tab w:pos="4983" w:val="left" w:leader="none"/>
          <w:tab w:pos="6494" w:val="left" w:leader="none"/>
          <w:tab w:pos="8442" w:val="left" w:leader="none"/>
        </w:tabs>
        <w:spacing w:line="247" w:lineRule="auto" w:before="5"/>
        <w:ind w:left="115" w:right="123" w:firstLine="0"/>
        <w:jc w:val="both"/>
        <w:rPr>
          <w:sz w:val="19"/>
        </w:rPr>
      </w:pPr>
      <w:r>
        <w:rPr>
          <w:b/>
          <w:w w:val="105"/>
          <w:sz w:val="19"/>
        </w:rPr>
        <w:t>Poder Ejecutivo Federal</w:t>
      </w:r>
      <w:r>
        <w:rPr>
          <w:w w:val="105"/>
          <w:sz w:val="19"/>
        </w:rPr>
        <w:t>. “Ley de Planeación” (1983). Diario Oficial de la Federación el 05/01/1983.</w:t>
        <w:tab/>
        <w:t>México</w:t>
        <w:tab/>
        <w:t>D.F.</w:t>
        <w:tab/>
        <w:t>Puede</w:t>
        <w:tab/>
        <w:t>consultarse</w:t>
        <w:tab/>
        <w:t>en: </w:t>
      </w:r>
      <w:hyperlink r:id="rId170">
        <w:r>
          <w:rPr>
            <w:w w:val="105"/>
            <w:sz w:val="19"/>
          </w:rPr>
          <w:t>http://www.diputados.gob.mx/LeyesBiblio/pdf/59.pdf</w:t>
        </w:r>
      </w:hyperlink>
    </w:p>
    <w:p>
      <w:pPr>
        <w:spacing w:line="247" w:lineRule="auto" w:before="0"/>
        <w:ind w:left="115" w:right="135" w:firstLine="0"/>
        <w:jc w:val="both"/>
        <w:rPr>
          <w:sz w:val="19"/>
        </w:rPr>
      </w:pPr>
      <w:r>
        <w:rPr>
          <w:w w:val="105"/>
          <w:sz w:val="19"/>
        </w:rPr>
        <w:t>------------------. (2001). “Programa Nacional de Educación 2001-2006”. México. Presidencia de la República.</w:t>
      </w:r>
    </w:p>
    <w:p>
      <w:pPr>
        <w:spacing w:line="242" w:lineRule="auto" w:before="0"/>
        <w:ind w:left="115" w:right="141" w:firstLine="0"/>
        <w:jc w:val="both"/>
        <w:rPr>
          <w:sz w:val="19"/>
        </w:rPr>
      </w:pPr>
      <w:r>
        <w:rPr>
          <w:w w:val="105"/>
          <w:sz w:val="19"/>
        </w:rPr>
        <w:t>Poder</w:t>
      </w:r>
      <w:r>
        <w:rPr>
          <w:spacing w:val="-16"/>
          <w:w w:val="105"/>
          <w:sz w:val="19"/>
        </w:rPr>
        <w:t> </w:t>
      </w:r>
      <w:r>
        <w:rPr>
          <w:spacing w:val="-3"/>
          <w:w w:val="105"/>
          <w:sz w:val="19"/>
        </w:rPr>
        <w:t>Ejecutivo</w:t>
      </w:r>
      <w:r>
        <w:rPr>
          <w:spacing w:val="-14"/>
          <w:w w:val="105"/>
          <w:sz w:val="19"/>
        </w:rPr>
        <w:t> </w:t>
      </w:r>
      <w:r>
        <w:rPr>
          <w:w w:val="105"/>
          <w:sz w:val="19"/>
        </w:rPr>
        <w:t>Federal</w:t>
      </w:r>
      <w:r>
        <w:rPr>
          <w:spacing w:val="-18"/>
          <w:w w:val="105"/>
          <w:sz w:val="19"/>
        </w:rPr>
        <w:t> </w:t>
      </w:r>
      <w:r>
        <w:rPr>
          <w:w w:val="105"/>
          <w:sz w:val="19"/>
        </w:rPr>
        <w:t>2000-2006.</w:t>
      </w:r>
      <w:r>
        <w:rPr>
          <w:spacing w:val="-20"/>
          <w:w w:val="105"/>
          <w:sz w:val="19"/>
        </w:rPr>
        <w:t> </w:t>
      </w:r>
      <w:r>
        <w:rPr>
          <w:w w:val="105"/>
          <w:sz w:val="19"/>
        </w:rPr>
        <w:t>“Plan</w:t>
      </w:r>
      <w:r>
        <w:rPr>
          <w:spacing w:val="-16"/>
          <w:w w:val="105"/>
          <w:sz w:val="19"/>
        </w:rPr>
        <w:t> </w:t>
      </w:r>
      <w:r>
        <w:rPr>
          <w:w w:val="105"/>
          <w:sz w:val="19"/>
        </w:rPr>
        <w:t>Nacional</w:t>
      </w:r>
      <w:r>
        <w:rPr>
          <w:spacing w:val="-15"/>
          <w:w w:val="105"/>
          <w:sz w:val="19"/>
        </w:rPr>
        <w:t> </w:t>
      </w:r>
      <w:r>
        <w:rPr>
          <w:w w:val="105"/>
          <w:sz w:val="19"/>
        </w:rPr>
        <w:t>de</w:t>
      </w:r>
      <w:r>
        <w:rPr>
          <w:spacing w:val="-17"/>
          <w:w w:val="105"/>
          <w:sz w:val="19"/>
        </w:rPr>
        <w:t> </w:t>
      </w:r>
      <w:r>
        <w:rPr>
          <w:w w:val="105"/>
          <w:sz w:val="19"/>
        </w:rPr>
        <w:t>Desarrollo</w:t>
      </w:r>
      <w:r>
        <w:rPr>
          <w:spacing w:val="-20"/>
          <w:w w:val="105"/>
          <w:sz w:val="19"/>
        </w:rPr>
        <w:t> </w:t>
      </w:r>
      <w:r>
        <w:rPr>
          <w:w w:val="105"/>
          <w:sz w:val="19"/>
        </w:rPr>
        <w:t>2000-2006”,</w:t>
      </w:r>
      <w:r>
        <w:rPr>
          <w:spacing w:val="-20"/>
          <w:w w:val="105"/>
          <w:sz w:val="19"/>
        </w:rPr>
        <w:t> </w:t>
      </w:r>
      <w:r>
        <w:rPr>
          <w:w w:val="105"/>
          <w:sz w:val="19"/>
        </w:rPr>
        <w:t>México.</w:t>
      </w:r>
      <w:r>
        <w:rPr>
          <w:spacing w:val="-20"/>
          <w:w w:val="105"/>
          <w:sz w:val="19"/>
        </w:rPr>
        <w:t> </w:t>
      </w:r>
      <w:r>
        <w:rPr>
          <w:w w:val="105"/>
          <w:sz w:val="19"/>
        </w:rPr>
        <w:t>Presidencia de la</w:t>
      </w:r>
      <w:r>
        <w:rPr>
          <w:spacing w:val="-39"/>
          <w:w w:val="105"/>
          <w:sz w:val="19"/>
        </w:rPr>
        <w:t> </w:t>
      </w:r>
      <w:r>
        <w:rPr>
          <w:w w:val="105"/>
          <w:sz w:val="19"/>
        </w:rPr>
        <w:t>República.</w:t>
      </w:r>
    </w:p>
    <w:p>
      <w:pPr>
        <w:spacing w:line="247" w:lineRule="auto" w:before="5"/>
        <w:ind w:left="115" w:right="124" w:firstLine="0"/>
        <w:jc w:val="both"/>
        <w:rPr>
          <w:sz w:val="19"/>
        </w:rPr>
      </w:pPr>
      <w:r>
        <w:rPr>
          <w:w w:val="105"/>
          <w:sz w:val="19"/>
        </w:rPr>
        <w:t>-------------------. (2001). “Programa Nacional de Educación 2001-2006”. México. Presidencia de la </w:t>
      </w:r>
      <w:r>
        <w:rPr>
          <w:sz w:val="19"/>
        </w:rPr>
        <w:t>República.  Puede  consultarse  en </w:t>
      </w:r>
      <w:hyperlink r:id="rId171">
        <w:r>
          <w:rPr>
            <w:sz w:val="19"/>
          </w:rPr>
          <w:t>http://gaceta.diputados.gob.mx/Gaceta/58/2001/jun/PND.html#4</w:t>
        </w:r>
      </w:hyperlink>
    </w:p>
    <w:p>
      <w:pPr>
        <w:spacing w:after="0" w:line="247" w:lineRule="auto"/>
        <w:jc w:val="both"/>
        <w:rPr>
          <w:sz w:val="19"/>
        </w:rPr>
        <w:sectPr>
          <w:pgSz w:w="11910" w:h="16840"/>
          <w:pgMar w:header="0" w:footer="1457" w:top="1580" w:bottom="1640" w:left="1540" w:right="1520"/>
        </w:sectPr>
      </w:pPr>
    </w:p>
    <w:p>
      <w:pPr>
        <w:pStyle w:val="BodyText"/>
        <w:rPr>
          <w:sz w:val="20"/>
        </w:rPr>
      </w:pPr>
    </w:p>
    <w:p>
      <w:pPr>
        <w:pStyle w:val="BodyText"/>
        <w:spacing w:before="10"/>
        <w:rPr>
          <w:sz w:val="15"/>
        </w:rPr>
      </w:pPr>
    </w:p>
    <w:p>
      <w:pPr>
        <w:spacing w:line="247" w:lineRule="auto" w:before="81"/>
        <w:ind w:left="115" w:right="108" w:firstLine="0"/>
        <w:jc w:val="both"/>
        <w:rPr>
          <w:sz w:val="19"/>
        </w:rPr>
      </w:pPr>
      <w:r>
        <w:rPr>
          <w:w w:val="105"/>
          <w:sz w:val="19"/>
        </w:rPr>
        <w:t>--------------------. (2010) “Quinto Informe de Gobierno”. Puede consultarse en </w:t>
      </w:r>
      <w:r>
        <w:rPr>
          <w:sz w:val="19"/>
        </w:rPr>
        <w:t>http&gt;//quinto.informe.gob.mx/informe de gobierno/quinto  informe de  gobierno</w:t>
      </w:r>
    </w:p>
    <w:p>
      <w:pPr>
        <w:spacing w:line="452" w:lineRule="exact" w:before="38"/>
        <w:ind w:left="115" w:right="8539" w:firstLine="0"/>
        <w:jc w:val="left"/>
        <w:rPr>
          <w:b/>
          <w:sz w:val="19"/>
        </w:rPr>
      </w:pPr>
      <w:r>
        <w:rPr>
          <w:b/>
          <w:w w:val="105"/>
          <w:sz w:val="19"/>
        </w:rPr>
        <w:t>Q R</w:t>
      </w:r>
    </w:p>
    <w:p>
      <w:pPr>
        <w:spacing w:line="171" w:lineRule="exact" w:before="0"/>
        <w:ind w:left="115" w:right="0" w:firstLine="0"/>
        <w:jc w:val="both"/>
        <w:rPr>
          <w:sz w:val="19"/>
        </w:rPr>
      </w:pPr>
      <w:r>
        <w:rPr>
          <w:b/>
          <w:w w:val="105"/>
          <w:sz w:val="19"/>
        </w:rPr>
        <w:t>Ravela</w:t>
      </w:r>
      <w:r>
        <w:rPr>
          <w:w w:val="105"/>
          <w:sz w:val="19"/>
        </w:rPr>
        <w:t>,  Pedro, </w:t>
      </w:r>
      <w:r>
        <w:rPr>
          <w:spacing w:val="2"/>
          <w:w w:val="105"/>
          <w:sz w:val="19"/>
        </w:rPr>
        <w:t>et </w:t>
      </w:r>
      <w:r>
        <w:rPr>
          <w:w w:val="105"/>
          <w:sz w:val="19"/>
        </w:rPr>
        <w:t>al.  (2001).  “¿Cómo Presentan  </w:t>
      </w:r>
      <w:r>
        <w:rPr>
          <w:spacing w:val="-2"/>
          <w:w w:val="105"/>
          <w:sz w:val="19"/>
        </w:rPr>
        <w:t>sus  </w:t>
      </w:r>
      <w:r>
        <w:rPr>
          <w:w w:val="105"/>
          <w:sz w:val="19"/>
        </w:rPr>
        <w:t>Resultados los Sistemas Nacionales </w:t>
      </w:r>
      <w:r>
        <w:rPr>
          <w:spacing w:val="52"/>
          <w:w w:val="105"/>
          <w:sz w:val="19"/>
        </w:rPr>
        <w:t> </w:t>
      </w:r>
      <w:r>
        <w:rPr>
          <w:w w:val="105"/>
          <w:sz w:val="19"/>
        </w:rPr>
        <w:t>de</w:t>
      </w:r>
    </w:p>
    <w:p>
      <w:pPr>
        <w:spacing w:line="247" w:lineRule="auto" w:before="2"/>
        <w:ind w:left="115" w:right="106" w:firstLine="0"/>
        <w:jc w:val="both"/>
        <w:rPr>
          <w:sz w:val="19"/>
        </w:rPr>
      </w:pPr>
      <w:r>
        <w:rPr>
          <w:w w:val="105"/>
          <w:sz w:val="19"/>
        </w:rPr>
        <w:t>Evaluación Educativa en América Latina?” en </w:t>
      </w:r>
      <w:r>
        <w:rPr>
          <w:i/>
          <w:w w:val="105"/>
          <w:sz w:val="19"/>
        </w:rPr>
        <w:t>PREAL. Grupo de Trabajadores Estándares y </w:t>
      </w:r>
      <w:r>
        <w:rPr>
          <w:i/>
          <w:w w:val="105"/>
          <w:sz w:val="19"/>
        </w:rPr>
        <w:t>Evaluación. </w:t>
      </w:r>
      <w:r>
        <w:rPr>
          <w:w w:val="105"/>
          <w:sz w:val="19"/>
        </w:rPr>
        <w:t>No 20.</w:t>
      </w:r>
    </w:p>
    <w:p>
      <w:pPr>
        <w:spacing w:line="242" w:lineRule="auto" w:before="5"/>
        <w:ind w:left="115" w:right="109" w:firstLine="0"/>
        <w:jc w:val="both"/>
        <w:rPr>
          <w:sz w:val="19"/>
        </w:rPr>
      </w:pPr>
      <w:r>
        <w:rPr>
          <w:b/>
          <w:w w:val="105"/>
          <w:sz w:val="19"/>
        </w:rPr>
        <w:t>Ravitch</w:t>
      </w:r>
      <w:r>
        <w:rPr>
          <w:w w:val="105"/>
          <w:sz w:val="19"/>
        </w:rPr>
        <w:t>, Diane (1996). “Estándares Nacionales en Educación en PREAL”. Diciembre de 1996. </w:t>
      </w:r>
      <w:r>
        <w:rPr>
          <w:sz w:val="19"/>
        </w:rPr>
        <w:t>Puede  consultarse  en: </w:t>
      </w:r>
      <w:hyperlink r:id="rId172">
        <w:r>
          <w:rPr>
            <w:color w:val="0000FF"/>
            <w:sz w:val="19"/>
            <w:u w:val="single" w:color="0000FF"/>
          </w:rPr>
          <w:t>http://www.preal.cl/ravitch.pdf</w:t>
        </w:r>
      </w:hyperlink>
    </w:p>
    <w:p>
      <w:pPr>
        <w:spacing w:line="247" w:lineRule="auto" w:before="0"/>
        <w:ind w:left="115" w:right="106" w:firstLine="0"/>
        <w:jc w:val="both"/>
        <w:rPr>
          <w:sz w:val="19"/>
        </w:rPr>
      </w:pPr>
      <w:r>
        <w:rPr>
          <w:b/>
          <w:w w:val="105"/>
          <w:sz w:val="19"/>
        </w:rPr>
        <w:t>RRC</w:t>
      </w:r>
      <w:r>
        <w:rPr>
          <w:w w:val="105"/>
          <w:sz w:val="19"/>
        </w:rPr>
        <w:t>. Red por la Rendición de Cuentas (2011). “Auditoría de desempeño a los servicios de educación básica”. Auditoría superior de la Federación. Puede consultarse en </w:t>
      </w:r>
      <w:hyperlink r:id="rId173">
        <w:r>
          <w:rPr>
            <w:color w:val="0000FF"/>
            <w:w w:val="105"/>
            <w:sz w:val="19"/>
            <w:u w:val="single" w:color="0000FF"/>
          </w:rPr>
          <w:t>http://www.rendiciondecuentas.org.mx/articulo.php?id=576&amp;pag=0</w:t>
        </w:r>
      </w:hyperlink>
    </w:p>
    <w:p>
      <w:pPr>
        <w:spacing w:line="247" w:lineRule="auto" w:before="0"/>
        <w:ind w:left="115" w:right="103" w:firstLine="0"/>
        <w:jc w:val="both"/>
        <w:rPr>
          <w:sz w:val="19"/>
        </w:rPr>
      </w:pPr>
      <w:r>
        <w:rPr>
          <w:b/>
          <w:w w:val="105"/>
          <w:sz w:val="19"/>
        </w:rPr>
        <w:t>Retos de la democracia</w:t>
      </w:r>
      <w:r>
        <w:rPr>
          <w:w w:val="105"/>
          <w:sz w:val="19"/>
        </w:rPr>
        <w:t>: Estado de derecho, corrupción, sociedad civil, México, ibergop-Miguel Ángel Porrúa, 2003</w:t>
      </w:r>
    </w:p>
    <w:p>
      <w:pPr>
        <w:spacing w:line="242" w:lineRule="auto" w:before="0"/>
        <w:ind w:left="115" w:right="104" w:firstLine="0"/>
        <w:jc w:val="both"/>
        <w:rPr>
          <w:sz w:val="19"/>
        </w:rPr>
      </w:pPr>
      <w:r>
        <w:rPr>
          <w:b/>
          <w:w w:val="105"/>
          <w:sz w:val="19"/>
        </w:rPr>
        <w:t>Revuelta </w:t>
      </w:r>
      <w:r>
        <w:rPr>
          <w:w w:val="105"/>
          <w:sz w:val="19"/>
        </w:rPr>
        <w:t>Vaquero, Benjamín. (2007). “La implementación de políticas públicas”, en Díkaion, noviembre, año/Vol. 21 No. 16.</w:t>
      </w:r>
    </w:p>
    <w:p>
      <w:pPr>
        <w:spacing w:line="247" w:lineRule="auto" w:before="5"/>
        <w:ind w:left="115" w:right="104" w:firstLine="0"/>
        <w:jc w:val="both"/>
        <w:rPr>
          <w:sz w:val="19"/>
        </w:rPr>
      </w:pPr>
      <w:r>
        <w:rPr>
          <w:b/>
          <w:w w:val="105"/>
          <w:sz w:val="19"/>
        </w:rPr>
        <w:t>Rockefeller</w:t>
      </w:r>
      <w:r>
        <w:rPr>
          <w:w w:val="105"/>
          <w:sz w:val="19"/>
        </w:rPr>
        <w:t>,</w:t>
      </w:r>
      <w:r>
        <w:rPr>
          <w:spacing w:val="-13"/>
          <w:w w:val="105"/>
          <w:sz w:val="19"/>
        </w:rPr>
        <w:t> </w:t>
      </w:r>
      <w:r>
        <w:rPr>
          <w:spacing w:val="-3"/>
          <w:w w:val="105"/>
          <w:sz w:val="19"/>
        </w:rPr>
        <w:t>David</w:t>
      </w:r>
      <w:r>
        <w:rPr>
          <w:spacing w:val="-8"/>
          <w:w w:val="105"/>
          <w:sz w:val="19"/>
        </w:rPr>
        <w:t> </w:t>
      </w:r>
      <w:r>
        <w:rPr>
          <w:w w:val="105"/>
          <w:sz w:val="19"/>
        </w:rPr>
        <w:t>Center</w:t>
      </w:r>
      <w:r>
        <w:rPr>
          <w:spacing w:val="-11"/>
          <w:w w:val="105"/>
          <w:sz w:val="19"/>
        </w:rPr>
        <w:t> </w:t>
      </w:r>
      <w:r>
        <w:rPr>
          <w:w w:val="105"/>
          <w:sz w:val="19"/>
        </w:rPr>
        <w:t>for</w:t>
      </w:r>
      <w:r>
        <w:rPr>
          <w:spacing w:val="-15"/>
          <w:w w:val="105"/>
          <w:sz w:val="19"/>
        </w:rPr>
        <w:t> </w:t>
      </w:r>
      <w:r>
        <w:rPr>
          <w:w w:val="105"/>
          <w:sz w:val="19"/>
        </w:rPr>
        <w:t>Latin</w:t>
      </w:r>
      <w:r>
        <w:rPr>
          <w:spacing w:val="-8"/>
          <w:w w:val="105"/>
          <w:sz w:val="19"/>
        </w:rPr>
        <w:t> </w:t>
      </w:r>
      <w:r>
        <w:rPr>
          <w:w w:val="105"/>
          <w:sz w:val="19"/>
        </w:rPr>
        <w:t>American</w:t>
      </w:r>
      <w:r>
        <w:rPr>
          <w:spacing w:val="-11"/>
          <w:w w:val="105"/>
          <w:sz w:val="19"/>
        </w:rPr>
        <w:t> </w:t>
      </w:r>
      <w:r>
        <w:rPr>
          <w:w w:val="105"/>
          <w:sz w:val="19"/>
        </w:rPr>
        <w:t>Studies.</w:t>
      </w:r>
      <w:r>
        <w:rPr>
          <w:spacing w:val="-13"/>
          <w:w w:val="105"/>
          <w:sz w:val="19"/>
        </w:rPr>
        <w:t> </w:t>
      </w:r>
      <w:r>
        <w:rPr>
          <w:w w:val="105"/>
          <w:sz w:val="19"/>
        </w:rPr>
        <w:t>(2006).</w:t>
      </w:r>
      <w:r>
        <w:rPr>
          <w:spacing w:val="-13"/>
          <w:w w:val="105"/>
          <w:sz w:val="19"/>
        </w:rPr>
        <w:t> </w:t>
      </w:r>
      <w:r>
        <w:rPr>
          <w:w w:val="105"/>
          <w:sz w:val="19"/>
        </w:rPr>
        <w:t>“La</w:t>
      </w:r>
      <w:r>
        <w:rPr>
          <w:spacing w:val="-8"/>
          <w:w w:val="105"/>
          <w:sz w:val="19"/>
        </w:rPr>
        <w:t> </w:t>
      </w:r>
      <w:r>
        <w:rPr>
          <w:w w:val="105"/>
          <w:sz w:val="19"/>
        </w:rPr>
        <w:t>política</w:t>
      </w:r>
      <w:r>
        <w:rPr>
          <w:spacing w:val="-11"/>
          <w:w w:val="105"/>
          <w:sz w:val="19"/>
        </w:rPr>
        <w:t> </w:t>
      </w:r>
      <w:r>
        <w:rPr>
          <w:spacing w:val="-3"/>
          <w:w w:val="105"/>
          <w:sz w:val="19"/>
        </w:rPr>
        <w:t>de</w:t>
      </w:r>
      <w:r>
        <w:rPr>
          <w:spacing w:val="-11"/>
          <w:w w:val="105"/>
          <w:sz w:val="19"/>
        </w:rPr>
        <w:t> </w:t>
      </w:r>
      <w:r>
        <w:rPr>
          <w:w w:val="105"/>
          <w:sz w:val="19"/>
        </w:rPr>
        <w:t>las</w:t>
      </w:r>
      <w:r>
        <w:rPr>
          <w:spacing w:val="-15"/>
          <w:w w:val="105"/>
          <w:sz w:val="19"/>
        </w:rPr>
        <w:t> </w:t>
      </w:r>
      <w:r>
        <w:rPr>
          <w:w w:val="105"/>
          <w:sz w:val="19"/>
        </w:rPr>
        <w:t>políticas</w:t>
      </w:r>
      <w:r>
        <w:rPr>
          <w:spacing w:val="-14"/>
          <w:w w:val="105"/>
          <w:sz w:val="19"/>
        </w:rPr>
        <w:t> </w:t>
      </w:r>
      <w:r>
        <w:rPr>
          <w:w w:val="105"/>
          <w:sz w:val="19"/>
        </w:rPr>
        <w:t>públicas, Progreso</w:t>
      </w:r>
      <w:r>
        <w:rPr>
          <w:spacing w:val="-20"/>
          <w:w w:val="105"/>
          <w:sz w:val="19"/>
        </w:rPr>
        <w:t> </w:t>
      </w:r>
      <w:r>
        <w:rPr>
          <w:w w:val="105"/>
          <w:sz w:val="19"/>
        </w:rPr>
        <w:t>económico</w:t>
      </w:r>
      <w:r>
        <w:rPr>
          <w:spacing w:val="-20"/>
          <w:w w:val="105"/>
          <w:sz w:val="19"/>
        </w:rPr>
        <w:t> </w:t>
      </w:r>
      <w:r>
        <w:rPr>
          <w:w w:val="105"/>
          <w:sz w:val="19"/>
        </w:rPr>
        <w:t>y</w:t>
      </w:r>
      <w:r>
        <w:rPr>
          <w:spacing w:val="-22"/>
          <w:w w:val="105"/>
          <w:sz w:val="19"/>
        </w:rPr>
        <w:t> </w:t>
      </w:r>
      <w:r>
        <w:rPr>
          <w:w w:val="105"/>
          <w:sz w:val="19"/>
        </w:rPr>
        <w:t>social</w:t>
      </w:r>
      <w:r>
        <w:rPr>
          <w:spacing w:val="-23"/>
          <w:w w:val="105"/>
          <w:sz w:val="19"/>
        </w:rPr>
        <w:t> </w:t>
      </w:r>
      <w:r>
        <w:rPr>
          <w:w w:val="105"/>
          <w:sz w:val="19"/>
        </w:rPr>
        <w:t>en</w:t>
      </w:r>
      <w:r>
        <w:rPr>
          <w:spacing w:val="-15"/>
          <w:w w:val="105"/>
          <w:sz w:val="19"/>
        </w:rPr>
        <w:t> </w:t>
      </w:r>
      <w:r>
        <w:rPr>
          <w:w w:val="105"/>
          <w:sz w:val="19"/>
        </w:rPr>
        <w:t>América</w:t>
      </w:r>
      <w:r>
        <w:rPr>
          <w:spacing w:val="-20"/>
          <w:w w:val="105"/>
          <w:sz w:val="19"/>
        </w:rPr>
        <w:t> </w:t>
      </w:r>
      <w:r>
        <w:rPr>
          <w:w w:val="105"/>
          <w:sz w:val="19"/>
        </w:rPr>
        <w:t>Latina.</w:t>
      </w:r>
      <w:r>
        <w:rPr>
          <w:spacing w:val="-20"/>
          <w:w w:val="105"/>
          <w:sz w:val="19"/>
        </w:rPr>
        <w:t> </w:t>
      </w:r>
      <w:r>
        <w:rPr>
          <w:w w:val="105"/>
          <w:sz w:val="19"/>
        </w:rPr>
        <w:t>Informe</w:t>
      </w:r>
      <w:r>
        <w:rPr>
          <w:spacing w:val="-20"/>
          <w:w w:val="105"/>
          <w:sz w:val="19"/>
        </w:rPr>
        <w:t> </w:t>
      </w:r>
      <w:r>
        <w:rPr>
          <w:w w:val="105"/>
          <w:sz w:val="19"/>
        </w:rPr>
        <w:t>2006”.</w:t>
      </w:r>
      <w:r>
        <w:rPr>
          <w:spacing w:val="-23"/>
          <w:w w:val="105"/>
          <w:sz w:val="19"/>
        </w:rPr>
        <w:t> </w:t>
      </w:r>
      <w:r>
        <w:rPr>
          <w:w w:val="105"/>
          <w:sz w:val="19"/>
        </w:rPr>
        <w:t>Harvard</w:t>
      </w:r>
      <w:r>
        <w:rPr>
          <w:spacing w:val="-20"/>
          <w:w w:val="105"/>
          <w:sz w:val="19"/>
        </w:rPr>
        <w:t> </w:t>
      </w:r>
      <w:r>
        <w:rPr>
          <w:w w:val="105"/>
          <w:sz w:val="19"/>
        </w:rPr>
        <w:t>University.</w:t>
      </w:r>
      <w:r>
        <w:rPr>
          <w:spacing w:val="-23"/>
          <w:w w:val="105"/>
          <w:sz w:val="19"/>
        </w:rPr>
        <w:t> </w:t>
      </w:r>
      <w:r>
        <w:rPr>
          <w:w w:val="105"/>
          <w:sz w:val="19"/>
        </w:rPr>
        <w:t>Ed.</w:t>
      </w:r>
      <w:r>
        <w:rPr>
          <w:spacing w:val="-22"/>
          <w:w w:val="105"/>
          <w:sz w:val="19"/>
        </w:rPr>
        <w:t> </w:t>
      </w:r>
      <w:r>
        <w:rPr>
          <w:w w:val="105"/>
          <w:sz w:val="19"/>
        </w:rPr>
        <w:t>Planeta.</w:t>
      </w:r>
    </w:p>
    <w:p>
      <w:pPr>
        <w:spacing w:line="242" w:lineRule="auto" w:before="0"/>
        <w:ind w:left="115" w:right="99" w:firstLine="0"/>
        <w:jc w:val="both"/>
        <w:rPr>
          <w:sz w:val="19"/>
        </w:rPr>
      </w:pPr>
      <w:r>
        <w:rPr>
          <w:b/>
          <w:w w:val="105"/>
          <w:sz w:val="19"/>
        </w:rPr>
        <w:t>Robles </w:t>
      </w:r>
      <w:r>
        <w:rPr>
          <w:w w:val="105"/>
          <w:sz w:val="19"/>
        </w:rPr>
        <w:t>Vásquez, H. y Martínez, F. (eds) (2005). “Panorama Educativo de México 2005. Indicadores</w:t>
      </w:r>
      <w:r>
        <w:rPr>
          <w:spacing w:val="-12"/>
          <w:w w:val="105"/>
          <w:sz w:val="19"/>
        </w:rPr>
        <w:t> </w:t>
      </w:r>
      <w:r>
        <w:rPr>
          <w:w w:val="105"/>
          <w:sz w:val="19"/>
        </w:rPr>
        <w:t>del</w:t>
      </w:r>
      <w:r>
        <w:rPr>
          <w:spacing w:val="-8"/>
          <w:w w:val="105"/>
          <w:sz w:val="19"/>
        </w:rPr>
        <w:t> </w:t>
      </w:r>
      <w:r>
        <w:rPr>
          <w:w w:val="105"/>
          <w:sz w:val="19"/>
        </w:rPr>
        <w:t>sistema</w:t>
      </w:r>
      <w:r>
        <w:rPr>
          <w:spacing w:val="-12"/>
          <w:w w:val="105"/>
          <w:sz w:val="19"/>
        </w:rPr>
        <w:t> </w:t>
      </w:r>
      <w:r>
        <w:rPr>
          <w:spacing w:val="-3"/>
          <w:w w:val="105"/>
          <w:sz w:val="19"/>
        </w:rPr>
        <w:t>educativo</w:t>
      </w:r>
      <w:r>
        <w:rPr>
          <w:spacing w:val="-10"/>
          <w:w w:val="105"/>
          <w:sz w:val="19"/>
        </w:rPr>
        <w:t> </w:t>
      </w:r>
      <w:r>
        <w:rPr>
          <w:w w:val="105"/>
          <w:sz w:val="19"/>
        </w:rPr>
        <w:t>nacional”.</w:t>
      </w:r>
      <w:r>
        <w:rPr>
          <w:spacing w:val="-15"/>
          <w:w w:val="105"/>
          <w:sz w:val="19"/>
        </w:rPr>
        <w:t> </w:t>
      </w:r>
      <w:r>
        <w:rPr>
          <w:w w:val="105"/>
          <w:sz w:val="19"/>
        </w:rPr>
        <w:t>Instituto</w:t>
      </w:r>
      <w:r>
        <w:rPr>
          <w:spacing w:val="-10"/>
          <w:w w:val="105"/>
          <w:sz w:val="19"/>
        </w:rPr>
        <w:t> </w:t>
      </w:r>
      <w:r>
        <w:rPr>
          <w:w w:val="105"/>
          <w:sz w:val="19"/>
        </w:rPr>
        <w:t>Nacional</w:t>
      </w:r>
      <w:r>
        <w:rPr>
          <w:spacing w:val="-14"/>
          <w:w w:val="105"/>
          <w:sz w:val="19"/>
        </w:rPr>
        <w:t> </w:t>
      </w:r>
      <w:r>
        <w:rPr>
          <w:w w:val="105"/>
          <w:sz w:val="19"/>
        </w:rPr>
        <w:t>para</w:t>
      </w:r>
      <w:r>
        <w:rPr>
          <w:spacing w:val="-10"/>
          <w:w w:val="105"/>
          <w:sz w:val="19"/>
        </w:rPr>
        <w:t> </w:t>
      </w:r>
      <w:r>
        <w:rPr>
          <w:w w:val="105"/>
          <w:sz w:val="19"/>
        </w:rPr>
        <w:t>la</w:t>
      </w:r>
      <w:r>
        <w:rPr>
          <w:spacing w:val="-14"/>
          <w:w w:val="105"/>
          <w:sz w:val="19"/>
        </w:rPr>
        <w:t> </w:t>
      </w:r>
      <w:r>
        <w:rPr>
          <w:w w:val="105"/>
          <w:sz w:val="19"/>
        </w:rPr>
        <w:t>Evaluación</w:t>
      </w:r>
      <w:r>
        <w:rPr>
          <w:spacing w:val="-10"/>
          <w:w w:val="105"/>
          <w:sz w:val="19"/>
        </w:rPr>
        <w:t> </w:t>
      </w:r>
      <w:r>
        <w:rPr>
          <w:w w:val="105"/>
          <w:sz w:val="19"/>
        </w:rPr>
        <w:t>de</w:t>
      </w:r>
      <w:r>
        <w:rPr>
          <w:spacing w:val="-12"/>
          <w:w w:val="105"/>
          <w:sz w:val="19"/>
        </w:rPr>
        <w:t> </w:t>
      </w:r>
      <w:r>
        <w:rPr>
          <w:w w:val="105"/>
          <w:sz w:val="19"/>
        </w:rPr>
        <w:t>la</w:t>
      </w:r>
      <w:r>
        <w:rPr>
          <w:spacing w:val="-10"/>
          <w:w w:val="105"/>
          <w:sz w:val="19"/>
        </w:rPr>
        <w:t> </w:t>
      </w:r>
      <w:r>
        <w:rPr>
          <w:w w:val="105"/>
          <w:sz w:val="19"/>
        </w:rPr>
        <w:t>Educación, México.</w:t>
      </w:r>
    </w:p>
    <w:p>
      <w:pPr>
        <w:spacing w:line="244" w:lineRule="auto" w:before="5"/>
        <w:ind w:left="115" w:right="103" w:firstLine="0"/>
        <w:jc w:val="both"/>
        <w:rPr>
          <w:sz w:val="19"/>
        </w:rPr>
      </w:pPr>
      <w:r>
        <w:rPr>
          <w:b/>
          <w:w w:val="105"/>
          <w:sz w:val="19"/>
        </w:rPr>
        <w:t>Robles </w:t>
      </w:r>
      <w:r>
        <w:rPr>
          <w:w w:val="105"/>
          <w:sz w:val="19"/>
        </w:rPr>
        <w:t>H., Zendejas, L. y Muñiz, P. (2004). “Indicadores educativos del INEE: una primera aproximación”. Memoria del Sexto Foro de Evaluación Educativa, Aguascalientes, octubre 27-29, 2004.</w:t>
      </w:r>
    </w:p>
    <w:p>
      <w:pPr>
        <w:spacing w:line="244" w:lineRule="auto" w:before="3"/>
        <w:ind w:left="115" w:right="103" w:firstLine="0"/>
        <w:jc w:val="both"/>
        <w:rPr>
          <w:sz w:val="19"/>
        </w:rPr>
      </w:pPr>
      <w:r>
        <w:rPr>
          <w:b/>
          <w:w w:val="105"/>
          <w:sz w:val="19"/>
        </w:rPr>
        <w:t>Rocha </w:t>
      </w:r>
      <w:r>
        <w:rPr>
          <w:w w:val="105"/>
          <w:sz w:val="19"/>
        </w:rPr>
        <w:t>Silva, Mónica Aparecida Da (2008). “Políticas públicas para la educación superior: la implementación</w:t>
      </w:r>
      <w:r>
        <w:rPr>
          <w:spacing w:val="-11"/>
          <w:w w:val="105"/>
          <w:sz w:val="19"/>
        </w:rPr>
        <w:t> </w:t>
      </w:r>
      <w:r>
        <w:rPr>
          <w:spacing w:val="2"/>
          <w:w w:val="105"/>
          <w:sz w:val="19"/>
        </w:rPr>
        <w:t>de</w:t>
      </w:r>
      <w:r>
        <w:rPr>
          <w:spacing w:val="-11"/>
          <w:w w:val="105"/>
          <w:sz w:val="19"/>
        </w:rPr>
        <w:t> </w:t>
      </w:r>
      <w:r>
        <w:rPr>
          <w:w w:val="105"/>
          <w:sz w:val="19"/>
        </w:rPr>
        <w:t>la</w:t>
      </w:r>
      <w:r>
        <w:rPr>
          <w:spacing w:val="-11"/>
          <w:w w:val="105"/>
          <w:sz w:val="19"/>
        </w:rPr>
        <w:t> </w:t>
      </w:r>
      <w:r>
        <w:rPr>
          <w:w w:val="105"/>
          <w:sz w:val="19"/>
        </w:rPr>
        <w:t>evaluación</w:t>
      </w:r>
      <w:r>
        <w:rPr>
          <w:spacing w:val="-8"/>
          <w:w w:val="105"/>
          <w:sz w:val="19"/>
        </w:rPr>
        <w:t> </w:t>
      </w:r>
      <w:r>
        <w:rPr>
          <w:w w:val="105"/>
          <w:sz w:val="19"/>
        </w:rPr>
        <w:t>en</w:t>
      </w:r>
      <w:r>
        <w:rPr>
          <w:spacing w:val="-4"/>
          <w:w w:val="105"/>
          <w:sz w:val="19"/>
        </w:rPr>
        <w:t> </w:t>
      </w:r>
      <w:r>
        <w:rPr>
          <w:w w:val="105"/>
          <w:sz w:val="19"/>
        </w:rPr>
        <w:t>Brasil</w:t>
      </w:r>
      <w:r>
        <w:rPr>
          <w:spacing w:val="-5"/>
          <w:w w:val="105"/>
          <w:sz w:val="19"/>
        </w:rPr>
        <w:t> </w:t>
      </w:r>
      <w:r>
        <w:rPr>
          <w:w w:val="105"/>
          <w:sz w:val="19"/>
        </w:rPr>
        <w:t>y</w:t>
      </w:r>
      <w:r>
        <w:rPr>
          <w:spacing w:val="-10"/>
          <w:w w:val="105"/>
          <w:sz w:val="19"/>
        </w:rPr>
        <w:t> </w:t>
      </w:r>
      <w:r>
        <w:rPr>
          <w:w w:val="105"/>
          <w:sz w:val="19"/>
        </w:rPr>
        <w:t>México”.</w:t>
      </w:r>
      <w:r>
        <w:rPr>
          <w:spacing w:val="-10"/>
          <w:w w:val="105"/>
          <w:sz w:val="19"/>
        </w:rPr>
        <w:t> </w:t>
      </w:r>
      <w:r>
        <w:rPr>
          <w:w w:val="105"/>
          <w:sz w:val="19"/>
        </w:rPr>
        <w:t>En</w:t>
      </w:r>
      <w:r>
        <w:rPr>
          <w:spacing w:val="-8"/>
          <w:w w:val="105"/>
          <w:sz w:val="19"/>
        </w:rPr>
        <w:t> </w:t>
      </w:r>
      <w:r>
        <w:rPr>
          <w:w w:val="105"/>
          <w:sz w:val="19"/>
        </w:rPr>
        <w:t>Perfiles</w:t>
      </w:r>
      <w:r>
        <w:rPr>
          <w:spacing w:val="-8"/>
          <w:w w:val="105"/>
          <w:sz w:val="19"/>
        </w:rPr>
        <w:t> </w:t>
      </w:r>
      <w:r>
        <w:rPr>
          <w:w w:val="105"/>
          <w:sz w:val="19"/>
        </w:rPr>
        <w:t>Educativos</w:t>
      </w:r>
      <w:r>
        <w:rPr>
          <w:i/>
          <w:w w:val="105"/>
          <w:sz w:val="19"/>
        </w:rPr>
        <w:t>,</w:t>
      </w:r>
      <w:r>
        <w:rPr>
          <w:i/>
          <w:spacing w:val="-10"/>
          <w:w w:val="105"/>
          <w:sz w:val="19"/>
        </w:rPr>
        <w:t> </w:t>
      </w:r>
      <w:r>
        <w:rPr>
          <w:w w:val="105"/>
          <w:sz w:val="19"/>
        </w:rPr>
        <w:t>Vol.</w:t>
      </w:r>
      <w:r>
        <w:rPr>
          <w:spacing w:val="-6"/>
          <w:w w:val="105"/>
          <w:sz w:val="19"/>
        </w:rPr>
        <w:t> </w:t>
      </w:r>
      <w:r>
        <w:rPr>
          <w:w w:val="105"/>
          <w:sz w:val="19"/>
        </w:rPr>
        <w:t>XXX,</w:t>
      </w:r>
      <w:r>
        <w:rPr>
          <w:spacing w:val="-10"/>
          <w:w w:val="105"/>
          <w:sz w:val="19"/>
        </w:rPr>
        <w:t> </w:t>
      </w:r>
      <w:r>
        <w:rPr>
          <w:w w:val="105"/>
          <w:sz w:val="19"/>
        </w:rPr>
        <w:t>Núm.</w:t>
      </w:r>
      <w:r>
        <w:rPr>
          <w:spacing w:val="-10"/>
          <w:w w:val="105"/>
          <w:sz w:val="19"/>
        </w:rPr>
        <w:t> </w:t>
      </w:r>
      <w:r>
        <w:rPr>
          <w:w w:val="105"/>
          <w:sz w:val="19"/>
        </w:rPr>
        <w:t>122, </w:t>
      </w:r>
      <w:r>
        <w:rPr>
          <w:spacing w:val="-3"/>
          <w:w w:val="105"/>
          <w:sz w:val="19"/>
        </w:rPr>
        <w:t>sin</w:t>
      </w:r>
      <w:r>
        <w:rPr>
          <w:spacing w:val="-15"/>
          <w:w w:val="105"/>
          <w:sz w:val="19"/>
        </w:rPr>
        <w:t> </w:t>
      </w:r>
      <w:r>
        <w:rPr>
          <w:spacing w:val="2"/>
          <w:w w:val="105"/>
          <w:sz w:val="19"/>
        </w:rPr>
        <w:t>mes,</w:t>
      </w:r>
      <w:r>
        <w:rPr>
          <w:spacing w:val="-18"/>
          <w:w w:val="105"/>
          <w:sz w:val="19"/>
        </w:rPr>
        <w:t> </w:t>
      </w:r>
      <w:r>
        <w:rPr>
          <w:w w:val="105"/>
          <w:sz w:val="19"/>
        </w:rPr>
        <w:t>pp.</w:t>
      </w:r>
      <w:r>
        <w:rPr>
          <w:spacing w:val="-19"/>
          <w:w w:val="105"/>
          <w:sz w:val="19"/>
        </w:rPr>
        <w:t> </w:t>
      </w:r>
      <w:r>
        <w:rPr>
          <w:w w:val="105"/>
          <w:sz w:val="19"/>
        </w:rPr>
        <w:t>7-37,</w:t>
      </w:r>
      <w:r>
        <w:rPr>
          <w:spacing w:val="-19"/>
          <w:w w:val="105"/>
          <w:sz w:val="19"/>
        </w:rPr>
        <w:t> </w:t>
      </w:r>
      <w:r>
        <w:rPr>
          <w:w w:val="105"/>
          <w:sz w:val="19"/>
        </w:rPr>
        <w:t>México,</w:t>
      </w:r>
      <w:r>
        <w:rPr>
          <w:spacing w:val="-19"/>
          <w:w w:val="105"/>
          <w:sz w:val="19"/>
        </w:rPr>
        <w:t> </w:t>
      </w:r>
      <w:r>
        <w:rPr>
          <w:w w:val="105"/>
          <w:sz w:val="19"/>
        </w:rPr>
        <w:t>UNAM.</w:t>
      </w:r>
    </w:p>
    <w:p>
      <w:pPr>
        <w:spacing w:line="247" w:lineRule="auto" w:before="3"/>
        <w:ind w:left="115" w:right="99" w:firstLine="0"/>
        <w:jc w:val="both"/>
        <w:rPr>
          <w:sz w:val="19"/>
        </w:rPr>
      </w:pPr>
      <w:r>
        <w:rPr>
          <w:b/>
          <w:w w:val="105"/>
          <w:sz w:val="19"/>
        </w:rPr>
        <w:t>Rodríguez</w:t>
      </w:r>
      <w:r>
        <w:rPr>
          <w:b/>
          <w:spacing w:val="-5"/>
          <w:w w:val="105"/>
          <w:sz w:val="19"/>
        </w:rPr>
        <w:t> </w:t>
      </w:r>
      <w:r>
        <w:rPr>
          <w:w w:val="105"/>
          <w:sz w:val="19"/>
        </w:rPr>
        <w:t>Fuenzalida,</w:t>
      </w:r>
      <w:r>
        <w:rPr>
          <w:spacing w:val="-6"/>
          <w:w w:val="105"/>
          <w:sz w:val="19"/>
        </w:rPr>
        <w:t> </w:t>
      </w:r>
      <w:r>
        <w:rPr>
          <w:w w:val="105"/>
          <w:sz w:val="19"/>
        </w:rPr>
        <w:t>Eugenio</w:t>
      </w:r>
      <w:r>
        <w:rPr>
          <w:spacing w:val="-3"/>
          <w:w w:val="105"/>
          <w:sz w:val="19"/>
        </w:rPr>
        <w:t> </w:t>
      </w:r>
      <w:r>
        <w:rPr>
          <w:w w:val="105"/>
          <w:sz w:val="19"/>
        </w:rPr>
        <w:t>(1994).</w:t>
      </w:r>
      <w:r>
        <w:rPr>
          <w:spacing w:val="-6"/>
          <w:w w:val="105"/>
          <w:sz w:val="19"/>
        </w:rPr>
        <w:t> </w:t>
      </w:r>
      <w:r>
        <w:rPr>
          <w:w w:val="105"/>
          <w:sz w:val="19"/>
        </w:rPr>
        <w:t>“Criterios</w:t>
      </w:r>
      <w:r>
        <w:rPr>
          <w:spacing w:val="-6"/>
          <w:w w:val="105"/>
          <w:sz w:val="19"/>
        </w:rPr>
        <w:t> </w:t>
      </w:r>
      <w:r>
        <w:rPr>
          <w:spacing w:val="3"/>
          <w:w w:val="105"/>
          <w:sz w:val="19"/>
        </w:rPr>
        <w:t>de</w:t>
      </w:r>
      <w:r>
        <w:rPr>
          <w:spacing w:val="-6"/>
          <w:w w:val="105"/>
          <w:sz w:val="19"/>
        </w:rPr>
        <w:t> </w:t>
      </w:r>
      <w:r>
        <w:rPr>
          <w:w w:val="105"/>
          <w:sz w:val="19"/>
        </w:rPr>
        <w:t>análisis</w:t>
      </w:r>
      <w:r>
        <w:rPr>
          <w:spacing w:val="-6"/>
          <w:w w:val="105"/>
          <w:sz w:val="19"/>
        </w:rPr>
        <w:t> </w:t>
      </w:r>
      <w:r>
        <w:rPr>
          <w:w w:val="105"/>
          <w:sz w:val="19"/>
        </w:rPr>
        <w:t>de</w:t>
      </w:r>
      <w:r>
        <w:rPr>
          <w:spacing w:val="-6"/>
          <w:w w:val="105"/>
          <w:sz w:val="19"/>
        </w:rPr>
        <w:t> </w:t>
      </w:r>
      <w:r>
        <w:rPr>
          <w:w w:val="105"/>
          <w:sz w:val="19"/>
        </w:rPr>
        <w:t>la</w:t>
      </w:r>
      <w:r>
        <w:rPr>
          <w:spacing w:val="-6"/>
          <w:w w:val="105"/>
          <w:sz w:val="19"/>
        </w:rPr>
        <w:t> </w:t>
      </w:r>
      <w:r>
        <w:rPr>
          <w:w w:val="105"/>
          <w:sz w:val="19"/>
        </w:rPr>
        <w:t>calidad</w:t>
      </w:r>
      <w:r>
        <w:rPr>
          <w:spacing w:val="-6"/>
          <w:w w:val="105"/>
          <w:sz w:val="19"/>
        </w:rPr>
        <w:t> </w:t>
      </w:r>
      <w:r>
        <w:rPr>
          <w:w w:val="105"/>
          <w:sz w:val="19"/>
        </w:rPr>
        <w:t>en</w:t>
      </w:r>
      <w:r>
        <w:rPr>
          <w:spacing w:val="-6"/>
          <w:w w:val="105"/>
          <w:sz w:val="19"/>
        </w:rPr>
        <w:t> </w:t>
      </w:r>
      <w:r>
        <w:rPr>
          <w:w w:val="105"/>
          <w:sz w:val="19"/>
        </w:rPr>
        <w:t>el</w:t>
      </w:r>
      <w:r>
        <w:rPr>
          <w:spacing w:val="-6"/>
          <w:w w:val="105"/>
          <w:sz w:val="19"/>
        </w:rPr>
        <w:t> </w:t>
      </w:r>
      <w:r>
        <w:rPr>
          <w:w w:val="105"/>
          <w:sz w:val="19"/>
        </w:rPr>
        <w:t>sistema</w:t>
      </w:r>
      <w:r>
        <w:rPr>
          <w:spacing w:val="-10"/>
          <w:w w:val="105"/>
          <w:sz w:val="19"/>
        </w:rPr>
        <w:t> </w:t>
      </w:r>
      <w:r>
        <w:rPr>
          <w:w w:val="105"/>
          <w:sz w:val="19"/>
        </w:rPr>
        <w:t>escolar</w:t>
      </w:r>
      <w:r>
        <w:rPr>
          <w:spacing w:val="-6"/>
          <w:w w:val="105"/>
          <w:sz w:val="19"/>
        </w:rPr>
        <w:t> </w:t>
      </w:r>
      <w:r>
        <w:rPr>
          <w:w w:val="105"/>
          <w:sz w:val="19"/>
        </w:rPr>
        <w:t>y sus dimensiones”</w:t>
      </w:r>
      <w:r>
        <w:rPr>
          <w:i/>
          <w:w w:val="105"/>
          <w:sz w:val="19"/>
        </w:rPr>
        <w:t>. </w:t>
      </w:r>
      <w:r>
        <w:rPr>
          <w:spacing w:val="-3"/>
          <w:w w:val="105"/>
          <w:sz w:val="19"/>
        </w:rPr>
        <w:t>Revista </w:t>
      </w:r>
      <w:r>
        <w:rPr>
          <w:w w:val="105"/>
          <w:sz w:val="19"/>
        </w:rPr>
        <w:t>Iberoamericana </w:t>
      </w:r>
      <w:r>
        <w:rPr>
          <w:spacing w:val="-3"/>
          <w:w w:val="105"/>
          <w:sz w:val="19"/>
        </w:rPr>
        <w:t>de </w:t>
      </w:r>
      <w:r>
        <w:rPr>
          <w:w w:val="105"/>
          <w:sz w:val="19"/>
        </w:rPr>
        <w:t>Educación N° 5 Calidad de la Educación. Mayo - Agosto</w:t>
      </w:r>
      <w:r>
        <w:rPr>
          <w:spacing w:val="-33"/>
          <w:w w:val="105"/>
          <w:sz w:val="19"/>
        </w:rPr>
        <w:t> </w:t>
      </w:r>
      <w:r>
        <w:rPr>
          <w:w w:val="105"/>
          <w:sz w:val="19"/>
        </w:rPr>
        <w:t>1994</w:t>
      </w:r>
    </w:p>
    <w:p>
      <w:pPr>
        <w:spacing w:line="247" w:lineRule="auto" w:before="0"/>
        <w:ind w:left="115" w:right="99" w:firstLine="0"/>
        <w:jc w:val="both"/>
        <w:rPr>
          <w:sz w:val="19"/>
        </w:rPr>
      </w:pPr>
      <w:r>
        <w:rPr>
          <w:b/>
          <w:w w:val="105"/>
          <w:sz w:val="19"/>
        </w:rPr>
        <w:t>Rodríguez, </w:t>
      </w:r>
      <w:r>
        <w:rPr>
          <w:w w:val="105"/>
          <w:sz w:val="19"/>
        </w:rPr>
        <w:t>Miguel Ángel </w:t>
      </w:r>
      <w:r>
        <w:rPr>
          <w:i/>
          <w:w w:val="105"/>
          <w:sz w:val="19"/>
        </w:rPr>
        <w:t>et al y otros </w:t>
      </w:r>
      <w:r>
        <w:rPr>
          <w:w w:val="105"/>
          <w:sz w:val="19"/>
        </w:rPr>
        <w:t>(2003). “Calidad y evaluación”. En Observatorio ciudadano de la educación (2003). Comunicado Núm.111. Noviembre 16. Puede consultarse en: </w:t>
      </w:r>
      <w:hyperlink r:id="rId174">
        <w:r>
          <w:rPr>
            <w:color w:val="0000FF"/>
            <w:sz w:val="19"/>
            <w:u w:val="single" w:color="0000FF"/>
          </w:rPr>
          <w:t>http://www.observatorio.org/comunicados/comun111.html</w:t>
        </w:r>
        <w:r>
          <w:rPr>
            <w:sz w:val="19"/>
          </w:rPr>
          <w:t>.</w:t>
        </w:r>
      </w:hyperlink>
      <w:r>
        <w:rPr>
          <w:sz w:val="19"/>
        </w:rPr>
        <w:t> Consulta realizada en mayo de    2012.</w:t>
      </w:r>
    </w:p>
    <w:p>
      <w:pPr>
        <w:spacing w:line="252" w:lineRule="auto" w:before="0"/>
        <w:ind w:left="115" w:right="105" w:firstLine="0"/>
        <w:jc w:val="both"/>
        <w:rPr>
          <w:sz w:val="19"/>
        </w:rPr>
      </w:pPr>
      <w:r>
        <w:rPr>
          <w:b/>
          <w:w w:val="105"/>
          <w:sz w:val="19"/>
        </w:rPr>
        <w:t>Röth</w:t>
      </w:r>
      <w:r>
        <w:rPr>
          <w:b/>
          <w:spacing w:val="-18"/>
          <w:w w:val="105"/>
          <w:sz w:val="19"/>
        </w:rPr>
        <w:t> </w:t>
      </w:r>
      <w:r>
        <w:rPr>
          <w:w w:val="105"/>
          <w:sz w:val="19"/>
        </w:rPr>
        <w:t>Deubel,</w:t>
      </w:r>
      <w:r>
        <w:rPr>
          <w:spacing w:val="-17"/>
          <w:w w:val="105"/>
          <w:sz w:val="19"/>
        </w:rPr>
        <w:t> </w:t>
      </w:r>
      <w:r>
        <w:rPr>
          <w:w w:val="105"/>
          <w:sz w:val="19"/>
        </w:rPr>
        <w:t>André</w:t>
      </w:r>
      <w:r>
        <w:rPr>
          <w:spacing w:val="-14"/>
          <w:w w:val="105"/>
          <w:sz w:val="19"/>
        </w:rPr>
        <w:t> </w:t>
      </w:r>
      <w:r>
        <w:rPr>
          <w:w w:val="105"/>
          <w:sz w:val="19"/>
        </w:rPr>
        <w:t>Noel</w:t>
      </w:r>
      <w:r>
        <w:rPr>
          <w:spacing w:val="-12"/>
          <w:w w:val="105"/>
          <w:sz w:val="19"/>
        </w:rPr>
        <w:t> </w:t>
      </w:r>
      <w:r>
        <w:rPr>
          <w:w w:val="105"/>
          <w:sz w:val="19"/>
        </w:rPr>
        <w:t>(2006).</w:t>
      </w:r>
      <w:r>
        <w:rPr>
          <w:spacing w:val="-15"/>
          <w:w w:val="105"/>
          <w:sz w:val="19"/>
        </w:rPr>
        <w:t> </w:t>
      </w:r>
      <w:r>
        <w:rPr>
          <w:w w:val="105"/>
          <w:sz w:val="19"/>
        </w:rPr>
        <w:t>“Políticas</w:t>
      </w:r>
      <w:r>
        <w:rPr>
          <w:spacing w:val="-17"/>
          <w:w w:val="105"/>
          <w:sz w:val="19"/>
        </w:rPr>
        <w:t> </w:t>
      </w:r>
      <w:r>
        <w:rPr>
          <w:w w:val="105"/>
          <w:sz w:val="19"/>
        </w:rPr>
        <w:t>públicas,</w:t>
      </w:r>
      <w:r>
        <w:rPr>
          <w:spacing w:val="-17"/>
          <w:w w:val="105"/>
          <w:sz w:val="19"/>
        </w:rPr>
        <w:t> </w:t>
      </w:r>
      <w:r>
        <w:rPr>
          <w:w w:val="105"/>
          <w:sz w:val="19"/>
        </w:rPr>
        <w:t>formulación,</w:t>
      </w:r>
      <w:r>
        <w:rPr>
          <w:spacing w:val="-17"/>
          <w:w w:val="105"/>
          <w:sz w:val="19"/>
        </w:rPr>
        <w:t> </w:t>
      </w:r>
      <w:r>
        <w:rPr>
          <w:w w:val="105"/>
          <w:sz w:val="19"/>
        </w:rPr>
        <w:t>implementación,</w:t>
      </w:r>
      <w:r>
        <w:rPr>
          <w:spacing w:val="-17"/>
          <w:w w:val="105"/>
          <w:sz w:val="19"/>
        </w:rPr>
        <w:t> </w:t>
      </w:r>
      <w:r>
        <w:rPr>
          <w:w w:val="105"/>
          <w:sz w:val="19"/>
        </w:rPr>
        <w:t>evaluación”</w:t>
      </w:r>
      <w:r>
        <w:rPr>
          <w:i/>
          <w:w w:val="105"/>
          <w:sz w:val="19"/>
        </w:rPr>
        <w:t>.</w:t>
      </w:r>
      <w:r>
        <w:rPr>
          <w:i/>
          <w:spacing w:val="-16"/>
          <w:w w:val="105"/>
          <w:sz w:val="19"/>
        </w:rPr>
        <w:t> </w:t>
      </w:r>
      <w:r>
        <w:rPr>
          <w:w w:val="105"/>
          <w:sz w:val="19"/>
        </w:rPr>
        <w:t>3ª. reimp.</w:t>
      </w:r>
      <w:r>
        <w:rPr>
          <w:spacing w:val="-25"/>
          <w:w w:val="105"/>
          <w:sz w:val="19"/>
        </w:rPr>
        <w:t> </w:t>
      </w:r>
      <w:r>
        <w:rPr>
          <w:w w:val="105"/>
          <w:sz w:val="19"/>
        </w:rPr>
        <w:t>Bogotá:</w:t>
      </w:r>
      <w:r>
        <w:rPr>
          <w:spacing w:val="-23"/>
          <w:w w:val="105"/>
          <w:sz w:val="19"/>
        </w:rPr>
        <w:t> </w:t>
      </w:r>
      <w:r>
        <w:rPr>
          <w:w w:val="105"/>
          <w:sz w:val="19"/>
        </w:rPr>
        <w:t>Ediciones</w:t>
      </w:r>
      <w:r>
        <w:rPr>
          <w:spacing w:val="-21"/>
          <w:w w:val="105"/>
          <w:sz w:val="19"/>
        </w:rPr>
        <w:t> </w:t>
      </w:r>
      <w:r>
        <w:rPr>
          <w:w w:val="105"/>
          <w:sz w:val="19"/>
        </w:rPr>
        <w:t>Aurora.</w:t>
      </w:r>
    </w:p>
    <w:p>
      <w:pPr>
        <w:spacing w:line="247" w:lineRule="auto" w:before="0"/>
        <w:ind w:left="115" w:right="100" w:firstLine="0"/>
        <w:jc w:val="both"/>
        <w:rPr>
          <w:sz w:val="19"/>
        </w:rPr>
      </w:pPr>
      <w:r>
        <w:rPr>
          <w:b/>
          <w:w w:val="105"/>
          <w:sz w:val="19"/>
        </w:rPr>
        <w:t>Roth, </w:t>
      </w:r>
      <w:r>
        <w:rPr>
          <w:w w:val="105"/>
          <w:sz w:val="19"/>
        </w:rPr>
        <w:t>W.-M. (2009). “Dialogism: A Bakhtinian perspective on science and learning. Rotterdam”: </w:t>
      </w:r>
      <w:r>
        <w:rPr>
          <w:sz w:val="19"/>
        </w:rPr>
        <w:t>Sense Publishers.</w:t>
      </w:r>
    </w:p>
    <w:p>
      <w:pPr>
        <w:spacing w:line="247" w:lineRule="auto" w:before="0"/>
        <w:ind w:left="115" w:right="103" w:firstLine="0"/>
        <w:jc w:val="both"/>
        <w:rPr>
          <w:sz w:val="19"/>
        </w:rPr>
      </w:pPr>
      <w:r>
        <w:rPr>
          <w:b/>
          <w:w w:val="105"/>
          <w:sz w:val="19"/>
        </w:rPr>
        <w:t>Rua</w:t>
      </w:r>
      <w:r>
        <w:rPr>
          <w:w w:val="105"/>
          <w:sz w:val="19"/>
        </w:rPr>
        <w:t>,</w:t>
      </w:r>
      <w:r>
        <w:rPr>
          <w:spacing w:val="-7"/>
          <w:w w:val="105"/>
          <w:sz w:val="19"/>
        </w:rPr>
        <w:t> </w:t>
      </w:r>
      <w:r>
        <w:rPr>
          <w:w w:val="105"/>
          <w:sz w:val="19"/>
        </w:rPr>
        <w:t>Maria</w:t>
      </w:r>
      <w:r>
        <w:rPr>
          <w:spacing w:val="-7"/>
          <w:w w:val="105"/>
          <w:sz w:val="19"/>
        </w:rPr>
        <w:t> </w:t>
      </w:r>
      <w:r>
        <w:rPr>
          <w:w w:val="105"/>
          <w:sz w:val="19"/>
        </w:rPr>
        <w:t>das</w:t>
      </w:r>
      <w:r>
        <w:rPr>
          <w:spacing w:val="-7"/>
          <w:w w:val="105"/>
          <w:sz w:val="19"/>
        </w:rPr>
        <w:t> </w:t>
      </w:r>
      <w:r>
        <w:rPr>
          <w:w w:val="105"/>
          <w:sz w:val="19"/>
        </w:rPr>
        <w:t>Graças</w:t>
      </w:r>
      <w:r>
        <w:rPr>
          <w:spacing w:val="-7"/>
          <w:w w:val="105"/>
          <w:sz w:val="19"/>
        </w:rPr>
        <w:t> </w:t>
      </w:r>
      <w:r>
        <w:rPr>
          <w:w w:val="105"/>
          <w:sz w:val="19"/>
        </w:rPr>
        <w:t>(1998),</w:t>
      </w:r>
      <w:r>
        <w:rPr>
          <w:spacing w:val="-7"/>
          <w:w w:val="105"/>
          <w:sz w:val="19"/>
        </w:rPr>
        <w:t> </w:t>
      </w:r>
      <w:r>
        <w:rPr>
          <w:w w:val="105"/>
          <w:sz w:val="19"/>
        </w:rPr>
        <w:t>“Políticas</w:t>
      </w:r>
      <w:r>
        <w:rPr>
          <w:spacing w:val="-10"/>
          <w:w w:val="105"/>
          <w:sz w:val="19"/>
        </w:rPr>
        <w:t> </w:t>
      </w:r>
      <w:r>
        <w:rPr>
          <w:w w:val="105"/>
          <w:sz w:val="19"/>
        </w:rPr>
        <w:t>públicas</w:t>
      </w:r>
      <w:r>
        <w:rPr>
          <w:spacing w:val="-7"/>
          <w:w w:val="105"/>
          <w:sz w:val="19"/>
        </w:rPr>
        <w:t> </w:t>
      </w:r>
      <w:r>
        <w:rPr>
          <w:w w:val="105"/>
          <w:sz w:val="19"/>
        </w:rPr>
        <w:t>e</w:t>
      </w:r>
      <w:r>
        <w:rPr>
          <w:spacing w:val="-7"/>
          <w:w w:val="105"/>
          <w:sz w:val="19"/>
        </w:rPr>
        <w:t> </w:t>
      </w:r>
      <w:r>
        <w:rPr>
          <w:w w:val="105"/>
          <w:sz w:val="19"/>
        </w:rPr>
        <w:t>políticas</w:t>
      </w:r>
      <w:r>
        <w:rPr>
          <w:spacing w:val="-10"/>
          <w:w w:val="105"/>
          <w:sz w:val="19"/>
        </w:rPr>
        <w:t> </w:t>
      </w:r>
      <w:r>
        <w:rPr>
          <w:w w:val="105"/>
          <w:sz w:val="19"/>
        </w:rPr>
        <w:t>públicas</w:t>
      </w:r>
      <w:r>
        <w:rPr>
          <w:spacing w:val="-10"/>
          <w:w w:val="105"/>
          <w:sz w:val="19"/>
        </w:rPr>
        <w:t> </w:t>
      </w:r>
      <w:r>
        <w:rPr>
          <w:spacing w:val="2"/>
          <w:w w:val="105"/>
          <w:sz w:val="19"/>
        </w:rPr>
        <w:t>no</w:t>
      </w:r>
      <w:r>
        <w:rPr>
          <w:spacing w:val="-7"/>
          <w:w w:val="105"/>
          <w:sz w:val="19"/>
        </w:rPr>
        <w:t> </w:t>
      </w:r>
      <w:r>
        <w:rPr>
          <w:w w:val="105"/>
          <w:sz w:val="19"/>
        </w:rPr>
        <w:t>Brasil:</w:t>
      </w:r>
      <w:r>
        <w:rPr>
          <w:spacing w:val="-10"/>
          <w:w w:val="105"/>
          <w:sz w:val="19"/>
        </w:rPr>
        <w:t> </w:t>
      </w:r>
      <w:r>
        <w:rPr>
          <w:w w:val="105"/>
          <w:sz w:val="19"/>
        </w:rPr>
        <w:t>conceitos</w:t>
      </w:r>
      <w:r>
        <w:rPr>
          <w:spacing w:val="-7"/>
          <w:w w:val="105"/>
          <w:sz w:val="19"/>
        </w:rPr>
        <w:t> </w:t>
      </w:r>
      <w:r>
        <w:rPr>
          <w:w w:val="105"/>
          <w:sz w:val="19"/>
        </w:rPr>
        <w:t>básicos e</w:t>
      </w:r>
      <w:r>
        <w:rPr>
          <w:spacing w:val="-11"/>
          <w:w w:val="105"/>
          <w:sz w:val="19"/>
        </w:rPr>
        <w:t> </w:t>
      </w:r>
      <w:r>
        <w:rPr>
          <w:w w:val="105"/>
          <w:sz w:val="19"/>
        </w:rPr>
        <w:t>achados</w:t>
      </w:r>
      <w:r>
        <w:rPr>
          <w:spacing w:val="-11"/>
          <w:w w:val="105"/>
          <w:sz w:val="19"/>
        </w:rPr>
        <w:t> </w:t>
      </w:r>
      <w:r>
        <w:rPr>
          <w:w w:val="105"/>
          <w:sz w:val="19"/>
        </w:rPr>
        <w:t>empíricos”,</w:t>
      </w:r>
      <w:r>
        <w:rPr>
          <w:spacing w:val="-15"/>
          <w:w w:val="105"/>
          <w:sz w:val="19"/>
        </w:rPr>
        <w:t> </w:t>
      </w:r>
      <w:r>
        <w:rPr>
          <w:w w:val="105"/>
          <w:sz w:val="19"/>
        </w:rPr>
        <w:t>en</w:t>
      </w:r>
      <w:r>
        <w:rPr>
          <w:spacing w:val="-11"/>
          <w:w w:val="105"/>
          <w:sz w:val="19"/>
        </w:rPr>
        <w:t> </w:t>
      </w:r>
      <w:r>
        <w:rPr>
          <w:w w:val="105"/>
          <w:sz w:val="19"/>
        </w:rPr>
        <w:t>Maria</w:t>
      </w:r>
      <w:r>
        <w:rPr>
          <w:spacing w:val="-11"/>
          <w:w w:val="105"/>
          <w:sz w:val="19"/>
        </w:rPr>
        <w:t> </w:t>
      </w:r>
      <w:r>
        <w:rPr>
          <w:w w:val="105"/>
          <w:sz w:val="19"/>
        </w:rPr>
        <w:t>das</w:t>
      </w:r>
      <w:r>
        <w:rPr>
          <w:spacing w:val="-13"/>
          <w:w w:val="105"/>
          <w:sz w:val="19"/>
        </w:rPr>
        <w:t> </w:t>
      </w:r>
      <w:r>
        <w:rPr>
          <w:w w:val="105"/>
          <w:sz w:val="19"/>
        </w:rPr>
        <w:t>Graças</w:t>
      </w:r>
      <w:r>
        <w:rPr>
          <w:spacing w:val="-8"/>
          <w:w w:val="105"/>
          <w:sz w:val="19"/>
        </w:rPr>
        <w:t> </w:t>
      </w:r>
      <w:r>
        <w:rPr>
          <w:spacing w:val="-3"/>
          <w:w w:val="105"/>
          <w:sz w:val="19"/>
        </w:rPr>
        <w:t>Rua</w:t>
      </w:r>
      <w:r>
        <w:rPr>
          <w:spacing w:val="-11"/>
          <w:w w:val="105"/>
          <w:sz w:val="19"/>
        </w:rPr>
        <w:t> </w:t>
      </w:r>
      <w:r>
        <w:rPr>
          <w:w w:val="105"/>
          <w:sz w:val="19"/>
        </w:rPr>
        <w:t>y</w:t>
      </w:r>
      <w:r>
        <w:rPr>
          <w:spacing w:val="-11"/>
          <w:w w:val="105"/>
          <w:sz w:val="19"/>
        </w:rPr>
        <w:t> </w:t>
      </w:r>
      <w:r>
        <w:rPr>
          <w:w w:val="105"/>
          <w:sz w:val="19"/>
        </w:rPr>
        <w:t>Maria</w:t>
      </w:r>
      <w:r>
        <w:rPr>
          <w:spacing w:val="-5"/>
          <w:w w:val="105"/>
          <w:sz w:val="19"/>
        </w:rPr>
        <w:t> </w:t>
      </w:r>
      <w:r>
        <w:rPr>
          <w:w w:val="105"/>
          <w:sz w:val="19"/>
        </w:rPr>
        <w:t>Izabel</w:t>
      </w:r>
      <w:r>
        <w:rPr>
          <w:spacing w:val="-6"/>
          <w:w w:val="105"/>
          <w:sz w:val="19"/>
        </w:rPr>
        <w:t> </w:t>
      </w:r>
      <w:r>
        <w:rPr>
          <w:w w:val="105"/>
          <w:sz w:val="19"/>
        </w:rPr>
        <w:t>Valladão</w:t>
      </w:r>
      <w:r>
        <w:rPr>
          <w:spacing w:val="-11"/>
          <w:w w:val="105"/>
          <w:sz w:val="19"/>
        </w:rPr>
        <w:t> </w:t>
      </w:r>
      <w:r>
        <w:rPr>
          <w:w w:val="105"/>
          <w:sz w:val="19"/>
        </w:rPr>
        <w:t>de</w:t>
      </w:r>
      <w:r>
        <w:rPr>
          <w:spacing w:val="-11"/>
          <w:w w:val="105"/>
          <w:sz w:val="19"/>
        </w:rPr>
        <w:t> </w:t>
      </w:r>
      <w:r>
        <w:rPr>
          <w:w w:val="105"/>
          <w:sz w:val="19"/>
        </w:rPr>
        <w:t>Carvalho,</w:t>
      </w:r>
      <w:r>
        <w:rPr>
          <w:spacing w:val="-11"/>
          <w:w w:val="105"/>
          <w:sz w:val="19"/>
        </w:rPr>
        <w:t> </w:t>
      </w:r>
      <w:r>
        <w:rPr>
          <w:w w:val="105"/>
          <w:sz w:val="19"/>
        </w:rPr>
        <w:t>O</w:t>
      </w:r>
      <w:r>
        <w:rPr>
          <w:spacing w:val="-13"/>
          <w:w w:val="105"/>
          <w:sz w:val="19"/>
        </w:rPr>
        <w:t> </w:t>
      </w:r>
      <w:r>
        <w:rPr>
          <w:w w:val="105"/>
          <w:sz w:val="19"/>
        </w:rPr>
        <w:t>estudo</w:t>
      </w:r>
      <w:r>
        <w:rPr>
          <w:spacing w:val="-11"/>
          <w:w w:val="105"/>
          <w:sz w:val="19"/>
        </w:rPr>
        <w:t> </w:t>
      </w:r>
      <w:r>
        <w:rPr>
          <w:spacing w:val="-3"/>
          <w:w w:val="105"/>
          <w:sz w:val="19"/>
        </w:rPr>
        <w:t>da </w:t>
      </w:r>
      <w:r>
        <w:rPr>
          <w:w w:val="105"/>
          <w:sz w:val="19"/>
        </w:rPr>
        <w:t>Política</w:t>
      </w:r>
      <w:r>
        <w:rPr>
          <w:spacing w:val="-25"/>
          <w:w w:val="105"/>
          <w:sz w:val="19"/>
        </w:rPr>
        <w:t> </w:t>
      </w:r>
      <w:r>
        <w:rPr>
          <w:w w:val="105"/>
          <w:sz w:val="19"/>
        </w:rPr>
        <w:t>(tópicos</w:t>
      </w:r>
      <w:r>
        <w:rPr>
          <w:spacing w:val="-27"/>
          <w:w w:val="105"/>
          <w:sz w:val="19"/>
        </w:rPr>
        <w:t> </w:t>
      </w:r>
      <w:r>
        <w:rPr>
          <w:w w:val="105"/>
          <w:sz w:val="19"/>
        </w:rPr>
        <w:t>selecionados),</w:t>
      </w:r>
      <w:r>
        <w:rPr>
          <w:spacing w:val="-28"/>
          <w:w w:val="105"/>
          <w:sz w:val="19"/>
        </w:rPr>
        <w:t> </w:t>
      </w:r>
      <w:r>
        <w:rPr>
          <w:w w:val="105"/>
          <w:sz w:val="19"/>
        </w:rPr>
        <w:t>Brasília,</w:t>
      </w:r>
      <w:r>
        <w:rPr>
          <w:spacing w:val="-27"/>
          <w:w w:val="105"/>
          <w:sz w:val="19"/>
        </w:rPr>
        <w:t> </w:t>
      </w:r>
      <w:r>
        <w:rPr>
          <w:w w:val="105"/>
          <w:sz w:val="19"/>
        </w:rPr>
        <w:t>Paralelo</w:t>
      </w:r>
      <w:r>
        <w:rPr>
          <w:spacing w:val="-27"/>
          <w:w w:val="105"/>
          <w:sz w:val="19"/>
        </w:rPr>
        <w:t> </w:t>
      </w:r>
      <w:r>
        <w:rPr>
          <w:w w:val="105"/>
          <w:sz w:val="19"/>
        </w:rPr>
        <w:t>15.</w:t>
      </w:r>
    </w:p>
    <w:p>
      <w:pPr>
        <w:pStyle w:val="BodyText"/>
        <w:spacing w:before="3"/>
        <w:rPr>
          <w:sz w:val="19"/>
        </w:rPr>
      </w:pPr>
    </w:p>
    <w:p>
      <w:pPr>
        <w:spacing w:before="0"/>
        <w:ind w:left="115" w:right="0" w:firstLine="0"/>
        <w:jc w:val="both"/>
        <w:rPr>
          <w:b/>
          <w:sz w:val="19"/>
        </w:rPr>
      </w:pPr>
      <w:r>
        <w:rPr>
          <w:b/>
          <w:w w:val="103"/>
          <w:sz w:val="19"/>
        </w:rPr>
        <w:t>S</w:t>
      </w:r>
    </w:p>
    <w:p>
      <w:pPr>
        <w:spacing w:line="242" w:lineRule="auto" w:before="7"/>
        <w:ind w:left="115" w:right="101" w:firstLine="0"/>
        <w:jc w:val="both"/>
        <w:rPr>
          <w:sz w:val="19"/>
        </w:rPr>
      </w:pPr>
      <w:r>
        <w:rPr>
          <w:b/>
          <w:w w:val="105"/>
          <w:sz w:val="19"/>
        </w:rPr>
        <w:t>Samuels</w:t>
      </w:r>
      <w:r>
        <w:rPr>
          <w:w w:val="105"/>
          <w:sz w:val="19"/>
        </w:rPr>
        <w:t>, David. (2003). “Ambition, Federalism and Legislative Politics in Brazil”. Nueva York: Cambridge University Press.</w:t>
      </w:r>
    </w:p>
    <w:p>
      <w:pPr>
        <w:spacing w:line="244" w:lineRule="auto" w:before="0"/>
        <w:ind w:left="115" w:right="101" w:firstLine="0"/>
        <w:jc w:val="both"/>
        <w:rPr>
          <w:sz w:val="19"/>
        </w:rPr>
      </w:pPr>
      <w:r>
        <w:rPr>
          <w:b/>
          <w:w w:val="105"/>
          <w:sz w:val="19"/>
        </w:rPr>
        <w:t>Sánchez</w:t>
      </w:r>
      <w:r>
        <w:rPr>
          <w:w w:val="105"/>
          <w:sz w:val="19"/>
        </w:rPr>
        <w:t>, Cerón Manuel (2001). “Influencia </w:t>
      </w:r>
      <w:r>
        <w:rPr>
          <w:spacing w:val="-3"/>
          <w:w w:val="105"/>
          <w:sz w:val="19"/>
        </w:rPr>
        <w:t>del </w:t>
      </w:r>
      <w:r>
        <w:rPr>
          <w:w w:val="105"/>
          <w:sz w:val="19"/>
        </w:rPr>
        <w:t>Banco Mundial y la CEPAL </w:t>
      </w:r>
      <w:r>
        <w:rPr>
          <w:spacing w:val="-3"/>
          <w:w w:val="105"/>
          <w:sz w:val="19"/>
        </w:rPr>
        <w:t>en </w:t>
      </w:r>
      <w:r>
        <w:rPr>
          <w:w w:val="105"/>
          <w:sz w:val="19"/>
        </w:rPr>
        <w:t>las tendencias educativas</w:t>
      </w:r>
      <w:r>
        <w:rPr>
          <w:spacing w:val="-17"/>
          <w:w w:val="105"/>
          <w:sz w:val="19"/>
        </w:rPr>
        <w:t> </w:t>
      </w:r>
      <w:r>
        <w:rPr>
          <w:w w:val="105"/>
          <w:sz w:val="19"/>
        </w:rPr>
        <w:t>recientes</w:t>
      </w:r>
      <w:r>
        <w:rPr>
          <w:spacing w:val="-20"/>
          <w:w w:val="105"/>
          <w:sz w:val="19"/>
        </w:rPr>
        <w:t> </w:t>
      </w:r>
      <w:r>
        <w:rPr>
          <w:w w:val="105"/>
          <w:sz w:val="19"/>
        </w:rPr>
        <w:t>en</w:t>
      </w:r>
      <w:r>
        <w:rPr>
          <w:spacing w:val="-15"/>
          <w:w w:val="105"/>
          <w:sz w:val="19"/>
        </w:rPr>
        <w:t> </w:t>
      </w:r>
      <w:r>
        <w:rPr>
          <w:w w:val="105"/>
          <w:sz w:val="19"/>
        </w:rPr>
        <w:t>algunos</w:t>
      </w:r>
      <w:r>
        <w:rPr>
          <w:spacing w:val="-20"/>
          <w:w w:val="105"/>
          <w:sz w:val="19"/>
        </w:rPr>
        <w:t> </w:t>
      </w:r>
      <w:r>
        <w:rPr>
          <w:w w:val="105"/>
          <w:sz w:val="19"/>
        </w:rPr>
        <w:t>países</w:t>
      </w:r>
      <w:r>
        <w:rPr>
          <w:spacing w:val="-20"/>
          <w:w w:val="105"/>
          <w:sz w:val="19"/>
        </w:rPr>
        <w:t> </w:t>
      </w:r>
      <w:r>
        <w:rPr>
          <w:w w:val="105"/>
          <w:sz w:val="19"/>
        </w:rPr>
        <w:t>latinoamericanos”</w:t>
      </w:r>
      <w:r>
        <w:rPr>
          <w:spacing w:val="-17"/>
          <w:w w:val="105"/>
          <w:sz w:val="19"/>
        </w:rPr>
        <w:t> </w:t>
      </w:r>
      <w:r>
        <w:rPr>
          <w:w w:val="105"/>
          <w:sz w:val="19"/>
        </w:rPr>
        <w:t>en</w:t>
      </w:r>
      <w:r>
        <w:rPr>
          <w:spacing w:val="-19"/>
          <w:w w:val="105"/>
          <w:sz w:val="19"/>
        </w:rPr>
        <w:t> </w:t>
      </w:r>
      <w:r>
        <w:rPr>
          <w:i/>
          <w:w w:val="105"/>
          <w:sz w:val="19"/>
        </w:rPr>
        <w:t>Revista</w:t>
      </w:r>
      <w:r>
        <w:rPr>
          <w:i/>
          <w:spacing w:val="-17"/>
          <w:w w:val="105"/>
          <w:sz w:val="19"/>
        </w:rPr>
        <w:t> </w:t>
      </w:r>
      <w:r>
        <w:rPr>
          <w:i/>
          <w:w w:val="105"/>
          <w:sz w:val="19"/>
        </w:rPr>
        <w:t>Latinoamericana</w:t>
      </w:r>
      <w:r>
        <w:rPr>
          <w:i/>
          <w:spacing w:val="-17"/>
          <w:w w:val="105"/>
          <w:sz w:val="19"/>
        </w:rPr>
        <w:t> </w:t>
      </w:r>
      <w:r>
        <w:rPr>
          <w:i/>
          <w:w w:val="105"/>
          <w:sz w:val="19"/>
        </w:rPr>
        <w:t>de</w:t>
      </w:r>
      <w:r>
        <w:rPr>
          <w:i/>
          <w:spacing w:val="-15"/>
          <w:w w:val="105"/>
          <w:sz w:val="19"/>
        </w:rPr>
        <w:t> </w:t>
      </w:r>
      <w:r>
        <w:rPr>
          <w:i/>
          <w:w w:val="105"/>
          <w:sz w:val="19"/>
        </w:rPr>
        <w:t>Estudios </w:t>
      </w:r>
      <w:r>
        <w:rPr>
          <w:i/>
          <w:w w:val="105"/>
          <w:sz w:val="19"/>
        </w:rPr>
        <w:t>Educativos,</w:t>
      </w:r>
      <w:r>
        <w:rPr>
          <w:i/>
          <w:spacing w:val="-17"/>
          <w:w w:val="105"/>
          <w:sz w:val="19"/>
        </w:rPr>
        <w:t> </w:t>
      </w:r>
      <w:r>
        <w:rPr>
          <w:spacing w:val="-3"/>
          <w:w w:val="105"/>
          <w:sz w:val="19"/>
        </w:rPr>
        <w:t>año</w:t>
      </w:r>
      <w:r>
        <w:rPr>
          <w:spacing w:val="-17"/>
          <w:w w:val="105"/>
          <w:sz w:val="19"/>
        </w:rPr>
        <w:t> </w:t>
      </w:r>
      <w:r>
        <w:rPr>
          <w:w w:val="105"/>
          <w:sz w:val="19"/>
        </w:rPr>
        <w:t>/vol.</w:t>
      </w:r>
      <w:r>
        <w:rPr>
          <w:spacing w:val="-22"/>
          <w:w w:val="105"/>
          <w:sz w:val="19"/>
        </w:rPr>
        <w:t> </w:t>
      </w:r>
      <w:r>
        <w:rPr>
          <w:w w:val="105"/>
          <w:sz w:val="19"/>
        </w:rPr>
        <w:t>XXXI,</w:t>
      </w:r>
      <w:r>
        <w:rPr>
          <w:spacing w:val="-17"/>
          <w:w w:val="105"/>
          <w:sz w:val="19"/>
        </w:rPr>
        <w:t> </w:t>
      </w:r>
      <w:r>
        <w:rPr>
          <w:w w:val="105"/>
          <w:sz w:val="19"/>
        </w:rPr>
        <w:t>número</w:t>
      </w:r>
      <w:r>
        <w:rPr>
          <w:spacing w:val="-17"/>
          <w:w w:val="105"/>
          <w:sz w:val="19"/>
        </w:rPr>
        <w:t> </w:t>
      </w:r>
      <w:r>
        <w:rPr>
          <w:w w:val="105"/>
          <w:sz w:val="19"/>
        </w:rPr>
        <w:t>04.</w:t>
      </w:r>
      <w:r>
        <w:rPr>
          <w:spacing w:val="-22"/>
          <w:w w:val="105"/>
          <w:sz w:val="19"/>
        </w:rPr>
        <w:t> </w:t>
      </w:r>
      <w:r>
        <w:rPr>
          <w:w w:val="105"/>
          <w:sz w:val="19"/>
        </w:rPr>
        <w:t>Centro</w:t>
      </w:r>
      <w:r>
        <w:rPr>
          <w:spacing w:val="-17"/>
          <w:w w:val="105"/>
          <w:sz w:val="19"/>
        </w:rPr>
        <w:t> </w:t>
      </w:r>
      <w:r>
        <w:rPr>
          <w:w w:val="105"/>
          <w:sz w:val="19"/>
        </w:rPr>
        <w:t>de</w:t>
      </w:r>
      <w:r>
        <w:rPr>
          <w:spacing w:val="-17"/>
          <w:w w:val="105"/>
          <w:sz w:val="19"/>
        </w:rPr>
        <w:t> </w:t>
      </w:r>
      <w:r>
        <w:rPr>
          <w:w w:val="105"/>
          <w:sz w:val="19"/>
        </w:rPr>
        <w:t>Estudios</w:t>
      </w:r>
      <w:r>
        <w:rPr>
          <w:spacing w:val="-19"/>
          <w:w w:val="105"/>
          <w:sz w:val="19"/>
        </w:rPr>
        <w:t> </w:t>
      </w:r>
      <w:r>
        <w:rPr>
          <w:w w:val="105"/>
          <w:sz w:val="19"/>
        </w:rPr>
        <w:t>Educativos.</w:t>
      </w:r>
      <w:r>
        <w:rPr>
          <w:spacing w:val="-17"/>
          <w:w w:val="105"/>
          <w:sz w:val="19"/>
        </w:rPr>
        <w:t> </w:t>
      </w:r>
      <w:r>
        <w:rPr>
          <w:w w:val="105"/>
          <w:sz w:val="19"/>
        </w:rPr>
        <w:t>México.</w:t>
      </w:r>
      <w:r>
        <w:rPr>
          <w:spacing w:val="-22"/>
          <w:w w:val="105"/>
          <w:sz w:val="19"/>
        </w:rPr>
        <w:t> </w:t>
      </w:r>
      <w:r>
        <w:rPr>
          <w:w w:val="105"/>
          <w:sz w:val="19"/>
        </w:rPr>
        <w:t>pp.</w:t>
      </w:r>
      <w:r>
        <w:rPr>
          <w:spacing w:val="-22"/>
          <w:w w:val="105"/>
          <w:sz w:val="19"/>
        </w:rPr>
        <w:t> </w:t>
      </w:r>
      <w:r>
        <w:rPr>
          <w:w w:val="105"/>
          <w:sz w:val="19"/>
        </w:rPr>
        <w:t>55-97.</w:t>
      </w:r>
    </w:p>
    <w:p>
      <w:pPr>
        <w:spacing w:line="242" w:lineRule="auto" w:before="7"/>
        <w:ind w:left="115" w:right="106" w:firstLine="0"/>
        <w:jc w:val="both"/>
        <w:rPr>
          <w:sz w:val="19"/>
        </w:rPr>
      </w:pPr>
      <w:r>
        <w:rPr>
          <w:b/>
          <w:w w:val="105"/>
          <w:sz w:val="19"/>
        </w:rPr>
        <w:t>Sabatier</w:t>
      </w:r>
      <w:r>
        <w:rPr>
          <w:w w:val="105"/>
          <w:sz w:val="19"/>
        </w:rPr>
        <w:t>,</w:t>
      </w:r>
      <w:r>
        <w:rPr>
          <w:spacing w:val="-8"/>
          <w:w w:val="105"/>
          <w:sz w:val="19"/>
        </w:rPr>
        <w:t> </w:t>
      </w:r>
      <w:r>
        <w:rPr>
          <w:w w:val="105"/>
          <w:sz w:val="19"/>
        </w:rPr>
        <w:t>Paul.</w:t>
      </w:r>
      <w:r>
        <w:rPr>
          <w:spacing w:val="-8"/>
          <w:w w:val="105"/>
          <w:sz w:val="19"/>
        </w:rPr>
        <w:t> </w:t>
      </w:r>
      <w:r>
        <w:rPr>
          <w:w w:val="105"/>
          <w:sz w:val="19"/>
        </w:rPr>
        <w:t>(1986).</w:t>
      </w:r>
      <w:r>
        <w:rPr>
          <w:spacing w:val="-8"/>
          <w:w w:val="105"/>
          <w:sz w:val="19"/>
        </w:rPr>
        <w:t> </w:t>
      </w:r>
      <w:r>
        <w:rPr>
          <w:w w:val="105"/>
          <w:sz w:val="19"/>
        </w:rPr>
        <w:t>“Enfoques</w:t>
      </w:r>
      <w:r>
        <w:rPr>
          <w:spacing w:val="-13"/>
          <w:w w:val="105"/>
          <w:sz w:val="19"/>
        </w:rPr>
        <w:t> </w:t>
      </w:r>
      <w:r>
        <w:rPr>
          <w:w w:val="105"/>
          <w:sz w:val="19"/>
        </w:rPr>
        <w:t>de</w:t>
      </w:r>
      <w:r>
        <w:rPr>
          <w:spacing w:val="-8"/>
          <w:w w:val="105"/>
          <w:sz w:val="19"/>
        </w:rPr>
        <w:t> </w:t>
      </w:r>
      <w:r>
        <w:rPr>
          <w:w w:val="105"/>
          <w:sz w:val="19"/>
        </w:rPr>
        <w:t>arriba</w:t>
      </w:r>
      <w:r>
        <w:rPr>
          <w:spacing w:val="-8"/>
          <w:w w:val="105"/>
          <w:sz w:val="19"/>
        </w:rPr>
        <w:t> </w:t>
      </w:r>
      <w:r>
        <w:rPr>
          <w:w w:val="105"/>
          <w:sz w:val="19"/>
        </w:rPr>
        <w:t>hacia</w:t>
      </w:r>
      <w:r>
        <w:rPr>
          <w:spacing w:val="-8"/>
          <w:w w:val="105"/>
          <w:sz w:val="19"/>
        </w:rPr>
        <w:t> </w:t>
      </w:r>
      <w:r>
        <w:rPr>
          <w:w w:val="105"/>
          <w:sz w:val="19"/>
        </w:rPr>
        <w:t>abajo</w:t>
      </w:r>
      <w:r>
        <w:rPr>
          <w:spacing w:val="-3"/>
          <w:w w:val="105"/>
          <w:sz w:val="19"/>
        </w:rPr>
        <w:t> </w:t>
      </w:r>
      <w:r>
        <w:rPr>
          <w:w w:val="105"/>
          <w:sz w:val="19"/>
        </w:rPr>
        <w:t>y</w:t>
      </w:r>
      <w:r>
        <w:rPr>
          <w:spacing w:val="-13"/>
          <w:w w:val="105"/>
          <w:sz w:val="19"/>
        </w:rPr>
        <w:t> </w:t>
      </w:r>
      <w:r>
        <w:rPr>
          <w:w w:val="105"/>
          <w:sz w:val="19"/>
        </w:rPr>
        <w:t>de</w:t>
      </w:r>
      <w:r>
        <w:rPr>
          <w:spacing w:val="-8"/>
          <w:w w:val="105"/>
          <w:sz w:val="19"/>
        </w:rPr>
        <w:t> </w:t>
      </w:r>
      <w:r>
        <w:rPr>
          <w:w w:val="105"/>
          <w:sz w:val="19"/>
        </w:rPr>
        <w:t>abajo</w:t>
      </w:r>
      <w:r>
        <w:rPr>
          <w:spacing w:val="-11"/>
          <w:w w:val="105"/>
          <w:sz w:val="19"/>
        </w:rPr>
        <w:t> </w:t>
      </w:r>
      <w:r>
        <w:rPr>
          <w:w w:val="105"/>
          <w:sz w:val="19"/>
        </w:rPr>
        <w:t>hacia</w:t>
      </w:r>
      <w:r>
        <w:rPr>
          <w:spacing w:val="-8"/>
          <w:w w:val="105"/>
          <w:sz w:val="19"/>
        </w:rPr>
        <w:t> </w:t>
      </w:r>
      <w:r>
        <w:rPr>
          <w:w w:val="105"/>
          <w:sz w:val="19"/>
        </w:rPr>
        <w:t>arriba</w:t>
      </w:r>
      <w:r>
        <w:rPr>
          <w:spacing w:val="-8"/>
          <w:w w:val="105"/>
          <w:sz w:val="19"/>
        </w:rPr>
        <w:t> </w:t>
      </w:r>
      <w:r>
        <w:rPr>
          <w:spacing w:val="-3"/>
          <w:w w:val="105"/>
          <w:sz w:val="19"/>
        </w:rPr>
        <w:t>en</w:t>
      </w:r>
      <w:r>
        <w:rPr>
          <w:spacing w:val="-8"/>
          <w:w w:val="105"/>
          <w:sz w:val="19"/>
        </w:rPr>
        <w:t> </w:t>
      </w:r>
      <w:r>
        <w:rPr>
          <w:w w:val="105"/>
          <w:sz w:val="19"/>
        </w:rPr>
        <w:t>la</w:t>
      </w:r>
      <w:r>
        <w:rPr>
          <w:spacing w:val="-6"/>
          <w:w w:val="105"/>
          <w:sz w:val="19"/>
        </w:rPr>
        <w:t> </w:t>
      </w:r>
      <w:r>
        <w:rPr>
          <w:w w:val="105"/>
          <w:sz w:val="19"/>
        </w:rPr>
        <w:t>investigación sobre</w:t>
      </w:r>
      <w:r>
        <w:rPr>
          <w:spacing w:val="-18"/>
          <w:w w:val="105"/>
          <w:sz w:val="19"/>
        </w:rPr>
        <w:t> </w:t>
      </w:r>
      <w:r>
        <w:rPr>
          <w:w w:val="105"/>
          <w:sz w:val="19"/>
        </w:rPr>
        <w:t>implementación:</w:t>
      </w:r>
      <w:r>
        <w:rPr>
          <w:spacing w:val="-26"/>
          <w:w w:val="105"/>
          <w:sz w:val="19"/>
        </w:rPr>
        <w:t> </w:t>
      </w:r>
      <w:r>
        <w:rPr>
          <w:w w:val="105"/>
          <w:sz w:val="19"/>
        </w:rPr>
        <w:t>un</w:t>
      </w:r>
      <w:r>
        <w:rPr>
          <w:spacing w:val="-18"/>
          <w:w w:val="105"/>
          <w:sz w:val="19"/>
        </w:rPr>
        <w:t> </w:t>
      </w:r>
      <w:r>
        <w:rPr>
          <w:w w:val="105"/>
          <w:sz w:val="19"/>
        </w:rPr>
        <w:t>análisis</w:t>
      </w:r>
      <w:r>
        <w:rPr>
          <w:spacing w:val="-20"/>
          <w:w w:val="105"/>
          <w:sz w:val="19"/>
        </w:rPr>
        <w:t> </w:t>
      </w:r>
      <w:r>
        <w:rPr>
          <w:w w:val="105"/>
          <w:sz w:val="19"/>
        </w:rPr>
        <w:t>crítico</w:t>
      </w:r>
      <w:r>
        <w:rPr>
          <w:spacing w:val="-20"/>
          <w:w w:val="105"/>
          <w:sz w:val="19"/>
        </w:rPr>
        <w:t> </w:t>
      </w:r>
      <w:r>
        <w:rPr>
          <w:w w:val="105"/>
          <w:sz w:val="19"/>
        </w:rPr>
        <w:t>y</w:t>
      </w:r>
      <w:r>
        <w:rPr>
          <w:spacing w:val="-26"/>
          <w:w w:val="105"/>
          <w:sz w:val="19"/>
        </w:rPr>
        <w:t> </w:t>
      </w:r>
      <w:r>
        <w:rPr>
          <w:w w:val="105"/>
          <w:sz w:val="19"/>
        </w:rPr>
        <w:t>propuesta</w:t>
      </w:r>
      <w:r>
        <w:rPr>
          <w:spacing w:val="-24"/>
          <w:w w:val="105"/>
          <w:sz w:val="19"/>
        </w:rPr>
        <w:t> </w:t>
      </w:r>
      <w:r>
        <w:rPr>
          <w:w w:val="105"/>
          <w:sz w:val="19"/>
        </w:rPr>
        <w:t>de</w:t>
      </w:r>
      <w:r>
        <w:rPr>
          <w:spacing w:val="-22"/>
          <w:w w:val="105"/>
          <w:sz w:val="19"/>
        </w:rPr>
        <w:t> </w:t>
      </w:r>
      <w:r>
        <w:rPr>
          <w:w w:val="105"/>
          <w:sz w:val="19"/>
        </w:rPr>
        <w:t>síntesis”.</w:t>
      </w:r>
    </w:p>
    <w:p>
      <w:pPr>
        <w:spacing w:line="247" w:lineRule="auto" w:before="5"/>
        <w:ind w:left="115" w:right="106" w:firstLine="0"/>
        <w:jc w:val="both"/>
        <w:rPr>
          <w:sz w:val="19"/>
        </w:rPr>
      </w:pPr>
      <w:r>
        <w:rPr>
          <w:b/>
          <w:w w:val="105"/>
          <w:sz w:val="19"/>
        </w:rPr>
        <w:t>Santizo</w:t>
      </w:r>
      <w:r>
        <w:rPr>
          <w:b/>
          <w:spacing w:val="-11"/>
          <w:w w:val="105"/>
          <w:sz w:val="19"/>
        </w:rPr>
        <w:t> </w:t>
      </w:r>
      <w:r>
        <w:rPr>
          <w:w w:val="105"/>
          <w:sz w:val="19"/>
        </w:rPr>
        <w:t>Rodall,</w:t>
      </w:r>
      <w:r>
        <w:rPr>
          <w:spacing w:val="-12"/>
          <w:w w:val="105"/>
          <w:sz w:val="19"/>
        </w:rPr>
        <w:t> </w:t>
      </w:r>
      <w:r>
        <w:rPr>
          <w:w w:val="105"/>
          <w:sz w:val="19"/>
        </w:rPr>
        <w:t>Claudia.</w:t>
      </w:r>
      <w:r>
        <w:rPr>
          <w:spacing w:val="-12"/>
          <w:w w:val="105"/>
          <w:sz w:val="19"/>
        </w:rPr>
        <w:t> </w:t>
      </w:r>
      <w:r>
        <w:rPr>
          <w:w w:val="105"/>
          <w:sz w:val="19"/>
        </w:rPr>
        <w:t>(2006).</w:t>
      </w:r>
      <w:r>
        <w:rPr>
          <w:spacing w:val="-11"/>
          <w:w w:val="105"/>
          <w:sz w:val="19"/>
        </w:rPr>
        <w:t> </w:t>
      </w:r>
      <w:r>
        <w:rPr>
          <w:w w:val="105"/>
          <w:sz w:val="19"/>
        </w:rPr>
        <w:t>“Mejorando</w:t>
      </w:r>
      <w:r>
        <w:rPr>
          <w:spacing w:val="-7"/>
          <w:w w:val="105"/>
          <w:sz w:val="19"/>
        </w:rPr>
        <w:t> </w:t>
      </w:r>
      <w:r>
        <w:rPr>
          <w:w w:val="105"/>
          <w:sz w:val="19"/>
        </w:rPr>
        <w:t>la</w:t>
      </w:r>
      <w:r>
        <w:rPr>
          <w:spacing w:val="-7"/>
          <w:w w:val="105"/>
          <w:sz w:val="19"/>
        </w:rPr>
        <w:t> </w:t>
      </w:r>
      <w:r>
        <w:rPr>
          <w:w w:val="105"/>
          <w:sz w:val="19"/>
        </w:rPr>
        <w:t>rendición</w:t>
      </w:r>
      <w:r>
        <w:rPr>
          <w:spacing w:val="-7"/>
          <w:w w:val="105"/>
          <w:sz w:val="19"/>
        </w:rPr>
        <w:t> </w:t>
      </w:r>
      <w:r>
        <w:rPr>
          <w:w w:val="105"/>
          <w:sz w:val="19"/>
        </w:rPr>
        <w:t>de</w:t>
      </w:r>
      <w:r>
        <w:rPr>
          <w:spacing w:val="-7"/>
          <w:w w:val="105"/>
          <w:sz w:val="19"/>
        </w:rPr>
        <w:t> </w:t>
      </w:r>
      <w:r>
        <w:rPr>
          <w:w w:val="105"/>
          <w:sz w:val="19"/>
        </w:rPr>
        <w:t>cuentas</w:t>
      </w:r>
      <w:r>
        <w:rPr>
          <w:spacing w:val="-7"/>
          <w:w w:val="105"/>
          <w:sz w:val="19"/>
        </w:rPr>
        <w:t> </w:t>
      </w:r>
      <w:r>
        <w:rPr>
          <w:w w:val="105"/>
          <w:sz w:val="19"/>
        </w:rPr>
        <w:t>y</w:t>
      </w:r>
      <w:r>
        <w:rPr>
          <w:spacing w:val="-14"/>
          <w:w w:val="105"/>
          <w:sz w:val="19"/>
        </w:rPr>
        <w:t> </w:t>
      </w:r>
      <w:r>
        <w:rPr>
          <w:w w:val="105"/>
          <w:sz w:val="19"/>
        </w:rPr>
        <w:t>la</w:t>
      </w:r>
      <w:r>
        <w:rPr>
          <w:spacing w:val="-7"/>
          <w:w w:val="105"/>
          <w:sz w:val="19"/>
        </w:rPr>
        <w:t> </w:t>
      </w:r>
      <w:r>
        <w:rPr>
          <w:w w:val="105"/>
          <w:sz w:val="19"/>
        </w:rPr>
        <w:t>transparencia</w:t>
      </w:r>
      <w:r>
        <w:rPr>
          <w:spacing w:val="-7"/>
          <w:w w:val="105"/>
          <w:sz w:val="19"/>
        </w:rPr>
        <w:t> </w:t>
      </w:r>
      <w:r>
        <w:rPr>
          <w:w w:val="105"/>
          <w:sz w:val="19"/>
        </w:rPr>
        <w:t>a</w:t>
      </w:r>
      <w:r>
        <w:rPr>
          <w:spacing w:val="-5"/>
          <w:w w:val="105"/>
          <w:sz w:val="19"/>
        </w:rPr>
        <w:t> </w:t>
      </w:r>
      <w:r>
        <w:rPr>
          <w:w w:val="105"/>
          <w:sz w:val="19"/>
        </w:rPr>
        <w:t>través</w:t>
      </w:r>
      <w:r>
        <w:rPr>
          <w:spacing w:val="-7"/>
          <w:w w:val="105"/>
          <w:sz w:val="19"/>
        </w:rPr>
        <w:t> </w:t>
      </w:r>
      <w:r>
        <w:rPr>
          <w:spacing w:val="-3"/>
          <w:w w:val="105"/>
          <w:sz w:val="19"/>
        </w:rPr>
        <w:t>de la </w:t>
      </w:r>
      <w:r>
        <w:rPr>
          <w:w w:val="105"/>
          <w:sz w:val="19"/>
        </w:rPr>
        <w:t>participación social: El Programa Escuelas de Calidad </w:t>
      </w:r>
      <w:r>
        <w:rPr>
          <w:spacing w:val="-3"/>
          <w:w w:val="105"/>
          <w:sz w:val="19"/>
        </w:rPr>
        <w:t>en </w:t>
      </w:r>
      <w:r>
        <w:rPr>
          <w:w w:val="105"/>
          <w:sz w:val="19"/>
        </w:rPr>
        <w:t>México”. REICE. Revista Electrónica Iberoamericana sobre Calidad, Eficacia y Cambio en Educación, año/vol. 4, número 001. Red Iberoamericana</w:t>
      </w:r>
      <w:r>
        <w:rPr>
          <w:spacing w:val="-21"/>
          <w:w w:val="105"/>
          <w:sz w:val="19"/>
        </w:rPr>
        <w:t> </w:t>
      </w:r>
      <w:r>
        <w:rPr>
          <w:w w:val="105"/>
          <w:sz w:val="19"/>
        </w:rPr>
        <w:t>de</w:t>
      </w:r>
      <w:r>
        <w:rPr>
          <w:spacing w:val="-17"/>
          <w:w w:val="105"/>
          <w:sz w:val="19"/>
        </w:rPr>
        <w:t> </w:t>
      </w:r>
      <w:r>
        <w:rPr>
          <w:w w:val="105"/>
          <w:sz w:val="19"/>
        </w:rPr>
        <w:t>Investigaciones</w:t>
      </w:r>
      <w:r>
        <w:rPr>
          <w:spacing w:val="-23"/>
          <w:w w:val="105"/>
          <w:sz w:val="19"/>
        </w:rPr>
        <w:t> </w:t>
      </w:r>
      <w:r>
        <w:rPr>
          <w:w w:val="105"/>
          <w:sz w:val="19"/>
        </w:rPr>
        <w:t>sobre</w:t>
      </w:r>
      <w:r>
        <w:rPr>
          <w:spacing w:val="-21"/>
          <w:w w:val="105"/>
          <w:sz w:val="19"/>
        </w:rPr>
        <w:t> </w:t>
      </w:r>
      <w:r>
        <w:rPr>
          <w:w w:val="105"/>
          <w:sz w:val="19"/>
        </w:rPr>
        <w:t>Cambio</w:t>
      </w:r>
      <w:r>
        <w:rPr>
          <w:spacing w:val="-21"/>
          <w:w w:val="105"/>
          <w:sz w:val="19"/>
        </w:rPr>
        <w:t> </w:t>
      </w:r>
      <w:r>
        <w:rPr>
          <w:w w:val="105"/>
          <w:sz w:val="19"/>
        </w:rPr>
        <w:t>y</w:t>
      </w:r>
      <w:r>
        <w:rPr>
          <w:spacing w:val="-26"/>
          <w:w w:val="105"/>
          <w:sz w:val="19"/>
        </w:rPr>
        <w:t> </w:t>
      </w:r>
      <w:r>
        <w:rPr>
          <w:w w:val="105"/>
          <w:sz w:val="19"/>
        </w:rPr>
        <w:t>Eficacia</w:t>
      </w:r>
      <w:r>
        <w:rPr>
          <w:spacing w:val="-21"/>
          <w:w w:val="105"/>
          <w:sz w:val="19"/>
        </w:rPr>
        <w:t> </w:t>
      </w:r>
      <w:r>
        <w:rPr>
          <w:w w:val="105"/>
          <w:sz w:val="19"/>
        </w:rPr>
        <w:t>Escolar,</w:t>
      </w:r>
      <w:r>
        <w:rPr>
          <w:spacing w:val="-26"/>
          <w:w w:val="105"/>
          <w:sz w:val="19"/>
        </w:rPr>
        <w:t> </w:t>
      </w:r>
      <w:r>
        <w:rPr>
          <w:w w:val="105"/>
          <w:sz w:val="19"/>
        </w:rPr>
        <w:t>Madrid,</w:t>
      </w:r>
      <w:r>
        <w:rPr>
          <w:spacing w:val="-26"/>
          <w:w w:val="105"/>
          <w:sz w:val="19"/>
        </w:rPr>
        <w:t> </w:t>
      </w:r>
      <w:r>
        <w:rPr>
          <w:w w:val="105"/>
          <w:sz w:val="19"/>
        </w:rPr>
        <w:t>España.</w:t>
      </w:r>
      <w:r>
        <w:rPr>
          <w:spacing w:val="-26"/>
          <w:w w:val="105"/>
          <w:sz w:val="19"/>
        </w:rPr>
        <w:t> </w:t>
      </w:r>
      <w:r>
        <w:rPr>
          <w:w w:val="105"/>
          <w:sz w:val="19"/>
        </w:rPr>
        <w:t>Pp.</w:t>
      </w:r>
      <w:r>
        <w:rPr>
          <w:spacing w:val="-24"/>
          <w:w w:val="105"/>
          <w:sz w:val="19"/>
        </w:rPr>
        <w:t> </w:t>
      </w:r>
      <w:r>
        <w:rPr>
          <w:w w:val="105"/>
          <w:sz w:val="19"/>
        </w:rPr>
        <w:t>38-51</w:t>
      </w:r>
    </w:p>
    <w:p>
      <w:pPr>
        <w:spacing w:after="0" w:line="247" w:lineRule="auto"/>
        <w:jc w:val="both"/>
        <w:rPr>
          <w:sz w:val="19"/>
        </w:rPr>
        <w:sectPr>
          <w:pgSz w:w="11910" w:h="16840"/>
          <w:pgMar w:header="0" w:footer="1457" w:top="1580" w:bottom="1640" w:left="1540" w:right="1540"/>
        </w:sectPr>
      </w:pPr>
    </w:p>
    <w:p>
      <w:pPr>
        <w:pStyle w:val="BodyText"/>
        <w:rPr>
          <w:sz w:val="20"/>
        </w:rPr>
      </w:pPr>
    </w:p>
    <w:p>
      <w:pPr>
        <w:pStyle w:val="BodyText"/>
        <w:spacing w:before="10"/>
        <w:rPr>
          <w:sz w:val="15"/>
        </w:rPr>
      </w:pPr>
    </w:p>
    <w:p>
      <w:pPr>
        <w:spacing w:line="247" w:lineRule="auto" w:before="81"/>
        <w:ind w:left="115" w:right="107" w:firstLine="0"/>
        <w:jc w:val="both"/>
        <w:rPr>
          <w:sz w:val="19"/>
        </w:rPr>
      </w:pPr>
      <w:r>
        <w:rPr>
          <w:b/>
          <w:w w:val="105"/>
          <w:sz w:val="19"/>
        </w:rPr>
        <w:t>Scartascini</w:t>
      </w:r>
      <w:r>
        <w:rPr>
          <w:w w:val="105"/>
          <w:sz w:val="19"/>
        </w:rPr>
        <w:t>,</w:t>
      </w:r>
      <w:r>
        <w:rPr>
          <w:spacing w:val="-13"/>
          <w:w w:val="105"/>
          <w:sz w:val="19"/>
        </w:rPr>
        <w:t> </w:t>
      </w:r>
      <w:r>
        <w:rPr>
          <w:w w:val="105"/>
          <w:sz w:val="19"/>
        </w:rPr>
        <w:t>Carlos;</w:t>
      </w:r>
      <w:r>
        <w:rPr>
          <w:spacing w:val="-13"/>
          <w:w w:val="105"/>
          <w:sz w:val="19"/>
        </w:rPr>
        <w:t> </w:t>
      </w:r>
      <w:r>
        <w:rPr>
          <w:w w:val="105"/>
          <w:sz w:val="19"/>
        </w:rPr>
        <w:t>Spiller,</w:t>
      </w:r>
      <w:r>
        <w:rPr>
          <w:spacing w:val="-12"/>
          <w:w w:val="105"/>
          <w:sz w:val="19"/>
        </w:rPr>
        <w:t> </w:t>
      </w:r>
      <w:r>
        <w:rPr>
          <w:w w:val="105"/>
          <w:sz w:val="19"/>
        </w:rPr>
        <w:t>Pablo;</w:t>
      </w:r>
      <w:r>
        <w:rPr>
          <w:spacing w:val="-8"/>
          <w:w w:val="105"/>
          <w:sz w:val="19"/>
        </w:rPr>
        <w:t> </w:t>
      </w:r>
      <w:r>
        <w:rPr>
          <w:w w:val="105"/>
          <w:sz w:val="19"/>
        </w:rPr>
        <w:t>Stein,</w:t>
      </w:r>
      <w:r>
        <w:rPr>
          <w:spacing w:val="-8"/>
          <w:w w:val="105"/>
          <w:sz w:val="19"/>
        </w:rPr>
        <w:t> </w:t>
      </w:r>
      <w:r>
        <w:rPr>
          <w:w w:val="105"/>
          <w:sz w:val="19"/>
        </w:rPr>
        <w:t>Ernesto</w:t>
      </w:r>
      <w:r>
        <w:rPr>
          <w:spacing w:val="-8"/>
          <w:w w:val="105"/>
          <w:sz w:val="19"/>
        </w:rPr>
        <w:t> </w:t>
      </w:r>
      <w:r>
        <w:rPr>
          <w:w w:val="105"/>
          <w:sz w:val="19"/>
        </w:rPr>
        <w:t>y</w:t>
      </w:r>
      <w:r>
        <w:rPr>
          <w:spacing w:val="-11"/>
          <w:w w:val="105"/>
          <w:sz w:val="19"/>
        </w:rPr>
        <w:t> </w:t>
      </w:r>
      <w:r>
        <w:rPr>
          <w:w w:val="105"/>
          <w:sz w:val="19"/>
        </w:rPr>
        <w:t>Tommasi,</w:t>
      </w:r>
      <w:r>
        <w:rPr>
          <w:spacing w:val="-13"/>
          <w:w w:val="105"/>
          <w:sz w:val="19"/>
        </w:rPr>
        <w:t> </w:t>
      </w:r>
      <w:r>
        <w:rPr>
          <w:w w:val="105"/>
          <w:sz w:val="19"/>
        </w:rPr>
        <w:t>Mariano</w:t>
      </w:r>
      <w:r>
        <w:rPr>
          <w:spacing w:val="-8"/>
          <w:w w:val="105"/>
          <w:sz w:val="19"/>
        </w:rPr>
        <w:t> </w:t>
      </w:r>
      <w:r>
        <w:rPr>
          <w:w w:val="105"/>
          <w:sz w:val="19"/>
        </w:rPr>
        <w:t>(editores)</w:t>
      </w:r>
      <w:r>
        <w:rPr>
          <w:spacing w:val="-8"/>
          <w:w w:val="105"/>
          <w:sz w:val="19"/>
        </w:rPr>
        <w:t> </w:t>
      </w:r>
      <w:r>
        <w:rPr>
          <w:w w:val="105"/>
          <w:sz w:val="19"/>
        </w:rPr>
        <w:t>(2011).</w:t>
      </w:r>
      <w:r>
        <w:rPr>
          <w:spacing w:val="-12"/>
          <w:w w:val="105"/>
          <w:sz w:val="19"/>
        </w:rPr>
        <w:t> </w:t>
      </w:r>
      <w:r>
        <w:rPr>
          <w:w w:val="105"/>
          <w:sz w:val="19"/>
        </w:rPr>
        <w:t>“El</w:t>
      </w:r>
      <w:r>
        <w:rPr>
          <w:spacing w:val="-13"/>
          <w:w w:val="105"/>
          <w:sz w:val="19"/>
        </w:rPr>
        <w:t> </w:t>
      </w:r>
      <w:r>
        <w:rPr>
          <w:w w:val="105"/>
          <w:sz w:val="19"/>
        </w:rPr>
        <w:t>juego político</w:t>
      </w:r>
      <w:r>
        <w:rPr>
          <w:spacing w:val="-20"/>
          <w:w w:val="105"/>
          <w:sz w:val="19"/>
        </w:rPr>
        <w:t> </w:t>
      </w:r>
      <w:r>
        <w:rPr>
          <w:w w:val="105"/>
          <w:sz w:val="19"/>
        </w:rPr>
        <w:t>en</w:t>
      </w:r>
      <w:r>
        <w:rPr>
          <w:spacing w:val="-20"/>
          <w:w w:val="105"/>
          <w:sz w:val="19"/>
        </w:rPr>
        <w:t> </w:t>
      </w:r>
      <w:r>
        <w:rPr>
          <w:w w:val="105"/>
          <w:sz w:val="19"/>
        </w:rPr>
        <w:t>América</w:t>
      </w:r>
      <w:r>
        <w:rPr>
          <w:spacing w:val="-17"/>
          <w:w w:val="105"/>
          <w:sz w:val="19"/>
        </w:rPr>
        <w:t> </w:t>
      </w:r>
      <w:r>
        <w:rPr>
          <w:w w:val="105"/>
          <w:sz w:val="19"/>
        </w:rPr>
        <w:t>Latina:</w:t>
      </w:r>
      <w:r>
        <w:rPr>
          <w:spacing w:val="-24"/>
          <w:w w:val="105"/>
          <w:sz w:val="19"/>
        </w:rPr>
        <w:t> </w:t>
      </w:r>
      <w:r>
        <w:rPr>
          <w:w w:val="105"/>
          <w:sz w:val="19"/>
        </w:rPr>
        <w:t>¿Cómo</w:t>
      </w:r>
      <w:r>
        <w:rPr>
          <w:spacing w:val="-20"/>
          <w:w w:val="105"/>
          <w:sz w:val="19"/>
        </w:rPr>
        <w:t> </w:t>
      </w:r>
      <w:r>
        <w:rPr>
          <w:w w:val="105"/>
          <w:sz w:val="19"/>
        </w:rPr>
        <w:t>se</w:t>
      </w:r>
      <w:r>
        <w:rPr>
          <w:spacing w:val="-20"/>
          <w:w w:val="105"/>
          <w:sz w:val="19"/>
        </w:rPr>
        <w:t> </w:t>
      </w:r>
      <w:r>
        <w:rPr>
          <w:w w:val="105"/>
          <w:sz w:val="19"/>
        </w:rPr>
        <w:t>deciden</w:t>
      </w:r>
      <w:r>
        <w:rPr>
          <w:spacing w:val="-15"/>
          <w:w w:val="105"/>
          <w:sz w:val="19"/>
        </w:rPr>
        <w:t> </w:t>
      </w:r>
      <w:r>
        <w:rPr>
          <w:w w:val="105"/>
          <w:sz w:val="19"/>
        </w:rPr>
        <w:t>las</w:t>
      </w:r>
      <w:r>
        <w:rPr>
          <w:spacing w:val="-20"/>
          <w:w w:val="105"/>
          <w:sz w:val="19"/>
        </w:rPr>
        <w:t> </w:t>
      </w:r>
      <w:r>
        <w:rPr>
          <w:w w:val="105"/>
          <w:sz w:val="19"/>
        </w:rPr>
        <w:t>políticas</w:t>
      </w:r>
      <w:r>
        <w:rPr>
          <w:spacing w:val="-20"/>
          <w:w w:val="105"/>
          <w:sz w:val="19"/>
        </w:rPr>
        <w:t> </w:t>
      </w:r>
      <w:r>
        <w:rPr>
          <w:w w:val="105"/>
          <w:sz w:val="19"/>
        </w:rPr>
        <w:t>públicas?”.</w:t>
      </w:r>
      <w:r>
        <w:rPr>
          <w:spacing w:val="-20"/>
          <w:w w:val="105"/>
          <w:sz w:val="19"/>
        </w:rPr>
        <w:t> </w:t>
      </w:r>
      <w:r>
        <w:rPr>
          <w:w w:val="105"/>
          <w:sz w:val="19"/>
        </w:rPr>
        <w:t>BID.</w:t>
      </w:r>
    </w:p>
    <w:p>
      <w:pPr>
        <w:spacing w:line="242" w:lineRule="auto" w:before="0"/>
        <w:ind w:left="115" w:right="107" w:firstLine="0"/>
        <w:jc w:val="both"/>
        <w:rPr>
          <w:sz w:val="19"/>
        </w:rPr>
      </w:pPr>
      <w:r>
        <w:rPr>
          <w:b/>
          <w:w w:val="105"/>
          <w:sz w:val="19"/>
        </w:rPr>
        <w:t>Schmelkes, Sylvia</w:t>
      </w:r>
      <w:r>
        <w:rPr>
          <w:w w:val="105"/>
          <w:sz w:val="19"/>
        </w:rPr>
        <w:t>. (1991). “Hacia una mejor calidad de nuestras escuelas”. México, Biblioteca para la actualización del maestro, CONALITEG, SEP</w:t>
      </w:r>
    </w:p>
    <w:p>
      <w:pPr>
        <w:spacing w:line="244" w:lineRule="auto" w:before="5"/>
        <w:ind w:left="115" w:right="106" w:firstLine="0"/>
        <w:jc w:val="both"/>
        <w:rPr>
          <w:sz w:val="19"/>
        </w:rPr>
      </w:pPr>
      <w:r>
        <w:rPr>
          <w:b/>
          <w:w w:val="105"/>
          <w:sz w:val="19"/>
        </w:rPr>
        <w:t>Schmelkes</w:t>
      </w:r>
      <w:r>
        <w:rPr>
          <w:w w:val="105"/>
          <w:sz w:val="19"/>
        </w:rPr>
        <w:t>, Sylvia (coord.). (1993). “La calidad de la educación primaria: Estudio en cinco regiones del Estado de Puebla”. Centro de Estudios Educativos. Instituto Internacional de Planificación Educativa de la UNESCO.</w:t>
      </w:r>
    </w:p>
    <w:p>
      <w:pPr>
        <w:spacing w:line="247" w:lineRule="auto" w:before="3"/>
        <w:ind w:left="115" w:right="102" w:firstLine="0"/>
        <w:jc w:val="both"/>
        <w:rPr>
          <w:sz w:val="19"/>
        </w:rPr>
      </w:pPr>
      <w:r>
        <w:rPr>
          <w:w w:val="105"/>
          <w:sz w:val="19"/>
        </w:rPr>
        <w:t>------------------ (1995). “Hacia una mejor calidad de nuestras escuelas. Biblioteca para la actualización del maestro”. SEP.</w:t>
      </w:r>
    </w:p>
    <w:p>
      <w:pPr>
        <w:spacing w:line="247" w:lineRule="auto" w:before="0"/>
        <w:ind w:left="115" w:right="191" w:firstLine="0"/>
        <w:jc w:val="left"/>
        <w:rPr>
          <w:sz w:val="19"/>
        </w:rPr>
      </w:pPr>
      <w:r>
        <w:rPr>
          <w:w w:val="105"/>
          <w:sz w:val="19"/>
        </w:rPr>
        <w:t>Puede consultarse en</w:t>
      </w:r>
      <w:r>
        <w:rPr>
          <w:i/>
          <w:w w:val="105"/>
          <w:sz w:val="19"/>
        </w:rPr>
        <w:t>: </w:t>
      </w:r>
      <w:hyperlink r:id="rId175">
        <w:r>
          <w:rPr>
            <w:sz w:val="19"/>
          </w:rPr>
          <w:t>http://www.ctascon.com/Hacia%20una%20mejor%20calidad%20de%20las%20Escuelas.pdf</w:t>
        </w:r>
      </w:hyperlink>
    </w:p>
    <w:p>
      <w:pPr>
        <w:spacing w:line="214" w:lineRule="exact" w:before="0"/>
        <w:ind w:left="115" w:right="0" w:firstLine="0"/>
        <w:jc w:val="both"/>
        <w:rPr>
          <w:sz w:val="19"/>
        </w:rPr>
      </w:pPr>
      <w:r>
        <w:rPr>
          <w:color w:val="212121"/>
          <w:w w:val="105"/>
          <w:sz w:val="19"/>
        </w:rPr>
        <w:t>------------------. (2008). “Calidad de la educación y gestión escolar”.</w:t>
      </w:r>
    </w:p>
    <w:p>
      <w:pPr>
        <w:spacing w:before="7"/>
        <w:ind w:left="115" w:right="0" w:firstLine="0"/>
        <w:jc w:val="both"/>
        <w:rPr>
          <w:sz w:val="19"/>
        </w:rPr>
      </w:pPr>
      <w:r>
        <w:rPr>
          <w:w w:val="105"/>
          <w:sz w:val="19"/>
        </w:rPr>
        <w:t>------------------- (2004). “Educación intercultural: reflexiones a la luz de experiencias recientes”. En</w:t>
      </w:r>
    </w:p>
    <w:p>
      <w:pPr>
        <w:spacing w:line="242" w:lineRule="auto" w:before="7"/>
        <w:ind w:left="115" w:right="114" w:firstLine="0"/>
        <w:jc w:val="both"/>
        <w:rPr>
          <w:sz w:val="19"/>
        </w:rPr>
      </w:pPr>
      <w:r>
        <w:rPr>
          <w:w w:val="105"/>
          <w:sz w:val="19"/>
        </w:rPr>
        <w:t>S. Schmelkes (Ed.). ”La formación en valores en educación básica” (Serie: Biblioteca para la actualización del maestro, pp. 141-157). México: Secretaría de Educación Pública.</w:t>
      </w:r>
    </w:p>
    <w:p>
      <w:pPr>
        <w:spacing w:line="247" w:lineRule="auto" w:before="0"/>
        <w:ind w:left="115" w:right="111" w:firstLine="0"/>
        <w:jc w:val="both"/>
        <w:rPr>
          <w:sz w:val="19"/>
        </w:rPr>
      </w:pPr>
      <w:r>
        <w:rPr>
          <w:b/>
          <w:w w:val="105"/>
          <w:sz w:val="19"/>
        </w:rPr>
        <w:t>Schmelkes,</w:t>
      </w:r>
      <w:r>
        <w:rPr>
          <w:b/>
          <w:spacing w:val="-6"/>
          <w:w w:val="105"/>
          <w:sz w:val="19"/>
        </w:rPr>
        <w:t> </w:t>
      </w:r>
      <w:r>
        <w:rPr>
          <w:b/>
          <w:w w:val="105"/>
          <w:sz w:val="19"/>
        </w:rPr>
        <w:t>S,</w:t>
      </w:r>
      <w:r>
        <w:rPr>
          <w:b/>
          <w:spacing w:val="-2"/>
          <w:w w:val="105"/>
          <w:sz w:val="19"/>
        </w:rPr>
        <w:t> </w:t>
      </w:r>
      <w:r>
        <w:rPr>
          <w:b/>
          <w:w w:val="105"/>
          <w:sz w:val="19"/>
        </w:rPr>
        <w:t>y</w:t>
      </w:r>
      <w:r>
        <w:rPr>
          <w:b/>
          <w:spacing w:val="-4"/>
          <w:w w:val="105"/>
          <w:sz w:val="19"/>
        </w:rPr>
        <w:t> </w:t>
      </w:r>
      <w:r>
        <w:rPr>
          <w:b/>
          <w:w w:val="105"/>
          <w:sz w:val="19"/>
        </w:rPr>
        <w:t>C.</w:t>
      </w:r>
      <w:r>
        <w:rPr>
          <w:b/>
          <w:spacing w:val="-6"/>
          <w:w w:val="105"/>
          <w:sz w:val="19"/>
        </w:rPr>
        <w:t> </w:t>
      </w:r>
      <w:r>
        <w:rPr>
          <w:b/>
          <w:w w:val="105"/>
          <w:sz w:val="19"/>
        </w:rPr>
        <w:t>Mancera </w:t>
      </w:r>
      <w:r>
        <w:rPr>
          <w:w w:val="105"/>
          <w:sz w:val="19"/>
        </w:rPr>
        <w:t>(2010).</w:t>
      </w:r>
      <w:r>
        <w:rPr>
          <w:spacing w:val="-6"/>
          <w:w w:val="105"/>
          <w:sz w:val="19"/>
        </w:rPr>
        <w:t> </w:t>
      </w:r>
      <w:r>
        <w:rPr>
          <w:i/>
          <w:w w:val="105"/>
          <w:sz w:val="19"/>
        </w:rPr>
        <w:t>Specific</w:t>
      </w:r>
      <w:r>
        <w:rPr>
          <w:i/>
          <w:spacing w:val="1"/>
          <w:w w:val="105"/>
          <w:sz w:val="19"/>
        </w:rPr>
        <w:t> </w:t>
      </w:r>
      <w:r>
        <w:rPr>
          <w:i/>
          <w:w w:val="105"/>
          <w:sz w:val="19"/>
        </w:rPr>
        <w:t>Policy</w:t>
      </w:r>
      <w:r>
        <w:rPr>
          <w:i/>
          <w:spacing w:val="-3"/>
          <w:w w:val="105"/>
          <w:sz w:val="19"/>
        </w:rPr>
        <w:t> </w:t>
      </w:r>
      <w:r>
        <w:rPr>
          <w:i/>
          <w:w w:val="105"/>
          <w:sz w:val="19"/>
        </w:rPr>
        <w:t>Recommendations</w:t>
      </w:r>
      <w:r>
        <w:rPr>
          <w:i/>
          <w:spacing w:val="-7"/>
          <w:w w:val="105"/>
          <w:sz w:val="19"/>
        </w:rPr>
        <w:t> </w:t>
      </w:r>
      <w:r>
        <w:rPr>
          <w:i/>
          <w:w w:val="105"/>
          <w:sz w:val="19"/>
        </w:rPr>
        <w:t>on the</w:t>
      </w:r>
      <w:r>
        <w:rPr>
          <w:i/>
          <w:spacing w:val="-4"/>
          <w:w w:val="105"/>
          <w:sz w:val="19"/>
        </w:rPr>
        <w:t> </w:t>
      </w:r>
      <w:r>
        <w:rPr>
          <w:i/>
          <w:w w:val="105"/>
          <w:sz w:val="19"/>
        </w:rPr>
        <w:t>Development</w:t>
      </w:r>
      <w:r>
        <w:rPr>
          <w:i/>
          <w:spacing w:val="-7"/>
          <w:w w:val="105"/>
          <w:sz w:val="19"/>
        </w:rPr>
        <w:t> </w:t>
      </w:r>
      <w:r>
        <w:rPr>
          <w:i/>
          <w:spacing w:val="3"/>
          <w:w w:val="105"/>
          <w:sz w:val="19"/>
        </w:rPr>
        <w:t>of</w:t>
      </w:r>
      <w:r>
        <w:rPr>
          <w:i/>
          <w:spacing w:val="-7"/>
          <w:w w:val="105"/>
          <w:sz w:val="19"/>
        </w:rPr>
        <w:t> </w:t>
      </w:r>
      <w:r>
        <w:rPr>
          <w:i/>
          <w:w w:val="105"/>
          <w:sz w:val="19"/>
        </w:rPr>
        <w:t>a </w:t>
      </w:r>
      <w:r>
        <w:rPr>
          <w:i/>
          <w:w w:val="105"/>
          <w:sz w:val="19"/>
        </w:rPr>
        <w:t>Comprehensive</w:t>
      </w:r>
      <w:r>
        <w:rPr>
          <w:i/>
          <w:spacing w:val="-32"/>
          <w:w w:val="105"/>
          <w:sz w:val="19"/>
        </w:rPr>
        <w:t> </w:t>
      </w:r>
      <w:r>
        <w:rPr>
          <w:i/>
          <w:w w:val="105"/>
          <w:sz w:val="19"/>
        </w:rPr>
        <w:t>In-Service</w:t>
      </w:r>
      <w:r>
        <w:rPr>
          <w:i/>
          <w:spacing w:val="-32"/>
          <w:w w:val="105"/>
          <w:sz w:val="19"/>
        </w:rPr>
        <w:t> </w:t>
      </w:r>
      <w:r>
        <w:rPr>
          <w:i/>
          <w:w w:val="105"/>
          <w:sz w:val="19"/>
        </w:rPr>
        <w:t>Teacher</w:t>
      </w:r>
      <w:r>
        <w:rPr>
          <w:i/>
          <w:spacing w:val="-31"/>
          <w:w w:val="105"/>
          <w:sz w:val="19"/>
        </w:rPr>
        <w:t> </w:t>
      </w:r>
      <w:r>
        <w:rPr>
          <w:i/>
          <w:w w:val="105"/>
          <w:sz w:val="19"/>
        </w:rPr>
        <w:t>Evaluation</w:t>
      </w:r>
      <w:r>
        <w:rPr>
          <w:i/>
          <w:spacing w:val="-32"/>
          <w:w w:val="105"/>
          <w:sz w:val="19"/>
        </w:rPr>
        <w:t> </w:t>
      </w:r>
      <w:r>
        <w:rPr>
          <w:i/>
          <w:w w:val="105"/>
          <w:sz w:val="19"/>
        </w:rPr>
        <w:t>Framework</w:t>
      </w:r>
      <w:r>
        <w:rPr>
          <w:i/>
          <w:spacing w:val="-30"/>
          <w:w w:val="105"/>
          <w:sz w:val="19"/>
        </w:rPr>
        <w:t> </w:t>
      </w:r>
      <w:r>
        <w:rPr>
          <w:w w:val="105"/>
          <w:sz w:val="19"/>
        </w:rPr>
        <w:t>París.</w:t>
      </w:r>
      <w:r>
        <w:rPr>
          <w:spacing w:val="-34"/>
          <w:w w:val="105"/>
          <w:sz w:val="19"/>
        </w:rPr>
        <w:t> </w:t>
      </w:r>
      <w:r>
        <w:rPr>
          <w:w w:val="105"/>
          <w:sz w:val="19"/>
        </w:rPr>
        <w:t>OECD.</w:t>
      </w:r>
    </w:p>
    <w:p>
      <w:pPr>
        <w:spacing w:line="247" w:lineRule="auto" w:before="0"/>
        <w:ind w:left="115" w:right="106" w:firstLine="0"/>
        <w:jc w:val="both"/>
        <w:rPr>
          <w:sz w:val="19"/>
        </w:rPr>
      </w:pPr>
      <w:r>
        <w:rPr>
          <w:b/>
          <w:w w:val="105"/>
          <w:sz w:val="19"/>
        </w:rPr>
        <w:t>Seibold</w:t>
      </w:r>
      <w:r>
        <w:rPr>
          <w:w w:val="105"/>
          <w:sz w:val="19"/>
        </w:rPr>
        <w:t>, Jorge R. (2000). </w:t>
      </w:r>
      <w:r>
        <w:rPr>
          <w:spacing w:val="-3"/>
          <w:w w:val="105"/>
          <w:sz w:val="19"/>
        </w:rPr>
        <w:t>“La </w:t>
      </w:r>
      <w:r>
        <w:rPr>
          <w:w w:val="105"/>
          <w:sz w:val="19"/>
        </w:rPr>
        <w:t>calidad integral en educación. Reflexiones sobre un concepto de calidad</w:t>
      </w:r>
      <w:r>
        <w:rPr>
          <w:spacing w:val="-7"/>
          <w:w w:val="105"/>
          <w:sz w:val="19"/>
        </w:rPr>
        <w:t> </w:t>
      </w:r>
      <w:r>
        <w:rPr>
          <w:w w:val="105"/>
          <w:sz w:val="19"/>
        </w:rPr>
        <w:t>educativa</w:t>
      </w:r>
      <w:r>
        <w:rPr>
          <w:spacing w:val="-4"/>
          <w:w w:val="105"/>
          <w:sz w:val="19"/>
        </w:rPr>
        <w:t> </w:t>
      </w:r>
      <w:r>
        <w:rPr>
          <w:w w:val="105"/>
          <w:sz w:val="19"/>
        </w:rPr>
        <w:t>que</w:t>
      </w:r>
      <w:r>
        <w:rPr>
          <w:spacing w:val="-4"/>
          <w:w w:val="105"/>
          <w:sz w:val="19"/>
        </w:rPr>
        <w:t> </w:t>
      </w:r>
      <w:r>
        <w:rPr>
          <w:w w:val="105"/>
          <w:sz w:val="19"/>
        </w:rPr>
        <w:t>integre</w:t>
      </w:r>
      <w:r>
        <w:rPr>
          <w:spacing w:val="-4"/>
          <w:w w:val="105"/>
          <w:sz w:val="19"/>
        </w:rPr>
        <w:t> </w:t>
      </w:r>
      <w:r>
        <w:rPr>
          <w:w w:val="105"/>
          <w:sz w:val="19"/>
        </w:rPr>
        <w:t>valores</w:t>
      </w:r>
      <w:r>
        <w:rPr>
          <w:spacing w:val="-7"/>
          <w:w w:val="105"/>
          <w:sz w:val="19"/>
        </w:rPr>
        <w:t> </w:t>
      </w:r>
      <w:r>
        <w:rPr>
          <w:w w:val="105"/>
          <w:sz w:val="19"/>
        </w:rPr>
        <w:t>y</w:t>
      </w:r>
      <w:r>
        <w:rPr>
          <w:spacing w:val="-7"/>
          <w:w w:val="105"/>
          <w:sz w:val="19"/>
        </w:rPr>
        <w:t> </w:t>
      </w:r>
      <w:r>
        <w:rPr>
          <w:w w:val="105"/>
          <w:sz w:val="19"/>
        </w:rPr>
        <w:t>equidad</w:t>
      </w:r>
      <w:r>
        <w:rPr>
          <w:spacing w:val="-7"/>
          <w:w w:val="105"/>
          <w:sz w:val="19"/>
        </w:rPr>
        <w:t> </w:t>
      </w:r>
      <w:r>
        <w:rPr>
          <w:w w:val="105"/>
          <w:sz w:val="19"/>
        </w:rPr>
        <w:t>educativa”.</w:t>
      </w:r>
      <w:r>
        <w:rPr>
          <w:spacing w:val="-22"/>
          <w:w w:val="105"/>
          <w:sz w:val="19"/>
        </w:rPr>
        <w:t> </w:t>
      </w:r>
      <w:r>
        <w:rPr>
          <w:w w:val="105"/>
          <w:sz w:val="19"/>
        </w:rPr>
        <w:t>Argentina.</w:t>
      </w:r>
      <w:r>
        <w:rPr>
          <w:spacing w:val="-10"/>
          <w:w w:val="105"/>
          <w:sz w:val="19"/>
        </w:rPr>
        <w:t> </w:t>
      </w:r>
      <w:r>
        <w:rPr>
          <w:w w:val="105"/>
          <w:sz w:val="19"/>
        </w:rPr>
        <w:t>Revista</w:t>
      </w:r>
      <w:r>
        <w:rPr>
          <w:spacing w:val="-5"/>
          <w:w w:val="105"/>
          <w:sz w:val="19"/>
        </w:rPr>
        <w:t> </w:t>
      </w:r>
      <w:r>
        <w:rPr>
          <w:w w:val="105"/>
          <w:sz w:val="19"/>
        </w:rPr>
        <w:t>Iberoamericana</w:t>
      </w:r>
      <w:r>
        <w:rPr>
          <w:spacing w:val="-4"/>
          <w:w w:val="105"/>
          <w:sz w:val="19"/>
        </w:rPr>
        <w:t> </w:t>
      </w:r>
      <w:r>
        <w:rPr>
          <w:w w:val="105"/>
          <w:sz w:val="19"/>
        </w:rPr>
        <w:t>de Educación.</w:t>
      </w:r>
      <w:r>
        <w:rPr>
          <w:spacing w:val="-25"/>
          <w:w w:val="105"/>
          <w:sz w:val="19"/>
        </w:rPr>
        <w:t> </w:t>
      </w:r>
      <w:r>
        <w:rPr>
          <w:w w:val="105"/>
          <w:sz w:val="19"/>
        </w:rPr>
        <w:t>Año/Vol.</w:t>
      </w:r>
      <w:r>
        <w:rPr>
          <w:spacing w:val="-29"/>
          <w:w w:val="105"/>
          <w:sz w:val="19"/>
        </w:rPr>
        <w:t> </w:t>
      </w:r>
      <w:r>
        <w:rPr>
          <w:w w:val="105"/>
          <w:sz w:val="19"/>
        </w:rPr>
        <w:t>023.</w:t>
      </w:r>
      <w:r>
        <w:rPr>
          <w:spacing w:val="-25"/>
          <w:w w:val="105"/>
          <w:sz w:val="19"/>
        </w:rPr>
        <w:t> </w:t>
      </w:r>
      <w:r>
        <w:rPr>
          <w:w w:val="105"/>
          <w:sz w:val="19"/>
        </w:rPr>
        <w:t>ISSN</w:t>
      </w:r>
      <w:r>
        <w:rPr>
          <w:spacing w:val="-25"/>
          <w:w w:val="105"/>
          <w:sz w:val="19"/>
        </w:rPr>
        <w:t> </w:t>
      </w:r>
      <w:r>
        <w:rPr>
          <w:w w:val="105"/>
          <w:sz w:val="19"/>
        </w:rPr>
        <w:t>versión</w:t>
      </w:r>
      <w:r>
        <w:rPr>
          <w:spacing w:val="-25"/>
          <w:w w:val="105"/>
          <w:sz w:val="19"/>
        </w:rPr>
        <w:t> </w:t>
      </w:r>
      <w:r>
        <w:rPr>
          <w:w w:val="105"/>
          <w:sz w:val="19"/>
        </w:rPr>
        <w:t>digital:</w:t>
      </w:r>
      <w:r>
        <w:rPr>
          <w:spacing w:val="-29"/>
          <w:w w:val="105"/>
          <w:sz w:val="19"/>
        </w:rPr>
        <w:t> </w:t>
      </w:r>
      <w:r>
        <w:rPr>
          <w:w w:val="105"/>
          <w:sz w:val="19"/>
        </w:rPr>
        <w:t>1681-5653.</w:t>
      </w:r>
      <w:r>
        <w:rPr>
          <w:spacing w:val="-25"/>
          <w:w w:val="105"/>
          <w:sz w:val="19"/>
        </w:rPr>
        <w:t> </w:t>
      </w:r>
      <w:r>
        <w:rPr>
          <w:w w:val="105"/>
          <w:sz w:val="19"/>
        </w:rPr>
        <w:t>REDALyC.</w:t>
      </w:r>
    </w:p>
    <w:p>
      <w:pPr>
        <w:spacing w:line="242" w:lineRule="auto" w:before="0"/>
        <w:ind w:left="115" w:right="104" w:firstLine="0"/>
        <w:jc w:val="both"/>
        <w:rPr>
          <w:sz w:val="19"/>
        </w:rPr>
      </w:pPr>
      <w:r>
        <w:rPr>
          <w:b/>
          <w:w w:val="105"/>
          <w:sz w:val="19"/>
        </w:rPr>
        <w:t>Secretaria de Educación Pública </w:t>
      </w:r>
      <w:r>
        <w:rPr>
          <w:w w:val="105"/>
          <w:sz w:val="19"/>
        </w:rPr>
        <w:t>(1992). “Acuerdo Nacional para la Modernización de la Educación Básica”, México.</w:t>
      </w:r>
    </w:p>
    <w:p>
      <w:pPr>
        <w:tabs>
          <w:tab w:pos="2237" w:val="left" w:leader="none"/>
          <w:tab w:pos="4476" w:val="left" w:leader="none"/>
          <w:tab w:pos="6239" w:val="left" w:leader="none"/>
          <w:tab w:pos="8446" w:val="left" w:leader="none"/>
        </w:tabs>
        <w:spacing w:line="244" w:lineRule="auto" w:before="0"/>
        <w:ind w:left="115" w:right="103" w:firstLine="0"/>
        <w:jc w:val="both"/>
        <w:rPr>
          <w:sz w:val="19"/>
        </w:rPr>
      </w:pPr>
      <w:r>
        <w:rPr>
          <w:w w:val="105"/>
          <w:sz w:val="19"/>
        </w:rPr>
        <w:t>----------------. “Acuerdo 384” por </w:t>
      </w:r>
      <w:r>
        <w:rPr>
          <w:spacing w:val="2"/>
          <w:w w:val="105"/>
          <w:sz w:val="19"/>
        </w:rPr>
        <w:t>el </w:t>
      </w:r>
      <w:r>
        <w:rPr>
          <w:w w:val="105"/>
          <w:sz w:val="19"/>
        </w:rPr>
        <w:t>que </w:t>
      </w:r>
      <w:r>
        <w:rPr>
          <w:spacing w:val="-4"/>
          <w:w w:val="105"/>
          <w:sz w:val="19"/>
        </w:rPr>
        <w:t>se </w:t>
      </w:r>
      <w:r>
        <w:rPr>
          <w:w w:val="105"/>
          <w:sz w:val="19"/>
        </w:rPr>
        <w:t>establece el nuevo </w:t>
      </w:r>
      <w:r>
        <w:rPr>
          <w:spacing w:val="-3"/>
          <w:w w:val="105"/>
          <w:sz w:val="19"/>
        </w:rPr>
        <w:t>Plan </w:t>
      </w:r>
      <w:r>
        <w:rPr>
          <w:w w:val="105"/>
          <w:sz w:val="19"/>
        </w:rPr>
        <w:t>y Programas de Estudio para Educación</w:t>
        <w:tab/>
        <w:t>Secundaria.</w:t>
        <w:tab/>
      </w:r>
      <w:r>
        <w:rPr>
          <w:spacing w:val="-3"/>
          <w:w w:val="105"/>
          <w:sz w:val="19"/>
        </w:rPr>
        <w:t>Puede</w:t>
        <w:tab/>
      </w:r>
      <w:r>
        <w:rPr>
          <w:w w:val="105"/>
          <w:sz w:val="19"/>
        </w:rPr>
        <w:t>consultarse</w:t>
        <w:tab/>
        <w:t>en: basica.sep.gob.mx/reformaintegral/sitio/pdf/.../Acdo384.pdf</w:t>
      </w:r>
    </w:p>
    <w:p>
      <w:pPr>
        <w:spacing w:line="247" w:lineRule="auto" w:before="3"/>
        <w:ind w:left="115" w:right="100" w:firstLine="0"/>
        <w:jc w:val="both"/>
        <w:rPr>
          <w:sz w:val="19"/>
        </w:rPr>
      </w:pPr>
      <w:r>
        <w:rPr>
          <w:b/>
          <w:w w:val="105"/>
          <w:sz w:val="19"/>
        </w:rPr>
        <w:t>------------------</w:t>
      </w:r>
      <w:r>
        <w:rPr>
          <w:w w:val="105"/>
          <w:sz w:val="19"/>
        </w:rPr>
        <w:t>. (1996). “Memoria del seminario internacional de expertos en indicadores educativos”. Manzanillo, Colima, del 7 al 9 de febrero de 1996. Dirección General de Planeación, Programación y Presupuesto. Subsecretaría de Planeación y Coordinación.</w:t>
      </w:r>
    </w:p>
    <w:p>
      <w:pPr>
        <w:spacing w:line="247" w:lineRule="auto" w:before="0"/>
        <w:ind w:left="115" w:right="107" w:firstLine="0"/>
        <w:jc w:val="both"/>
        <w:rPr>
          <w:sz w:val="19"/>
        </w:rPr>
      </w:pPr>
      <w:r>
        <w:rPr>
          <w:w w:val="105"/>
          <w:sz w:val="19"/>
        </w:rPr>
        <w:t>-------------------. (2001). “Programa Nacional de Educación 2001-2006. Por un enfoque de buena calidad para todos, un enfoque educativo para el siglo XXI”. SEP, México.</w:t>
      </w:r>
    </w:p>
    <w:p>
      <w:pPr>
        <w:spacing w:line="247" w:lineRule="auto" w:before="0"/>
        <w:ind w:left="115" w:right="107" w:firstLine="0"/>
        <w:jc w:val="both"/>
        <w:rPr>
          <w:sz w:val="19"/>
        </w:rPr>
      </w:pPr>
      <w:r>
        <w:rPr>
          <w:w w:val="105"/>
          <w:sz w:val="19"/>
        </w:rPr>
        <w:t>-------------------. (2002). «La experiencia de la Dirección General de Evaluación de la Educación Básica y Normal: 30 Años de Medición del Logro Educativo.» México, D. F.: SEP.</w:t>
      </w:r>
    </w:p>
    <w:p>
      <w:pPr>
        <w:spacing w:line="247" w:lineRule="auto" w:before="0"/>
        <w:ind w:left="115" w:right="98" w:firstLine="0"/>
        <w:jc w:val="both"/>
        <w:rPr>
          <w:sz w:val="19"/>
        </w:rPr>
      </w:pPr>
      <w:r>
        <w:rPr>
          <w:w w:val="105"/>
          <w:sz w:val="19"/>
        </w:rPr>
        <w:t>SEP/INEE (2006). “Sistema de indicadores educativos de los Estados Unidos Mexicanos”. Conjunto básico para el ciclo escolar 2004-2005. México, D.F.</w:t>
      </w:r>
    </w:p>
    <w:p>
      <w:pPr>
        <w:spacing w:line="214" w:lineRule="exact" w:before="0"/>
        <w:ind w:left="115" w:right="0" w:firstLine="0"/>
        <w:jc w:val="both"/>
        <w:rPr>
          <w:sz w:val="19"/>
        </w:rPr>
      </w:pPr>
      <w:r>
        <w:rPr>
          <w:w w:val="105"/>
          <w:sz w:val="19"/>
        </w:rPr>
        <w:t>--------------. (s/f). “Anteproyecto del Sistema Nacional de Indicadores Educativos”. (Mimeo).</w:t>
      </w:r>
    </w:p>
    <w:p>
      <w:pPr>
        <w:spacing w:before="2"/>
        <w:ind w:left="115" w:right="0" w:firstLine="0"/>
        <w:jc w:val="both"/>
        <w:rPr>
          <w:sz w:val="19"/>
        </w:rPr>
      </w:pPr>
      <w:r>
        <w:rPr>
          <w:w w:val="105"/>
          <w:sz w:val="19"/>
        </w:rPr>
        <w:t>--------------. (2007). “Programa Sectorial de Educación 2007-2012”. México.</w:t>
      </w:r>
    </w:p>
    <w:p>
      <w:pPr>
        <w:spacing w:before="7"/>
        <w:ind w:left="115" w:right="0" w:firstLine="0"/>
        <w:jc w:val="both"/>
        <w:rPr>
          <w:sz w:val="19"/>
        </w:rPr>
      </w:pPr>
      <w:r>
        <w:rPr>
          <w:b/>
          <w:w w:val="105"/>
          <w:sz w:val="19"/>
        </w:rPr>
        <w:t>Serna, </w:t>
      </w:r>
      <w:r>
        <w:rPr>
          <w:w w:val="105"/>
          <w:sz w:val="19"/>
        </w:rPr>
        <w:t>José María, (2001). “Federalismo y sistemas de distribución de competencias legislativas”,</w:t>
      </w:r>
    </w:p>
    <w:p>
      <w:pPr>
        <w:spacing w:before="2"/>
        <w:ind w:left="115" w:right="0" w:firstLine="0"/>
        <w:jc w:val="both"/>
        <w:rPr>
          <w:sz w:val="19"/>
        </w:rPr>
      </w:pPr>
      <w:r>
        <w:rPr>
          <w:i/>
          <w:w w:val="105"/>
          <w:sz w:val="19"/>
        </w:rPr>
        <w:t>Derecho constitucional</w:t>
      </w:r>
      <w:r>
        <w:rPr>
          <w:w w:val="105"/>
          <w:sz w:val="19"/>
        </w:rPr>
        <w:t>, México, UNAM, núm. 12, abril.</w:t>
      </w:r>
    </w:p>
    <w:p>
      <w:pPr>
        <w:spacing w:line="242" w:lineRule="auto" w:before="12"/>
        <w:ind w:left="115" w:right="104" w:firstLine="0"/>
        <w:jc w:val="both"/>
        <w:rPr>
          <w:sz w:val="19"/>
        </w:rPr>
      </w:pPr>
      <w:r>
        <w:rPr>
          <w:b/>
          <w:w w:val="105"/>
          <w:sz w:val="19"/>
        </w:rPr>
        <w:t>Serna</w:t>
      </w:r>
      <w:r>
        <w:rPr>
          <w:w w:val="105"/>
          <w:sz w:val="19"/>
        </w:rPr>
        <w:t>,</w:t>
      </w:r>
      <w:r>
        <w:rPr>
          <w:spacing w:val="-13"/>
          <w:w w:val="105"/>
          <w:sz w:val="19"/>
        </w:rPr>
        <w:t> </w:t>
      </w:r>
      <w:r>
        <w:rPr>
          <w:w w:val="105"/>
          <w:sz w:val="19"/>
        </w:rPr>
        <w:t>H.</w:t>
      </w:r>
      <w:r>
        <w:rPr>
          <w:spacing w:val="-16"/>
          <w:w w:val="105"/>
          <w:sz w:val="19"/>
        </w:rPr>
        <w:t> </w:t>
      </w:r>
      <w:r>
        <w:rPr>
          <w:w w:val="105"/>
          <w:sz w:val="19"/>
        </w:rPr>
        <w:t>(2001).</w:t>
      </w:r>
      <w:r>
        <w:rPr>
          <w:spacing w:val="-13"/>
          <w:w w:val="105"/>
          <w:sz w:val="19"/>
        </w:rPr>
        <w:t> </w:t>
      </w:r>
      <w:r>
        <w:rPr>
          <w:w w:val="105"/>
          <w:sz w:val="19"/>
        </w:rPr>
        <w:t>“Índices</w:t>
      </w:r>
      <w:r>
        <w:rPr>
          <w:spacing w:val="-13"/>
          <w:w w:val="105"/>
          <w:sz w:val="19"/>
        </w:rPr>
        <w:t> </w:t>
      </w:r>
      <w:r>
        <w:rPr>
          <w:w w:val="105"/>
          <w:sz w:val="19"/>
        </w:rPr>
        <w:t>de</w:t>
      </w:r>
      <w:r>
        <w:rPr>
          <w:spacing w:val="-10"/>
          <w:w w:val="105"/>
          <w:sz w:val="19"/>
        </w:rPr>
        <w:t> </w:t>
      </w:r>
      <w:r>
        <w:rPr>
          <w:w w:val="105"/>
          <w:sz w:val="19"/>
        </w:rPr>
        <w:t>Gestión.</w:t>
      </w:r>
      <w:r>
        <w:rPr>
          <w:spacing w:val="-16"/>
          <w:w w:val="105"/>
          <w:sz w:val="19"/>
        </w:rPr>
        <w:t> </w:t>
      </w:r>
      <w:r>
        <w:rPr>
          <w:w w:val="105"/>
          <w:sz w:val="19"/>
        </w:rPr>
        <w:t>Como</w:t>
      </w:r>
      <w:r>
        <w:rPr>
          <w:spacing w:val="-18"/>
          <w:w w:val="105"/>
          <w:sz w:val="19"/>
        </w:rPr>
        <w:t> </w:t>
      </w:r>
      <w:r>
        <w:rPr>
          <w:w w:val="105"/>
          <w:sz w:val="19"/>
        </w:rPr>
        <w:t>Diseñar</w:t>
      </w:r>
      <w:r>
        <w:rPr>
          <w:spacing w:val="-17"/>
          <w:w w:val="105"/>
          <w:sz w:val="19"/>
        </w:rPr>
        <w:t> </w:t>
      </w:r>
      <w:r>
        <w:rPr>
          <w:w w:val="105"/>
          <w:sz w:val="19"/>
        </w:rPr>
        <w:t>un</w:t>
      </w:r>
      <w:r>
        <w:rPr>
          <w:spacing w:val="-13"/>
          <w:w w:val="105"/>
          <w:sz w:val="19"/>
        </w:rPr>
        <w:t> </w:t>
      </w:r>
      <w:r>
        <w:rPr>
          <w:w w:val="105"/>
          <w:sz w:val="19"/>
        </w:rPr>
        <w:t>Sistema</w:t>
      </w:r>
      <w:r>
        <w:rPr>
          <w:spacing w:val="-13"/>
          <w:w w:val="105"/>
          <w:sz w:val="19"/>
        </w:rPr>
        <w:t> </w:t>
      </w:r>
      <w:r>
        <w:rPr>
          <w:w w:val="105"/>
          <w:sz w:val="19"/>
        </w:rPr>
        <w:t>Integral</w:t>
      </w:r>
      <w:r>
        <w:rPr>
          <w:spacing w:val="-13"/>
          <w:w w:val="105"/>
          <w:sz w:val="19"/>
        </w:rPr>
        <w:t> </w:t>
      </w:r>
      <w:r>
        <w:rPr>
          <w:w w:val="105"/>
          <w:sz w:val="19"/>
        </w:rPr>
        <w:t>de</w:t>
      </w:r>
      <w:r>
        <w:rPr>
          <w:spacing w:val="-13"/>
          <w:w w:val="105"/>
          <w:sz w:val="19"/>
        </w:rPr>
        <w:t> </w:t>
      </w:r>
      <w:r>
        <w:rPr>
          <w:w w:val="105"/>
          <w:sz w:val="19"/>
        </w:rPr>
        <w:t>Medición</w:t>
      </w:r>
      <w:r>
        <w:rPr>
          <w:spacing w:val="-13"/>
          <w:w w:val="105"/>
          <w:sz w:val="19"/>
        </w:rPr>
        <w:t> </w:t>
      </w:r>
      <w:r>
        <w:rPr>
          <w:w w:val="105"/>
          <w:sz w:val="19"/>
        </w:rPr>
        <w:t>de</w:t>
      </w:r>
      <w:r>
        <w:rPr>
          <w:spacing w:val="-13"/>
          <w:w w:val="105"/>
          <w:sz w:val="19"/>
        </w:rPr>
        <w:t> </w:t>
      </w:r>
      <w:r>
        <w:rPr>
          <w:w w:val="105"/>
          <w:sz w:val="19"/>
        </w:rPr>
        <w:t>Gestión”. Santa</w:t>
      </w:r>
      <w:r>
        <w:rPr>
          <w:spacing w:val="-17"/>
          <w:w w:val="105"/>
          <w:sz w:val="19"/>
        </w:rPr>
        <w:t> </w:t>
      </w:r>
      <w:r>
        <w:rPr>
          <w:w w:val="105"/>
          <w:sz w:val="19"/>
        </w:rPr>
        <w:t>Fé</w:t>
      </w:r>
      <w:r>
        <w:rPr>
          <w:spacing w:val="-17"/>
          <w:w w:val="105"/>
          <w:sz w:val="19"/>
        </w:rPr>
        <w:t> </w:t>
      </w:r>
      <w:r>
        <w:rPr>
          <w:w w:val="105"/>
          <w:sz w:val="19"/>
        </w:rPr>
        <w:t>de</w:t>
      </w:r>
      <w:r>
        <w:rPr>
          <w:spacing w:val="-17"/>
          <w:w w:val="105"/>
          <w:sz w:val="19"/>
        </w:rPr>
        <w:t> </w:t>
      </w:r>
      <w:r>
        <w:rPr>
          <w:w w:val="105"/>
          <w:sz w:val="19"/>
        </w:rPr>
        <w:t>Bogotá:</w:t>
      </w:r>
      <w:r>
        <w:rPr>
          <w:spacing w:val="-25"/>
          <w:w w:val="105"/>
          <w:sz w:val="19"/>
        </w:rPr>
        <w:t> </w:t>
      </w:r>
      <w:r>
        <w:rPr>
          <w:w w:val="105"/>
          <w:sz w:val="19"/>
        </w:rPr>
        <w:t>3R</w:t>
      </w:r>
      <w:r>
        <w:rPr>
          <w:spacing w:val="-16"/>
          <w:w w:val="105"/>
          <w:sz w:val="19"/>
        </w:rPr>
        <w:t> </w:t>
      </w:r>
      <w:r>
        <w:rPr>
          <w:w w:val="105"/>
          <w:sz w:val="19"/>
        </w:rPr>
        <w:t>Editores.</w:t>
      </w:r>
    </w:p>
    <w:p>
      <w:pPr>
        <w:spacing w:line="247" w:lineRule="auto" w:before="5"/>
        <w:ind w:left="115" w:right="99" w:firstLine="0"/>
        <w:jc w:val="both"/>
        <w:rPr>
          <w:sz w:val="19"/>
        </w:rPr>
      </w:pPr>
      <w:r>
        <w:rPr>
          <w:b/>
          <w:w w:val="105"/>
          <w:sz w:val="19"/>
        </w:rPr>
        <w:t>Shavelson</w:t>
      </w:r>
      <w:r>
        <w:rPr>
          <w:w w:val="105"/>
          <w:sz w:val="19"/>
        </w:rPr>
        <w:t>,</w:t>
      </w:r>
      <w:r>
        <w:rPr>
          <w:spacing w:val="-8"/>
          <w:w w:val="105"/>
          <w:sz w:val="19"/>
        </w:rPr>
        <w:t> </w:t>
      </w:r>
      <w:r>
        <w:rPr>
          <w:w w:val="105"/>
          <w:sz w:val="19"/>
        </w:rPr>
        <w:t>Richard;</w:t>
      </w:r>
      <w:r>
        <w:rPr>
          <w:spacing w:val="-8"/>
          <w:w w:val="105"/>
          <w:sz w:val="19"/>
        </w:rPr>
        <w:t> </w:t>
      </w:r>
      <w:r>
        <w:rPr>
          <w:w w:val="105"/>
          <w:sz w:val="19"/>
        </w:rPr>
        <w:t>McDonnell</w:t>
      </w:r>
      <w:r>
        <w:rPr>
          <w:spacing w:val="-7"/>
          <w:w w:val="105"/>
          <w:sz w:val="19"/>
        </w:rPr>
        <w:t> </w:t>
      </w:r>
      <w:r>
        <w:rPr>
          <w:w w:val="105"/>
          <w:sz w:val="19"/>
        </w:rPr>
        <w:t>J.;</w:t>
      </w:r>
      <w:r>
        <w:rPr>
          <w:spacing w:val="-5"/>
          <w:w w:val="105"/>
          <w:sz w:val="19"/>
        </w:rPr>
        <w:t> </w:t>
      </w:r>
      <w:r>
        <w:rPr>
          <w:w w:val="105"/>
          <w:sz w:val="19"/>
        </w:rPr>
        <w:t>Oakes,</w:t>
      </w:r>
      <w:r>
        <w:rPr>
          <w:spacing w:val="-5"/>
          <w:w w:val="105"/>
          <w:sz w:val="19"/>
        </w:rPr>
        <w:t> </w:t>
      </w:r>
      <w:r>
        <w:rPr>
          <w:w w:val="105"/>
          <w:sz w:val="19"/>
        </w:rPr>
        <w:t>L.</w:t>
      </w:r>
      <w:r>
        <w:rPr>
          <w:spacing w:val="-10"/>
          <w:w w:val="105"/>
          <w:sz w:val="19"/>
        </w:rPr>
        <w:t> </w:t>
      </w:r>
      <w:r>
        <w:rPr>
          <w:w w:val="105"/>
          <w:sz w:val="19"/>
        </w:rPr>
        <w:t>y</w:t>
      </w:r>
      <w:r>
        <w:rPr>
          <w:spacing w:val="-5"/>
          <w:w w:val="105"/>
          <w:sz w:val="19"/>
        </w:rPr>
        <w:t> </w:t>
      </w:r>
      <w:r>
        <w:rPr>
          <w:w w:val="105"/>
          <w:sz w:val="19"/>
        </w:rPr>
        <w:t>J.</w:t>
      </w:r>
      <w:r>
        <w:rPr>
          <w:spacing w:val="-8"/>
          <w:w w:val="105"/>
          <w:sz w:val="19"/>
        </w:rPr>
        <w:t> </w:t>
      </w:r>
      <w:r>
        <w:rPr>
          <w:w w:val="105"/>
          <w:sz w:val="19"/>
        </w:rPr>
        <w:t>(1991).</w:t>
      </w:r>
      <w:r>
        <w:rPr>
          <w:spacing w:val="-8"/>
          <w:w w:val="105"/>
          <w:sz w:val="19"/>
        </w:rPr>
        <w:t> </w:t>
      </w:r>
      <w:r>
        <w:rPr>
          <w:w w:val="105"/>
          <w:sz w:val="19"/>
        </w:rPr>
        <w:t>“Steps</w:t>
      </w:r>
      <w:r>
        <w:rPr>
          <w:spacing w:val="-5"/>
          <w:w w:val="105"/>
          <w:sz w:val="19"/>
        </w:rPr>
        <w:t> </w:t>
      </w:r>
      <w:r>
        <w:rPr>
          <w:spacing w:val="-3"/>
          <w:w w:val="105"/>
          <w:sz w:val="19"/>
        </w:rPr>
        <w:t>in</w:t>
      </w:r>
      <w:r>
        <w:rPr>
          <w:spacing w:val="-5"/>
          <w:w w:val="105"/>
          <w:sz w:val="19"/>
        </w:rPr>
        <w:t> </w:t>
      </w:r>
      <w:r>
        <w:rPr>
          <w:w w:val="105"/>
          <w:sz w:val="19"/>
        </w:rPr>
        <w:t>designing</w:t>
      </w:r>
      <w:r>
        <w:rPr>
          <w:spacing w:val="-2"/>
          <w:w w:val="105"/>
          <w:sz w:val="19"/>
        </w:rPr>
        <w:t> </w:t>
      </w:r>
      <w:r>
        <w:rPr>
          <w:w w:val="105"/>
          <w:sz w:val="19"/>
        </w:rPr>
        <w:t>an</w:t>
      </w:r>
      <w:r>
        <w:rPr>
          <w:spacing w:val="-2"/>
          <w:w w:val="105"/>
          <w:sz w:val="19"/>
        </w:rPr>
        <w:t> </w:t>
      </w:r>
      <w:r>
        <w:rPr>
          <w:w w:val="105"/>
          <w:sz w:val="19"/>
        </w:rPr>
        <w:t>indicator</w:t>
      </w:r>
      <w:r>
        <w:rPr>
          <w:spacing w:val="-5"/>
          <w:w w:val="105"/>
          <w:sz w:val="19"/>
        </w:rPr>
        <w:t> </w:t>
      </w:r>
      <w:r>
        <w:rPr>
          <w:w w:val="105"/>
          <w:sz w:val="19"/>
        </w:rPr>
        <w:t>system: Practical Assessment, Research &amp; Evaluation”. </w:t>
      </w:r>
      <w:r>
        <w:rPr>
          <w:spacing w:val="-3"/>
          <w:w w:val="105"/>
          <w:sz w:val="19"/>
        </w:rPr>
        <w:t>Revista </w:t>
      </w:r>
      <w:r>
        <w:rPr>
          <w:w w:val="105"/>
          <w:sz w:val="19"/>
        </w:rPr>
        <w:t>en línea auspiciada en parte por el Departamento</w:t>
      </w:r>
      <w:r>
        <w:rPr>
          <w:spacing w:val="-12"/>
          <w:w w:val="105"/>
          <w:sz w:val="19"/>
        </w:rPr>
        <w:t> </w:t>
      </w:r>
      <w:r>
        <w:rPr>
          <w:w w:val="105"/>
          <w:sz w:val="19"/>
        </w:rPr>
        <w:t>de</w:t>
      </w:r>
      <w:r>
        <w:rPr>
          <w:spacing w:val="-12"/>
          <w:w w:val="105"/>
          <w:sz w:val="19"/>
        </w:rPr>
        <w:t> </w:t>
      </w:r>
      <w:r>
        <w:rPr>
          <w:w w:val="105"/>
          <w:sz w:val="19"/>
        </w:rPr>
        <w:t>Medición,</w:t>
      </w:r>
      <w:r>
        <w:rPr>
          <w:spacing w:val="-12"/>
          <w:w w:val="105"/>
          <w:sz w:val="19"/>
        </w:rPr>
        <w:t> </w:t>
      </w:r>
      <w:r>
        <w:rPr>
          <w:w w:val="105"/>
          <w:sz w:val="19"/>
        </w:rPr>
        <w:t>Estadística</w:t>
      </w:r>
      <w:r>
        <w:rPr>
          <w:spacing w:val="-10"/>
          <w:w w:val="105"/>
          <w:sz w:val="19"/>
        </w:rPr>
        <w:t> </w:t>
      </w:r>
      <w:r>
        <w:rPr>
          <w:w w:val="105"/>
          <w:sz w:val="19"/>
        </w:rPr>
        <w:t>y</w:t>
      </w:r>
      <w:r>
        <w:rPr>
          <w:spacing w:val="-16"/>
          <w:w w:val="105"/>
          <w:sz w:val="19"/>
        </w:rPr>
        <w:t> </w:t>
      </w:r>
      <w:r>
        <w:rPr>
          <w:w w:val="105"/>
          <w:sz w:val="19"/>
        </w:rPr>
        <w:t>Evaluación</w:t>
      </w:r>
      <w:r>
        <w:rPr>
          <w:spacing w:val="-12"/>
          <w:w w:val="105"/>
          <w:sz w:val="19"/>
        </w:rPr>
        <w:t> </w:t>
      </w:r>
      <w:r>
        <w:rPr>
          <w:spacing w:val="-3"/>
          <w:w w:val="105"/>
          <w:sz w:val="19"/>
        </w:rPr>
        <w:t>de</w:t>
      </w:r>
      <w:r>
        <w:rPr>
          <w:spacing w:val="-10"/>
          <w:w w:val="105"/>
          <w:sz w:val="19"/>
        </w:rPr>
        <w:t> </w:t>
      </w:r>
      <w:r>
        <w:rPr>
          <w:w w:val="105"/>
          <w:sz w:val="19"/>
        </w:rPr>
        <w:t>la</w:t>
      </w:r>
      <w:r>
        <w:rPr>
          <w:spacing w:val="-12"/>
          <w:w w:val="105"/>
          <w:sz w:val="19"/>
        </w:rPr>
        <w:t> </w:t>
      </w:r>
      <w:r>
        <w:rPr>
          <w:w w:val="105"/>
          <w:sz w:val="19"/>
        </w:rPr>
        <w:t>Universidad</w:t>
      </w:r>
      <w:r>
        <w:rPr>
          <w:spacing w:val="-12"/>
          <w:w w:val="105"/>
          <w:sz w:val="19"/>
        </w:rPr>
        <w:t> </w:t>
      </w:r>
      <w:r>
        <w:rPr>
          <w:spacing w:val="-3"/>
          <w:w w:val="105"/>
          <w:sz w:val="19"/>
        </w:rPr>
        <w:t>de</w:t>
      </w:r>
      <w:r>
        <w:rPr>
          <w:spacing w:val="-10"/>
          <w:w w:val="105"/>
          <w:sz w:val="19"/>
        </w:rPr>
        <w:t> </w:t>
      </w:r>
      <w:r>
        <w:rPr>
          <w:w w:val="105"/>
          <w:sz w:val="19"/>
        </w:rPr>
        <w:t>Maryland,</w:t>
      </w:r>
      <w:r>
        <w:rPr>
          <w:spacing w:val="-15"/>
          <w:w w:val="105"/>
          <w:sz w:val="19"/>
        </w:rPr>
        <w:t> </w:t>
      </w:r>
      <w:r>
        <w:rPr>
          <w:w w:val="105"/>
          <w:sz w:val="19"/>
        </w:rPr>
        <w:t>College</w:t>
      </w:r>
      <w:r>
        <w:rPr>
          <w:spacing w:val="-10"/>
          <w:w w:val="105"/>
          <w:sz w:val="19"/>
        </w:rPr>
        <w:t> </w:t>
      </w:r>
      <w:r>
        <w:rPr>
          <w:w w:val="105"/>
          <w:sz w:val="19"/>
        </w:rPr>
        <w:t>Park. Puede</w:t>
      </w:r>
      <w:r>
        <w:rPr>
          <w:spacing w:val="-28"/>
          <w:w w:val="105"/>
          <w:sz w:val="19"/>
        </w:rPr>
        <w:t> </w:t>
      </w:r>
      <w:r>
        <w:rPr>
          <w:w w:val="105"/>
          <w:sz w:val="19"/>
        </w:rPr>
        <w:t>consultarse</w:t>
      </w:r>
      <w:r>
        <w:rPr>
          <w:spacing w:val="-28"/>
          <w:w w:val="105"/>
          <w:sz w:val="19"/>
        </w:rPr>
        <w:t> </w:t>
      </w:r>
      <w:r>
        <w:rPr>
          <w:w w:val="105"/>
          <w:sz w:val="19"/>
        </w:rPr>
        <w:t>en:</w:t>
      </w:r>
    </w:p>
    <w:p>
      <w:pPr>
        <w:spacing w:before="0"/>
        <w:ind w:left="115" w:right="0" w:firstLine="0"/>
        <w:jc w:val="both"/>
        <w:rPr>
          <w:sz w:val="19"/>
        </w:rPr>
      </w:pPr>
      <w:hyperlink r:id="rId176">
        <w:r>
          <w:rPr>
            <w:color w:val="0000FF"/>
            <w:w w:val="105"/>
            <w:sz w:val="19"/>
            <w:u w:val="single" w:color="0000FF"/>
          </w:rPr>
          <w:t>http://PAREonline.net/getvn.asp?v=2&amp;n=12</w:t>
        </w:r>
      </w:hyperlink>
    </w:p>
    <w:p>
      <w:pPr>
        <w:spacing w:line="244" w:lineRule="auto" w:before="3"/>
        <w:ind w:left="115" w:right="103" w:firstLine="0"/>
        <w:jc w:val="both"/>
        <w:rPr>
          <w:sz w:val="19"/>
        </w:rPr>
      </w:pPr>
      <w:r>
        <w:rPr>
          <w:b/>
          <w:w w:val="105"/>
          <w:sz w:val="19"/>
        </w:rPr>
        <w:t>Shugart</w:t>
      </w:r>
      <w:r>
        <w:rPr>
          <w:w w:val="105"/>
          <w:sz w:val="19"/>
        </w:rPr>
        <w:t>, Matthew y John Carey. (1992). “Presidents and Assemblies: Constitutional Design and Electoral Dynamics”. Cambridge, RU: Cambridge University Press. Shugart. Nueva York: Cambridge University Press.</w:t>
      </w:r>
    </w:p>
    <w:p>
      <w:pPr>
        <w:spacing w:line="247" w:lineRule="auto" w:before="3"/>
        <w:ind w:left="115" w:right="101" w:firstLine="0"/>
        <w:jc w:val="both"/>
        <w:rPr>
          <w:sz w:val="19"/>
        </w:rPr>
      </w:pPr>
      <w:r>
        <w:rPr>
          <w:w w:val="105"/>
          <w:sz w:val="19"/>
        </w:rPr>
        <w:t>----------------------------------. (2006). </w:t>
      </w:r>
      <w:r>
        <w:rPr>
          <w:spacing w:val="-3"/>
          <w:w w:val="105"/>
          <w:sz w:val="19"/>
        </w:rPr>
        <w:t>“Legislative </w:t>
      </w:r>
      <w:r>
        <w:rPr>
          <w:w w:val="105"/>
          <w:sz w:val="19"/>
        </w:rPr>
        <w:t>Organization (or, What We Want from Legislatures and What Comparative Legislative Studies Tells Us About Whether We Get it)”. En The </w:t>
      </w:r>
      <w:r>
        <w:rPr>
          <w:spacing w:val="-3"/>
          <w:w w:val="105"/>
          <w:sz w:val="19"/>
        </w:rPr>
        <w:t>Oxord </w:t>
      </w:r>
      <w:r>
        <w:rPr>
          <w:w w:val="105"/>
          <w:sz w:val="19"/>
        </w:rPr>
        <w:t>Handbook of </w:t>
      </w:r>
      <w:r>
        <w:rPr>
          <w:spacing w:val="-2"/>
          <w:w w:val="105"/>
          <w:sz w:val="19"/>
        </w:rPr>
        <w:t>Political </w:t>
      </w:r>
      <w:r>
        <w:rPr>
          <w:w w:val="105"/>
          <w:sz w:val="19"/>
        </w:rPr>
        <w:t>Institutions, editado por Sarah Binder, Rod Rhodes y Bert Rockman.Oxford: Oxford University Press</w:t>
      </w:r>
    </w:p>
    <w:p>
      <w:pPr>
        <w:spacing w:line="242" w:lineRule="auto" w:before="0"/>
        <w:ind w:left="115" w:right="191" w:firstLine="0"/>
        <w:jc w:val="left"/>
        <w:rPr>
          <w:sz w:val="19"/>
        </w:rPr>
      </w:pPr>
      <w:r>
        <w:rPr>
          <w:b/>
          <w:w w:val="105"/>
          <w:sz w:val="19"/>
        </w:rPr>
        <w:t>Sojo </w:t>
      </w:r>
      <w:r>
        <w:rPr>
          <w:w w:val="105"/>
          <w:sz w:val="19"/>
        </w:rPr>
        <w:t>Garza-Aldape, Eduardo. (2006). “Políticas públicas en democracia”. Ed. FCE, México D.F. </w:t>
      </w:r>
      <w:r>
        <w:rPr>
          <w:b/>
          <w:w w:val="105"/>
          <w:sz w:val="19"/>
        </w:rPr>
        <w:t>Stein</w:t>
      </w:r>
      <w:r>
        <w:rPr>
          <w:w w:val="105"/>
          <w:sz w:val="19"/>
        </w:rPr>
        <w:t>, Ernesto y Tomassi, Mariano. (2006). “La política de las políticas públicas”, en </w:t>
      </w:r>
      <w:r>
        <w:rPr>
          <w:i/>
          <w:w w:val="105"/>
          <w:sz w:val="19"/>
        </w:rPr>
        <w:t>Política y </w:t>
      </w:r>
      <w:r>
        <w:rPr>
          <w:i/>
          <w:w w:val="105"/>
          <w:sz w:val="19"/>
        </w:rPr>
        <w:t>gobierno</w:t>
      </w:r>
      <w:r>
        <w:rPr>
          <w:w w:val="105"/>
          <w:sz w:val="19"/>
        </w:rPr>
        <w:t>, Vol. XIII, No. 2, II Semestre.</w:t>
      </w:r>
    </w:p>
    <w:p>
      <w:pPr>
        <w:spacing w:after="0" w:line="242" w:lineRule="auto"/>
        <w:jc w:val="left"/>
        <w:rPr>
          <w:sz w:val="19"/>
        </w:rPr>
        <w:sectPr>
          <w:pgSz w:w="11910" w:h="16840"/>
          <w:pgMar w:header="0" w:footer="1457" w:top="1580" w:bottom="1640" w:left="1540" w:right="1540"/>
        </w:sectPr>
      </w:pPr>
    </w:p>
    <w:p>
      <w:pPr>
        <w:pStyle w:val="BodyText"/>
        <w:rPr>
          <w:sz w:val="20"/>
        </w:rPr>
      </w:pPr>
    </w:p>
    <w:p>
      <w:pPr>
        <w:pStyle w:val="BodyText"/>
        <w:spacing w:before="10"/>
        <w:rPr>
          <w:sz w:val="15"/>
        </w:rPr>
      </w:pPr>
    </w:p>
    <w:p>
      <w:pPr>
        <w:spacing w:line="247" w:lineRule="auto" w:before="81"/>
        <w:ind w:left="115" w:right="110" w:firstLine="0"/>
        <w:jc w:val="left"/>
        <w:rPr>
          <w:sz w:val="19"/>
        </w:rPr>
      </w:pPr>
      <w:r>
        <w:rPr>
          <w:b/>
          <w:w w:val="105"/>
          <w:sz w:val="19"/>
        </w:rPr>
        <w:t>Street</w:t>
      </w:r>
      <w:r>
        <w:rPr>
          <w:w w:val="105"/>
          <w:sz w:val="19"/>
        </w:rPr>
        <w:t>, Susan. (1992). “Maestros en movimiento: transformaciones en la burocracia estatal 1978- 1982”, México: CIESAS-Editorial de la Casa Chata.</w:t>
      </w:r>
    </w:p>
    <w:p>
      <w:pPr>
        <w:spacing w:line="214" w:lineRule="exact" w:before="0"/>
        <w:ind w:left="115" w:right="0" w:firstLine="0"/>
        <w:jc w:val="both"/>
        <w:rPr>
          <w:sz w:val="19"/>
        </w:rPr>
      </w:pPr>
      <w:r>
        <w:rPr>
          <w:b/>
          <w:w w:val="105"/>
          <w:sz w:val="19"/>
        </w:rPr>
        <w:t>SNTE  </w:t>
      </w:r>
      <w:r>
        <w:rPr>
          <w:w w:val="105"/>
          <w:sz w:val="19"/>
        </w:rPr>
        <w:t>(2002)  </w:t>
      </w:r>
      <w:r>
        <w:rPr>
          <w:i/>
          <w:w w:val="105"/>
          <w:sz w:val="19"/>
        </w:rPr>
        <w:t>Compromiso  Social  por  la  Calidad  de  la  Educación</w:t>
      </w:r>
      <w:r>
        <w:rPr>
          <w:w w:val="105"/>
          <w:sz w:val="19"/>
        </w:rPr>
        <w:t>,  documento  obtenido  en</w:t>
      </w:r>
    </w:p>
    <w:p>
      <w:pPr>
        <w:spacing w:before="2"/>
        <w:ind w:left="115" w:right="0" w:firstLine="0"/>
        <w:jc w:val="both"/>
        <w:rPr>
          <w:i/>
          <w:sz w:val="19"/>
        </w:rPr>
      </w:pPr>
      <w:r>
        <w:rPr>
          <w:i/>
          <w:w w:val="105"/>
          <w:sz w:val="19"/>
        </w:rPr>
        <w:t>&lt;</w:t>
      </w:r>
      <w:hyperlink r:id="rId177">
        <w:r>
          <w:rPr>
            <w:i/>
            <w:w w:val="105"/>
            <w:sz w:val="19"/>
          </w:rPr>
          <w:t>www.snte.org</w:t>
        </w:r>
      </w:hyperlink>
      <w:r>
        <w:rPr>
          <w:i/>
          <w:w w:val="105"/>
          <w:sz w:val="19"/>
        </w:rPr>
        <w:t>&gt;</w:t>
      </w:r>
    </w:p>
    <w:p>
      <w:pPr>
        <w:spacing w:line="247" w:lineRule="auto" w:before="12"/>
        <w:ind w:left="115" w:right="127" w:firstLine="0"/>
        <w:jc w:val="left"/>
        <w:rPr>
          <w:sz w:val="19"/>
        </w:rPr>
      </w:pPr>
      <w:r>
        <w:rPr>
          <w:b/>
          <w:w w:val="105"/>
          <w:sz w:val="19"/>
        </w:rPr>
        <w:t>Stufflebeam</w:t>
      </w:r>
      <w:r>
        <w:rPr>
          <w:w w:val="105"/>
          <w:sz w:val="19"/>
        </w:rPr>
        <w:t>, Daniel L. y Antony J. Shinkfield. (2002). “Evaluación sistémica. Guía teórica y </w:t>
      </w:r>
      <w:r>
        <w:rPr>
          <w:sz w:val="19"/>
        </w:rPr>
        <w:t>práctica”,  España, Paidós/M.E.C.</w:t>
      </w:r>
    </w:p>
    <w:p>
      <w:pPr>
        <w:spacing w:line="247" w:lineRule="auto" w:before="0"/>
        <w:ind w:left="115" w:right="127" w:firstLine="0"/>
        <w:jc w:val="left"/>
        <w:rPr>
          <w:sz w:val="19"/>
        </w:rPr>
      </w:pPr>
      <w:r>
        <w:rPr>
          <w:b/>
          <w:w w:val="105"/>
          <w:sz w:val="19"/>
        </w:rPr>
        <w:t>Subirats</w:t>
      </w:r>
      <w:r>
        <w:rPr>
          <w:w w:val="105"/>
          <w:sz w:val="19"/>
        </w:rPr>
        <w:t>, J. (1989). “Análisis de políticas públicas y Eficacia de la Administración”, Instituto de </w:t>
      </w:r>
      <w:r>
        <w:rPr>
          <w:sz w:val="19"/>
        </w:rPr>
        <w:t>Administración  Pública, Madrid.</w:t>
      </w:r>
    </w:p>
    <w:p>
      <w:pPr>
        <w:pStyle w:val="BodyText"/>
        <w:spacing w:before="7"/>
        <w:rPr>
          <w:sz w:val="19"/>
        </w:rPr>
      </w:pPr>
    </w:p>
    <w:p>
      <w:pPr>
        <w:spacing w:before="1"/>
        <w:ind w:left="115" w:right="0" w:firstLine="0"/>
        <w:jc w:val="both"/>
        <w:rPr>
          <w:b/>
          <w:sz w:val="19"/>
        </w:rPr>
      </w:pPr>
      <w:r>
        <w:rPr>
          <w:b/>
          <w:w w:val="103"/>
          <w:sz w:val="19"/>
        </w:rPr>
        <w:t>T</w:t>
      </w:r>
    </w:p>
    <w:p>
      <w:pPr>
        <w:spacing w:line="247" w:lineRule="auto" w:before="2"/>
        <w:ind w:left="115" w:right="124" w:firstLine="0"/>
        <w:jc w:val="both"/>
        <w:rPr>
          <w:sz w:val="19"/>
        </w:rPr>
      </w:pPr>
      <w:r>
        <w:rPr>
          <w:b/>
          <w:w w:val="105"/>
          <w:sz w:val="19"/>
        </w:rPr>
        <w:t>Tapia</w:t>
      </w:r>
      <w:r>
        <w:rPr>
          <w:w w:val="105"/>
          <w:sz w:val="19"/>
        </w:rPr>
        <w:t>,</w:t>
      </w:r>
      <w:r>
        <w:rPr>
          <w:spacing w:val="-9"/>
          <w:w w:val="105"/>
          <w:sz w:val="19"/>
        </w:rPr>
        <w:t> </w:t>
      </w:r>
      <w:r>
        <w:rPr>
          <w:w w:val="105"/>
          <w:sz w:val="19"/>
        </w:rPr>
        <w:t>Uribe</w:t>
      </w:r>
      <w:r>
        <w:rPr>
          <w:spacing w:val="-5"/>
          <w:w w:val="105"/>
          <w:sz w:val="19"/>
        </w:rPr>
        <w:t> </w:t>
      </w:r>
      <w:r>
        <w:rPr>
          <w:w w:val="105"/>
          <w:sz w:val="19"/>
        </w:rPr>
        <w:t>Medardo</w:t>
      </w:r>
      <w:r>
        <w:rPr>
          <w:spacing w:val="-5"/>
          <w:w w:val="105"/>
          <w:sz w:val="19"/>
        </w:rPr>
        <w:t> </w:t>
      </w:r>
      <w:r>
        <w:rPr>
          <w:w w:val="105"/>
          <w:sz w:val="19"/>
        </w:rPr>
        <w:t>(2003).</w:t>
      </w:r>
      <w:r>
        <w:rPr>
          <w:spacing w:val="-8"/>
          <w:w w:val="105"/>
          <w:sz w:val="19"/>
        </w:rPr>
        <w:t> </w:t>
      </w:r>
      <w:r>
        <w:rPr>
          <w:w w:val="105"/>
          <w:sz w:val="19"/>
        </w:rPr>
        <w:t>“Estado</w:t>
      </w:r>
      <w:r>
        <w:rPr>
          <w:spacing w:val="-5"/>
          <w:w w:val="105"/>
          <w:sz w:val="19"/>
        </w:rPr>
        <w:t> </w:t>
      </w:r>
      <w:r>
        <w:rPr>
          <w:w w:val="105"/>
          <w:sz w:val="19"/>
        </w:rPr>
        <w:t>Inicial</w:t>
      </w:r>
      <w:r>
        <w:rPr>
          <w:spacing w:val="-1"/>
          <w:w w:val="105"/>
          <w:sz w:val="19"/>
        </w:rPr>
        <w:t> </w:t>
      </w:r>
      <w:r>
        <w:rPr>
          <w:w w:val="105"/>
          <w:sz w:val="19"/>
        </w:rPr>
        <w:t>de</w:t>
      </w:r>
      <w:r>
        <w:rPr>
          <w:spacing w:val="-5"/>
          <w:w w:val="105"/>
          <w:sz w:val="19"/>
        </w:rPr>
        <w:t> </w:t>
      </w:r>
      <w:r>
        <w:rPr>
          <w:w w:val="105"/>
          <w:sz w:val="19"/>
        </w:rPr>
        <w:t>las</w:t>
      </w:r>
      <w:r>
        <w:rPr>
          <w:spacing w:val="-5"/>
          <w:w w:val="105"/>
          <w:sz w:val="19"/>
        </w:rPr>
        <w:t> </w:t>
      </w:r>
      <w:r>
        <w:rPr>
          <w:w w:val="105"/>
          <w:sz w:val="19"/>
        </w:rPr>
        <w:t>escuelas</w:t>
      </w:r>
      <w:r>
        <w:rPr>
          <w:spacing w:val="-5"/>
          <w:w w:val="105"/>
          <w:sz w:val="19"/>
        </w:rPr>
        <w:t> </w:t>
      </w:r>
      <w:r>
        <w:rPr>
          <w:w w:val="105"/>
          <w:sz w:val="19"/>
        </w:rPr>
        <w:t>primarias</w:t>
      </w:r>
      <w:r>
        <w:rPr>
          <w:spacing w:val="-5"/>
          <w:w w:val="105"/>
          <w:sz w:val="19"/>
        </w:rPr>
        <w:t> </w:t>
      </w:r>
      <w:r>
        <w:rPr>
          <w:spacing w:val="-3"/>
          <w:w w:val="105"/>
          <w:sz w:val="19"/>
        </w:rPr>
        <w:t>de</w:t>
      </w:r>
      <w:r>
        <w:rPr>
          <w:spacing w:val="-7"/>
          <w:w w:val="105"/>
          <w:sz w:val="19"/>
        </w:rPr>
        <w:t> </w:t>
      </w:r>
      <w:r>
        <w:rPr>
          <w:w w:val="105"/>
          <w:sz w:val="19"/>
        </w:rPr>
        <w:t>educación</w:t>
      </w:r>
      <w:r>
        <w:rPr>
          <w:spacing w:val="-5"/>
          <w:w w:val="105"/>
          <w:sz w:val="19"/>
        </w:rPr>
        <w:t> </w:t>
      </w:r>
      <w:r>
        <w:rPr>
          <w:w w:val="105"/>
          <w:sz w:val="19"/>
        </w:rPr>
        <w:t>indígena</w:t>
      </w:r>
      <w:r>
        <w:rPr>
          <w:spacing w:val="-5"/>
          <w:w w:val="105"/>
          <w:sz w:val="19"/>
        </w:rPr>
        <w:t> </w:t>
      </w:r>
      <w:r>
        <w:rPr>
          <w:w w:val="105"/>
          <w:sz w:val="19"/>
        </w:rPr>
        <w:t>del Programa Escuelas </w:t>
      </w:r>
      <w:r>
        <w:rPr>
          <w:spacing w:val="2"/>
          <w:w w:val="105"/>
          <w:sz w:val="19"/>
        </w:rPr>
        <w:t>de </w:t>
      </w:r>
      <w:r>
        <w:rPr>
          <w:w w:val="105"/>
          <w:sz w:val="19"/>
        </w:rPr>
        <w:t>Calidad: Los indicadores de la línea de base” en </w:t>
      </w:r>
      <w:r>
        <w:rPr>
          <w:i/>
          <w:w w:val="105"/>
          <w:sz w:val="19"/>
        </w:rPr>
        <w:t>Revista Latinoamericana </w:t>
      </w:r>
      <w:r>
        <w:rPr>
          <w:i/>
          <w:w w:val="105"/>
          <w:sz w:val="19"/>
        </w:rPr>
        <w:t>de Estudios Educativos, </w:t>
      </w:r>
      <w:r>
        <w:rPr>
          <w:spacing w:val="2"/>
          <w:w w:val="105"/>
          <w:sz w:val="19"/>
        </w:rPr>
        <w:t>4º </w:t>
      </w:r>
      <w:r>
        <w:rPr>
          <w:w w:val="105"/>
          <w:sz w:val="19"/>
        </w:rPr>
        <w:t>trimestre, </w:t>
      </w:r>
      <w:r>
        <w:rPr>
          <w:spacing w:val="-3"/>
          <w:w w:val="105"/>
          <w:sz w:val="19"/>
        </w:rPr>
        <w:t>año </w:t>
      </w:r>
      <w:r>
        <w:rPr>
          <w:w w:val="105"/>
          <w:sz w:val="19"/>
        </w:rPr>
        <w:t>/vol. XXXII, número 04. Centro </w:t>
      </w:r>
      <w:r>
        <w:rPr>
          <w:spacing w:val="-3"/>
          <w:w w:val="105"/>
          <w:sz w:val="19"/>
        </w:rPr>
        <w:t>de </w:t>
      </w:r>
      <w:r>
        <w:rPr>
          <w:w w:val="105"/>
          <w:sz w:val="19"/>
        </w:rPr>
        <w:t>Estudios Educativos. México.</w:t>
      </w:r>
      <w:r>
        <w:rPr>
          <w:spacing w:val="-24"/>
          <w:w w:val="105"/>
          <w:sz w:val="19"/>
        </w:rPr>
        <w:t> </w:t>
      </w:r>
      <w:r>
        <w:rPr>
          <w:w w:val="105"/>
          <w:sz w:val="19"/>
        </w:rPr>
        <w:t>pp.</w:t>
      </w:r>
      <w:r>
        <w:rPr>
          <w:spacing w:val="-21"/>
          <w:w w:val="105"/>
          <w:sz w:val="19"/>
        </w:rPr>
        <w:t> </w:t>
      </w:r>
      <w:r>
        <w:rPr>
          <w:w w:val="105"/>
          <w:sz w:val="19"/>
        </w:rPr>
        <w:t>97-130.</w:t>
      </w:r>
      <w:r>
        <w:rPr>
          <w:spacing w:val="-21"/>
          <w:w w:val="105"/>
          <w:sz w:val="19"/>
        </w:rPr>
        <w:t> </w:t>
      </w:r>
      <w:r>
        <w:rPr>
          <w:w w:val="105"/>
          <w:sz w:val="19"/>
        </w:rPr>
        <w:t>Puede</w:t>
      </w:r>
      <w:r>
        <w:rPr>
          <w:spacing w:val="-21"/>
          <w:w w:val="105"/>
          <w:sz w:val="19"/>
        </w:rPr>
        <w:t> </w:t>
      </w:r>
      <w:r>
        <w:rPr>
          <w:w w:val="105"/>
          <w:sz w:val="19"/>
        </w:rPr>
        <w:t>consultarse</w:t>
      </w:r>
      <w:r>
        <w:rPr>
          <w:spacing w:val="-21"/>
          <w:w w:val="105"/>
          <w:sz w:val="19"/>
        </w:rPr>
        <w:t> </w:t>
      </w:r>
      <w:r>
        <w:rPr>
          <w:w w:val="105"/>
          <w:sz w:val="19"/>
        </w:rPr>
        <w:t>en:</w:t>
      </w:r>
    </w:p>
    <w:p>
      <w:pPr>
        <w:spacing w:line="214" w:lineRule="exact" w:before="0"/>
        <w:ind w:left="115" w:right="0" w:firstLine="0"/>
        <w:jc w:val="both"/>
        <w:rPr>
          <w:sz w:val="19"/>
        </w:rPr>
      </w:pPr>
      <w:hyperlink r:id="rId178">
        <w:r>
          <w:rPr>
            <w:color w:val="0000FF"/>
            <w:w w:val="105"/>
            <w:sz w:val="19"/>
            <w:u w:val="single" w:color="0000FF"/>
          </w:rPr>
          <w:t>http://redalyc.uaemex.mx/redalyc/pdf/270/27033404.pdf</w:t>
        </w:r>
      </w:hyperlink>
    </w:p>
    <w:p>
      <w:pPr>
        <w:spacing w:line="252" w:lineRule="auto" w:before="2"/>
        <w:ind w:left="115" w:right="99" w:firstLine="0"/>
        <w:jc w:val="left"/>
        <w:rPr>
          <w:sz w:val="19"/>
        </w:rPr>
      </w:pPr>
      <w:r>
        <w:rPr>
          <w:b/>
          <w:w w:val="105"/>
          <w:sz w:val="19"/>
        </w:rPr>
        <w:t>Teddlie</w:t>
      </w:r>
      <w:r>
        <w:rPr>
          <w:w w:val="105"/>
          <w:sz w:val="19"/>
        </w:rPr>
        <w:t>, C. y D. Reynolds. (2000). “The international handbook of school effectiveness research”</w:t>
      </w:r>
      <w:r>
        <w:rPr>
          <w:i/>
          <w:w w:val="105"/>
          <w:sz w:val="19"/>
        </w:rPr>
        <w:t>. </w:t>
      </w:r>
      <w:r>
        <w:rPr>
          <w:w w:val="105"/>
          <w:sz w:val="19"/>
        </w:rPr>
        <w:t>Palmer Press.</w:t>
      </w:r>
    </w:p>
    <w:p>
      <w:pPr>
        <w:spacing w:line="247" w:lineRule="auto" w:before="0"/>
        <w:ind w:left="115" w:right="127" w:firstLine="0"/>
        <w:jc w:val="left"/>
        <w:rPr>
          <w:sz w:val="19"/>
        </w:rPr>
      </w:pPr>
      <w:r>
        <w:rPr>
          <w:b/>
          <w:w w:val="105"/>
          <w:sz w:val="19"/>
        </w:rPr>
        <w:t>Tedesco</w:t>
      </w:r>
      <w:r>
        <w:rPr>
          <w:w w:val="105"/>
          <w:sz w:val="19"/>
        </w:rPr>
        <w:t>, Juan Carlos. (1983). “Modelo pedagógico y fracaso escolar” en Revista de la CEPAL, núm. 21, Comisión económica para América Latina, Santiago de Chile, pp. 131-144.</w:t>
      </w:r>
    </w:p>
    <w:p>
      <w:pPr>
        <w:spacing w:line="247" w:lineRule="auto" w:before="0"/>
        <w:ind w:left="115" w:right="127" w:firstLine="0"/>
        <w:jc w:val="left"/>
        <w:rPr>
          <w:sz w:val="19"/>
        </w:rPr>
      </w:pPr>
      <w:r>
        <w:rPr>
          <w:b/>
          <w:w w:val="105"/>
          <w:sz w:val="19"/>
        </w:rPr>
        <w:t>Tiana, </w:t>
      </w:r>
      <w:r>
        <w:rPr>
          <w:w w:val="105"/>
          <w:sz w:val="19"/>
        </w:rPr>
        <w:t>F. A. (1996). “La evaluación de los sistemas educativos”. Revista Iberoamericana de Educación. No. 10, OEI. Puede consultarse en:</w:t>
      </w:r>
    </w:p>
    <w:p>
      <w:pPr>
        <w:spacing w:line="214" w:lineRule="exact" w:before="0"/>
        <w:ind w:left="115" w:right="0" w:firstLine="0"/>
        <w:jc w:val="both"/>
        <w:rPr>
          <w:sz w:val="19"/>
        </w:rPr>
      </w:pPr>
      <w:hyperlink r:id="rId179">
        <w:r>
          <w:rPr>
            <w:color w:val="0000FF"/>
            <w:w w:val="105"/>
            <w:sz w:val="19"/>
            <w:u w:val="single" w:color="0000FF"/>
          </w:rPr>
          <w:t>http://www.campus-oei.org/oeivirt/rie10a02.ht</w:t>
        </w:r>
      </w:hyperlink>
    </w:p>
    <w:p>
      <w:pPr>
        <w:spacing w:line="247" w:lineRule="auto" w:before="2"/>
        <w:ind w:left="115" w:right="123" w:firstLine="0"/>
        <w:jc w:val="left"/>
        <w:rPr>
          <w:sz w:val="19"/>
        </w:rPr>
      </w:pPr>
      <w:r>
        <w:rPr>
          <w:b/>
          <w:w w:val="105"/>
          <w:sz w:val="19"/>
        </w:rPr>
        <w:t>Tiana</w:t>
      </w:r>
      <w:r>
        <w:rPr>
          <w:w w:val="105"/>
          <w:sz w:val="19"/>
        </w:rPr>
        <w:t>, Ferrer Alejandro, Gil Escudero Guillermo (2002). “Oportunidades regionales en la participación en estudios comparativos internacionales en evaluación educativa” en </w:t>
      </w:r>
      <w:r>
        <w:rPr>
          <w:i/>
          <w:w w:val="105"/>
          <w:sz w:val="19"/>
        </w:rPr>
        <w:t>Revista </w:t>
      </w:r>
      <w:r>
        <w:rPr>
          <w:i/>
          <w:w w:val="105"/>
          <w:sz w:val="19"/>
        </w:rPr>
        <w:t>Iberoamericana de Educación OEI. </w:t>
      </w:r>
      <w:r>
        <w:rPr>
          <w:w w:val="105"/>
          <w:sz w:val="19"/>
        </w:rPr>
        <w:t>Número 28, enero-abril 2002. Puede consultarse en: </w:t>
      </w:r>
      <w:hyperlink r:id="rId180">
        <w:r>
          <w:rPr>
            <w:color w:val="0000FF"/>
            <w:w w:val="105"/>
            <w:sz w:val="19"/>
            <w:u w:val="single" w:color="0000FF"/>
          </w:rPr>
          <w:t>http://www.campus-oei.org/revista/rie28a06.PDF</w:t>
        </w:r>
      </w:hyperlink>
    </w:p>
    <w:p>
      <w:pPr>
        <w:spacing w:line="247" w:lineRule="auto" w:before="1"/>
        <w:ind w:left="115" w:right="126" w:firstLine="0"/>
        <w:jc w:val="both"/>
        <w:rPr>
          <w:sz w:val="19"/>
        </w:rPr>
      </w:pPr>
      <w:r>
        <w:rPr>
          <w:b/>
          <w:w w:val="105"/>
          <w:sz w:val="19"/>
        </w:rPr>
        <w:t>Torres</w:t>
      </w:r>
      <w:r>
        <w:rPr>
          <w:w w:val="105"/>
          <w:sz w:val="19"/>
        </w:rPr>
        <w:t>, Rosa María. (2001). “Participación Ciudadana y Educación: Una mirada amplia y 20 experiencias en América Latina”, Instituto Fronesis. Segunda Reunión de Ministros de Educación del Consejo Interamericano para el Desarrollo Integral –CIDI (Punta del Este, Uruguay, 24-25 Septiembre, 2001). Puede consultarse en:</w:t>
      </w:r>
    </w:p>
    <w:p>
      <w:pPr>
        <w:spacing w:before="0"/>
        <w:ind w:left="115" w:right="0" w:firstLine="0"/>
        <w:jc w:val="both"/>
        <w:rPr>
          <w:sz w:val="19"/>
        </w:rPr>
      </w:pPr>
      <w:hyperlink r:id="rId181">
        <w:r>
          <w:rPr>
            <w:color w:val="0000FF"/>
            <w:w w:val="105"/>
            <w:sz w:val="19"/>
            <w:u w:val="single" w:color="0000FF"/>
          </w:rPr>
          <w:t>http://www.observatorio.org/documental/participa.pdf</w:t>
        </w:r>
      </w:hyperlink>
    </w:p>
    <w:p>
      <w:pPr>
        <w:spacing w:line="242" w:lineRule="auto" w:before="7"/>
        <w:ind w:left="115" w:right="127" w:firstLine="0"/>
        <w:jc w:val="left"/>
        <w:rPr>
          <w:sz w:val="19"/>
        </w:rPr>
      </w:pPr>
      <w:r>
        <w:rPr>
          <w:b/>
          <w:w w:val="105"/>
          <w:sz w:val="19"/>
        </w:rPr>
        <w:t>Trejo</w:t>
      </w:r>
      <w:r>
        <w:rPr>
          <w:w w:val="105"/>
          <w:sz w:val="19"/>
        </w:rPr>
        <w:t>, Guillermo. (1992). “Educación para una economía competitiva: Hacia una estrategia de reforma”. Diana-CIDAC. México.</w:t>
      </w:r>
    </w:p>
    <w:p>
      <w:pPr>
        <w:spacing w:line="242" w:lineRule="auto" w:before="5"/>
        <w:ind w:left="115" w:right="119" w:firstLine="0"/>
        <w:jc w:val="both"/>
        <w:rPr>
          <w:sz w:val="19"/>
        </w:rPr>
      </w:pPr>
      <w:r>
        <w:rPr>
          <w:b/>
          <w:w w:val="105"/>
          <w:sz w:val="19"/>
        </w:rPr>
        <w:t>Tsebelis</w:t>
      </w:r>
      <w:r>
        <w:rPr>
          <w:w w:val="105"/>
          <w:sz w:val="19"/>
        </w:rPr>
        <w:t>, George. (1995). “Decision Making </w:t>
      </w:r>
      <w:r>
        <w:rPr>
          <w:spacing w:val="-3"/>
          <w:w w:val="105"/>
          <w:sz w:val="19"/>
        </w:rPr>
        <w:t>In </w:t>
      </w:r>
      <w:r>
        <w:rPr>
          <w:w w:val="105"/>
          <w:sz w:val="19"/>
        </w:rPr>
        <w:t>Political Systems: Veto players </w:t>
      </w:r>
      <w:r>
        <w:rPr>
          <w:spacing w:val="-6"/>
          <w:w w:val="105"/>
          <w:sz w:val="19"/>
        </w:rPr>
        <w:t>in </w:t>
      </w:r>
      <w:r>
        <w:rPr>
          <w:w w:val="105"/>
          <w:sz w:val="19"/>
        </w:rPr>
        <w:t>Presidentialism, Parliamentarism,</w:t>
      </w:r>
      <w:r>
        <w:rPr>
          <w:spacing w:val="-20"/>
          <w:w w:val="105"/>
          <w:sz w:val="19"/>
        </w:rPr>
        <w:t> </w:t>
      </w:r>
      <w:r>
        <w:rPr>
          <w:w w:val="105"/>
          <w:sz w:val="19"/>
        </w:rPr>
        <w:t>Multicameralism</w:t>
      </w:r>
      <w:r>
        <w:rPr>
          <w:spacing w:val="-15"/>
          <w:w w:val="105"/>
          <w:sz w:val="19"/>
        </w:rPr>
        <w:t> </w:t>
      </w:r>
      <w:r>
        <w:rPr>
          <w:w w:val="105"/>
          <w:sz w:val="19"/>
        </w:rPr>
        <w:t>and</w:t>
      </w:r>
      <w:r>
        <w:rPr>
          <w:spacing w:val="-20"/>
          <w:w w:val="105"/>
          <w:sz w:val="19"/>
        </w:rPr>
        <w:t> </w:t>
      </w:r>
      <w:r>
        <w:rPr>
          <w:w w:val="105"/>
          <w:sz w:val="19"/>
        </w:rPr>
        <w:t>Multipartysm”.</w:t>
      </w:r>
      <w:r>
        <w:rPr>
          <w:spacing w:val="-20"/>
          <w:w w:val="105"/>
          <w:sz w:val="19"/>
        </w:rPr>
        <w:t> </w:t>
      </w:r>
      <w:r>
        <w:rPr>
          <w:spacing w:val="-3"/>
          <w:w w:val="105"/>
          <w:sz w:val="19"/>
        </w:rPr>
        <w:t>British</w:t>
      </w:r>
      <w:r>
        <w:rPr>
          <w:spacing w:val="-15"/>
          <w:w w:val="105"/>
          <w:sz w:val="19"/>
        </w:rPr>
        <w:t> </w:t>
      </w:r>
      <w:r>
        <w:rPr>
          <w:w w:val="105"/>
          <w:sz w:val="19"/>
        </w:rPr>
        <w:t>Journal</w:t>
      </w:r>
      <w:r>
        <w:rPr>
          <w:spacing w:val="-20"/>
          <w:w w:val="105"/>
          <w:sz w:val="19"/>
        </w:rPr>
        <w:t> </w:t>
      </w:r>
      <w:r>
        <w:rPr>
          <w:w w:val="105"/>
          <w:sz w:val="19"/>
        </w:rPr>
        <w:t>of</w:t>
      </w:r>
      <w:r>
        <w:rPr>
          <w:spacing w:val="-20"/>
          <w:w w:val="105"/>
          <w:sz w:val="19"/>
        </w:rPr>
        <w:t> </w:t>
      </w:r>
      <w:r>
        <w:rPr>
          <w:w w:val="105"/>
          <w:sz w:val="19"/>
        </w:rPr>
        <w:t>Political</w:t>
      </w:r>
      <w:r>
        <w:rPr>
          <w:spacing w:val="-20"/>
          <w:w w:val="105"/>
          <w:sz w:val="19"/>
        </w:rPr>
        <w:t> </w:t>
      </w:r>
      <w:r>
        <w:rPr>
          <w:w w:val="105"/>
          <w:sz w:val="19"/>
        </w:rPr>
        <w:t>Science,</w:t>
      </w:r>
      <w:r>
        <w:rPr>
          <w:spacing w:val="-20"/>
          <w:w w:val="105"/>
          <w:sz w:val="19"/>
        </w:rPr>
        <w:t> </w:t>
      </w:r>
      <w:r>
        <w:rPr>
          <w:w w:val="105"/>
          <w:sz w:val="19"/>
        </w:rPr>
        <w:t>Vol.</w:t>
      </w:r>
      <w:r>
        <w:rPr>
          <w:spacing w:val="-20"/>
          <w:w w:val="105"/>
          <w:sz w:val="19"/>
        </w:rPr>
        <w:t> </w:t>
      </w:r>
      <w:r>
        <w:rPr>
          <w:w w:val="105"/>
          <w:sz w:val="19"/>
        </w:rPr>
        <w:t>25,</w:t>
      </w:r>
      <w:r>
        <w:rPr>
          <w:spacing w:val="-20"/>
          <w:w w:val="105"/>
          <w:sz w:val="19"/>
        </w:rPr>
        <w:t> </w:t>
      </w:r>
      <w:r>
        <w:rPr>
          <w:w w:val="105"/>
          <w:sz w:val="19"/>
        </w:rPr>
        <w:t>N° 3</w:t>
      </w:r>
      <w:r>
        <w:rPr>
          <w:spacing w:val="-13"/>
          <w:w w:val="105"/>
          <w:sz w:val="19"/>
        </w:rPr>
        <w:t> </w:t>
      </w:r>
      <w:r>
        <w:rPr>
          <w:w w:val="105"/>
          <w:sz w:val="19"/>
        </w:rPr>
        <w:t>Jul.</w:t>
      </w:r>
      <w:r>
        <w:rPr>
          <w:spacing w:val="-15"/>
          <w:w w:val="105"/>
          <w:sz w:val="19"/>
        </w:rPr>
        <w:t> </w:t>
      </w:r>
      <w:r>
        <w:rPr>
          <w:w w:val="105"/>
          <w:sz w:val="19"/>
        </w:rPr>
        <w:t>1995.</w:t>
      </w:r>
      <w:r>
        <w:rPr>
          <w:spacing w:val="-15"/>
          <w:w w:val="105"/>
          <w:sz w:val="19"/>
        </w:rPr>
        <w:t> </w:t>
      </w:r>
      <w:r>
        <w:rPr>
          <w:w w:val="105"/>
          <w:sz w:val="19"/>
        </w:rPr>
        <w:t>Pp.</w:t>
      </w:r>
      <w:r>
        <w:rPr>
          <w:spacing w:val="-18"/>
          <w:w w:val="105"/>
          <w:sz w:val="19"/>
        </w:rPr>
        <w:t> </w:t>
      </w:r>
      <w:r>
        <w:rPr>
          <w:w w:val="105"/>
          <w:sz w:val="19"/>
        </w:rPr>
        <w:t>289-325.</w:t>
      </w:r>
    </w:p>
    <w:p>
      <w:pPr>
        <w:spacing w:line="247" w:lineRule="auto" w:before="5"/>
        <w:ind w:left="115" w:right="127" w:firstLine="0"/>
        <w:jc w:val="left"/>
        <w:rPr>
          <w:sz w:val="19"/>
        </w:rPr>
      </w:pPr>
      <w:r>
        <w:rPr>
          <w:w w:val="105"/>
          <w:sz w:val="19"/>
        </w:rPr>
        <w:t>----------------------. (2002). “Veto Players. How Political Institutions Work. Nueva York, Princeton University y Russell, Sage Foundation.</w:t>
      </w:r>
    </w:p>
    <w:p>
      <w:pPr>
        <w:pStyle w:val="BodyText"/>
        <w:spacing w:before="3"/>
        <w:rPr>
          <w:sz w:val="19"/>
        </w:rPr>
      </w:pPr>
    </w:p>
    <w:p>
      <w:pPr>
        <w:spacing w:before="0"/>
        <w:ind w:left="115" w:right="0" w:firstLine="0"/>
        <w:jc w:val="both"/>
        <w:rPr>
          <w:b/>
          <w:sz w:val="19"/>
        </w:rPr>
      </w:pPr>
      <w:r>
        <w:rPr>
          <w:b/>
          <w:w w:val="103"/>
          <w:sz w:val="19"/>
        </w:rPr>
        <w:t>U</w:t>
      </w:r>
    </w:p>
    <w:p>
      <w:pPr>
        <w:spacing w:line="247" w:lineRule="auto" w:before="7"/>
        <w:ind w:left="115" w:right="127" w:firstLine="0"/>
        <w:jc w:val="left"/>
        <w:rPr>
          <w:sz w:val="19"/>
        </w:rPr>
      </w:pPr>
      <w:r>
        <w:rPr>
          <w:b/>
          <w:w w:val="105"/>
          <w:sz w:val="19"/>
        </w:rPr>
        <w:t>Ugalde</w:t>
      </w:r>
      <w:r>
        <w:rPr>
          <w:w w:val="105"/>
          <w:sz w:val="19"/>
        </w:rPr>
        <w:t>, Luis Carlos. (2000). “The Mexican Congress: Old Player, New Power”. Washington, C: Center for Strategic and International Studies.</w:t>
      </w:r>
    </w:p>
    <w:p>
      <w:pPr>
        <w:spacing w:line="247" w:lineRule="auto" w:before="0"/>
        <w:ind w:left="115" w:right="127" w:firstLine="0"/>
        <w:jc w:val="left"/>
        <w:rPr>
          <w:sz w:val="19"/>
        </w:rPr>
      </w:pPr>
      <w:r>
        <w:rPr>
          <w:b/>
          <w:w w:val="105"/>
          <w:sz w:val="19"/>
        </w:rPr>
        <w:t>UNICEF</w:t>
      </w:r>
      <w:r>
        <w:rPr>
          <w:w w:val="105"/>
          <w:sz w:val="19"/>
        </w:rPr>
        <w:t>. (2003). “La educación de las niñas: invertir sale a cuenta”. Puede consultarse en: </w:t>
      </w:r>
      <w:hyperlink r:id="rId182">
        <w:r>
          <w:rPr>
            <w:color w:val="0000FF"/>
            <w:w w:val="105"/>
            <w:sz w:val="19"/>
            <w:u w:val="single" w:color="0000FF"/>
          </w:rPr>
          <w:t>http://www.unicef.org/spanish/publications/files/pub_Investmentgirlsirlsed_sp.pdf</w:t>
        </w:r>
      </w:hyperlink>
    </w:p>
    <w:p>
      <w:pPr>
        <w:spacing w:line="242" w:lineRule="auto" w:before="0"/>
        <w:ind w:left="115" w:right="127" w:firstLine="0"/>
        <w:jc w:val="left"/>
        <w:rPr>
          <w:sz w:val="19"/>
        </w:rPr>
      </w:pPr>
      <w:r>
        <w:rPr>
          <w:w w:val="105"/>
          <w:sz w:val="19"/>
        </w:rPr>
        <w:t>-----------.</w:t>
      </w:r>
      <w:r>
        <w:rPr>
          <w:spacing w:val="-18"/>
          <w:w w:val="105"/>
          <w:sz w:val="19"/>
        </w:rPr>
        <w:t> </w:t>
      </w:r>
      <w:r>
        <w:rPr>
          <w:w w:val="105"/>
          <w:sz w:val="19"/>
        </w:rPr>
        <w:t>(2003).</w:t>
      </w:r>
      <w:r>
        <w:rPr>
          <w:spacing w:val="-23"/>
          <w:w w:val="105"/>
          <w:sz w:val="19"/>
        </w:rPr>
        <w:t> </w:t>
      </w:r>
      <w:r>
        <w:rPr>
          <w:w w:val="105"/>
          <w:sz w:val="19"/>
        </w:rPr>
        <w:t>“Estado</w:t>
      </w:r>
      <w:r>
        <w:rPr>
          <w:spacing w:val="-18"/>
          <w:w w:val="105"/>
          <w:sz w:val="19"/>
        </w:rPr>
        <w:t> </w:t>
      </w:r>
      <w:r>
        <w:rPr>
          <w:w w:val="105"/>
          <w:sz w:val="19"/>
        </w:rPr>
        <w:t>Mundial</w:t>
      </w:r>
      <w:r>
        <w:rPr>
          <w:spacing w:val="-15"/>
          <w:w w:val="105"/>
          <w:sz w:val="19"/>
        </w:rPr>
        <w:t> </w:t>
      </w:r>
      <w:r>
        <w:rPr>
          <w:w w:val="105"/>
          <w:sz w:val="19"/>
        </w:rPr>
        <w:t>de</w:t>
      </w:r>
      <w:r>
        <w:rPr>
          <w:spacing w:val="-18"/>
          <w:w w:val="105"/>
          <w:sz w:val="19"/>
        </w:rPr>
        <w:t> </w:t>
      </w:r>
      <w:r>
        <w:rPr>
          <w:w w:val="105"/>
          <w:sz w:val="19"/>
        </w:rPr>
        <w:t>la</w:t>
      </w:r>
      <w:r>
        <w:rPr>
          <w:spacing w:val="-18"/>
          <w:w w:val="105"/>
          <w:sz w:val="19"/>
        </w:rPr>
        <w:t> </w:t>
      </w:r>
      <w:r>
        <w:rPr>
          <w:w w:val="105"/>
          <w:sz w:val="19"/>
        </w:rPr>
        <w:t>Infancia</w:t>
      </w:r>
      <w:r>
        <w:rPr>
          <w:spacing w:val="-18"/>
          <w:w w:val="105"/>
          <w:sz w:val="19"/>
        </w:rPr>
        <w:t> </w:t>
      </w:r>
      <w:r>
        <w:rPr>
          <w:w w:val="105"/>
          <w:sz w:val="19"/>
        </w:rPr>
        <w:t>2004”.</w:t>
      </w:r>
      <w:r>
        <w:rPr>
          <w:spacing w:val="-23"/>
          <w:w w:val="105"/>
          <w:sz w:val="19"/>
        </w:rPr>
        <w:t> </w:t>
      </w:r>
      <w:r>
        <w:rPr>
          <w:w w:val="105"/>
          <w:sz w:val="19"/>
        </w:rPr>
        <w:t>Puede</w:t>
      </w:r>
      <w:r>
        <w:rPr>
          <w:spacing w:val="-18"/>
          <w:w w:val="105"/>
          <w:sz w:val="19"/>
        </w:rPr>
        <w:t> </w:t>
      </w:r>
      <w:r>
        <w:rPr>
          <w:w w:val="105"/>
          <w:sz w:val="19"/>
        </w:rPr>
        <w:t>consultarse</w:t>
      </w:r>
      <w:r>
        <w:rPr>
          <w:spacing w:val="-18"/>
          <w:w w:val="105"/>
          <w:sz w:val="19"/>
        </w:rPr>
        <w:t> </w:t>
      </w:r>
      <w:r>
        <w:rPr>
          <w:w w:val="105"/>
          <w:sz w:val="19"/>
        </w:rPr>
        <w:t>en: </w:t>
      </w:r>
      <w:hyperlink r:id="rId183">
        <w:r>
          <w:rPr>
            <w:color w:val="0000FF"/>
            <w:w w:val="105"/>
            <w:sz w:val="19"/>
            <w:u w:val="single" w:color="0000FF"/>
          </w:rPr>
          <w:t>http://www.unicef.org/spanish/sowc04/files/SOWC_04_SP.pdf</w:t>
        </w:r>
      </w:hyperlink>
    </w:p>
    <w:p>
      <w:pPr>
        <w:spacing w:before="0"/>
        <w:ind w:left="115" w:right="0" w:firstLine="0"/>
        <w:jc w:val="both"/>
        <w:rPr>
          <w:sz w:val="19"/>
        </w:rPr>
      </w:pPr>
      <w:r>
        <w:rPr>
          <w:b/>
          <w:w w:val="105"/>
          <w:sz w:val="19"/>
        </w:rPr>
        <w:t>UNESCO </w:t>
      </w:r>
      <w:r>
        <w:rPr>
          <w:w w:val="105"/>
          <w:sz w:val="19"/>
        </w:rPr>
        <w:t>(2000). “Resultados Mundiales en Foro Mundial sobre la Educación” página 1.</w:t>
      </w:r>
    </w:p>
    <w:p>
      <w:pPr>
        <w:spacing w:line="247" w:lineRule="auto" w:before="7"/>
        <w:ind w:left="115" w:right="127" w:firstLine="0"/>
        <w:jc w:val="left"/>
        <w:rPr>
          <w:sz w:val="19"/>
        </w:rPr>
      </w:pPr>
      <w:r>
        <w:rPr>
          <w:w w:val="105"/>
          <w:sz w:val="19"/>
        </w:rPr>
        <w:t>------------. (2002). “Una estrategia internacional para aplicar el Marco de Acción de Dakar sobre Educación para Todos”. Francia. Puede consultarse en: </w:t>
      </w:r>
      <w:hyperlink r:id="rId184">
        <w:r>
          <w:rPr>
            <w:color w:val="0000FF"/>
            <w:w w:val="105"/>
            <w:sz w:val="19"/>
            <w:u w:val="single" w:color="0000FF"/>
          </w:rPr>
          <w:t>http://www.unesco.org/education/efa/global_co/global_initiative/strategy_summary_spa.pdf</w:t>
        </w:r>
      </w:hyperlink>
    </w:p>
    <w:p>
      <w:pPr>
        <w:spacing w:line="247" w:lineRule="auto" w:before="0"/>
        <w:ind w:left="115" w:right="41" w:firstLine="0"/>
        <w:jc w:val="left"/>
        <w:rPr>
          <w:sz w:val="19"/>
        </w:rPr>
      </w:pPr>
      <w:r>
        <w:rPr>
          <w:w w:val="105"/>
          <w:sz w:val="19"/>
        </w:rPr>
        <w:t>------------. (2004). “Coordinación Intersectorial de Políticas y Programas de la Primera Infancia. Experiencias en América Latina”. Oficina Regional de Educación para América Latina y el Caribe.</w:t>
      </w:r>
    </w:p>
    <w:p>
      <w:pPr>
        <w:pStyle w:val="BodyText"/>
        <w:spacing w:before="3"/>
        <w:rPr>
          <w:sz w:val="19"/>
        </w:rPr>
      </w:pPr>
    </w:p>
    <w:p>
      <w:pPr>
        <w:spacing w:before="0"/>
        <w:ind w:left="115" w:right="0" w:firstLine="0"/>
        <w:jc w:val="both"/>
        <w:rPr>
          <w:b/>
          <w:sz w:val="19"/>
        </w:rPr>
      </w:pPr>
      <w:r>
        <w:rPr>
          <w:b/>
          <w:w w:val="103"/>
          <w:sz w:val="19"/>
        </w:rPr>
        <w:t>V</w:t>
      </w:r>
    </w:p>
    <w:p>
      <w:pPr>
        <w:spacing w:after="0"/>
        <w:jc w:val="both"/>
        <w:rPr>
          <w:sz w:val="19"/>
        </w:rPr>
        <w:sectPr>
          <w:pgSz w:w="11910" w:h="16840"/>
          <w:pgMar w:header="0" w:footer="1457" w:top="1580" w:bottom="1640" w:left="1540" w:right="1520"/>
        </w:sectPr>
      </w:pPr>
    </w:p>
    <w:p>
      <w:pPr>
        <w:pStyle w:val="BodyText"/>
        <w:rPr>
          <w:b/>
          <w:sz w:val="20"/>
        </w:rPr>
      </w:pPr>
    </w:p>
    <w:p>
      <w:pPr>
        <w:pStyle w:val="BodyText"/>
        <w:spacing w:before="10"/>
        <w:rPr>
          <w:b/>
          <w:sz w:val="15"/>
        </w:rPr>
      </w:pPr>
    </w:p>
    <w:p>
      <w:pPr>
        <w:spacing w:line="247" w:lineRule="auto" w:before="81"/>
        <w:ind w:left="115" w:right="120" w:firstLine="0"/>
        <w:jc w:val="both"/>
        <w:rPr>
          <w:sz w:val="19"/>
        </w:rPr>
      </w:pPr>
      <w:r>
        <w:rPr>
          <w:b/>
          <w:w w:val="105"/>
          <w:sz w:val="19"/>
        </w:rPr>
        <w:t>Valenti</w:t>
      </w:r>
      <w:r>
        <w:rPr>
          <w:w w:val="105"/>
          <w:sz w:val="19"/>
        </w:rPr>
        <w:t>, Giovanna y Gloria del Castillo. (1997). “Interés público y educación superior: un enfoque de política pública”. En Alejandro Mungaray y Giovanna </w:t>
      </w:r>
      <w:r>
        <w:rPr>
          <w:b/>
          <w:w w:val="105"/>
          <w:sz w:val="19"/>
        </w:rPr>
        <w:t>Valenti </w:t>
      </w:r>
      <w:r>
        <w:rPr>
          <w:w w:val="105"/>
          <w:sz w:val="19"/>
        </w:rPr>
        <w:t>(coords.), Políticas públicas y educación superior, México, ANUIES.</w:t>
      </w:r>
    </w:p>
    <w:p>
      <w:pPr>
        <w:tabs>
          <w:tab w:pos="1892" w:val="left" w:leader="none"/>
          <w:tab w:pos="3436" w:val="left" w:leader="none"/>
          <w:tab w:pos="4471" w:val="left" w:leader="none"/>
          <w:tab w:pos="5601" w:val="left" w:leader="none"/>
          <w:tab w:pos="6806" w:val="left" w:leader="none"/>
          <w:tab w:pos="8446" w:val="left" w:leader="none"/>
        </w:tabs>
        <w:spacing w:line="247" w:lineRule="auto" w:before="0"/>
        <w:ind w:left="116" w:right="119" w:firstLine="0"/>
        <w:jc w:val="both"/>
        <w:rPr>
          <w:sz w:val="19"/>
        </w:rPr>
      </w:pPr>
      <w:r>
        <w:rPr>
          <w:b/>
          <w:spacing w:val="-2"/>
          <w:w w:val="105"/>
          <w:sz w:val="19"/>
        </w:rPr>
        <w:t>Van </w:t>
      </w:r>
      <w:r>
        <w:rPr>
          <w:b/>
          <w:w w:val="105"/>
          <w:sz w:val="19"/>
        </w:rPr>
        <w:t>Dijk</w:t>
      </w:r>
      <w:r>
        <w:rPr>
          <w:w w:val="105"/>
          <w:sz w:val="19"/>
        </w:rPr>
        <w:t>, Sylvia. (2009). “Breve revisión histórica de la evaluación en México”. Revista de Investigación</w:t>
        <w:tab/>
        <w:t>Educativa.</w:t>
        <w:tab/>
        <w:t>Abril</w:t>
        <w:tab/>
        <w:t>2009.</w:t>
        <w:tab/>
        <w:t>Puede</w:t>
        <w:tab/>
        <w:t>consultarse</w:t>
        <w:tab/>
        <w:t>en: </w:t>
      </w:r>
      <w:hyperlink r:id="rId185">
        <w:r>
          <w:rPr>
            <w:color w:val="0000FF"/>
            <w:w w:val="105"/>
            <w:sz w:val="19"/>
            <w:u w:val="single" w:color="0000FF"/>
          </w:rPr>
          <w:t>http://www.educatio.ugto.mx/PDFs/educatio7/Van.pdf</w:t>
        </w:r>
      </w:hyperlink>
    </w:p>
    <w:p>
      <w:pPr>
        <w:spacing w:line="215" w:lineRule="exact" w:before="0"/>
        <w:ind w:left="115" w:right="0" w:firstLine="0"/>
        <w:jc w:val="both"/>
        <w:rPr>
          <w:sz w:val="19"/>
        </w:rPr>
      </w:pPr>
      <w:r>
        <w:rPr>
          <w:w w:val="105"/>
          <w:sz w:val="19"/>
        </w:rPr>
        <w:t>Consulta realizada en octubre de 2011.</w:t>
      </w:r>
    </w:p>
    <w:p>
      <w:pPr>
        <w:spacing w:line="247" w:lineRule="auto" w:before="2"/>
        <w:ind w:left="115" w:right="122" w:firstLine="0"/>
        <w:jc w:val="both"/>
        <w:rPr>
          <w:sz w:val="19"/>
        </w:rPr>
      </w:pPr>
      <w:r>
        <w:rPr>
          <w:w w:val="105"/>
          <w:sz w:val="19"/>
        </w:rPr>
        <w:t>Villa Lever, Lorenza. (2001). </w:t>
      </w:r>
      <w:r>
        <w:rPr>
          <w:i/>
          <w:w w:val="105"/>
          <w:sz w:val="19"/>
        </w:rPr>
        <w:t>Et al y otros</w:t>
      </w:r>
      <w:r>
        <w:rPr>
          <w:w w:val="105"/>
          <w:sz w:val="19"/>
        </w:rPr>
        <w:t>. “Comentarios al Programa Nacional de Educación”. Primera parte, Comunicado Núm. 63. Octubre 13. En Observatorio ciudadano de la educación. Puede consultarse en </w:t>
      </w:r>
      <w:hyperlink r:id="rId186">
        <w:r>
          <w:rPr>
            <w:color w:val="0000FF"/>
            <w:w w:val="105"/>
            <w:sz w:val="19"/>
            <w:u w:val="single" w:color="0000FF"/>
          </w:rPr>
          <w:t>http://www.observatorio.org/comunicados/comun063.html</w:t>
        </w:r>
        <w:r>
          <w:rPr>
            <w:w w:val="105"/>
            <w:sz w:val="19"/>
          </w:rPr>
          <w:t>.</w:t>
        </w:r>
      </w:hyperlink>
      <w:r>
        <w:rPr>
          <w:w w:val="105"/>
          <w:sz w:val="19"/>
        </w:rPr>
        <w:t> Consulta realizada en noviembre de 2011.</w:t>
      </w:r>
    </w:p>
    <w:p>
      <w:pPr>
        <w:spacing w:line="249" w:lineRule="auto" w:before="0"/>
        <w:ind w:left="115" w:right="127" w:firstLine="0"/>
        <w:jc w:val="left"/>
        <w:rPr>
          <w:sz w:val="19"/>
        </w:rPr>
      </w:pPr>
      <w:r>
        <w:rPr>
          <w:w w:val="105"/>
          <w:sz w:val="19"/>
        </w:rPr>
        <w:t>--------------- </w:t>
      </w:r>
      <w:r>
        <w:rPr>
          <w:i/>
          <w:w w:val="105"/>
          <w:sz w:val="19"/>
        </w:rPr>
        <w:t>et al y otros. </w:t>
      </w:r>
      <w:r>
        <w:rPr>
          <w:w w:val="105"/>
          <w:sz w:val="19"/>
        </w:rPr>
        <w:t>(2003). “Equidad y gestión”. </w:t>
      </w:r>
      <w:r>
        <w:rPr>
          <w:i/>
          <w:w w:val="105"/>
          <w:sz w:val="19"/>
        </w:rPr>
        <w:t>C</w:t>
      </w:r>
      <w:r>
        <w:rPr>
          <w:w w:val="105"/>
          <w:sz w:val="19"/>
        </w:rPr>
        <w:t>omunicado Núm.114. Noviembre 27. Observatorio ciudadano de la educación Puede consultarse en: </w:t>
      </w:r>
      <w:hyperlink r:id="rId187">
        <w:r>
          <w:rPr>
            <w:color w:val="0000FF"/>
            <w:w w:val="105"/>
            <w:sz w:val="19"/>
            <w:u w:val="single" w:color="0000FF"/>
          </w:rPr>
          <w:t>http://www.observatorio.org/comunicados/comun114.html</w:t>
        </w:r>
      </w:hyperlink>
      <w:r>
        <w:rPr>
          <w:color w:val="0000FF"/>
          <w:w w:val="105"/>
          <w:sz w:val="19"/>
          <w:u w:val="single" w:color="0000FF"/>
        </w:rPr>
        <w:t> </w:t>
      </w:r>
      <w:r>
        <w:rPr>
          <w:w w:val="105"/>
          <w:sz w:val="19"/>
        </w:rPr>
        <w:t>.Consulta realizada en junio de 2012.</w:t>
      </w:r>
    </w:p>
    <w:p>
      <w:pPr>
        <w:spacing w:line="249" w:lineRule="auto" w:before="0"/>
        <w:ind w:left="115" w:right="124" w:firstLine="0"/>
        <w:jc w:val="both"/>
        <w:rPr>
          <w:sz w:val="19"/>
        </w:rPr>
      </w:pPr>
      <w:r>
        <w:rPr>
          <w:i/>
          <w:w w:val="105"/>
          <w:sz w:val="19"/>
        </w:rPr>
        <w:t>---------------</w:t>
      </w:r>
      <w:r>
        <w:rPr>
          <w:i/>
          <w:spacing w:val="-18"/>
          <w:w w:val="105"/>
          <w:sz w:val="19"/>
        </w:rPr>
        <w:t> </w:t>
      </w:r>
      <w:r>
        <w:rPr>
          <w:i/>
          <w:w w:val="105"/>
          <w:sz w:val="19"/>
        </w:rPr>
        <w:t>et.</w:t>
      </w:r>
      <w:r>
        <w:rPr>
          <w:i/>
          <w:spacing w:val="-18"/>
          <w:w w:val="105"/>
          <w:sz w:val="19"/>
        </w:rPr>
        <w:t> </w:t>
      </w:r>
      <w:r>
        <w:rPr>
          <w:i/>
          <w:spacing w:val="2"/>
          <w:w w:val="105"/>
          <w:sz w:val="19"/>
        </w:rPr>
        <w:t>al</w:t>
      </w:r>
      <w:r>
        <w:rPr>
          <w:i/>
          <w:spacing w:val="-21"/>
          <w:w w:val="105"/>
          <w:sz w:val="19"/>
        </w:rPr>
        <w:t> </w:t>
      </w:r>
      <w:r>
        <w:rPr>
          <w:i/>
          <w:w w:val="105"/>
          <w:sz w:val="19"/>
        </w:rPr>
        <w:t>y</w:t>
      </w:r>
      <w:r>
        <w:rPr>
          <w:i/>
          <w:spacing w:val="-12"/>
          <w:w w:val="105"/>
          <w:sz w:val="19"/>
        </w:rPr>
        <w:t> </w:t>
      </w:r>
      <w:r>
        <w:rPr>
          <w:i/>
          <w:w w:val="105"/>
          <w:sz w:val="19"/>
        </w:rPr>
        <w:t>otros</w:t>
      </w:r>
      <w:r>
        <w:rPr>
          <w:w w:val="105"/>
          <w:sz w:val="19"/>
        </w:rPr>
        <w:t>.</w:t>
      </w:r>
      <w:r>
        <w:rPr>
          <w:spacing w:val="-18"/>
          <w:w w:val="105"/>
          <w:sz w:val="19"/>
        </w:rPr>
        <w:t> </w:t>
      </w:r>
      <w:r>
        <w:rPr>
          <w:w w:val="105"/>
          <w:sz w:val="19"/>
        </w:rPr>
        <w:t>(2008).</w:t>
      </w:r>
      <w:r>
        <w:rPr>
          <w:spacing w:val="-18"/>
          <w:w w:val="105"/>
          <w:sz w:val="19"/>
        </w:rPr>
        <w:t> </w:t>
      </w:r>
      <w:r>
        <w:rPr>
          <w:w w:val="105"/>
          <w:sz w:val="19"/>
        </w:rPr>
        <w:t>“La</w:t>
      </w:r>
      <w:r>
        <w:rPr>
          <w:spacing w:val="-15"/>
          <w:w w:val="105"/>
          <w:sz w:val="19"/>
        </w:rPr>
        <w:t> </w:t>
      </w:r>
      <w:r>
        <w:rPr>
          <w:w w:val="105"/>
          <w:sz w:val="19"/>
        </w:rPr>
        <w:t>participación</w:t>
      </w:r>
      <w:r>
        <w:rPr>
          <w:spacing w:val="-15"/>
          <w:w w:val="105"/>
          <w:sz w:val="19"/>
        </w:rPr>
        <w:t> </w:t>
      </w:r>
      <w:r>
        <w:rPr>
          <w:w w:val="105"/>
          <w:sz w:val="19"/>
        </w:rPr>
        <w:t>social</w:t>
      </w:r>
      <w:r>
        <w:rPr>
          <w:spacing w:val="-10"/>
          <w:w w:val="105"/>
          <w:sz w:val="19"/>
        </w:rPr>
        <w:t> </w:t>
      </w:r>
      <w:r>
        <w:rPr>
          <w:w w:val="105"/>
          <w:sz w:val="19"/>
        </w:rPr>
        <w:t>en</w:t>
      </w:r>
      <w:r>
        <w:rPr>
          <w:spacing w:val="-15"/>
          <w:w w:val="105"/>
          <w:sz w:val="19"/>
        </w:rPr>
        <w:t> </w:t>
      </w:r>
      <w:r>
        <w:rPr>
          <w:w w:val="105"/>
          <w:sz w:val="19"/>
        </w:rPr>
        <w:t>la</w:t>
      </w:r>
      <w:r>
        <w:rPr>
          <w:spacing w:val="-15"/>
          <w:w w:val="105"/>
          <w:sz w:val="19"/>
        </w:rPr>
        <w:t> </w:t>
      </w:r>
      <w:r>
        <w:rPr>
          <w:w w:val="105"/>
          <w:sz w:val="19"/>
        </w:rPr>
        <w:t>escuela”</w:t>
      </w:r>
      <w:r>
        <w:rPr>
          <w:i/>
          <w:w w:val="105"/>
          <w:sz w:val="19"/>
        </w:rPr>
        <w:t>.</w:t>
      </w:r>
      <w:r>
        <w:rPr>
          <w:i/>
          <w:spacing w:val="-18"/>
          <w:w w:val="105"/>
          <w:sz w:val="19"/>
        </w:rPr>
        <w:t> </w:t>
      </w:r>
      <w:r>
        <w:rPr>
          <w:i/>
          <w:w w:val="105"/>
          <w:sz w:val="19"/>
        </w:rPr>
        <w:t>En</w:t>
      </w:r>
      <w:r>
        <w:rPr>
          <w:i/>
          <w:spacing w:val="-16"/>
          <w:w w:val="105"/>
          <w:sz w:val="19"/>
        </w:rPr>
        <w:t> </w:t>
      </w:r>
      <w:r>
        <w:rPr>
          <w:w w:val="105"/>
          <w:sz w:val="19"/>
        </w:rPr>
        <w:t>Observatorio</w:t>
      </w:r>
      <w:r>
        <w:rPr>
          <w:spacing w:val="-16"/>
          <w:w w:val="105"/>
          <w:sz w:val="19"/>
        </w:rPr>
        <w:t> </w:t>
      </w:r>
      <w:r>
        <w:rPr>
          <w:w w:val="105"/>
          <w:sz w:val="19"/>
        </w:rPr>
        <w:t>ciudadano de la educación Comunicado </w:t>
      </w:r>
      <w:r>
        <w:rPr>
          <w:spacing w:val="2"/>
          <w:w w:val="105"/>
          <w:sz w:val="19"/>
        </w:rPr>
        <w:t>Núm. </w:t>
      </w:r>
      <w:r>
        <w:rPr>
          <w:w w:val="105"/>
          <w:sz w:val="19"/>
        </w:rPr>
        <w:t>1. Enero 28. Puede consultarse en: </w:t>
      </w:r>
      <w:hyperlink r:id="rId188">
        <w:r>
          <w:rPr>
            <w:color w:val="0000FF"/>
            <w:w w:val="105"/>
            <w:sz w:val="19"/>
            <w:u w:val="single" w:color="0000FF"/>
          </w:rPr>
          <w:t>http://www.observatorio.org/comunicados/comun001.html.</w:t>
        </w:r>
      </w:hyperlink>
    </w:p>
    <w:p>
      <w:pPr>
        <w:pStyle w:val="BodyText"/>
        <w:rPr>
          <w:sz w:val="20"/>
        </w:rPr>
      </w:pPr>
    </w:p>
    <w:p>
      <w:pPr>
        <w:pStyle w:val="BodyText"/>
        <w:rPr>
          <w:sz w:val="20"/>
        </w:rPr>
      </w:pPr>
    </w:p>
    <w:p>
      <w:pPr>
        <w:pStyle w:val="BodyText"/>
        <w:spacing w:before="3"/>
        <w:rPr>
          <w:sz w:val="18"/>
        </w:rPr>
      </w:pPr>
    </w:p>
    <w:p>
      <w:pPr>
        <w:spacing w:line="242" w:lineRule="auto" w:before="0"/>
        <w:ind w:left="115" w:right="129" w:firstLine="0"/>
        <w:jc w:val="both"/>
        <w:rPr>
          <w:sz w:val="19"/>
        </w:rPr>
      </w:pPr>
      <w:r>
        <w:rPr>
          <w:b/>
          <w:w w:val="105"/>
          <w:sz w:val="19"/>
        </w:rPr>
        <w:t>Villarreal</w:t>
      </w:r>
      <w:r>
        <w:rPr>
          <w:w w:val="105"/>
          <w:sz w:val="19"/>
        </w:rPr>
        <w:t>, H. (2005). “La Asignación de los Recursos Públicos a la Educación: Problemática y Perspectivas”, México: Fondo de Cultura Económica.</w:t>
      </w:r>
    </w:p>
    <w:p>
      <w:pPr>
        <w:pStyle w:val="BodyText"/>
        <w:spacing w:before="7"/>
        <w:rPr>
          <w:sz w:val="19"/>
        </w:rPr>
      </w:pPr>
    </w:p>
    <w:p>
      <w:pPr>
        <w:spacing w:before="0"/>
        <w:ind w:left="115" w:right="0" w:firstLine="0"/>
        <w:jc w:val="both"/>
        <w:rPr>
          <w:b/>
          <w:sz w:val="19"/>
        </w:rPr>
      </w:pPr>
      <w:r>
        <w:rPr>
          <w:b/>
          <w:w w:val="103"/>
          <w:sz w:val="19"/>
        </w:rPr>
        <w:t>W</w:t>
      </w:r>
    </w:p>
    <w:p>
      <w:pPr>
        <w:spacing w:line="247" w:lineRule="auto" w:before="2"/>
        <w:ind w:left="115" w:right="127" w:firstLine="0"/>
        <w:jc w:val="both"/>
        <w:rPr>
          <w:sz w:val="19"/>
        </w:rPr>
      </w:pPr>
      <w:r>
        <w:rPr>
          <w:b/>
          <w:w w:val="105"/>
          <w:sz w:val="19"/>
        </w:rPr>
        <w:t>Weldon </w:t>
      </w:r>
      <w:r>
        <w:rPr>
          <w:w w:val="105"/>
          <w:sz w:val="19"/>
        </w:rPr>
        <w:t>Jeffrey. (2002b). “Las fuentes políticas del presidencialismo en México”, en: Mainwaring Scout, Sobert Shugart, Matthew, (coordinadores), “Presidencialismo y democracia en América Latina”, Argentina. Publicado en ingles en 1997.</w:t>
      </w:r>
    </w:p>
    <w:p>
      <w:pPr>
        <w:spacing w:line="247" w:lineRule="auto" w:before="0"/>
        <w:ind w:left="115" w:right="41" w:firstLine="0"/>
        <w:jc w:val="left"/>
        <w:rPr>
          <w:sz w:val="19"/>
        </w:rPr>
      </w:pPr>
      <w:r>
        <w:rPr>
          <w:w w:val="105"/>
          <w:sz w:val="19"/>
        </w:rPr>
        <w:t>------------------. (2003). “El Congreso, las maquinarias políticas locales y el “Maximato”: Las reformas no-reeleccionistas de 1933”, en: Dworak, Fernando (Coordinador), </w:t>
      </w:r>
      <w:r>
        <w:rPr>
          <w:spacing w:val="-4"/>
          <w:w w:val="105"/>
          <w:sz w:val="19"/>
        </w:rPr>
        <w:t>“El </w:t>
      </w:r>
      <w:r>
        <w:rPr>
          <w:w w:val="105"/>
          <w:sz w:val="19"/>
        </w:rPr>
        <w:t>legislador a examen.</w:t>
      </w:r>
      <w:r>
        <w:rPr>
          <w:spacing w:val="-21"/>
          <w:w w:val="105"/>
          <w:sz w:val="19"/>
        </w:rPr>
        <w:t> </w:t>
      </w:r>
      <w:r>
        <w:rPr>
          <w:w w:val="105"/>
          <w:sz w:val="19"/>
        </w:rPr>
        <w:t>El</w:t>
      </w:r>
      <w:r>
        <w:rPr>
          <w:spacing w:val="-16"/>
          <w:w w:val="105"/>
          <w:sz w:val="19"/>
        </w:rPr>
        <w:t> </w:t>
      </w:r>
      <w:r>
        <w:rPr>
          <w:w w:val="105"/>
          <w:sz w:val="19"/>
        </w:rPr>
        <w:t>debate</w:t>
      </w:r>
      <w:r>
        <w:rPr>
          <w:spacing w:val="-16"/>
          <w:w w:val="105"/>
          <w:sz w:val="19"/>
        </w:rPr>
        <w:t> </w:t>
      </w:r>
      <w:r>
        <w:rPr>
          <w:w w:val="105"/>
          <w:sz w:val="19"/>
        </w:rPr>
        <w:t>sobre</w:t>
      </w:r>
      <w:r>
        <w:rPr>
          <w:spacing w:val="-16"/>
          <w:w w:val="105"/>
          <w:sz w:val="19"/>
        </w:rPr>
        <w:t> </w:t>
      </w:r>
      <w:r>
        <w:rPr>
          <w:w w:val="105"/>
          <w:sz w:val="19"/>
        </w:rPr>
        <w:t>la</w:t>
      </w:r>
      <w:r>
        <w:rPr>
          <w:spacing w:val="-16"/>
          <w:w w:val="105"/>
          <w:sz w:val="19"/>
        </w:rPr>
        <w:t> </w:t>
      </w:r>
      <w:r>
        <w:rPr>
          <w:w w:val="105"/>
          <w:sz w:val="19"/>
        </w:rPr>
        <w:t>reelección</w:t>
      </w:r>
      <w:r>
        <w:rPr>
          <w:spacing w:val="-19"/>
          <w:w w:val="105"/>
          <w:sz w:val="19"/>
        </w:rPr>
        <w:t> </w:t>
      </w:r>
      <w:r>
        <w:rPr>
          <w:w w:val="105"/>
          <w:sz w:val="19"/>
        </w:rPr>
        <w:t>legislativa</w:t>
      </w:r>
      <w:r>
        <w:rPr>
          <w:spacing w:val="-16"/>
          <w:w w:val="105"/>
          <w:sz w:val="19"/>
        </w:rPr>
        <w:t> </w:t>
      </w:r>
      <w:r>
        <w:rPr>
          <w:spacing w:val="3"/>
          <w:w w:val="105"/>
          <w:sz w:val="19"/>
        </w:rPr>
        <w:t>en</w:t>
      </w:r>
      <w:r>
        <w:rPr>
          <w:spacing w:val="-16"/>
          <w:w w:val="105"/>
          <w:sz w:val="19"/>
        </w:rPr>
        <w:t> </w:t>
      </w:r>
      <w:r>
        <w:rPr>
          <w:w w:val="105"/>
          <w:sz w:val="19"/>
        </w:rPr>
        <w:t>México”,</w:t>
      </w:r>
      <w:r>
        <w:rPr>
          <w:spacing w:val="-20"/>
          <w:w w:val="105"/>
          <w:sz w:val="19"/>
        </w:rPr>
        <w:t> </w:t>
      </w:r>
      <w:r>
        <w:rPr>
          <w:w w:val="105"/>
          <w:sz w:val="19"/>
        </w:rPr>
        <w:t>México,</w:t>
      </w:r>
      <w:r>
        <w:rPr>
          <w:spacing w:val="-21"/>
          <w:w w:val="105"/>
          <w:sz w:val="19"/>
        </w:rPr>
        <w:t> </w:t>
      </w:r>
      <w:r>
        <w:rPr>
          <w:w w:val="105"/>
          <w:sz w:val="19"/>
        </w:rPr>
        <w:t>FCE-Cámara</w:t>
      </w:r>
      <w:r>
        <w:rPr>
          <w:spacing w:val="-19"/>
          <w:w w:val="105"/>
          <w:sz w:val="19"/>
        </w:rPr>
        <w:t> </w:t>
      </w:r>
      <w:r>
        <w:rPr>
          <w:spacing w:val="2"/>
          <w:w w:val="105"/>
          <w:sz w:val="19"/>
        </w:rPr>
        <w:t>de</w:t>
      </w:r>
      <w:r>
        <w:rPr>
          <w:spacing w:val="-19"/>
          <w:w w:val="105"/>
          <w:sz w:val="19"/>
        </w:rPr>
        <w:t> </w:t>
      </w:r>
      <w:r>
        <w:rPr>
          <w:w w:val="105"/>
          <w:sz w:val="19"/>
        </w:rPr>
        <w:t>Diputados. </w:t>
      </w:r>
      <w:r>
        <w:rPr>
          <w:b/>
          <w:w w:val="105"/>
          <w:sz w:val="19"/>
        </w:rPr>
        <w:t>Weldon</w:t>
      </w:r>
      <w:r>
        <w:rPr>
          <w:w w:val="105"/>
          <w:sz w:val="19"/>
        </w:rPr>
        <w:t>,</w:t>
      </w:r>
      <w:r>
        <w:rPr>
          <w:spacing w:val="-17"/>
          <w:w w:val="105"/>
          <w:sz w:val="19"/>
        </w:rPr>
        <w:t> </w:t>
      </w:r>
      <w:r>
        <w:rPr>
          <w:w w:val="105"/>
          <w:sz w:val="19"/>
        </w:rPr>
        <w:t>Steven.</w:t>
      </w:r>
      <w:r>
        <w:rPr>
          <w:spacing w:val="-14"/>
          <w:w w:val="105"/>
          <w:sz w:val="19"/>
        </w:rPr>
        <w:t> </w:t>
      </w:r>
      <w:r>
        <w:rPr>
          <w:w w:val="105"/>
          <w:sz w:val="19"/>
        </w:rPr>
        <w:t>(2006).</w:t>
      </w:r>
      <w:r>
        <w:rPr>
          <w:spacing w:val="-21"/>
          <w:w w:val="105"/>
          <w:sz w:val="19"/>
        </w:rPr>
        <w:t> </w:t>
      </w:r>
      <w:r>
        <w:rPr>
          <w:b/>
          <w:w w:val="105"/>
          <w:sz w:val="19"/>
        </w:rPr>
        <w:t>“</w:t>
      </w:r>
      <w:r>
        <w:rPr>
          <w:w w:val="105"/>
          <w:sz w:val="19"/>
        </w:rPr>
        <w:t>Downsize</w:t>
      </w:r>
      <w:r>
        <w:rPr>
          <w:spacing w:val="-13"/>
          <w:w w:val="105"/>
          <w:sz w:val="19"/>
        </w:rPr>
        <w:t> </w:t>
      </w:r>
      <w:r>
        <w:rPr>
          <w:spacing w:val="-4"/>
          <w:w w:val="105"/>
          <w:sz w:val="19"/>
        </w:rPr>
        <w:t>My</w:t>
      </w:r>
      <w:r>
        <w:rPr>
          <w:spacing w:val="-13"/>
          <w:w w:val="105"/>
          <w:sz w:val="19"/>
        </w:rPr>
        <w:t> </w:t>
      </w:r>
      <w:r>
        <w:rPr>
          <w:w w:val="105"/>
          <w:sz w:val="19"/>
        </w:rPr>
        <w:t>Polity?:</w:t>
      </w:r>
      <w:r>
        <w:rPr>
          <w:spacing w:val="-11"/>
          <w:w w:val="105"/>
          <w:sz w:val="19"/>
        </w:rPr>
        <w:t> </w:t>
      </w:r>
      <w:r>
        <w:rPr>
          <w:spacing w:val="-3"/>
          <w:w w:val="105"/>
          <w:sz w:val="19"/>
        </w:rPr>
        <w:t>Impacts</w:t>
      </w:r>
      <w:r>
        <w:rPr>
          <w:spacing w:val="-13"/>
          <w:w w:val="105"/>
          <w:sz w:val="19"/>
        </w:rPr>
        <w:t> </w:t>
      </w:r>
      <w:r>
        <w:rPr>
          <w:w w:val="105"/>
          <w:sz w:val="19"/>
        </w:rPr>
        <w:t>of</w:t>
      </w:r>
      <w:r>
        <w:rPr>
          <w:spacing w:val="-13"/>
          <w:w w:val="105"/>
          <w:sz w:val="19"/>
        </w:rPr>
        <w:t> </w:t>
      </w:r>
      <w:r>
        <w:rPr>
          <w:w w:val="105"/>
          <w:sz w:val="19"/>
        </w:rPr>
        <w:t>Size</w:t>
      </w:r>
      <w:r>
        <w:rPr>
          <w:spacing w:val="-13"/>
          <w:w w:val="105"/>
          <w:sz w:val="19"/>
        </w:rPr>
        <w:t> </w:t>
      </w:r>
      <w:r>
        <w:rPr>
          <w:spacing w:val="-3"/>
          <w:w w:val="105"/>
          <w:sz w:val="19"/>
        </w:rPr>
        <w:t>on</w:t>
      </w:r>
      <w:r>
        <w:rPr>
          <w:spacing w:val="-13"/>
          <w:w w:val="105"/>
          <w:sz w:val="19"/>
        </w:rPr>
        <w:t> </w:t>
      </w:r>
      <w:r>
        <w:rPr>
          <w:w w:val="105"/>
          <w:sz w:val="19"/>
        </w:rPr>
        <w:t>Party</w:t>
      </w:r>
      <w:r>
        <w:rPr>
          <w:spacing w:val="-17"/>
          <w:w w:val="105"/>
          <w:sz w:val="19"/>
        </w:rPr>
        <w:t> </w:t>
      </w:r>
      <w:r>
        <w:rPr>
          <w:w w:val="105"/>
          <w:sz w:val="19"/>
        </w:rPr>
        <w:t>Membership</w:t>
      </w:r>
      <w:r>
        <w:rPr>
          <w:spacing w:val="-13"/>
          <w:w w:val="105"/>
          <w:sz w:val="19"/>
        </w:rPr>
        <w:t> </w:t>
      </w:r>
      <w:r>
        <w:rPr>
          <w:w w:val="105"/>
          <w:sz w:val="19"/>
        </w:rPr>
        <w:t>and</w:t>
      </w:r>
      <w:r>
        <w:rPr>
          <w:spacing w:val="-13"/>
          <w:w w:val="105"/>
          <w:sz w:val="19"/>
        </w:rPr>
        <w:t> </w:t>
      </w:r>
      <w:r>
        <w:rPr>
          <w:w w:val="105"/>
          <w:sz w:val="19"/>
        </w:rPr>
        <w:t>Member Activism”.</w:t>
      </w:r>
      <w:r>
        <w:rPr>
          <w:spacing w:val="-36"/>
          <w:w w:val="105"/>
          <w:sz w:val="19"/>
        </w:rPr>
        <w:t> </w:t>
      </w:r>
      <w:r>
        <w:rPr>
          <w:w w:val="105"/>
          <w:sz w:val="19"/>
        </w:rPr>
        <w:t>Party</w:t>
      </w:r>
      <w:r>
        <w:rPr>
          <w:spacing w:val="-36"/>
          <w:w w:val="105"/>
          <w:sz w:val="19"/>
        </w:rPr>
        <w:t> </w:t>
      </w:r>
      <w:r>
        <w:rPr>
          <w:w w:val="105"/>
          <w:sz w:val="19"/>
        </w:rPr>
        <w:t>Politics.</w:t>
      </w:r>
    </w:p>
    <w:p>
      <w:pPr>
        <w:spacing w:line="442" w:lineRule="exact" w:before="46"/>
        <w:ind w:left="116" w:right="8580" w:firstLine="0"/>
        <w:jc w:val="left"/>
        <w:rPr>
          <w:b/>
          <w:sz w:val="19"/>
        </w:rPr>
      </w:pPr>
      <w:r>
        <w:rPr>
          <w:b/>
          <w:w w:val="105"/>
          <w:sz w:val="19"/>
        </w:rPr>
        <w:t>X Y</w:t>
      </w:r>
    </w:p>
    <w:p>
      <w:pPr>
        <w:spacing w:line="177" w:lineRule="exact" w:before="0"/>
        <w:ind w:left="115" w:right="0" w:firstLine="0"/>
        <w:jc w:val="both"/>
        <w:rPr>
          <w:sz w:val="19"/>
        </w:rPr>
      </w:pPr>
      <w:r>
        <w:rPr>
          <w:b/>
          <w:w w:val="105"/>
          <w:sz w:val="19"/>
        </w:rPr>
        <w:t>Yzaguirre</w:t>
      </w:r>
      <w:r>
        <w:rPr>
          <w:b/>
          <w:spacing w:val="-16"/>
          <w:w w:val="105"/>
          <w:sz w:val="19"/>
        </w:rPr>
        <w:t> </w:t>
      </w:r>
      <w:r>
        <w:rPr>
          <w:w w:val="105"/>
          <w:sz w:val="19"/>
        </w:rPr>
        <w:t>Peralta,</w:t>
      </w:r>
      <w:r>
        <w:rPr>
          <w:spacing w:val="-21"/>
          <w:w w:val="105"/>
          <w:sz w:val="19"/>
        </w:rPr>
        <w:t> </w:t>
      </w:r>
      <w:r>
        <w:rPr>
          <w:w w:val="105"/>
          <w:sz w:val="19"/>
        </w:rPr>
        <w:t>Laura.</w:t>
      </w:r>
      <w:r>
        <w:rPr>
          <w:spacing w:val="-17"/>
          <w:w w:val="105"/>
          <w:sz w:val="19"/>
        </w:rPr>
        <w:t> </w:t>
      </w:r>
      <w:r>
        <w:rPr>
          <w:w w:val="105"/>
          <w:sz w:val="19"/>
        </w:rPr>
        <w:t>(2005).</w:t>
      </w:r>
      <w:r>
        <w:rPr>
          <w:spacing w:val="-18"/>
          <w:w w:val="105"/>
          <w:sz w:val="19"/>
        </w:rPr>
        <w:t> </w:t>
      </w:r>
      <w:r>
        <w:rPr>
          <w:w w:val="105"/>
          <w:sz w:val="19"/>
        </w:rPr>
        <w:t>“Calidad</w:t>
      </w:r>
      <w:r>
        <w:rPr>
          <w:spacing w:val="-17"/>
          <w:w w:val="105"/>
          <w:sz w:val="19"/>
        </w:rPr>
        <w:t> </w:t>
      </w:r>
      <w:r>
        <w:rPr>
          <w:w w:val="105"/>
          <w:sz w:val="19"/>
        </w:rPr>
        <w:t>educativa</w:t>
      </w:r>
      <w:r>
        <w:rPr>
          <w:spacing w:val="-17"/>
          <w:w w:val="105"/>
          <w:sz w:val="19"/>
        </w:rPr>
        <w:t> </w:t>
      </w:r>
      <w:r>
        <w:rPr>
          <w:w w:val="105"/>
          <w:sz w:val="19"/>
        </w:rPr>
        <w:t>e</w:t>
      </w:r>
      <w:r>
        <w:rPr>
          <w:spacing w:val="-17"/>
          <w:w w:val="105"/>
          <w:sz w:val="19"/>
        </w:rPr>
        <w:t> </w:t>
      </w:r>
      <w:r>
        <w:rPr>
          <w:w w:val="105"/>
          <w:sz w:val="19"/>
        </w:rPr>
        <w:t>ISO</w:t>
      </w:r>
      <w:r>
        <w:rPr>
          <w:spacing w:val="-18"/>
          <w:w w:val="105"/>
          <w:sz w:val="19"/>
        </w:rPr>
        <w:t> </w:t>
      </w:r>
      <w:r>
        <w:rPr>
          <w:w w:val="105"/>
          <w:sz w:val="19"/>
        </w:rPr>
        <w:t>9001-2000</w:t>
      </w:r>
      <w:r>
        <w:rPr>
          <w:spacing w:val="-18"/>
          <w:w w:val="105"/>
          <w:sz w:val="19"/>
        </w:rPr>
        <w:t> </w:t>
      </w:r>
      <w:r>
        <w:rPr>
          <w:w w:val="105"/>
          <w:sz w:val="19"/>
        </w:rPr>
        <w:t>en</w:t>
      </w:r>
      <w:r>
        <w:rPr>
          <w:spacing w:val="-18"/>
          <w:w w:val="105"/>
          <w:sz w:val="19"/>
        </w:rPr>
        <w:t> </w:t>
      </w:r>
      <w:r>
        <w:rPr>
          <w:w w:val="105"/>
          <w:sz w:val="19"/>
        </w:rPr>
        <w:t>México”.</w:t>
      </w:r>
      <w:r>
        <w:rPr>
          <w:spacing w:val="-21"/>
          <w:w w:val="105"/>
          <w:sz w:val="19"/>
        </w:rPr>
        <w:t> </w:t>
      </w:r>
      <w:r>
        <w:rPr>
          <w:w w:val="105"/>
          <w:sz w:val="19"/>
        </w:rPr>
        <w:t>REICE.</w:t>
      </w:r>
      <w:r>
        <w:rPr>
          <w:spacing w:val="-23"/>
          <w:w w:val="105"/>
          <w:sz w:val="19"/>
        </w:rPr>
        <w:t> </w:t>
      </w:r>
      <w:r>
        <w:rPr>
          <w:w w:val="105"/>
          <w:sz w:val="19"/>
        </w:rPr>
        <w:t>Revista</w:t>
      </w:r>
    </w:p>
    <w:p>
      <w:pPr>
        <w:spacing w:line="244" w:lineRule="auto" w:before="7"/>
        <w:ind w:left="115" w:right="120" w:firstLine="0"/>
        <w:jc w:val="both"/>
        <w:rPr>
          <w:sz w:val="19"/>
        </w:rPr>
      </w:pPr>
      <w:r>
        <w:rPr>
          <w:w w:val="105"/>
          <w:sz w:val="19"/>
        </w:rPr>
        <w:t>Electrónica</w:t>
      </w:r>
      <w:r>
        <w:rPr>
          <w:spacing w:val="-2"/>
          <w:w w:val="105"/>
          <w:sz w:val="19"/>
        </w:rPr>
        <w:t> </w:t>
      </w:r>
      <w:r>
        <w:rPr>
          <w:w w:val="105"/>
          <w:sz w:val="19"/>
        </w:rPr>
        <w:t>Iberoamericana</w:t>
      </w:r>
      <w:r>
        <w:rPr>
          <w:spacing w:val="-4"/>
          <w:w w:val="105"/>
          <w:sz w:val="19"/>
        </w:rPr>
        <w:t> </w:t>
      </w:r>
      <w:r>
        <w:rPr>
          <w:spacing w:val="-3"/>
          <w:w w:val="105"/>
          <w:sz w:val="19"/>
        </w:rPr>
        <w:t>sobre</w:t>
      </w:r>
      <w:r>
        <w:rPr>
          <w:spacing w:val="-4"/>
          <w:w w:val="105"/>
          <w:sz w:val="19"/>
        </w:rPr>
        <w:t> </w:t>
      </w:r>
      <w:r>
        <w:rPr>
          <w:w w:val="105"/>
          <w:sz w:val="19"/>
        </w:rPr>
        <w:t>Calidad,</w:t>
      </w:r>
      <w:r>
        <w:rPr>
          <w:spacing w:val="-9"/>
          <w:w w:val="105"/>
          <w:sz w:val="19"/>
        </w:rPr>
        <w:t> </w:t>
      </w:r>
      <w:r>
        <w:rPr>
          <w:w w:val="105"/>
          <w:sz w:val="19"/>
        </w:rPr>
        <w:t>Eficacia</w:t>
      </w:r>
      <w:r>
        <w:rPr>
          <w:spacing w:val="-4"/>
          <w:w w:val="105"/>
          <w:sz w:val="19"/>
        </w:rPr>
        <w:t> </w:t>
      </w:r>
      <w:r>
        <w:rPr>
          <w:w w:val="105"/>
          <w:sz w:val="19"/>
        </w:rPr>
        <w:t>y</w:t>
      </w:r>
      <w:r>
        <w:rPr>
          <w:spacing w:val="-7"/>
          <w:w w:val="105"/>
          <w:sz w:val="19"/>
        </w:rPr>
        <w:t> </w:t>
      </w:r>
      <w:r>
        <w:rPr>
          <w:w w:val="105"/>
          <w:sz w:val="19"/>
        </w:rPr>
        <w:t>Cambio</w:t>
      </w:r>
      <w:r>
        <w:rPr>
          <w:spacing w:val="-4"/>
          <w:w w:val="105"/>
          <w:sz w:val="19"/>
        </w:rPr>
        <w:t> </w:t>
      </w:r>
      <w:r>
        <w:rPr>
          <w:spacing w:val="-3"/>
          <w:w w:val="105"/>
          <w:sz w:val="19"/>
        </w:rPr>
        <w:t>en</w:t>
      </w:r>
      <w:r>
        <w:rPr>
          <w:spacing w:val="-4"/>
          <w:w w:val="105"/>
          <w:sz w:val="19"/>
        </w:rPr>
        <w:t> </w:t>
      </w:r>
      <w:r>
        <w:rPr>
          <w:w w:val="105"/>
          <w:sz w:val="19"/>
        </w:rPr>
        <w:t>Educación,</w:t>
      </w:r>
      <w:r>
        <w:rPr>
          <w:spacing w:val="-12"/>
          <w:w w:val="105"/>
          <w:sz w:val="19"/>
        </w:rPr>
        <w:t> </w:t>
      </w:r>
      <w:r>
        <w:rPr>
          <w:w w:val="105"/>
          <w:sz w:val="19"/>
        </w:rPr>
        <w:t>año/vol.</w:t>
      </w:r>
      <w:r>
        <w:rPr>
          <w:spacing w:val="-12"/>
          <w:w w:val="105"/>
          <w:sz w:val="19"/>
        </w:rPr>
        <w:t> </w:t>
      </w:r>
      <w:r>
        <w:rPr>
          <w:w w:val="105"/>
          <w:sz w:val="19"/>
        </w:rPr>
        <w:t>3,</w:t>
      </w:r>
      <w:r>
        <w:rPr>
          <w:spacing w:val="-4"/>
          <w:w w:val="105"/>
          <w:sz w:val="19"/>
        </w:rPr>
        <w:t> </w:t>
      </w:r>
      <w:r>
        <w:rPr>
          <w:spacing w:val="-2"/>
          <w:w w:val="105"/>
          <w:sz w:val="19"/>
        </w:rPr>
        <w:t>número</w:t>
      </w:r>
      <w:r>
        <w:rPr>
          <w:spacing w:val="-4"/>
          <w:w w:val="105"/>
          <w:sz w:val="19"/>
        </w:rPr>
        <w:t> </w:t>
      </w:r>
      <w:r>
        <w:rPr>
          <w:spacing w:val="4"/>
          <w:w w:val="105"/>
          <w:sz w:val="19"/>
        </w:rPr>
        <w:t>1, </w:t>
      </w:r>
      <w:r>
        <w:rPr>
          <w:w w:val="105"/>
          <w:sz w:val="19"/>
        </w:rPr>
        <w:t>especial. Red Iberoamericana de Investigaciones sobre Cambio y Eficacia Escolar, Madrid, España.</w:t>
      </w:r>
    </w:p>
    <w:p>
      <w:pPr>
        <w:spacing w:line="244" w:lineRule="auto" w:before="3"/>
        <w:ind w:left="115" w:right="122" w:firstLine="0"/>
        <w:jc w:val="both"/>
        <w:rPr>
          <w:sz w:val="19"/>
        </w:rPr>
      </w:pPr>
      <w:r>
        <w:rPr>
          <w:w w:val="105"/>
          <w:sz w:val="19"/>
        </w:rPr>
        <w:t>-------------------------------. (2007). “Educación y calidad: ¿por qué utilizar la Guía IWA 2?”. Revista Iberoamericana de Educación N.º 42/2 – 10 de marzo. EDITA: Organización de Estados Iberoamericanos para la Educación, la Ciencia y la Cultura (OEI). (ISSN: 1681-5653).</w:t>
      </w:r>
    </w:p>
    <w:p>
      <w:pPr>
        <w:pStyle w:val="BodyText"/>
        <w:spacing w:before="9"/>
        <w:rPr>
          <w:sz w:val="19"/>
        </w:rPr>
      </w:pPr>
    </w:p>
    <w:p>
      <w:pPr>
        <w:spacing w:before="1"/>
        <w:ind w:left="115" w:right="0" w:firstLine="0"/>
        <w:jc w:val="both"/>
        <w:rPr>
          <w:b/>
          <w:sz w:val="19"/>
        </w:rPr>
      </w:pPr>
      <w:r>
        <w:rPr>
          <w:b/>
          <w:w w:val="103"/>
          <w:sz w:val="19"/>
        </w:rPr>
        <w:t>Z</w:t>
      </w:r>
    </w:p>
    <w:p>
      <w:pPr>
        <w:spacing w:line="242" w:lineRule="auto" w:before="2"/>
        <w:ind w:left="115" w:right="123" w:firstLine="0"/>
        <w:jc w:val="both"/>
        <w:rPr>
          <w:sz w:val="19"/>
        </w:rPr>
      </w:pPr>
      <w:r>
        <w:rPr>
          <w:b/>
          <w:w w:val="105"/>
          <w:sz w:val="19"/>
        </w:rPr>
        <w:t>Zeleny</w:t>
      </w:r>
      <w:r>
        <w:rPr>
          <w:w w:val="105"/>
          <w:sz w:val="19"/>
        </w:rPr>
        <w:t>,</w:t>
      </w:r>
      <w:r>
        <w:rPr>
          <w:spacing w:val="-12"/>
          <w:w w:val="105"/>
          <w:sz w:val="19"/>
        </w:rPr>
        <w:t> </w:t>
      </w:r>
      <w:r>
        <w:rPr>
          <w:spacing w:val="-3"/>
          <w:w w:val="105"/>
          <w:sz w:val="19"/>
        </w:rPr>
        <w:t>M.</w:t>
      </w:r>
      <w:r>
        <w:rPr>
          <w:spacing w:val="-8"/>
          <w:w w:val="105"/>
          <w:sz w:val="19"/>
        </w:rPr>
        <w:t> </w:t>
      </w:r>
      <w:r>
        <w:rPr>
          <w:w w:val="105"/>
          <w:sz w:val="19"/>
        </w:rPr>
        <w:t>(2001).</w:t>
      </w:r>
      <w:r>
        <w:rPr>
          <w:spacing w:val="-8"/>
          <w:w w:val="105"/>
          <w:sz w:val="19"/>
        </w:rPr>
        <w:t> </w:t>
      </w:r>
      <w:r>
        <w:rPr>
          <w:w w:val="105"/>
          <w:sz w:val="19"/>
        </w:rPr>
        <w:t>“Autopoiesis</w:t>
      </w:r>
      <w:r>
        <w:rPr>
          <w:spacing w:val="-8"/>
          <w:w w:val="105"/>
          <w:sz w:val="19"/>
        </w:rPr>
        <w:t> </w:t>
      </w:r>
      <w:r>
        <w:rPr>
          <w:w w:val="105"/>
          <w:sz w:val="19"/>
        </w:rPr>
        <w:t>(self-production)</w:t>
      </w:r>
      <w:r>
        <w:rPr>
          <w:spacing w:val="-8"/>
          <w:w w:val="105"/>
          <w:sz w:val="19"/>
        </w:rPr>
        <w:t> </w:t>
      </w:r>
      <w:r>
        <w:rPr>
          <w:spacing w:val="-4"/>
          <w:w w:val="105"/>
          <w:sz w:val="19"/>
        </w:rPr>
        <w:t>in</w:t>
      </w:r>
      <w:r>
        <w:rPr>
          <w:spacing w:val="-8"/>
          <w:w w:val="105"/>
          <w:sz w:val="19"/>
        </w:rPr>
        <w:t> </w:t>
      </w:r>
      <w:r>
        <w:rPr>
          <w:w w:val="105"/>
          <w:sz w:val="19"/>
        </w:rPr>
        <w:t>smenetworks”.</w:t>
      </w:r>
      <w:r>
        <w:rPr>
          <w:spacing w:val="-11"/>
          <w:w w:val="105"/>
          <w:sz w:val="19"/>
        </w:rPr>
        <w:t> </w:t>
      </w:r>
      <w:r>
        <w:rPr>
          <w:w w:val="105"/>
          <w:sz w:val="19"/>
        </w:rPr>
        <w:t>Human</w:t>
      </w:r>
      <w:r>
        <w:rPr>
          <w:spacing w:val="-10"/>
          <w:w w:val="105"/>
          <w:sz w:val="19"/>
        </w:rPr>
        <w:t> </w:t>
      </w:r>
      <w:r>
        <w:rPr>
          <w:w w:val="105"/>
          <w:sz w:val="19"/>
        </w:rPr>
        <w:t>Systems</w:t>
      </w:r>
      <w:r>
        <w:rPr>
          <w:spacing w:val="-8"/>
          <w:w w:val="105"/>
          <w:sz w:val="19"/>
        </w:rPr>
        <w:t> </w:t>
      </w:r>
      <w:r>
        <w:rPr>
          <w:w w:val="105"/>
          <w:sz w:val="19"/>
        </w:rPr>
        <w:t>Management” 20 (3),</w:t>
      </w:r>
      <w:r>
        <w:rPr>
          <w:spacing w:val="-35"/>
          <w:w w:val="105"/>
          <w:sz w:val="19"/>
        </w:rPr>
        <w:t> </w:t>
      </w:r>
      <w:r>
        <w:rPr>
          <w:w w:val="105"/>
          <w:sz w:val="19"/>
        </w:rPr>
        <w:t>201-207</w:t>
      </w:r>
    </w:p>
    <w:p>
      <w:pPr>
        <w:spacing w:line="247" w:lineRule="auto" w:before="5"/>
        <w:ind w:left="115" w:right="120" w:firstLine="0"/>
        <w:jc w:val="both"/>
        <w:rPr>
          <w:sz w:val="19"/>
        </w:rPr>
      </w:pPr>
      <w:r>
        <w:rPr>
          <w:b/>
          <w:w w:val="105"/>
          <w:sz w:val="19"/>
        </w:rPr>
        <w:t>Zilberstein </w:t>
      </w:r>
      <w:r>
        <w:rPr>
          <w:w w:val="105"/>
          <w:sz w:val="19"/>
        </w:rPr>
        <w:t>Toruncha, José. (2000). “Aprendizaje, enseñanza y desarrollo”. </w:t>
      </w:r>
      <w:hyperlink r:id="rId189">
        <w:r>
          <w:rPr>
            <w:color w:val="0000FF"/>
            <w:w w:val="105"/>
            <w:sz w:val="19"/>
            <w:u w:val="single" w:color="0000FF"/>
          </w:rPr>
          <w:t>http://www.galeon.com/aprenderaaprender/general/Zilberstein1.htm</w:t>
        </w:r>
      </w:hyperlink>
    </w:p>
    <w:p>
      <w:pPr>
        <w:spacing w:line="244" w:lineRule="auto" w:before="1"/>
        <w:ind w:left="115" w:right="117" w:firstLine="0"/>
        <w:jc w:val="both"/>
        <w:rPr>
          <w:sz w:val="19"/>
        </w:rPr>
      </w:pPr>
      <w:r>
        <w:rPr>
          <w:w w:val="105"/>
          <w:sz w:val="19"/>
        </w:rPr>
        <w:t>----------------------------- (2000). “Reflexiones acerca </w:t>
      </w:r>
      <w:r>
        <w:rPr>
          <w:spacing w:val="3"/>
          <w:w w:val="105"/>
          <w:sz w:val="19"/>
        </w:rPr>
        <w:t>de </w:t>
      </w:r>
      <w:r>
        <w:rPr>
          <w:w w:val="105"/>
          <w:sz w:val="19"/>
        </w:rPr>
        <w:t>la calidad en educación: ¿estamos conformes</w:t>
      </w:r>
      <w:r>
        <w:rPr>
          <w:spacing w:val="-8"/>
          <w:w w:val="105"/>
          <w:sz w:val="19"/>
        </w:rPr>
        <w:t> </w:t>
      </w:r>
      <w:r>
        <w:rPr>
          <w:w w:val="105"/>
          <w:sz w:val="19"/>
        </w:rPr>
        <w:t>con</w:t>
      </w:r>
      <w:r>
        <w:rPr>
          <w:spacing w:val="-8"/>
          <w:w w:val="105"/>
          <w:sz w:val="19"/>
        </w:rPr>
        <w:t> </w:t>
      </w:r>
      <w:r>
        <w:rPr>
          <w:w w:val="105"/>
          <w:sz w:val="19"/>
        </w:rPr>
        <w:t>la</w:t>
      </w:r>
      <w:r>
        <w:rPr>
          <w:spacing w:val="-8"/>
          <w:w w:val="105"/>
          <w:sz w:val="19"/>
        </w:rPr>
        <w:t> </w:t>
      </w:r>
      <w:r>
        <w:rPr>
          <w:w w:val="105"/>
          <w:sz w:val="19"/>
        </w:rPr>
        <w:t>calidad</w:t>
      </w:r>
      <w:r>
        <w:rPr>
          <w:spacing w:val="-8"/>
          <w:w w:val="105"/>
          <w:sz w:val="19"/>
        </w:rPr>
        <w:t> </w:t>
      </w:r>
      <w:r>
        <w:rPr>
          <w:w w:val="105"/>
          <w:sz w:val="19"/>
        </w:rPr>
        <w:t>de</w:t>
      </w:r>
      <w:r>
        <w:rPr>
          <w:spacing w:val="-8"/>
          <w:w w:val="105"/>
          <w:sz w:val="19"/>
        </w:rPr>
        <w:t> </w:t>
      </w:r>
      <w:r>
        <w:rPr>
          <w:w w:val="105"/>
          <w:sz w:val="19"/>
        </w:rPr>
        <w:t>la</w:t>
      </w:r>
      <w:r>
        <w:rPr>
          <w:spacing w:val="-10"/>
          <w:w w:val="105"/>
          <w:sz w:val="19"/>
        </w:rPr>
        <w:t> </w:t>
      </w:r>
      <w:r>
        <w:rPr>
          <w:w w:val="105"/>
          <w:sz w:val="19"/>
        </w:rPr>
        <w:t>educación</w:t>
      </w:r>
      <w:r>
        <w:rPr>
          <w:spacing w:val="-8"/>
          <w:w w:val="105"/>
          <w:sz w:val="19"/>
        </w:rPr>
        <w:t> </w:t>
      </w:r>
      <w:r>
        <w:rPr>
          <w:w w:val="105"/>
          <w:sz w:val="19"/>
        </w:rPr>
        <w:t>en</w:t>
      </w:r>
      <w:r>
        <w:rPr>
          <w:spacing w:val="-11"/>
          <w:w w:val="105"/>
          <w:sz w:val="19"/>
        </w:rPr>
        <w:t> </w:t>
      </w:r>
      <w:r>
        <w:rPr>
          <w:w w:val="105"/>
          <w:sz w:val="19"/>
        </w:rPr>
        <w:t>la</w:t>
      </w:r>
      <w:r>
        <w:rPr>
          <w:spacing w:val="-8"/>
          <w:w w:val="105"/>
          <w:sz w:val="19"/>
        </w:rPr>
        <w:t> </w:t>
      </w:r>
      <w:r>
        <w:rPr>
          <w:w w:val="105"/>
          <w:sz w:val="19"/>
        </w:rPr>
        <w:t>actualidad?”</w:t>
      </w:r>
      <w:r>
        <w:rPr>
          <w:spacing w:val="-13"/>
          <w:w w:val="105"/>
          <w:sz w:val="19"/>
        </w:rPr>
        <w:t> </w:t>
      </w:r>
      <w:r>
        <w:rPr>
          <w:w w:val="105"/>
          <w:sz w:val="19"/>
        </w:rPr>
        <w:t>en</w:t>
      </w:r>
      <w:r>
        <w:rPr>
          <w:spacing w:val="-8"/>
          <w:w w:val="105"/>
          <w:sz w:val="19"/>
        </w:rPr>
        <w:t> </w:t>
      </w:r>
      <w:r>
        <w:rPr>
          <w:w w:val="105"/>
          <w:sz w:val="19"/>
        </w:rPr>
        <w:t>Cuartas</w:t>
      </w:r>
      <w:r>
        <w:rPr>
          <w:spacing w:val="-8"/>
          <w:w w:val="105"/>
          <w:sz w:val="19"/>
        </w:rPr>
        <w:t> </w:t>
      </w:r>
      <w:r>
        <w:rPr>
          <w:w w:val="105"/>
          <w:sz w:val="19"/>
        </w:rPr>
        <w:t>Jornadas</w:t>
      </w:r>
      <w:r>
        <w:rPr>
          <w:spacing w:val="-8"/>
          <w:w w:val="105"/>
          <w:sz w:val="19"/>
        </w:rPr>
        <w:t> </w:t>
      </w:r>
      <w:r>
        <w:rPr>
          <w:spacing w:val="-3"/>
          <w:w w:val="105"/>
          <w:sz w:val="19"/>
        </w:rPr>
        <w:t>de</w:t>
      </w:r>
      <w:r>
        <w:rPr>
          <w:spacing w:val="-8"/>
          <w:w w:val="105"/>
          <w:sz w:val="19"/>
        </w:rPr>
        <w:t> </w:t>
      </w:r>
      <w:r>
        <w:rPr>
          <w:w w:val="105"/>
          <w:sz w:val="19"/>
        </w:rPr>
        <w:t>Investigación en</w:t>
      </w:r>
      <w:r>
        <w:rPr>
          <w:spacing w:val="-30"/>
          <w:w w:val="105"/>
          <w:sz w:val="19"/>
        </w:rPr>
        <w:t> </w:t>
      </w:r>
      <w:r>
        <w:rPr>
          <w:w w:val="105"/>
          <w:sz w:val="19"/>
        </w:rPr>
        <w:t>Educación,</w:t>
      </w:r>
      <w:r>
        <w:rPr>
          <w:spacing w:val="-32"/>
          <w:w w:val="105"/>
          <w:sz w:val="19"/>
        </w:rPr>
        <w:t> </w:t>
      </w:r>
      <w:r>
        <w:rPr>
          <w:w w:val="105"/>
          <w:sz w:val="19"/>
        </w:rPr>
        <w:t>Argentina.</w:t>
      </w:r>
    </w:p>
    <w:p>
      <w:pPr>
        <w:spacing w:line="244" w:lineRule="auto" w:before="3"/>
        <w:ind w:left="115" w:right="127" w:firstLine="0"/>
        <w:jc w:val="both"/>
        <w:rPr>
          <w:sz w:val="19"/>
        </w:rPr>
      </w:pPr>
      <w:r>
        <w:rPr>
          <w:b/>
          <w:w w:val="105"/>
          <w:sz w:val="19"/>
        </w:rPr>
        <w:t>Zorrilla </w:t>
      </w:r>
      <w:r>
        <w:rPr>
          <w:w w:val="105"/>
          <w:sz w:val="19"/>
        </w:rPr>
        <w:t>Fierro, Margarita. (2002). “Perspectivas de la supervisión escolar como ámbito de mejoramiento de la calidad y la equidad de la educación básica”. Visión Educativa. Revista Sonorense de Educación. N° 2 Marzo 2002.</w:t>
      </w:r>
    </w:p>
    <w:p>
      <w:pPr>
        <w:spacing w:after="0" w:line="244" w:lineRule="auto"/>
        <w:jc w:val="both"/>
        <w:rPr>
          <w:sz w:val="19"/>
        </w:rPr>
        <w:sectPr>
          <w:pgSz w:w="11910" w:h="16840"/>
          <w:pgMar w:header="0" w:footer="1457" w:top="1580" w:bottom="1640" w:left="1540" w:right="1520"/>
        </w:sectPr>
      </w:pPr>
    </w:p>
    <w:p>
      <w:pPr>
        <w:pStyle w:val="BodyText"/>
        <w:rPr>
          <w:sz w:val="20"/>
        </w:rPr>
      </w:pPr>
    </w:p>
    <w:p>
      <w:pPr>
        <w:pStyle w:val="BodyText"/>
        <w:spacing w:before="10"/>
        <w:rPr>
          <w:sz w:val="15"/>
        </w:rPr>
      </w:pPr>
    </w:p>
    <w:p>
      <w:pPr>
        <w:spacing w:line="247" w:lineRule="auto" w:before="81"/>
        <w:ind w:left="115" w:right="103" w:firstLine="0"/>
        <w:jc w:val="left"/>
        <w:rPr>
          <w:sz w:val="19"/>
        </w:rPr>
      </w:pPr>
      <w:r>
        <w:rPr>
          <w:b/>
          <w:w w:val="105"/>
          <w:sz w:val="19"/>
        </w:rPr>
        <w:t>Zubrán</w:t>
      </w:r>
      <w:r>
        <w:rPr>
          <w:w w:val="105"/>
          <w:sz w:val="19"/>
        </w:rPr>
        <w:t>,</w:t>
      </w:r>
      <w:r>
        <w:rPr>
          <w:spacing w:val="-15"/>
          <w:w w:val="105"/>
          <w:sz w:val="19"/>
        </w:rPr>
        <w:t> </w:t>
      </w:r>
      <w:r>
        <w:rPr>
          <w:w w:val="105"/>
          <w:sz w:val="19"/>
        </w:rPr>
        <w:t>Angélica.</w:t>
      </w:r>
      <w:r>
        <w:rPr>
          <w:spacing w:val="-15"/>
          <w:w w:val="105"/>
          <w:sz w:val="19"/>
        </w:rPr>
        <w:t> </w:t>
      </w:r>
      <w:r>
        <w:rPr>
          <w:w w:val="105"/>
          <w:sz w:val="19"/>
        </w:rPr>
        <w:t>(2003).</w:t>
      </w:r>
      <w:r>
        <w:rPr>
          <w:spacing w:val="-13"/>
          <w:w w:val="105"/>
          <w:sz w:val="19"/>
        </w:rPr>
        <w:t> </w:t>
      </w:r>
      <w:r>
        <w:rPr>
          <w:w w:val="105"/>
          <w:sz w:val="19"/>
        </w:rPr>
        <w:t>“México</w:t>
      </w:r>
      <w:r>
        <w:rPr>
          <w:spacing w:val="-8"/>
          <w:w w:val="105"/>
          <w:sz w:val="19"/>
        </w:rPr>
        <w:t> </w:t>
      </w:r>
      <w:r>
        <w:rPr>
          <w:w w:val="105"/>
          <w:sz w:val="19"/>
        </w:rPr>
        <w:t>en</w:t>
      </w:r>
      <w:r>
        <w:rPr>
          <w:spacing w:val="-13"/>
          <w:w w:val="105"/>
          <w:sz w:val="19"/>
        </w:rPr>
        <w:t> </w:t>
      </w:r>
      <w:r>
        <w:rPr>
          <w:w w:val="105"/>
          <w:sz w:val="19"/>
        </w:rPr>
        <w:t>las</w:t>
      </w:r>
      <w:r>
        <w:rPr>
          <w:spacing w:val="-15"/>
          <w:w w:val="105"/>
          <w:sz w:val="19"/>
        </w:rPr>
        <w:t> </w:t>
      </w:r>
      <w:r>
        <w:rPr>
          <w:w w:val="105"/>
          <w:sz w:val="19"/>
        </w:rPr>
        <w:t>evaluaciones</w:t>
      </w:r>
      <w:r>
        <w:rPr>
          <w:spacing w:val="-13"/>
          <w:w w:val="105"/>
          <w:sz w:val="19"/>
        </w:rPr>
        <w:t> </w:t>
      </w:r>
      <w:r>
        <w:rPr>
          <w:w w:val="105"/>
          <w:sz w:val="19"/>
        </w:rPr>
        <w:t>internacionales</w:t>
      </w:r>
      <w:r>
        <w:rPr>
          <w:spacing w:val="-15"/>
          <w:w w:val="105"/>
          <w:sz w:val="19"/>
        </w:rPr>
        <w:t> </w:t>
      </w:r>
      <w:r>
        <w:rPr>
          <w:w w:val="105"/>
          <w:sz w:val="19"/>
        </w:rPr>
        <w:t>de</w:t>
      </w:r>
      <w:r>
        <w:rPr>
          <w:spacing w:val="-13"/>
          <w:w w:val="105"/>
          <w:sz w:val="19"/>
        </w:rPr>
        <w:t> </w:t>
      </w:r>
      <w:r>
        <w:rPr>
          <w:w w:val="105"/>
          <w:sz w:val="19"/>
        </w:rPr>
        <w:t>desempeño</w:t>
      </w:r>
      <w:r>
        <w:rPr>
          <w:spacing w:val="-13"/>
          <w:w w:val="105"/>
          <w:sz w:val="19"/>
        </w:rPr>
        <w:t> </w:t>
      </w:r>
      <w:r>
        <w:rPr>
          <w:w w:val="105"/>
          <w:sz w:val="19"/>
        </w:rPr>
        <w:t>estudiantil”. Boletín</w:t>
      </w:r>
      <w:r>
        <w:rPr>
          <w:spacing w:val="-22"/>
          <w:w w:val="105"/>
          <w:sz w:val="19"/>
        </w:rPr>
        <w:t> </w:t>
      </w:r>
      <w:r>
        <w:rPr>
          <w:w w:val="105"/>
          <w:sz w:val="19"/>
        </w:rPr>
        <w:t>Ceneval.</w:t>
      </w:r>
      <w:r>
        <w:rPr>
          <w:spacing w:val="-27"/>
          <w:w w:val="105"/>
          <w:sz w:val="19"/>
        </w:rPr>
        <w:t> </w:t>
      </w:r>
      <w:r>
        <w:rPr>
          <w:w w:val="105"/>
          <w:sz w:val="19"/>
        </w:rPr>
        <w:t>Octubre-diciembre</w:t>
      </w:r>
      <w:r>
        <w:rPr>
          <w:spacing w:val="-22"/>
          <w:w w:val="105"/>
          <w:sz w:val="19"/>
        </w:rPr>
        <w:t> </w:t>
      </w:r>
      <w:r>
        <w:rPr>
          <w:w w:val="105"/>
          <w:sz w:val="19"/>
        </w:rPr>
        <w:t>2003,</w:t>
      </w:r>
      <w:r>
        <w:rPr>
          <w:spacing w:val="-24"/>
          <w:w w:val="105"/>
          <w:sz w:val="19"/>
        </w:rPr>
        <w:t> </w:t>
      </w:r>
      <w:r>
        <w:rPr>
          <w:w w:val="105"/>
          <w:sz w:val="19"/>
        </w:rPr>
        <w:t>Núm.</w:t>
      </w:r>
      <w:r>
        <w:rPr>
          <w:spacing w:val="-24"/>
          <w:w w:val="105"/>
          <w:sz w:val="19"/>
        </w:rPr>
        <w:t> </w:t>
      </w:r>
      <w:r>
        <w:rPr>
          <w:w w:val="105"/>
          <w:sz w:val="19"/>
        </w:rPr>
        <w:t>3.</w:t>
      </w:r>
    </w:p>
    <w:p>
      <w:pPr>
        <w:spacing w:line="247" w:lineRule="auto" w:before="0"/>
        <w:ind w:left="115" w:right="103" w:firstLine="0"/>
        <w:jc w:val="both"/>
        <w:rPr>
          <w:sz w:val="19"/>
        </w:rPr>
      </w:pPr>
      <w:r>
        <w:rPr>
          <w:b/>
          <w:w w:val="105"/>
          <w:sz w:val="19"/>
        </w:rPr>
        <w:t>Zúñiga</w:t>
      </w:r>
      <w:r>
        <w:rPr>
          <w:w w:val="105"/>
          <w:sz w:val="19"/>
        </w:rPr>
        <w:t>,</w:t>
      </w:r>
      <w:r>
        <w:rPr>
          <w:spacing w:val="-10"/>
          <w:w w:val="105"/>
          <w:sz w:val="19"/>
        </w:rPr>
        <w:t> </w:t>
      </w:r>
      <w:r>
        <w:rPr>
          <w:w w:val="105"/>
          <w:sz w:val="19"/>
        </w:rPr>
        <w:t>Leonel</w:t>
      </w:r>
      <w:r>
        <w:rPr>
          <w:spacing w:val="-2"/>
          <w:w w:val="105"/>
          <w:sz w:val="19"/>
        </w:rPr>
        <w:t> </w:t>
      </w:r>
      <w:r>
        <w:rPr>
          <w:i/>
          <w:w w:val="105"/>
          <w:sz w:val="19"/>
        </w:rPr>
        <w:t>et</w:t>
      </w:r>
      <w:r>
        <w:rPr>
          <w:i/>
          <w:spacing w:val="-6"/>
          <w:w w:val="105"/>
          <w:sz w:val="19"/>
        </w:rPr>
        <w:t> </w:t>
      </w:r>
      <w:r>
        <w:rPr>
          <w:i/>
          <w:spacing w:val="3"/>
          <w:w w:val="105"/>
          <w:sz w:val="19"/>
        </w:rPr>
        <w:t>al</w:t>
      </w:r>
      <w:r>
        <w:rPr>
          <w:i/>
          <w:spacing w:val="-9"/>
          <w:w w:val="105"/>
          <w:sz w:val="19"/>
        </w:rPr>
        <w:t> </w:t>
      </w:r>
      <w:r>
        <w:rPr>
          <w:i/>
          <w:w w:val="105"/>
          <w:sz w:val="19"/>
        </w:rPr>
        <w:t>y</w:t>
      </w:r>
      <w:r>
        <w:rPr>
          <w:i/>
          <w:spacing w:val="-2"/>
          <w:w w:val="105"/>
          <w:sz w:val="19"/>
        </w:rPr>
        <w:t> </w:t>
      </w:r>
      <w:r>
        <w:rPr>
          <w:i/>
          <w:w w:val="105"/>
          <w:sz w:val="19"/>
        </w:rPr>
        <w:t>otros</w:t>
      </w:r>
      <w:r>
        <w:rPr>
          <w:w w:val="105"/>
          <w:sz w:val="19"/>
        </w:rPr>
        <w:t>.</w:t>
      </w:r>
      <w:r>
        <w:rPr>
          <w:spacing w:val="-2"/>
          <w:w w:val="105"/>
          <w:sz w:val="19"/>
        </w:rPr>
        <w:t> </w:t>
      </w:r>
      <w:r>
        <w:rPr>
          <w:w w:val="105"/>
          <w:sz w:val="19"/>
        </w:rPr>
        <w:t>(2003).</w:t>
      </w:r>
      <w:r>
        <w:rPr>
          <w:spacing w:val="-5"/>
          <w:w w:val="105"/>
          <w:sz w:val="19"/>
        </w:rPr>
        <w:t> </w:t>
      </w:r>
      <w:r>
        <w:rPr>
          <w:w w:val="105"/>
          <w:sz w:val="19"/>
        </w:rPr>
        <w:t>“Escuelas</w:t>
      </w:r>
      <w:r>
        <w:rPr>
          <w:spacing w:val="-6"/>
          <w:w w:val="105"/>
          <w:sz w:val="19"/>
        </w:rPr>
        <w:t> </w:t>
      </w:r>
      <w:r>
        <w:rPr>
          <w:w w:val="105"/>
          <w:sz w:val="19"/>
        </w:rPr>
        <w:t>de</w:t>
      </w:r>
      <w:r>
        <w:rPr>
          <w:spacing w:val="-8"/>
          <w:w w:val="105"/>
          <w:sz w:val="19"/>
        </w:rPr>
        <w:t> </w:t>
      </w:r>
      <w:r>
        <w:rPr>
          <w:w w:val="105"/>
          <w:sz w:val="19"/>
        </w:rPr>
        <w:t>calidad,</w:t>
      </w:r>
      <w:r>
        <w:rPr>
          <w:spacing w:val="-6"/>
          <w:w w:val="105"/>
          <w:sz w:val="19"/>
        </w:rPr>
        <w:t> </w:t>
      </w:r>
      <w:r>
        <w:rPr>
          <w:w w:val="105"/>
          <w:sz w:val="19"/>
        </w:rPr>
        <w:t>clarooscuros”.</w:t>
      </w:r>
      <w:r>
        <w:rPr>
          <w:spacing w:val="-5"/>
          <w:w w:val="105"/>
          <w:sz w:val="19"/>
        </w:rPr>
        <w:t> </w:t>
      </w:r>
      <w:r>
        <w:rPr>
          <w:w w:val="105"/>
          <w:sz w:val="19"/>
        </w:rPr>
        <w:t>Observatorio</w:t>
      </w:r>
      <w:r>
        <w:rPr>
          <w:spacing w:val="-2"/>
          <w:w w:val="105"/>
          <w:sz w:val="19"/>
        </w:rPr>
        <w:t> </w:t>
      </w:r>
      <w:r>
        <w:rPr>
          <w:w w:val="105"/>
          <w:sz w:val="19"/>
        </w:rPr>
        <w:t>ciudadano de la educación. Comunicado Núm. 93, Febrero 15. Puede consultarse en: </w:t>
      </w:r>
      <w:hyperlink r:id="rId190">
        <w:r>
          <w:rPr>
            <w:color w:val="0000FF"/>
            <w:w w:val="105"/>
            <w:sz w:val="19"/>
            <w:u w:val="single" w:color="0000FF"/>
          </w:rPr>
          <w:t>http://www.observatorio.org/comunicados/comun093.html</w:t>
        </w:r>
      </w:hyperlink>
    </w:p>
    <w:p>
      <w:pPr>
        <w:spacing w:before="1"/>
        <w:ind w:left="115" w:right="191" w:firstLine="0"/>
        <w:jc w:val="left"/>
        <w:rPr>
          <w:sz w:val="19"/>
        </w:rPr>
      </w:pPr>
      <w:r>
        <w:rPr>
          <w:w w:val="105"/>
          <w:sz w:val="19"/>
        </w:rPr>
        <w:t>Consulta realizada en agosto de 2011.</w:t>
      </w:r>
    </w:p>
    <w:p>
      <w:pPr>
        <w:pStyle w:val="BodyText"/>
        <w:spacing w:before="9"/>
        <w:rPr>
          <w:sz w:val="19"/>
        </w:rPr>
      </w:pPr>
    </w:p>
    <w:p>
      <w:pPr>
        <w:spacing w:before="0"/>
        <w:ind w:left="115" w:right="191" w:firstLine="0"/>
        <w:jc w:val="left"/>
        <w:rPr>
          <w:b/>
          <w:sz w:val="19"/>
        </w:rPr>
      </w:pPr>
      <w:r>
        <w:rPr>
          <w:b/>
          <w:w w:val="105"/>
          <w:sz w:val="19"/>
        </w:rPr>
        <w:t>Hemerográficas</w:t>
      </w:r>
    </w:p>
    <w:p>
      <w:pPr>
        <w:pStyle w:val="BodyText"/>
        <w:spacing w:before="2"/>
        <w:rPr>
          <w:b/>
          <w:sz w:val="20"/>
        </w:rPr>
      </w:pPr>
    </w:p>
    <w:p>
      <w:pPr>
        <w:spacing w:before="0"/>
        <w:ind w:left="115" w:right="191" w:firstLine="0"/>
        <w:jc w:val="left"/>
        <w:rPr>
          <w:sz w:val="19"/>
        </w:rPr>
      </w:pPr>
      <w:r>
        <w:rPr>
          <w:w w:val="105"/>
          <w:sz w:val="19"/>
        </w:rPr>
        <w:t>El Universal (05/05/05). “Apatía en la zonas pobres por las escuelas de calidad”. México.</w:t>
      </w:r>
    </w:p>
    <w:p>
      <w:pPr>
        <w:spacing w:line="242" w:lineRule="auto" w:before="2"/>
        <w:ind w:left="115" w:right="103" w:firstLine="0"/>
        <w:jc w:val="left"/>
        <w:rPr>
          <w:sz w:val="19"/>
        </w:rPr>
      </w:pPr>
      <w:r>
        <w:rPr>
          <w:w w:val="105"/>
          <w:sz w:val="19"/>
        </w:rPr>
        <w:t>La</w:t>
      </w:r>
      <w:r>
        <w:rPr>
          <w:spacing w:val="-15"/>
          <w:w w:val="105"/>
          <w:sz w:val="19"/>
        </w:rPr>
        <w:t> </w:t>
      </w:r>
      <w:r>
        <w:rPr>
          <w:w w:val="105"/>
          <w:sz w:val="19"/>
        </w:rPr>
        <w:t>Jornada</w:t>
      </w:r>
      <w:r>
        <w:rPr>
          <w:spacing w:val="-12"/>
          <w:w w:val="105"/>
          <w:sz w:val="19"/>
        </w:rPr>
        <w:t> </w:t>
      </w:r>
      <w:r>
        <w:rPr>
          <w:w w:val="105"/>
          <w:sz w:val="19"/>
        </w:rPr>
        <w:t>(12/05/04).</w:t>
      </w:r>
      <w:r>
        <w:rPr>
          <w:spacing w:val="-18"/>
          <w:w w:val="105"/>
          <w:sz w:val="19"/>
        </w:rPr>
        <w:t> </w:t>
      </w:r>
      <w:r>
        <w:rPr>
          <w:w w:val="105"/>
          <w:sz w:val="19"/>
        </w:rPr>
        <w:t>“México,</w:t>
      </w:r>
      <w:r>
        <w:rPr>
          <w:spacing w:val="-15"/>
          <w:w w:val="105"/>
          <w:sz w:val="19"/>
        </w:rPr>
        <w:t> </w:t>
      </w:r>
      <w:r>
        <w:rPr>
          <w:w w:val="105"/>
          <w:sz w:val="19"/>
        </w:rPr>
        <w:t>entre</w:t>
      </w:r>
      <w:r>
        <w:rPr>
          <w:spacing w:val="-15"/>
          <w:w w:val="105"/>
          <w:sz w:val="19"/>
        </w:rPr>
        <w:t> </w:t>
      </w:r>
      <w:r>
        <w:rPr>
          <w:w w:val="105"/>
          <w:sz w:val="19"/>
        </w:rPr>
        <w:t>los</w:t>
      </w:r>
      <w:r>
        <w:rPr>
          <w:spacing w:val="-15"/>
          <w:w w:val="105"/>
          <w:sz w:val="19"/>
        </w:rPr>
        <w:t> </w:t>
      </w:r>
      <w:r>
        <w:rPr>
          <w:w w:val="105"/>
          <w:sz w:val="19"/>
        </w:rPr>
        <w:t>países</w:t>
      </w:r>
      <w:r>
        <w:rPr>
          <w:spacing w:val="-18"/>
          <w:w w:val="105"/>
          <w:sz w:val="19"/>
        </w:rPr>
        <w:t> </w:t>
      </w:r>
      <w:r>
        <w:rPr>
          <w:w w:val="105"/>
          <w:sz w:val="19"/>
        </w:rPr>
        <w:t>con</w:t>
      </w:r>
      <w:r>
        <w:rPr>
          <w:spacing w:val="-12"/>
          <w:w w:val="105"/>
          <w:sz w:val="19"/>
        </w:rPr>
        <w:t> </w:t>
      </w:r>
      <w:r>
        <w:rPr>
          <w:w w:val="105"/>
          <w:sz w:val="19"/>
        </w:rPr>
        <w:t>calidad</w:t>
      </w:r>
      <w:r>
        <w:rPr>
          <w:spacing w:val="-12"/>
          <w:w w:val="105"/>
          <w:sz w:val="19"/>
        </w:rPr>
        <w:t> </w:t>
      </w:r>
      <w:r>
        <w:rPr>
          <w:w w:val="105"/>
          <w:sz w:val="19"/>
        </w:rPr>
        <w:t>educativa</w:t>
      </w:r>
      <w:r>
        <w:rPr>
          <w:spacing w:val="-15"/>
          <w:w w:val="105"/>
          <w:sz w:val="19"/>
        </w:rPr>
        <w:t> </w:t>
      </w:r>
      <w:r>
        <w:rPr>
          <w:spacing w:val="3"/>
          <w:w w:val="105"/>
          <w:sz w:val="19"/>
        </w:rPr>
        <w:t>más</w:t>
      </w:r>
      <w:r>
        <w:rPr>
          <w:spacing w:val="-18"/>
          <w:w w:val="105"/>
          <w:sz w:val="19"/>
        </w:rPr>
        <w:t> </w:t>
      </w:r>
      <w:r>
        <w:rPr>
          <w:w w:val="105"/>
          <w:sz w:val="19"/>
        </w:rPr>
        <w:t>baja</w:t>
      </w:r>
      <w:r>
        <w:rPr>
          <w:spacing w:val="-15"/>
          <w:w w:val="105"/>
          <w:sz w:val="19"/>
        </w:rPr>
        <w:t> </w:t>
      </w:r>
      <w:r>
        <w:rPr>
          <w:w w:val="105"/>
          <w:sz w:val="19"/>
        </w:rPr>
        <w:t>en</w:t>
      </w:r>
      <w:r>
        <w:rPr>
          <w:spacing w:val="-15"/>
          <w:w w:val="105"/>
          <w:sz w:val="19"/>
        </w:rPr>
        <w:t> </w:t>
      </w:r>
      <w:r>
        <w:rPr>
          <w:w w:val="105"/>
          <w:sz w:val="19"/>
        </w:rPr>
        <w:t>102</w:t>
      </w:r>
      <w:r>
        <w:rPr>
          <w:spacing w:val="-17"/>
          <w:w w:val="105"/>
          <w:sz w:val="19"/>
        </w:rPr>
        <w:t> </w:t>
      </w:r>
      <w:r>
        <w:rPr>
          <w:w w:val="105"/>
          <w:sz w:val="19"/>
        </w:rPr>
        <w:t>naciones”, México.</w:t>
      </w:r>
    </w:p>
    <w:p>
      <w:pPr>
        <w:spacing w:before="5"/>
        <w:ind w:left="115" w:right="191" w:firstLine="0"/>
        <w:jc w:val="left"/>
        <w:rPr>
          <w:sz w:val="19"/>
        </w:rPr>
      </w:pPr>
      <w:r>
        <w:rPr>
          <w:w w:val="105"/>
          <w:sz w:val="19"/>
        </w:rPr>
        <w:t>La Jornada (06/09/05). “Desigualdades educativas”, México.</w:t>
      </w:r>
    </w:p>
    <w:p>
      <w:pPr>
        <w:spacing w:line="247" w:lineRule="auto" w:before="2"/>
        <w:ind w:left="115" w:right="191" w:firstLine="0"/>
        <w:jc w:val="left"/>
        <w:rPr>
          <w:sz w:val="19"/>
        </w:rPr>
      </w:pPr>
      <w:r>
        <w:rPr>
          <w:w w:val="105"/>
          <w:sz w:val="19"/>
        </w:rPr>
        <w:t>La Jornada (12/05/05). “México, en los últimos lugares en educación entre países de la OCDE”</w:t>
      </w:r>
      <w:r>
        <w:rPr>
          <w:i/>
          <w:w w:val="105"/>
          <w:sz w:val="19"/>
        </w:rPr>
        <w:t>, </w:t>
      </w:r>
      <w:r>
        <w:rPr>
          <w:w w:val="105"/>
          <w:sz w:val="19"/>
        </w:rPr>
        <w:t>México.</w:t>
      </w:r>
    </w:p>
    <w:p>
      <w:pPr>
        <w:spacing w:line="247" w:lineRule="auto" w:before="0"/>
        <w:ind w:left="115" w:right="918" w:firstLine="0"/>
        <w:jc w:val="left"/>
        <w:rPr>
          <w:sz w:val="19"/>
        </w:rPr>
      </w:pPr>
      <w:r>
        <w:rPr>
          <w:w w:val="105"/>
          <w:sz w:val="19"/>
        </w:rPr>
        <w:t>El</w:t>
      </w:r>
      <w:r>
        <w:rPr>
          <w:spacing w:val="-20"/>
          <w:w w:val="105"/>
          <w:sz w:val="19"/>
        </w:rPr>
        <w:t> </w:t>
      </w:r>
      <w:r>
        <w:rPr>
          <w:w w:val="105"/>
          <w:sz w:val="19"/>
        </w:rPr>
        <w:t>Universal</w:t>
      </w:r>
      <w:r>
        <w:rPr>
          <w:spacing w:val="-20"/>
          <w:w w:val="105"/>
          <w:sz w:val="19"/>
        </w:rPr>
        <w:t> </w:t>
      </w:r>
      <w:r>
        <w:rPr>
          <w:w w:val="105"/>
          <w:sz w:val="19"/>
        </w:rPr>
        <w:t>(02/05/05)</w:t>
      </w:r>
      <w:r>
        <w:rPr>
          <w:spacing w:val="-20"/>
          <w:w w:val="105"/>
          <w:sz w:val="19"/>
        </w:rPr>
        <w:t> </w:t>
      </w:r>
      <w:r>
        <w:rPr>
          <w:w w:val="105"/>
          <w:sz w:val="19"/>
        </w:rPr>
        <w:t>“Sin</w:t>
      </w:r>
      <w:r>
        <w:rPr>
          <w:spacing w:val="-20"/>
          <w:w w:val="105"/>
          <w:sz w:val="19"/>
        </w:rPr>
        <w:t> </w:t>
      </w:r>
      <w:r>
        <w:rPr>
          <w:w w:val="105"/>
          <w:sz w:val="19"/>
        </w:rPr>
        <w:t>resultados</w:t>
      </w:r>
      <w:r>
        <w:rPr>
          <w:spacing w:val="-20"/>
          <w:w w:val="105"/>
          <w:sz w:val="19"/>
        </w:rPr>
        <w:t> </w:t>
      </w:r>
      <w:r>
        <w:rPr>
          <w:w w:val="105"/>
          <w:sz w:val="19"/>
        </w:rPr>
        <w:t>el</w:t>
      </w:r>
      <w:r>
        <w:rPr>
          <w:spacing w:val="-20"/>
          <w:w w:val="105"/>
          <w:sz w:val="19"/>
        </w:rPr>
        <w:t> </w:t>
      </w:r>
      <w:r>
        <w:rPr>
          <w:w w:val="105"/>
          <w:sz w:val="19"/>
        </w:rPr>
        <w:t>programa</w:t>
      </w:r>
      <w:r>
        <w:rPr>
          <w:spacing w:val="-20"/>
          <w:w w:val="105"/>
          <w:sz w:val="19"/>
        </w:rPr>
        <w:t> </w:t>
      </w:r>
      <w:r>
        <w:rPr>
          <w:w w:val="105"/>
          <w:sz w:val="19"/>
        </w:rPr>
        <w:t>Escuelas</w:t>
      </w:r>
      <w:r>
        <w:rPr>
          <w:spacing w:val="-20"/>
          <w:w w:val="105"/>
          <w:sz w:val="19"/>
        </w:rPr>
        <w:t> </w:t>
      </w:r>
      <w:r>
        <w:rPr>
          <w:w w:val="105"/>
          <w:sz w:val="19"/>
        </w:rPr>
        <w:t>de</w:t>
      </w:r>
      <w:r>
        <w:rPr>
          <w:spacing w:val="-20"/>
          <w:w w:val="105"/>
          <w:sz w:val="19"/>
        </w:rPr>
        <w:t> </w:t>
      </w:r>
      <w:r>
        <w:rPr>
          <w:w w:val="105"/>
          <w:sz w:val="19"/>
        </w:rPr>
        <w:t>Calidad:</w:t>
      </w:r>
      <w:r>
        <w:rPr>
          <w:spacing w:val="-24"/>
          <w:w w:val="105"/>
          <w:sz w:val="19"/>
        </w:rPr>
        <w:t> </w:t>
      </w:r>
      <w:r>
        <w:rPr>
          <w:w w:val="105"/>
          <w:sz w:val="19"/>
        </w:rPr>
        <w:t>CIDE”,</w:t>
      </w:r>
      <w:r>
        <w:rPr>
          <w:spacing w:val="-18"/>
          <w:w w:val="105"/>
          <w:sz w:val="19"/>
        </w:rPr>
        <w:t> </w:t>
      </w:r>
      <w:r>
        <w:rPr>
          <w:w w:val="105"/>
          <w:sz w:val="19"/>
        </w:rPr>
        <w:t>México. El</w:t>
      </w:r>
      <w:r>
        <w:rPr>
          <w:spacing w:val="-17"/>
          <w:w w:val="105"/>
          <w:sz w:val="19"/>
        </w:rPr>
        <w:t> </w:t>
      </w:r>
      <w:r>
        <w:rPr>
          <w:w w:val="105"/>
          <w:sz w:val="19"/>
        </w:rPr>
        <w:t>Universal</w:t>
      </w:r>
      <w:r>
        <w:rPr>
          <w:spacing w:val="-17"/>
          <w:w w:val="105"/>
          <w:sz w:val="19"/>
        </w:rPr>
        <w:t> </w:t>
      </w:r>
      <w:r>
        <w:rPr>
          <w:w w:val="105"/>
          <w:sz w:val="19"/>
        </w:rPr>
        <w:t>(05/05/05).</w:t>
      </w:r>
      <w:r>
        <w:rPr>
          <w:spacing w:val="-17"/>
          <w:w w:val="105"/>
          <w:sz w:val="19"/>
        </w:rPr>
        <w:t> </w:t>
      </w:r>
      <w:r>
        <w:rPr>
          <w:w w:val="105"/>
          <w:sz w:val="19"/>
        </w:rPr>
        <w:t>“Apatía</w:t>
      </w:r>
      <w:r>
        <w:rPr>
          <w:spacing w:val="-17"/>
          <w:w w:val="105"/>
          <w:sz w:val="19"/>
        </w:rPr>
        <w:t> </w:t>
      </w:r>
      <w:r>
        <w:rPr>
          <w:w w:val="105"/>
          <w:sz w:val="19"/>
        </w:rPr>
        <w:t>en</w:t>
      </w:r>
      <w:r>
        <w:rPr>
          <w:spacing w:val="-17"/>
          <w:w w:val="105"/>
          <w:sz w:val="19"/>
        </w:rPr>
        <w:t> </w:t>
      </w:r>
      <w:r>
        <w:rPr>
          <w:w w:val="105"/>
          <w:sz w:val="19"/>
        </w:rPr>
        <w:t>la</w:t>
      </w:r>
      <w:r>
        <w:rPr>
          <w:spacing w:val="-17"/>
          <w:w w:val="105"/>
          <w:sz w:val="19"/>
        </w:rPr>
        <w:t> </w:t>
      </w:r>
      <w:r>
        <w:rPr>
          <w:w w:val="105"/>
          <w:sz w:val="19"/>
        </w:rPr>
        <w:t>zonas</w:t>
      </w:r>
      <w:r>
        <w:rPr>
          <w:spacing w:val="-17"/>
          <w:w w:val="105"/>
          <w:sz w:val="19"/>
        </w:rPr>
        <w:t> </w:t>
      </w:r>
      <w:r>
        <w:rPr>
          <w:w w:val="105"/>
          <w:sz w:val="19"/>
        </w:rPr>
        <w:t>pobres</w:t>
      </w:r>
      <w:r>
        <w:rPr>
          <w:spacing w:val="-17"/>
          <w:w w:val="105"/>
          <w:sz w:val="19"/>
        </w:rPr>
        <w:t> </w:t>
      </w:r>
      <w:r>
        <w:rPr>
          <w:w w:val="105"/>
          <w:sz w:val="19"/>
        </w:rPr>
        <w:t>por</w:t>
      </w:r>
      <w:r>
        <w:rPr>
          <w:spacing w:val="-22"/>
          <w:w w:val="105"/>
          <w:sz w:val="19"/>
        </w:rPr>
        <w:t> </w:t>
      </w:r>
      <w:r>
        <w:rPr>
          <w:w w:val="105"/>
          <w:sz w:val="19"/>
        </w:rPr>
        <w:t>las</w:t>
      </w:r>
      <w:r>
        <w:rPr>
          <w:spacing w:val="-17"/>
          <w:w w:val="105"/>
          <w:sz w:val="19"/>
        </w:rPr>
        <w:t> </w:t>
      </w:r>
      <w:r>
        <w:rPr>
          <w:w w:val="105"/>
          <w:sz w:val="19"/>
        </w:rPr>
        <w:t>escuelas</w:t>
      </w:r>
      <w:r>
        <w:rPr>
          <w:spacing w:val="-17"/>
          <w:w w:val="105"/>
          <w:sz w:val="19"/>
        </w:rPr>
        <w:t> </w:t>
      </w:r>
      <w:r>
        <w:rPr>
          <w:spacing w:val="-3"/>
          <w:w w:val="105"/>
          <w:sz w:val="19"/>
        </w:rPr>
        <w:t>de</w:t>
      </w:r>
      <w:r>
        <w:rPr>
          <w:spacing w:val="-19"/>
          <w:w w:val="105"/>
          <w:sz w:val="19"/>
        </w:rPr>
        <w:t> </w:t>
      </w:r>
      <w:r>
        <w:rPr>
          <w:w w:val="105"/>
          <w:sz w:val="19"/>
        </w:rPr>
        <w:t>calidad”,</w:t>
      </w:r>
      <w:r>
        <w:rPr>
          <w:spacing w:val="-17"/>
          <w:w w:val="105"/>
          <w:sz w:val="19"/>
        </w:rPr>
        <w:t> </w:t>
      </w:r>
      <w:r>
        <w:rPr>
          <w:w w:val="105"/>
          <w:sz w:val="19"/>
        </w:rPr>
        <w:t>México.</w:t>
      </w:r>
    </w:p>
    <w:p>
      <w:pPr>
        <w:spacing w:line="210" w:lineRule="exact" w:before="0"/>
        <w:ind w:left="115" w:right="191" w:firstLine="0"/>
        <w:jc w:val="left"/>
        <w:rPr>
          <w:sz w:val="19"/>
        </w:rPr>
      </w:pPr>
      <w:r>
        <w:rPr>
          <w:w w:val="105"/>
          <w:sz w:val="19"/>
        </w:rPr>
        <w:t>La Jornada (12/05/05). “Reprueba la Cámara el plan foxista de Escuelas de Calidad”</w:t>
      </w:r>
      <w:r>
        <w:rPr>
          <w:i/>
          <w:w w:val="105"/>
          <w:sz w:val="19"/>
        </w:rPr>
        <w:t>, </w:t>
      </w:r>
      <w:r>
        <w:rPr>
          <w:w w:val="105"/>
          <w:sz w:val="19"/>
        </w:rPr>
        <w:t>México.</w:t>
      </w:r>
    </w:p>
    <w:p>
      <w:pPr>
        <w:spacing w:line="247" w:lineRule="auto" w:before="12"/>
        <w:ind w:left="115" w:right="103" w:firstLine="0"/>
        <w:jc w:val="left"/>
        <w:rPr>
          <w:sz w:val="19"/>
        </w:rPr>
      </w:pPr>
      <w:r>
        <w:rPr>
          <w:w w:val="105"/>
          <w:sz w:val="19"/>
        </w:rPr>
        <w:t>La</w:t>
      </w:r>
      <w:r>
        <w:rPr>
          <w:spacing w:val="-15"/>
          <w:w w:val="105"/>
          <w:sz w:val="19"/>
        </w:rPr>
        <w:t> </w:t>
      </w:r>
      <w:r>
        <w:rPr>
          <w:w w:val="105"/>
          <w:sz w:val="19"/>
        </w:rPr>
        <w:t>Jornada</w:t>
      </w:r>
      <w:r>
        <w:rPr>
          <w:spacing w:val="-12"/>
          <w:w w:val="105"/>
          <w:sz w:val="19"/>
        </w:rPr>
        <w:t> </w:t>
      </w:r>
      <w:r>
        <w:rPr>
          <w:w w:val="105"/>
          <w:sz w:val="19"/>
        </w:rPr>
        <w:t>(12/05/04).</w:t>
      </w:r>
      <w:r>
        <w:rPr>
          <w:spacing w:val="-18"/>
          <w:w w:val="105"/>
          <w:sz w:val="19"/>
        </w:rPr>
        <w:t> </w:t>
      </w:r>
      <w:r>
        <w:rPr>
          <w:w w:val="105"/>
          <w:sz w:val="19"/>
        </w:rPr>
        <w:t>“México,</w:t>
      </w:r>
      <w:r>
        <w:rPr>
          <w:spacing w:val="-15"/>
          <w:w w:val="105"/>
          <w:sz w:val="19"/>
        </w:rPr>
        <w:t> </w:t>
      </w:r>
      <w:r>
        <w:rPr>
          <w:w w:val="105"/>
          <w:sz w:val="19"/>
        </w:rPr>
        <w:t>entre</w:t>
      </w:r>
      <w:r>
        <w:rPr>
          <w:spacing w:val="-15"/>
          <w:w w:val="105"/>
          <w:sz w:val="19"/>
        </w:rPr>
        <w:t> </w:t>
      </w:r>
      <w:r>
        <w:rPr>
          <w:w w:val="105"/>
          <w:sz w:val="19"/>
        </w:rPr>
        <w:t>los</w:t>
      </w:r>
      <w:r>
        <w:rPr>
          <w:spacing w:val="-15"/>
          <w:w w:val="105"/>
          <w:sz w:val="19"/>
        </w:rPr>
        <w:t> </w:t>
      </w:r>
      <w:r>
        <w:rPr>
          <w:w w:val="105"/>
          <w:sz w:val="19"/>
        </w:rPr>
        <w:t>países</w:t>
      </w:r>
      <w:r>
        <w:rPr>
          <w:spacing w:val="-18"/>
          <w:w w:val="105"/>
          <w:sz w:val="19"/>
        </w:rPr>
        <w:t> </w:t>
      </w:r>
      <w:r>
        <w:rPr>
          <w:w w:val="105"/>
          <w:sz w:val="19"/>
        </w:rPr>
        <w:t>con</w:t>
      </w:r>
      <w:r>
        <w:rPr>
          <w:spacing w:val="-12"/>
          <w:w w:val="105"/>
          <w:sz w:val="19"/>
        </w:rPr>
        <w:t> </w:t>
      </w:r>
      <w:r>
        <w:rPr>
          <w:w w:val="105"/>
          <w:sz w:val="19"/>
        </w:rPr>
        <w:t>calidad</w:t>
      </w:r>
      <w:r>
        <w:rPr>
          <w:spacing w:val="-12"/>
          <w:w w:val="105"/>
          <w:sz w:val="19"/>
        </w:rPr>
        <w:t> </w:t>
      </w:r>
      <w:r>
        <w:rPr>
          <w:w w:val="105"/>
          <w:sz w:val="19"/>
        </w:rPr>
        <w:t>educativa</w:t>
      </w:r>
      <w:r>
        <w:rPr>
          <w:spacing w:val="-15"/>
          <w:w w:val="105"/>
          <w:sz w:val="19"/>
        </w:rPr>
        <w:t> </w:t>
      </w:r>
      <w:r>
        <w:rPr>
          <w:spacing w:val="3"/>
          <w:w w:val="105"/>
          <w:sz w:val="19"/>
        </w:rPr>
        <w:t>más</w:t>
      </w:r>
      <w:r>
        <w:rPr>
          <w:spacing w:val="-18"/>
          <w:w w:val="105"/>
          <w:sz w:val="19"/>
        </w:rPr>
        <w:t> </w:t>
      </w:r>
      <w:r>
        <w:rPr>
          <w:w w:val="105"/>
          <w:sz w:val="19"/>
        </w:rPr>
        <w:t>baja</w:t>
      </w:r>
      <w:r>
        <w:rPr>
          <w:spacing w:val="-15"/>
          <w:w w:val="105"/>
          <w:sz w:val="19"/>
        </w:rPr>
        <w:t> </w:t>
      </w:r>
      <w:r>
        <w:rPr>
          <w:w w:val="105"/>
          <w:sz w:val="19"/>
        </w:rPr>
        <w:t>en</w:t>
      </w:r>
      <w:r>
        <w:rPr>
          <w:spacing w:val="-15"/>
          <w:w w:val="105"/>
          <w:sz w:val="19"/>
        </w:rPr>
        <w:t> </w:t>
      </w:r>
      <w:r>
        <w:rPr>
          <w:w w:val="105"/>
          <w:sz w:val="19"/>
        </w:rPr>
        <w:t>102</w:t>
      </w:r>
      <w:r>
        <w:rPr>
          <w:spacing w:val="-17"/>
          <w:w w:val="105"/>
          <w:sz w:val="19"/>
        </w:rPr>
        <w:t> </w:t>
      </w:r>
      <w:r>
        <w:rPr>
          <w:w w:val="105"/>
          <w:sz w:val="19"/>
        </w:rPr>
        <w:t>naciones”, México.</w:t>
      </w:r>
    </w:p>
    <w:p>
      <w:pPr>
        <w:spacing w:line="242" w:lineRule="auto" w:before="0"/>
        <w:ind w:left="115" w:right="110" w:firstLine="0"/>
        <w:jc w:val="left"/>
        <w:rPr>
          <w:sz w:val="19"/>
        </w:rPr>
      </w:pPr>
      <w:r>
        <w:rPr>
          <w:w w:val="105"/>
          <w:sz w:val="19"/>
        </w:rPr>
        <w:t>La</w:t>
      </w:r>
      <w:r>
        <w:rPr>
          <w:spacing w:val="-10"/>
          <w:w w:val="105"/>
          <w:sz w:val="19"/>
        </w:rPr>
        <w:t> </w:t>
      </w:r>
      <w:r>
        <w:rPr>
          <w:w w:val="105"/>
          <w:sz w:val="19"/>
        </w:rPr>
        <w:t>Jornada</w:t>
      </w:r>
      <w:r>
        <w:rPr>
          <w:spacing w:val="-7"/>
          <w:w w:val="105"/>
          <w:sz w:val="19"/>
        </w:rPr>
        <w:t> </w:t>
      </w:r>
      <w:r>
        <w:rPr>
          <w:w w:val="105"/>
          <w:sz w:val="19"/>
        </w:rPr>
        <w:t>(22/08/05).</w:t>
      </w:r>
      <w:r>
        <w:rPr>
          <w:spacing w:val="-13"/>
          <w:w w:val="105"/>
          <w:sz w:val="19"/>
        </w:rPr>
        <w:t> </w:t>
      </w:r>
      <w:r>
        <w:rPr>
          <w:w w:val="105"/>
          <w:sz w:val="19"/>
        </w:rPr>
        <w:t>“Para</w:t>
      </w:r>
      <w:r>
        <w:rPr>
          <w:spacing w:val="-7"/>
          <w:w w:val="105"/>
          <w:sz w:val="19"/>
        </w:rPr>
        <w:t> </w:t>
      </w:r>
      <w:r>
        <w:rPr>
          <w:w w:val="105"/>
          <w:sz w:val="19"/>
        </w:rPr>
        <w:t>abatir</w:t>
      </w:r>
      <w:r>
        <w:rPr>
          <w:spacing w:val="-10"/>
          <w:w w:val="105"/>
          <w:sz w:val="19"/>
        </w:rPr>
        <w:t> </w:t>
      </w:r>
      <w:r>
        <w:rPr>
          <w:w w:val="105"/>
          <w:sz w:val="19"/>
        </w:rPr>
        <w:t>la</w:t>
      </w:r>
      <w:r>
        <w:rPr>
          <w:spacing w:val="-10"/>
          <w:w w:val="105"/>
          <w:sz w:val="19"/>
        </w:rPr>
        <w:t> </w:t>
      </w:r>
      <w:r>
        <w:rPr>
          <w:w w:val="105"/>
          <w:sz w:val="19"/>
        </w:rPr>
        <w:t>pobreza,</w:t>
      </w:r>
      <w:r>
        <w:rPr>
          <w:spacing w:val="-13"/>
          <w:w w:val="105"/>
          <w:sz w:val="19"/>
        </w:rPr>
        <w:t> </w:t>
      </w:r>
      <w:r>
        <w:rPr>
          <w:w w:val="105"/>
          <w:sz w:val="19"/>
        </w:rPr>
        <w:t>México</w:t>
      </w:r>
      <w:r>
        <w:rPr>
          <w:spacing w:val="-10"/>
          <w:w w:val="105"/>
          <w:sz w:val="19"/>
        </w:rPr>
        <w:t> </w:t>
      </w:r>
      <w:r>
        <w:rPr>
          <w:w w:val="105"/>
          <w:sz w:val="19"/>
        </w:rPr>
        <w:t>debe</w:t>
      </w:r>
      <w:r>
        <w:rPr>
          <w:spacing w:val="-10"/>
          <w:w w:val="105"/>
          <w:sz w:val="19"/>
        </w:rPr>
        <w:t> </w:t>
      </w:r>
      <w:r>
        <w:rPr>
          <w:w w:val="105"/>
          <w:sz w:val="19"/>
        </w:rPr>
        <w:t>crecer</w:t>
      </w:r>
      <w:r>
        <w:rPr>
          <w:spacing w:val="-10"/>
          <w:w w:val="105"/>
          <w:sz w:val="19"/>
        </w:rPr>
        <w:t> </w:t>
      </w:r>
      <w:r>
        <w:rPr>
          <w:w w:val="105"/>
          <w:sz w:val="19"/>
        </w:rPr>
        <w:t>4.6%</w:t>
      </w:r>
      <w:r>
        <w:rPr>
          <w:spacing w:val="-13"/>
          <w:w w:val="105"/>
          <w:sz w:val="19"/>
        </w:rPr>
        <w:t> </w:t>
      </w:r>
      <w:r>
        <w:rPr>
          <w:w w:val="105"/>
          <w:sz w:val="19"/>
        </w:rPr>
        <w:t>durante</w:t>
      </w:r>
      <w:r>
        <w:rPr>
          <w:spacing w:val="-10"/>
          <w:w w:val="105"/>
          <w:sz w:val="19"/>
        </w:rPr>
        <w:t> </w:t>
      </w:r>
      <w:r>
        <w:rPr>
          <w:spacing w:val="-3"/>
          <w:w w:val="105"/>
          <w:sz w:val="19"/>
        </w:rPr>
        <w:t>11</w:t>
      </w:r>
      <w:r>
        <w:rPr>
          <w:spacing w:val="-7"/>
          <w:w w:val="105"/>
          <w:sz w:val="19"/>
        </w:rPr>
        <w:t> </w:t>
      </w:r>
      <w:r>
        <w:rPr>
          <w:w w:val="105"/>
          <w:sz w:val="19"/>
        </w:rPr>
        <w:t>años:</w:t>
      </w:r>
      <w:r>
        <w:rPr>
          <w:spacing w:val="-16"/>
          <w:w w:val="105"/>
          <w:sz w:val="19"/>
        </w:rPr>
        <w:t> </w:t>
      </w:r>
      <w:r>
        <w:rPr>
          <w:w w:val="105"/>
          <w:sz w:val="19"/>
        </w:rPr>
        <w:t>Cepal”, México.</w:t>
      </w:r>
    </w:p>
    <w:p>
      <w:pPr>
        <w:spacing w:line="214" w:lineRule="exact" w:before="0"/>
        <w:ind w:left="115" w:right="191" w:firstLine="0"/>
        <w:jc w:val="left"/>
        <w:rPr>
          <w:sz w:val="19"/>
        </w:rPr>
      </w:pPr>
      <w:r>
        <w:rPr>
          <w:w w:val="105"/>
          <w:sz w:val="19"/>
        </w:rPr>
        <w:t>La Jornada (06/09/05). “Desigualdades educativas”</w:t>
      </w:r>
      <w:r>
        <w:rPr>
          <w:i/>
          <w:w w:val="105"/>
          <w:sz w:val="19"/>
        </w:rPr>
        <w:t>, </w:t>
      </w:r>
      <w:r>
        <w:rPr>
          <w:w w:val="105"/>
          <w:sz w:val="19"/>
        </w:rPr>
        <w:t>México.</w:t>
      </w:r>
    </w:p>
    <w:p>
      <w:pPr>
        <w:spacing w:line="242" w:lineRule="auto" w:before="12"/>
        <w:ind w:left="115" w:right="191" w:firstLine="0"/>
        <w:jc w:val="left"/>
        <w:rPr>
          <w:sz w:val="19"/>
        </w:rPr>
      </w:pPr>
      <w:r>
        <w:rPr>
          <w:w w:val="105"/>
          <w:sz w:val="19"/>
        </w:rPr>
        <w:t>La Jornada (12/05/05). “México, en los últimos lugares en educación entre países de la OCDE”, México.</w:t>
      </w:r>
    </w:p>
    <w:p>
      <w:pPr>
        <w:pStyle w:val="BodyText"/>
        <w:rPr>
          <w:sz w:val="20"/>
        </w:rPr>
      </w:pPr>
    </w:p>
    <w:p>
      <w:pPr>
        <w:pStyle w:val="BodyText"/>
        <w:rPr>
          <w:sz w:val="20"/>
        </w:rPr>
      </w:pPr>
    </w:p>
    <w:p>
      <w:pPr>
        <w:pStyle w:val="BodyText"/>
        <w:spacing w:before="10"/>
        <w:rPr>
          <w:sz w:val="18"/>
        </w:rPr>
      </w:pPr>
    </w:p>
    <w:p>
      <w:pPr>
        <w:spacing w:before="0"/>
        <w:ind w:left="115" w:right="191" w:firstLine="0"/>
        <w:jc w:val="left"/>
        <w:rPr>
          <w:b/>
          <w:sz w:val="19"/>
        </w:rPr>
      </w:pPr>
      <w:r>
        <w:rPr>
          <w:b/>
          <w:w w:val="105"/>
          <w:sz w:val="19"/>
        </w:rPr>
        <w:t>Páginas de INTERNET</w:t>
      </w:r>
    </w:p>
    <w:p>
      <w:pPr>
        <w:pStyle w:val="BodyText"/>
        <w:spacing w:before="2"/>
        <w:rPr>
          <w:b/>
          <w:sz w:val="20"/>
        </w:rPr>
      </w:pPr>
    </w:p>
    <w:p>
      <w:pPr>
        <w:spacing w:line="247" w:lineRule="auto" w:before="0"/>
        <w:ind w:left="115" w:right="1880" w:hanging="1"/>
        <w:jc w:val="left"/>
        <w:rPr>
          <w:sz w:val="19"/>
        </w:rPr>
      </w:pPr>
      <w:hyperlink r:id="rId191">
        <w:r>
          <w:rPr>
            <w:color w:val="0000FF"/>
            <w:w w:val="105"/>
            <w:sz w:val="19"/>
            <w:u w:val="single" w:color="0000FF"/>
          </w:rPr>
          <w:t>http://www.oem.com.mx/elsoldemexico/notas/n1135806.htm</w:t>
        </w:r>
      </w:hyperlink>
      <w:r>
        <w:rPr>
          <w:color w:val="0000FF"/>
          <w:w w:val="105"/>
          <w:sz w:val="19"/>
          <w:u w:val="single" w:color="0000FF"/>
        </w:rPr>
        <w:t> </w:t>
      </w:r>
      <w:hyperlink r:id="rId192">
        <w:r>
          <w:rPr>
            <w:color w:val="0000FF"/>
            <w:w w:val="105"/>
            <w:sz w:val="19"/>
            <w:u w:val="single" w:color="0000FF"/>
          </w:rPr>
          <w:t>http://www.oem.com.mx/elsoldetoluca/notas/n986354.htm</w:t>
        </w:r>
      </w:hyperlink>
      <w:r>
        <w:rPr>
          <w:color w:val="0000FF"/>
          <w:w w:val="105"/>
          <w:sz w:val="19"/>
          <w:u w:val="single" w:color="0000FF"/>
        </w:rPr>
        <w:t> </w:t>
      </w:r>
      <w:hyperlink r:id="rId151">
        <w:r>
          <w:rPr>
            <w:color w:val="0000FF"/>
            <w:sz w:val="19"/>
            <w:u w:val="single" w:color="0000FF"/>
          </w:rPr>
          <w:t>http://www.inee.edu.mx/images/stories/documentos_pdf/que_es_el_inee.pdf</w:t>
        </w:r>
      </w:hyperlink>
      <w:r>
        <w:rPr>
          <w:color w:val="0000FF"/>
          <w:sz w:val="19"/>
          <w:u w:val="single" w:color="0000FF"/>
        </w:rPr>
        <w:t> </w:t>
      </w:r>
      <w:r>
        <w:rPr>
          <w:sz w:val="19"/>
        </w:rPr>
        <w:t>PISA   </w:t>
      </w:r>
      <w:hyperlink r:id="rId193">
        <w:r>
          <w:rPr>
            <w:color w:val="0000FF"/>
            <w:sz w:val="19"/>
            <w:u w:val="single" w:color="0000FF"/>
          </w:rPr>
          <w:t>http://www.inee.edu.mx/index.php/servicios/pisa</w:t>
        </w:r>
      </w:hyperlink>
    </w:p>
    <w:p>
      <w:pPr>
        <w:spacing w:line="242" w:lineRule="auto" w:before="0"/>
        <w:ind w:left="115" w:right="3280" w:firstLine="0"/>
        <w:jc w:val="left"/>
        <w:rPr>
          <w:sz w:val="19"/>
        </w:rPr>
      </w:pPr>
      <w:r>
        <w:rPr>
          <w:sz w:val="19"/>
        </w:rPr>
        <w:t>INEE (</w:t>
      </w:r>
      <w:hyperlink r:id="rId43">
        <w:r>
          <w:rPr>
            <w:color w:val="0000FF"/>
            <w:sz w:val="19"/>
            <w:u w:val="single" w:color="0000FF"/>
          </w:rPr>
          <w:t>http://www.inee.edu.mx/index.php/servicios/pisa</w:t>
        </w:r>
        <w:r>
          <w:rPr>
            <w:sz w:val="19"/>
          </w:rPr>
          <w:t>)</w:t>
        </w:r>
      </w:hyperlink>
      <w:r>
        <w:rPr>
          <w:sz w:val="19"/>
        </w:rPr>
        <w:t> </w:t>
      </w:r>
      <w:r>
        <w:rPr>
          <w:w w:val="105"/>
          <w:sz w:val="19"/>
        </w:rPr>
        <w:t>EXCALE</w:t>
      </w:r>
    </w:p>
    <w:p>
      <w:pPr>
        <w:spacing w:line="247" w:lineRule="auto" w:before="5"/>
        <w:ind w:left="115" w:right="375" w:firstLine="0"/>
        <w:jc w:val="left"/>
        <w:rPr>
          <w:sz w:val="19"/>
        </w:rPr>
      </w:pPr>
      <w:hyperlink r:id="rId194">
        <w:r>
          <w:rPr>
            <w:sz w:val="19"/>
          </w:rPr>
          <w:t>http://www.educacionbc.edu.mx/departamentos/evaluacion/evaluaciones/ebasica/excale.php</w:t>
        </w:r>
      </w:hyperlink>
      <w:r>
        <w:rPr>
          <w:sz w:val="19"/>
        </w:rPr>
        <w:t> </w:t>
      </w:r>
      <w:r>
        <w:rPr>
          <w:w w:val="105"/>
          <w:sz w:val="19"/>
        </w:rPr>
        <w:t>TALIS</w:t>
      </w:r>
    </w:p>
    <w:p>
      <w:pPr>
        <w:spacing w:line="242" w:lineRule="auto" w:before="0"/>
        <w:ind w:left="115" w:right="191" w:firstLine="0"/>
        <w:jc w:val="left"/>
        <w:rPr>
          <w:sz w:val="19"/>
        </w:rPr>
      </w:pPr>
      <w:hyperlink r:id="rId195">
        <w:r>
          <w:rPr>
            <w:color w:val="0000FF"/>
            <w:sz w:val="19"/>
            <w:u w:val="single" w:color="0000FF"/>
          </w:rPr>
          <w:t>http://www.oecd.org/education/school/oecdteachingandlearninginternationalsurveytalishome.htm</w:t>
        </w:r>
      </w:hyperlink>
      <w:r>
        <w:rPr>
          <w:color w:val="0000FF"/>
          <w:sz w:val="19"/>
          <w:u w:val="single" w:color="0000FF"/>
        </w:rPr>
        <w:t> </w:t>
      </w:r>
      <w:r>
        <w:rPr>
          <w:w w:val="105"/>
          <w:sz w:val="19"/>
        </w:rPr>
        <w:t>(</w:t>
      </w:r>
      <w:hyperlink r:id="rId196">
        <w:r>
          <w:rPr>
            <w:color w:val="0000FF"/>
            <w:w w:val="105"/>
            <w:sz w:val="19"/>
            <w:u w:val="single" w:color="0000FF"/>
          </w:rPr>
          <w:t>http://alianza.sep.gob.mx/i2.html</w:t>
        </w:r>
        <w:r>
          <w:rPr>
            <w:w w:val="105"/>
            <w:sz w:val="19"/>
          </w:rPr>
          <w:t>)</w:t>
        </w:r>
      </w:hyperlink>
    </w:p>
    <w:p>
      <w:pPr>
        <w:spacing w:line="247" w:lineRule="auto" w:before="5"/>
        <w:ind w:left="115" w:right="2585" w:firstLine="0"/>
        <w:jc w:val="left"/>
        <w:rPr>
          <w:sz w:val="19"/>
        </w:rPr>
      </w:pPr>
      <w:hyperlink r:id="rId197">
        <w:r>
          <w:rPr>
            <w:color w:val="0000FF"/>
            <w:w w:val="105"/>
            <w:sz w:val="19"/>
            <w:u w:val="single" w:color="0000FF"/>
          </w:rPr>
          <w:t>http://alianza.sep.gob.mx/</w:t>
        </w:r>
      </w:hyperlink>
      <w:r>
        <w:rPr>
          <w:color w:val="0000FF"/>
          <w:w w:val="105"/>
          <w:sz w:val="19"/>
          <w:u w:val="single" w:color="0000FF"/>
        </w:rPr>
        <w:t> </w:t>
      </w:r>
      <w:hyperlink r:id="rId198">
        <w:r>
          <w:rPr>
            <w:color w:val="0000FF"/>
            <w:sz w:val="19"/>
            <w:u w:val="single" w:color="0000FF"/>
          </w:rPr>
          <w:t>http://alianza.sep.gob.mx/pdf/alianzabreve.pdf</w:t>
        </w:r>
      </w:hyperlink>
      <w:r>
        <w:rPr>
          <w:color w:val="0000FF"/>
          <w:sz w:val="19"/>
          <w:u w:val="single" w:color="0000FF"/>
        </w:rPr>
        <w:t> </w:t>
      </w:r>
      <w:hyperlink r:id="rId199">
        <w:r>
          <w:rPr>
            <w:color w:val="0000FF"/>
            <w:sz w:val="19"/>
            <w:u w:val="single" w:color="0000FF"/>
          </w:rPr>
          <w:t>http://alianza.sep.gob.mx/organizacion1.htm</w:t>
        </w:r>
        <w:r>
          <w:rPr>
            <w:color w:val="0000FF"/>
            <w:sz w:val="19"/>
          </w:rPr>
          <w:t>l</w:t>
        </w:r>
      </w:hyperlink>
      <w:r>
        <w:rPr>
          <w:color w:val="0000FF"/>
          <w:sz w:val="19"/>
        </w:rPr>
        <w:t> </w:t>
      </w:r>
      <w:hyperlink r:id="rId198">
        <w:r>
          <w:rPr>
            <w:color w:val="0000FF"/>
            <w:sz w:val="19"/>
            <w:u w:val="single" w:color="0000FF"/>
          </w:rPr>
          <w:t>http://alianza.sep.gob.mx/pdf/alianzabreve.pdf</w:t>
        </w:r>
      </w:hyperlink>
    </w:p>
    <w:sectPr>
      <w:pgSz w:w="11910" w:h="16840"/>
      <w:pgMar w:header="0" w:footer="1457" w:top="1580" w:bottom="1640" w:left="1540" w:right="15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omic Sans MS">
    <w:altName w:val="Comic Sans MS"/>
    <w:charset w:val="0"/>
    <w:family w:val="script"/>
    <w:pitch w:val="variable"/>
  </w:font>
  <w:font w:name="Calibri">
    <w:altName w:val="Calibri"/>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05.119995pt;margin-top:758.082214pt;width:9.85pt;height:13.7pt;mso-position-horizontal-relative:page;mso-position-vertical-relative:page;z-index:-210760" type="#_x0000_t202" filled="false" stroked="false">
          <v:textbox inset="0,0,0,0">
            <w:txbxContent>
              <w:p>
                <w:pPr>
                  <w:pStyle w:val="BodyText"/>
                  <w:spacing w:line="258" w:lineRule="exact"/>
                  <w:ind w:left="40"/>
                  <w:rPr>
                    <w:rFonts w:ascii="Times New Roman"/>
                  </w:rPr>
                </w:pPr>
                <w:r>
                  <w:rPr/>
                  <w:fldChar w:fldCharType="begin"/>
                </w:r>
                <w:r>
                  <w:rPr>
                    <w:rFonts w:ascii="Times New Roman"/>
                    <w:w w:val="101"/>
                  </w:rPr>
                  <w:instrText> PAGE </w:instrText>
                </w:r>
                <w:r>
                  <w:rPr/>
                  <w:fldChar w:fldCharType="separate"/>
                </w:r>
                <w:r>
                  <w:rPr/>
                  <w:t>2</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0.359985pt;margin-top:758.082214pt;width:13.55pt;height:13.7pt;mso-position-horizontal-relative:page;mso-position-vertical-relative:page;z-index:-210544" type="#_x0000_t202" filled="false" stroked="false">
          <v:textbox inset="0,0,0,0">
            <w:txbxContent>
              <w:p>
                <w:pPr>
                  <w:pStyle w:val="BodyText"/>
                  <w:spacing w:line="258" w:lineRule="exact"/>
                  <w:ind w:left="20"/>
                  <w:rPr>
                    <w:rFonts w:ascii="Times New Roman"/>
                  </w:rPr>
                </w:pPr>
                <w:r>
                  <w:rPr>
                    <w:rFonts w:ascii="Times New Roman"/>
                  </w:rPr>
                  <w:t>50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9.359985pt;margin-top:758.082214pt;width:15.55pt;height:13.7pt;mso-position-horizontal-relative:page;mso-position-vertical-relative:page;z-index:-210520" type="#_x0000_t202" filled="false" stroked="false">
          <v:textbox inset="0,0,0,0">
            <w:txbxContent>
              <w:p>
                <w:pPr>
                  <w:pStyle w:val="BodyText"/>
                  <w:spacing w:line="258" w:lineRule="exact"/>
                  <w:ind w:left="40"/>
                  <w:rPr>
                    <w:rFonts w:ascii="Times New Roman"/>
                  </w:rPr>
                </w:pPr>
                <w:r>
                  <w:rPr/>
                  <w:fldChar w:fldCharType="begin"/>
                </w:r>
                <w:r>
                  <w:rPr>
                    <w:rFonts w:ascii="Times New Roman"/>
                  </w:rPr>
                  <w:instrText> PAGE </w:instrText>
                </w:r>
                <w:r>
                  <w:rPr/>
                  <w:fldChar w:fldCharType="separate"/>
                </w:r>
                <w:r>
                  <w:rPr/>
                  <w:t>51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0.359985pt;margin-top:758.082214pt;width:13.55pt;height:13.7pt;mso-position-horizontal-relative:page;mso-position-vertical-relative:page;z-index:-210496" type="#_x0000_t202" filled="false" stroked="false">
          <v:textbox inset="0,0,0,0">
            <w:txbxContent>
              <w:p>
                <w:pPr>
                  <w:pStyle w:val="BodyText"/>
                  <w:spacing w:line="258" w:lineRule="exact"/>
                  <w:ind w:left="20"/>
                  <w:rPr>
                    <w:rFonts w:ascii="Times New Roman"/>
                  </w:rPr>
                </w:pPr>
                <w:r>
                  <w:rPr>
                    <w:rFonts w:ascii="Times New Roman"/>
                  </w:rPr>
                  <w:t>60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9.359985pt;margin-top:758.082214pt;width:15.55pt;height:13.7pt;mso-position-horizontal-relative:page;mso-position-vertical-relative:page;z-index:-210472" type="#_x0000_t202" filled="false" stroked="false">
          <v:textbox inset="0,0,0,0">
            <w:txbxContent>
              <w:p>
                <w:pPr>
                  <w:pStyle w:val="BodyText"/>
                  <w:spacing w:line="258" w:lineRule="exact"/>
                  <w:ind w:left="40"/>
                  <w:rPr>
                    <w:rFonts w:ascii="Times New Roman"/>
                  </w:rPr>
                </w:pPr>
                <w:r>
                  <w:rPr/>
                  <w:fldChar w:fldCharType="begin"/>
                </w:r>
                <w:r>
                  <w:rPr>
                    <w:rFonts w:ascii="Times New Roman"/>
                  </w:rPr>
                  <w:instrText> PAGE </w:instrText>
                </w:r>
                <w:r>
                  <w:rPr/>
                  <w:fldChar w:fldCharType="separate"/>
                </w:r>
                <w:r>
                  <w:rPr/>
                  <w:t>61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0.359985pt;margin-top:758.082214pt;width:13.55pt;height:13.7pt;mso-position-horizontal-relative:page;mso-position-vertical-relative:page;z-index:-210448" type="#_x0000_t202" filled="false" stroked="false">
          <v:textbox inset="0,0,0,0">
            <w:txbxContent>
              <w:p>
                <w:pPr>
                  <w:pStyle w:val="BodyText"/>
                  <w:spacing w:line="258" w:lineRule="exact"/>
                  <w:ind w:left="20"/>
                  <w:rPr>
                    <w:rFonts w:ascii="Times New Roman"/>
                  </w:rPr>
                </w:pPr>
                <w:r>
                  <w:rPr>
                    <w:rFonts w:ascii="Times New Roman"/>
                  </w:rPr>
                  <w:t>70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9.359985pt;margin-top:758.082214pt;width:15.55pt;height:13.7pt;mso-position-horizontal-relative:page;mso-position-vertical-relative:page;z-index:-210424" type="#_x0000_t202" filled="false" stroked="false">
          <v:textbox inset="0,0,0,0">
            <w:txbxContent>
              <w:p>
                <w:pPr>
                  <w:pStyle w:val="BodyText"/>
                  <w:spacing w:line="258" w:lineRule="exact"/>
                  <w:ind w:left="40"/>
                  <w:rPr>
                    <w:rFonts w:ascii="Times New Roman"/>
                  </w:rPr>
                </w:pPr>
                <w:r>
                  <w:rPr/>
                  <w:fldChar w:fldCharType="begin"/>
                </w:r>
                <w:r>
                  <w:rPr>
                    <w:rFonts w:ascii="Times New Roman"/>
                  </w:rPr>
                  <w:instrText> PAGE </w:instrText>
                </w:r>
                <w:r>
                  <w:rPr/>
                  <w:fldChar w:fldCharType="separate"/>
                </w:r>
                <w:r>
                  <w:rPr/>
                  <w:t>71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0.359985pt;margin-top:758.082214pt;width:13.55pt;height:13.7pt;mso-position-horizontal-relative:page;mso-position-vertical-relative:page;z-index:-210400" type="#_x0000_t202" filled="false" stroked="false">
          <v:textbox inset="0,0,0,0">
            <w:txbxContent>
              <w:p>
                <w:pPr>
                  <w:pStyle w:val="BodyText"/>
                  <w:spacing w:line="258" w:lineRule="exact"/>
                  <w:ind w:left="20"/>
                  <w:rPr>
                    <w:rFonts w:ascii="Times New Roman"/>
                  </w:rPr>
                </w:pPr>
                <w:r>
                  <w:rPr>
                    <w:rFonts w:ascii="Times New Roman"/>
                  </w:rPr>
                  <w:t>80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9.359985pt;margin-top:758.082214pt;width:15.55pt;height:13.7pt;mso-position-horizontal-relative:page;mso-position-vertical-relative:page;z-index:-210376" type="#_x0000_t202" filled="false" stroked="false">
          <v:textbox inset="0,0,0,0">
            <w:txbxContent>
              <w:p>
                <w:pPr>
                  <w:pStyle w:val="BodyText"/>
                  <w:spacing w:line="258" w:lineRule="exact"/>
                  <w:ind w:left="40"/>
                  <w:rPr>
                    <w:rFonts w:ascii="Times New Roman"/>
                  </w:rPr>
                </w:pPr>
                <w:r>
                  <w:rPr/>
                  <w:fldChar w:fldCharType="begin"/>
                </w:r>
                <w:r>
                  <w:rPr>
                    <w:rFonts w:ascii="Times New Roman"/>
                  </w:rPr>
                  <w:instrText> PAGE </w:instrText>
                </w:r>
                <w:r>
                  <w:rPr/>
                  <w:fldChar w:fldCharType="separate"/>
                </w:r>
                <w:r>
                  <w:rPr/>
                  <w:t>81</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0352" from="82.799004pt,664.679993pt" to="222.958004pt,664.679993pt" stroked="true" strokeweight=".72pt" strokecolor="#000000">
          <w10:wrap type="none"/>
        </v:line>
      </w:pict>
    </w:r>
    <w:r>
      <w:rPr/>
      <w:pict>
        <v:shape style="position:absolute;margin-left:81.799004pt;margin-top:726.405029pt;width:174.7pt;height:11.85pt;mso-position-horizontal-relative:page;mso-position-vertical-relative:page;z-index:-210328" type="#_x0000_t202" filled="false" stroked="false">
          <v:textbox inset="0,0,0,0">
            <w:txbxContent>
              <w:p>
                <w:pPr>
                  <w:spacing w:before="0"/>
                  <w:ind w:left="20" w:right="0" w:firstLine="0"/>
                  <w:jc w:val="left"/>
                  <w:rPr>
                    <w:sz w:val="19"/>
                  </w:rPr>
                </w:pPr>
                <w:r>
                  <w:rPr>
                    <w:w w:val="105"/>
                    <w:sz w:val="19"/>
                  </w:rPr>
                  <w:t>que</w:t>
                </w:r>
                <w:r>
                  <w:rPr>
                    <w:spacing w:val="-16"/>
                    <w:w w:val="105"/>
                    <w:sz w:val="19"/>
                  </w:rPr>
                  <w:t> </w:t>
                </w:r>
                <w:r>
                  <w:rPr>
                    <w:w w:val="105"/>
                    <w:sz w:val="19"/>
                  </w:rPr>
                  <w:t>aseguren</w:t>
                </w:r>
                <w:r>
                  <w:rPr>
                    <w:spacing w:val="-13"/>
                    <w:w w:val="105"/>
                    <w:sz w:val="19"/>
                  </w:rPr>
                  <w:t> </w:t>
                </w:r>
                <w:r>
                  <w:rPr>
                    <w:w w:val="105"/>
                    <w:sz w:val="19"/>
                  </w:rPr>
                  <w:t>que</w:t>
                </w:r>
                <w:r>
                  <w:rPr>
                    <w:spacing w:val="-13"/>
                    <w:w w:val="105"/>
                    <w:sz w:val="19"/>
                  </w:rPr>
                  <w:t> </w:t>
                </w:r>
                <w:r>
                  <w:rPr>
                    <w:w w:val="105"/>
                    <w:sz w:val="19"/>
                  </w:rPr>
                  <w:t>el</w:t>
                </w:r>
                <w:r>
                  <w:rPr>
                    <w:spacing w:val="-16"/>
                    <w:w w:val="105"/>
                    <w:sz w:val="19"/>
                  </w:rPr>
                  <w:t> </w:t>
                </w:r>
                <w:r>
                  <w:rPr>
                    <w:w w:val="105"/>
                    <w:sz w:val="19"/>
                  </w:rPr>
                  <w:t>trato</w:t>
                </w:r>
                <w:r>
                  <w:rPr>
                    <w:spacing w:val="-13"/>
                    <w:w w:val="105"/>
                    <w:sz w:val="19"/>
                  </w:rPr>
                  <w:t> </w:t>
                </w:r>
                <w:r>
                  <w:rPr>
                    <w:spacing w:val="-4"/>
                    <w:w w:val="105"/>
                    <w:sz w:val="19"/>
                  </w:rPr>
                  <w:t>se</w:t>
                </w:r>
                <w:r>
                  <w:rPr>
                    <w:spacing w:val="-16"/>
                    <w:w w:val="105"/>
                    <w:sz w:val="19"/>
                  </w:rPr>
                  <w:t> </w:t>
                </w:r>
                <w:r>
                  <w:rPr>
                    <w:w w:val="105"/>
                    <w:sz w:val="19"/>
                  </w:rPr>
                  <w:t>mantenga.</w:t>
                </w:r>
              </w:p>
            </w:txbxContent>
          </v:textbox>
          <w10:wrap type="none"/>
        </v:shape>
      </w:pict>
    </w:r>
    <w:r>
      <w:rPr/>
      <w:pict>
        <v:shape style="position:absolute;margin-left:499.359985pt;margin-top:758.082214pt;width:15.55pt;height:13.7pt;mso-position-horizontal-relative:page;mso-position-vertical-relative:page;z-index:-210304" type="#_x0000_t202" filled="false" stroked="false">
          <v:textbox inset="0,0,0,0">
            <w:txbxContent>
              <w:p>
                <w:pPr>
                  <w:pStyle w:val="BodyText"/>
                  <w:spacing w:line="258" w:lineRule="exact"/>
                  <w:ind w:left="40"/>
                  <w:rPr>
                    <w:rFonts w:ascii="Times New Roman"/>
                  </w:rPr>
                </w:pPr>
                <w:r>
                  <w:rPr/>
                  <w:fldChar w:fldCharType="begin"/>
                </w:r>
                <w:r>
                  <w:rPr>
                    <w:rFonts w:ascii="Times New Roman"/>
                  </w:rPr>
                  <w:instrText> PAGE </w:instrText>
                </w:r>
                <w:r>
                  <w:rPr/>
                  <w:fldChar w:fldCharType="separate"/>
                </w:r>
                <w:r>
                  <w:rPr/>
                  <w:t>89</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1.799004pt;margin-top:726.401001pt;width:216.9pt;height:11.85pt;mso-position-horizontal-relative:page;mso-position-vertical-relative:page;z-index:-210280" type="#_x0000_t202" filled="false" stroked="false">
          <v:textbox inset="0,0,0,0">
            <w:txbxContent>
              <w:p>
                <w:pPr>
                  <w:spacing w:before="0"/>
                  <w:ind w:left="20" w:right="0" w:firstLine="0"/>
                  <w:jc w:val="left"/>
                  <w:rPr>
                    <w:sz w:val="19"/>
                  </w:rPr>
                </w:pPr>
                <w:r>
                  <w:rPr>
                    <w:w w:val="105"/>
                    <w:sz w:val="19"/>
                  </w:rPr>
                  <w:t>están</w:t>
                </w:r>
                <w:r>
                  <w:rPr>
                    <w:spacing w:val="-15"/>
                    <w:w w:val="105"/>
                    <w:sz w:val="19"/>
                  </w:rPr>
                  <w:t> </w:t>
                </w:r>
                <w:r>
                  <w:rPr>
                    <w:w w:val="105"/>
                    <w:sz w:val="19"/>
                  </w:rPr>
                  <w:t>generalmente</w:t>
                </w:r>
                <w:r>
                  <w:rPr>
                    <w:spacing w:val="-18"/>
                    <w:w w:val="105"/>
                    <w:sz w:val="19"/>
                  </w:rPr>
                  <w:t> </w:t>
                </w:r>
                <w:r>
                  <w:rPr>
                    <w:w w:val="105"/>
                    <w:sz w:val="19"/>
                  </w:rPr>
                  <w:t>a</w:t>
                </w:r>
                <w:r>
                  <w:rPr>
                    <w:spacing w:val="-18"/>
                    <w:w w:val="105"/>
                    <w:sz w:val="19"/>
                  </w:rPr>
                  <w:t> </w:t>
                </w:r>
                <w:r>
                  <w:rPr>
                    <w:w w:val="105"/>
                    <w:sz w:val="19"/>
                  </w:rPr>
                  <w:t>cargo</w:t>
                </w:r>
                <w:r>
                  <w:rPr>
                    <w:spacing w:val="-18"/>
                    <w:w w:val="105"/>
                    <w:sz w:val="19"/>
                  </w:rPr>
                  <w:t> </w:t>
                </w:r>
                <w:r>
                  <w:rPr>
                    <w:w w:val="105"/>
                    <w:sz w:val="19"/>
                  </w:rPr>
                  <w:t>de</w:t>
                </w:r>
                <w:r>
                  <w:rPr>
                    <w:spacing w:val="-20"/>
                    <w:w w:val="105"/>
                    <w:sz w:val="19"/>
                  </w:rPr>
                  <w:t> </w:t>
                </w:r>
                <w:r>
                  <w:rPr>
                    <w:w w:val="105"/>
                    <w:sz w:val="19"/>
                  </w:rPr>
                  <w:t>una</w:t>
                </w:r>
                <w:r>
                  <w:rPr>
                    <w:spacing w:val="-20"/>
                    <w:w w:val="105"/>
                    <w:sz w:val="19"/>
                  </w:rPr>
                  <w:t> </w:t>
                </w:r>
                <w:r>
                  <w:rPr>
                    <w:w w:val="105"/>
                    <w:sz w:val="19"/>
                  </w:rPr>
                  <w:t>sola</w:t>
                </w:r>
                <w:r>
                  <w:rPr>
                    <w:spacing w:val="-18"/>
                    <w:w w:val="105"/>
                    <w:sz w:val="19"/>
                  </w:rPr>
                  <w:t> </w:t>
                </w:r>
                <w:r>
                  <w:rPr>
                    <w:w w:val="105"/>
                    <w:sz w:val="19"/>
                  </w:rPr>
                  <w:t>persona.</w:t>
                </w:r>
              </w:p>
            </w:txbxContent>
          </v:textbox>
          <w10:wrap type="none"/>
        </v:shape>
      </w:pict>
    </w:r>
    <w:r>
      <w:rPr/>
      <w:pict>
        <v:shape style="position:absolute;margin-left:500.359985pt;margin-top:758.082214pt;width:13.55pt;height:13.7pt;mso-position-horizontal-relative:page;mso-position-vertical-relative:page;z-index:-210256" type="#_x0000_t202" filled="false" stroked="false">
          <v:textbox inset="0,0,0,0">
            <w:txbxContent>
              <w:p>
                <w:pPr>
                  <w:pStyle w:val="BodyText"/>
                  <w:spacing w:line="258" w:lineRule="exact"/>
                  <w:ind w:left="20"/>
                  <w:rPr>
                    <w:rFonts w:ascii="Times New Roman"/>
                  </w:rPr>
                </w:pPr>
                <w:r>
                  <w:rPr>
                    <w:rFonts w:ascii="Times New Roman"/>
                  </w:rPr>
                  <w:t>90</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0.359985pt;margin-top:758.082214pt;width:13.55pt;height:13.7pt;mso-position-horizontal-relative:page;mso-position-vertical-relative:page;z-index:-210736" type="#_x0000_t202" filled="false" stroked="false">
          <v:textbox inset="0,0,0,0">
            <w:txbxContent>
              <w:p>
                <w:pPr>
                  <w:pStyle w:val="BodyText"/>
                  <w:spacing w:line="258" w:lineRule="exact"/>
                  <w:ind w:left="20"/>
                  <w:rPr>
                    <w:rFonts w:ascii="Times New Roman"/>
                  </w:rPr>
                </w:pPr>
                <w:r>
                  <w:rPr>
                    <w:rFonts w:ascii="Times New Roman"/>
                  </w:rPr>
                  <w:t>10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0232" from="82.799004pt,642.359985pt" to="222.958004pt,642.359985pt" stroked="true" strokeweight=".72pt" strokecolor="#000000">
          <w10:wrap type="none"/>
        </v:line>
      </w:pict>
    </w:r>
    <w:r>
      <w:rPr/>
      <w:pict>
        <v:shape style="position:absolute;margin-left:81.799004pt;margin-top:726.401001pt;width:192.95pt;height:11.85pt;mso-position-horizontal-relative:page;mso-position-vertical-relative:page;z-index:-210208" type="#_x0000_t202" filled="false" stroked="false">
          <v:textbox inset="0,0,0,0">
            <w:txbxContent>
              <w:p>
                <w:pPr>
                  <w:spacing w:before="0"/>
                  <w:ind w:left="20" w:right="0" w:firstLine="0"/>
                  <w:jc w:val="left"/>
                  <w:rPr>
                    <w:sz w:val="19"/>
                  </w:rPr>
                </w:pPr>
                <w:r>
                  <w:rPr>
                    <w:w w:val="105"/>
                    <w:sz w:val="19"/>
                  </w:rPr>
                  <w:t>determinados</w:t>
                </w:r>
                <w:r>
                  <w:rPr>
                    <w:spacing w:val="-28"/>
                    <w:w w:val="105"/>
                    <w:sz w:val="19"/>
                  </w:rPr>
                  <w:t> </w:t>
                </w:r>
                <w:r>
                  <w:rPr>
                    <w:w w:val="105"/>
                    <w:sz w:val="19"/>
                  </w:rPr>
                  <w:t>ámbitos</w:t>
                </w:r>
                <w:r>
                  <w:rPr>
                    <w:spacing w:val="-31"/>
                    <w:w w:val="105"/>
                    <w:sz w:val="19"/>
                  </w:rPr>
                  <w:t> </w:t>
                </w:r>
                <w:r>
                  <w:rPr>
                    <w:w w:val="105"/>
                    <w:sz w:val="19"/>
                  </w:rPr>
                  <w:t>del</w:t>
                </w:r>
                <w:r>
                  <w:rPr>
                    <w:spacing w:val="-27"/>
                    <w:w w:val="105"/>
                    <w:sz w:val="19"/>
                  </w:rPr>
                  <w:t> </w:t>
                </w:r>
                <w:r>
                  <w:rPr>
                    <w:w w:val="105"/>
                    <w:sz w:val="19"/>
                  </w:rPr>
                  <w:t>quehacer</w:t>
                </w:r>
                <w:r>
                  <w:rPr>
                    <w:spacing w:val="-28"/>
                    <w:w w:val="105"/>
                    <w:sz w:val="19"/>
                  </w:rPr>
                  <w:t> </w:t>
                </w:r>
                <w:r>
                  <w:rPr>
                    <w:w w:val="105"/>
                    <w:sz w:val="19"/>
                  </w:rPr>
                  <w:t>público.</w:t>
                </w:r>
              </w:p>
            </w:txbxContent>
          </v:textbox>
          <w10:wrap type="none"/>
        </v:shape>
      </w:pict>
    </w:r>
    <w:r>
      <w:rPr/>
      <w:pict>
        <v:shape style="position:absolute;margin-left:499.359985pt;margin-top:758.082214pt;width:15.55pt;height:13.7pt;mso-position-horizontal-relative:page;mso-position-vertical-relative:page;z-index:-210184" type="#_x0000_t202" filled="false" stroked="false">
          <v:textbox inset="0,0,0,0">
            <w:txbxContent>
              <w:p>
                <w:pPr>
                  <w:pStyle w:val="BodyText"/>
                  <w:spacing w:line="258" w:lineRule="exact"/>
                  <w:ind w:left="40"/>
                  <w:rPr>
                    <w:rFonts w:ascii="Times New Roman"/>
                  </w:rPr>
                </w:pPr>
                <w:r>
                  <w:rPr/>
                  <w:fldChar w:fldCharType="begin"/>
                </w:r>
                <w:r>
                  <w:rPr>
                    <w:rFonts w:ascii="Times New Roman"/>
                  </w:rPr>
                  <w:instrText> PAGE </w:instrText>
                </w:r>
                <w:r>
                  <w:rPr/>
                  <w:fldChar w:fldCharType="separate"/>
                </w:r>
                <w:r>
                  <w:rPr/>
                  <w:t>91</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9.359985pt;margin-top:758.082214pt;width:15.55pt;height:13.7pt;mso-position-horizontal-relative:page;mso-position-vertical-relative:page;z-index:-210160" type="#_x0000_t202" filled="false" stroked="false">
          <v:textbox inset="0,0,0,0">
            <w:txbxContent>
              <w:p>
                <w:pPr>
                  <w:pStyle w:val="BodyText"/>
                  <w:spacing w:line="258" w:lineRule="exact"/>
                  <w:ind w:left="40"/>
                  <w:rPr>
                    <w:rFonts w:ascii="Times New Roman"/>
                  </w:rPr>
                </w:pPr>
                <w:r>
                  <w:rPr/>
                  <w:fldChar w:fldCharType="begin"/>
                </w:r>
                <w:r>
                  <w:rPr>
                    <w:rFonts w:ascii="Times New Roman"/>
                  </w:rPr>
                  <w:instrText> PAGE </w:instrText>
                </w:r>
                <w:r>
                  <w:rPr/>
                  <w:fldChar w:fldCharType="separate"/>
                </w:r>
                <w:r>
                  <w:rPr/>
                  <w:t>92</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4.359985pt;margin-top:758.082214pt;width:19.55pt;height:13.7pt;mso-position-horizontal-relative:page;mso-position-vertical-relative:page;z-index:-210136" type="#_x0000_t202" filled="false" stroked="false">
          <v:textbox inset="0,0,0,0">
            <w:txbxContent>
              <w:p>
                <w:pPr>
                  <w:pStyle w:val="BodyText"/>
                  <w:spacing w:line="258" w:lineRule="exact"/>
                  <w:ind w:left="20"/>
                  <w:rPr>
                    <w:rFonts w:ascii="Times New Roman"/>
                  </w:rPr>
                </w:pPr>
                <w:r>
                  <w:rPr>
                    <w:rFonts w:ascii="Times New Roman"/>
                  </w:rPr>
                  <w:t>100</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3.359985pt;margin-top:758.082214pt;width:21.55pt;height:13.7pt;mso-position-horizontal-relative:page;mso-position-vertical-relative:page;z-index:-210112" type="#_x0000_t202" filled="false" stroked="false">
          <v:textbox inset="0,0,0,0">
            <w:txbxContent>
              <w:p>
                <w:pPr>
                  <w:pStyle w:val="BodyText"/>
                  <w:spacing w:line="258" w:lineRule="exact"/>
                  <w:ind w:left="40"/>
                  <w:rPr>
                    <w:rFonts w:ascii="Times New Roman"/>
                  </w:rPr>
                </w:pPr>
                <w:r>
                  <w:rPr/>
                  <w:fldChar w:fldCharType="begin"/>
                </w:r>
                <w:r>
                  <w:rPr>
                    <w:rFonts w:ascii="Times New Roman"/>
                  </w:rPr>
                  <w:instrText> PAGE </w:instrText>
                </w:r>
                <w:r>
                  <w:rPr/>
                  <w:fldChar w:fldCharType="separate"/>
                </w:r>
                <w:r>
                  <w:rPr/>
                  <w:t>101</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4.359985pt;margin-top:758.082214pt;width:19.55pt;height:13.7pt;mso-position-horizontal-relative:page;mso-position-vertical-relative:page;z-index:-210088" type="#_x0000_t202" filled="false" stroked="false">
          <v:textbox inset="0,0,0,0">
            <w:txbxContent>
              <w:p>
                <w:pPr>
                  <w:pStyle w:val="BodyText"/>
                  <w:spacing w:line="258" w:lineRule="exact"/>
                  <w:ind w:left="20"/>
                  <w:rPr>
                    <w:rFonts w:ascii="Times New Roman"/>
                  </w:rPr>
                </w:pPr>
                <w:r>
                  <w:rPr>
                    <w:rFonts w:ascii="Times New Roman"/>
                  </w:rPr>
                  <w:t>110</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3.359985pt;margin-top:758.082214pt;width:21.55pt;height:13.7pt;mso-position-horizontal-relative:page;mso-position-vertical-relative:page;z-index:-210064" type="#_x0000_t202" filled="false" stroked="false">
          <v:textbox inset="0,0,0,0">
            <w:txbxContent>
              <w:p>
                <w:pPr>
                  <w:pStyle w:val="BodyText"/>
                  <w:spacing w:line="258" w:lineRule="exact"/>
                  <w:ind w:left="40"/>
                  <w:rPr>
                    <w:rFonts w:ascii="Times New Roman"/>
                  </w:rPr>
                </w:pPr>
                <w:r>
                  <w:rPr/>
                  <w:fldChar w:fldCharType="begin"/>
                </w:r>
                <w:r>
                  <w:rPr>
                    <w:rFonts w:ascii="Times New Roman"/>
                  </w:rPr>
                  <w:instrText> PAGE </w:instrText>
                </w:r>
                <w:r>
                  <w:rPr/>
                  <w:fldChar w:fldCharType="separate"/>
                </w:r>
                <w:r>
                  <w:rPr/>
                  <w:t>111</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4.359985pt;margin-top:758.082214pt;width:19.55pt;height:13.7pt;mso-position-horizontal-relative:page;mso-position-vertical-relative:page;z-index:-210040" type="#_x0000_t202" filled="false" stroked="false">
          <v:textbox inset="0,0,0,0">
            <w:txbxContent>
              <w:p>
                <w:pPr>
                  <w:pStyle w:val="BodyText"/>
                  <w:spacing w:line="258" w:lineRule="exact"/>
                  <w:ind w:left="20"/>
                  <w:rPr>
                    <w:rFonts w:ascii="Times New Roman"/>
                  </w:rPr>
                </w:pPr>
                <w:r>
                  <w:rPr>
                    <w:rFonts w:ascii="Times New Roman"/>
                  </w:rPr>
                  <w:t>120</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3.359985pt;margin-top:758.082214pt;width:21.55pt;height:13.7pt;mso-position-horizontal-relative:page;mso-position-vertical-relative:page;z-index:-210016" type="#_x0000_t202" filled="false" stroked="false">
          <v:textbox inset="0,0,0,0">
            <w:txbxContent>
              <w:p>
                <w:pPr>
                  <w:pStyle w:val="BodyText"/>
                  <w:spacing w:line="258" w:lineRule="exact"/>
                  <w:ind w:left="40"/>
                  <w:rPr>
                    <w:rFonts w:ascii="Times New Roman"/>
                  </w:rPr>
                </w:pPr>
                <w:r>
                  <w:rPr/>
                  <w:fldChar w:fldCharType="begin"/>
                </w:r>
                <w:r>
                  <w:rPr>
                    <w:rFonts w:ascii="Times New Roman"/>
                  </w:rPr>
                  <w:instrText> PAGE </w:instrText>
                </w:r>
                <w:r>
                  <w:rPr/>
                  <w:fldChar w:fldCharType="separate"/>
                </w:r>
                <w:r>
                  <w:rPr/>
                  <w:t>122</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4.359985pt;margin-top:758.082214pt;width:19.55pt;height:13.7pt;mso-position-horizontal-relative:page;mso-position-vertical-relative:page;z-index:-209992" type="#_x0000_t202" filled="false" stroked="false">
          <v:textbox inset="0,0,0,0">
            <w:txbxContent>
              <w:p>
                <w:pPr>
                  <w:pStyle w:val="BodyText"/>
                  <w:spacing w:line="258" w:lineRule="exact"/>
                  <w:ind w:left="20"/>
                  <w:rPr>
                    <w:rFonts w:ascii="Times New Roman"/>
                  </w:rPr>
                </w:pPr>
                <w:r>
                  <w:rPr>
                    <w:rFonts w:ascii="Times New Roman"/>
                  </w:rPr>
                  <w:t>130</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3.359985pt;margin-top:758.082214pt;width:21.55pt;height:13.7pt;mso-position-horizontal-relative:page;mso-position-vertical-relative:page;z-index:-209968" type="#_x0000_t202" filled="false" stroked="false">
          <v:textbox inset="0,0,0,0">
            <w:txbxContent>
              <w:p>
                <w:pPr>
                  <w:pStyle w:val="BodyText"/>
                  <w:spacing w:line="258" w:lineRule="exact"/>
                  <w:ind w:left="40"/>
                  <w:rPr>
                    <w:rFonts w:ascii="Times New Roman"/>
                  </w:rPr>
                </w:pPr>
                <w:r>
                  <w:rPr/>
                  <w:fldChar w:fldCharType="begin"/>
                </w:r>
                <w:r>
                  <w:rPr>
                    <w:rFonts w:ascii="Times New Roman"/>
                  </w:rPr>
                  <w:instrText> PAGE </w:instrText>
                </w:r>
                <w:r>
                  <w:rPr/>
                  <w:fldChar w:fldCharType="separate"/>
                </w:r>
                <w:r>
                  <w:rPr/>
                  <w:t>131</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9.359985pt;margin-top:758.082214pt;width:15.55pt;height:13.7pt;mso-position-horizontal-relative:page;mso-position-vertical-relative:page;z-index:-210712" type="#_x0000_t202" filled="false" stroked="false">
          <v:textbox inset="0,0,0,0">
            <w:txbxContent>
              <w:p>
                <w:pPr>
                  <w:pStyle w:val="BodyText"/>
                  <w:spacing w:line="258" w:lineRule="exact"/>
                  <w:ind w:left="40"/>
                  <w:rPr>
                    <w:rFonts w:ascii="Times New Roman"/>
                  </w:rPr>
                </w:pPr>
                <w:r>
                  <w:rPr/>
                  <w:fldChar w:fldCharType="begin"/>
                </w:r>
                <w:r>
                  <w:rPr>
                    <w:rFonts w:ascii="Times New Roman"/>
                  </w:rPr>
                  <w:instrText> PAGE </w:instrText>
                </w:r>
                <w:r>
                  <w:rPr/>
                  <w:fldChar w:fldCharType="separate"/>
                </w:r>
                <w:r>
                  <w:rPr/>
                  <w:t>11</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4.359985pt;margin-top:758.082214pt;width:19.55pt;height:13.7pt;mso-position-horizontal-relative:page;mso-position-vertical-relative:page;z-index:-209944" type="#_x0000_t202" filled="false" stroked="false">
          <v:textbox inset="0,0,0,0">
            <w:txbxContent>
              <w:p>
                <w:pPr>
                  <w:pStyle w:val="BodyText"/>
                  <w:spacing w:line="258" w:lineRule="exact"/>
                  <w:ind w:left="20"/>
                  <w:rPr>
                    <w:rFonts w:ascii="Times New Roman"/>
                  </w:rPr>
                </w:pPr>
                <w:r>
                  <w:rPr>
                    <w:rFonts w:ascii="Times New Roman"/>
                  </w:rPr>
                  <w:t>140</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3.359985pt;margin-top:758.082214pt;width:21.55pt;height:13.7pt;mso-position-horizontal-relative:page;mso-position-vertical-relative:page;z-index:-209920" type="#_x0000_t202" filled="false" stroked="false">
          <v:textbox inset="0,0,0,0">
            <w:txbxContent>
              <w:p>
                <w:pPr>
                  <w:pStyle w:val="BodyText"/>
                  <w:spacing w:line="258" w:lineRule="exact"/>
                  <w:ind w:left="40"/>
                  <w:rPr>
                    <w:rFonts w:ascii="Times New Roman"/>
                  </w:rPr>
                </w:pPr>
                <w:r>
                  <w:rPr/>
                  <w:fldChar w:fldCharType="begin"/>
                </w:r>
                <w:r>
                  <w:rPr>
                    <w:rFonts w:ascii="Times New Roman"/>
                  </w:rPr>
                  <w:instrText> PAGE </w:instrText>
                </w:r>
                <w:r>
                  <w:rPr/>
                  <w:fldChar w:fldCharType="separate"/>
                </w:r>
                <w:r>
                  <w:rPr/>
                  <w:t>141</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4.359985pt;margin-top:758.082214pt;width:19.55pt;height:13.7pt;mso-position-horizontal-relative:page;mso-position-vertical-relative:page;z-index:-209896" type="#_x0000_t202" filled="false" stroked="false">
          <v:textbox inset="0,0,0,0">
            <w:txbxContent>
              <w:p>
                <w:pPr>
                  <w:pStyle w:val="BodyText"/>
                  <w:spacing w:line="258" w:lineRule="exact"/>
                  <w:ind w:left="20"/>
                  <w:rPr>
                    <w:rFonts w:ascii="Times New Roman"/>
                  </w:rPr>
                </w:pPr>
                <w:r>
                  <w:rPr>
                    <w:rFonts w:ascii="Times New Roman"/>
                  </w:rPr>
                  <w:t>150</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3.359985pt;margin-top:758.082214pt;width:21.55pt;height:13.7pt;mso-position-horizontal-relative:page;mso-position-vertical-relative:page;z-index:-209872" type="#_x0000_t202" filled="false" stroked="false">
          <v:textbox inset="0,0,0,0">
            <w:txbxContent>
              <w:p>
                <w:pPr>
                  <w:pStyle w:val="BodyText"/>
                  <w:spacing w:line="258" w:lineRule="exact"/>
                  <w:ind w:left="40"/>
                  <w:rPr>
                    <w:rFonts w:ascii="Times New Roman"/>
                  </w:rPr>
                </w:pPr>
                <w:r>
                  <w:rPr/>
                  <w:fldChar w:fldCharType="begin"/>
                </w:r>
                <w:r>
                  <w:rPr>
                    <w:rFonts w:ascii="Times New Roman"/>
                  </w:rPr>
                  <w:instrText> PAGE </w:instrText>
                </w:r>
                <w:r>
                  <w:rPr/>
                  <w:fldChar w:fldCharType="separate"/>
                </w:r>
                <w:r>
                  <w:rPr/>
                  <w:t>151</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4.359985pt;margin-top:758.082214pt;width:19.55pt;height:13.7pt;mso-position-horizontal-relative:page;mso-position-vertical-relative:page;z-index:-209848" type="#_x0000_t202" filled="false" stroked="false">
          <v:textbox inset="0,0,0,0">
            <w:txbxContent>
              <w:p>
                <w:pPr>
                  <w:pStyle w:val="BodyText"/>
                  <w:spacing w:line="258" w:lineRule="exact"/>
                  <w:ind w:left="20"/>
                  <w:rPr>
                    <w:rFonts w:ascii="Times New Roman"/>
                  </w:rPr>
                </w:pPr>
                <w:r>
                  <w:rPr>
                    <w:rFonts w:ascii="Times New Roman"/>
                  </w:rPr>
                  <w:t>160</w:t>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3.359985pt;margin-top:758.082214pt;width:21.55pt;height:13.7pt;mso-position-horizontal-relative:page;mso-position-vertical-relative:page;z-index:-209824" type="#_x0000_t202" filled="false" stroked="false">
          <v:textbox inset="0,0,0,0">
            <w:txbxContent>
              <w:p>
                <w:pPr>
                  <w:pStyle w:val="BodyText"/>
                  <w:spacing w:line="258" w:lineRule="exact"/>
                  <w:ind w:left="40"/>
                  <w:rPr>
                    <w:rFonts w:ascii="Times New Roman"/>
                  </w:rPr>
                </w:pPr>
                <w:r>
                  <w:rPr/>
                  <w:fldChar w:fldCharType="begin"/>
                </w:r>
                <w:r>
                  <w:rPr>
                    <w:rFonts w:ascii="Times New Roman"/>
                  </w:rPr>
                  <w:instrText> PAGE </w:instrText>
                </w:r>
                <w:r>
                  <w:rPr/>
                  <w:fldChar w:fldCharType="separate"/>
                </w:r>
                <w:r>
                  <w:rPr/>
                  <w:t>161</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4.359985pt;margin-top:758.082214pt;width:19.55pt;height:13.7pt;mso-position-horizontal-relative:page;mso-position-vertical-relative:page;z-index:-209800" type="#_x0000_t202" filled="false" stroked="false">
          <v:textbox inset="0,0,0,0">
            <w:txbxContent>
              <w:p>
                <w:pPr>
                  <w:pStyle w:val="BodyText"/>
                  <w:spacing w:line="258" w:lineRule="exact"/>
                  <w:ind w:left="20"/>
                  <w:rPr>
                    <w:rFonts w:ascii="Times New Roman"/>
                  </w:rPr>
                </w:pPr>
                <w:r>
                  <w:rPr>
                    <w:rFonts w:ascii="Times New Roman"/>
                  </w:rPr>
                  <w:t>170</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3.359985pt;margin-top:758.082214pt;width:21.55pt;height:13.7pt;mso-position-horizontal-relative:page;mso-position-vertical-relative:page;z-index:-209776" type="#_x0000_t202" filled="false" stroked="false">
          <v:textbox inset="0,0,0,0">
            <w:txbxContent>
              <w:p>
                <w:pPr>
                  <w:pStyle w:val="BodyText"/>
                  <w:spacing w:line="258" w:lineRule="exact"/>
                  <w:ind w:left="40"/>
                  <w:rPr>
                    <w:rFonts w:ascii="Times New Roman"/>
                  </w:rPr>
                </w:pPr>
                <w:r>
                  <w:rPr/>
                  <w:fldChar w:fldCharType="begin"/>
                </w:r>
                <w:r>
                  <w:rPr>
                    <w:rFonts w:ascii="Times New Roman"/>
                  </w:rPr>
                  <w:instrText> PAGE </w:instrText>
                </w:r>
                <w:r>
                  <w:rPr/>
                  <w:fldChar w:fldCharType="separate"/>
                </w:r>
                <w:r>
                  <w:rPr/>
                  <w:t>171</w:t>
                </w:r>
                <w:r>
                  <w:rPr/>
                  <w:fldChar w:fldCharType="end"/>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4.359985pt;margin-top:758.082214pt;width:19.55pt;height:13.7pt;mso-position-horizontal-relative:page;mso-position-vertical-relative:page;z-index:-209752" type="#_x0000_t202" filled="false" stroked="false">
          <v:textbox inset="0,0,0,0">
            <w:txbxContent>
              <w:p>
                <w:pPr>
                  <w:pStyle w:val="BodyText"/>
                  <w:spacing w:line="258" w:lineRule="exact"/>
                  <w:ind w:left="20"/>
                  <w:rPr>
                    <w:rFonts w:ascii="Times New Roman"/>
                  </w:rPr>
                </w:pPr>
                <w:r>
                  <w:rPr>
                    <w:rFonts w:ascii="Times New Roman"/>
                  </w:rPr>
                  <w:t>180</w:t>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3.359985pt;margin-top:758.082214pt;width:21.55pt;height:13.7pt;mso-position-horizontal-relative:page;mso-position-vertical-relative:page;z-index:-209728" type="#_x0000_t202" filled="false" stroked="false">
          <v:textbox inset="0,0,0,0">
            <w:txbxContent>
              <w:p>
                <w:pPr>
                  <w:pStyle w:val="BodyText"/>
                  <w:spacing w:line="258" w:lineRule="exact"/>
                  <w:ind w:left="40"/>
                  <w:rPr>
                    <w:rFonts w:ascii="Times New Roman"/>
                  </w:rPr>
                </w:pPr>
                <w:r>
                  <w:rPr/>
                  <w:fldChar w:fldCharType="begin"/>
                </w:r>
                <w:r>
                  <w:rPr>
                    <w:rFonts w:ascii="Times New Roman"/>
                  </w:rPr>
                  <w:instrText> PAGE </w:instrText>
                </w:r>
                <w:r>
                  <w:rPr/>
                  <w:fldChar w:fldCharType="separate"/>
                </w:r>
                <w:r>
                  <w:rPr/>
                  <w:t>181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0.359985pt;margin-top:758.082214pt;width:13.55pt;height:13.7pt;mso-position-horizontal-relative:page;mso-position-vertical-relative:page;z-index:-210688" type="#_x0000_t202" filled="false" stroked="false">
          <v:textbox inset="0,0,0,0">
            <w:txbxContent>
              <w:p>
                <w:pPr>
                  <w:pStyle w:val="BodyText"/>
                  <w:spacing w:line="258" w:lineRule="exact"/>
                  <w:ind w:left="20"/>
                  <w:rPr>
                    <w:rFonts w:ascii="Times New Roman"/>
                  </w:rPr>
                </w:pPr>
                <w:r>
                  <w:rPr>
                    <w:rFonts w:ascii="Times New Roman"/>
                  </w:rPr>
                  <w:t>20</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4.359985pt;margin-top:758.082214pt;width:19.55pt;height:13.7pt;mso-position-horizontal-relative:page;mso-position-vertical-relative:page;z-index:-209704" type="#_x0000_t202" filled="false" stroked="false">
          <v:textbox inset="0,0,0,0">
            <w:txbxContent>
              <w:p>
                <w:pPr>
                  <w:pStyle w:val="BodyText"/>
                  <w:spacing w:line="258" w:lineRule="exact"/>
                  <w:ind w:left="20"/>
                  <w:rPr>
                    <w:rFonts w:ascii="Times New Roman"/>
                  </w:rPr>
                </w:pPr>
                <w:r>
                  <w:rPr>
                    <w:rFonts w:ascii="Times New Roman"/>
                  </w:rPr>
                  <w:t>190</w:t>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3.359985pt;margin-top:758.082214pt;width:21.55pt;height:13.7pt;mso-position-horizontal-relative:page;mso-position-vertical-relative:page;z-index:-209680" type="#_x0000_t202" filled="false" stroked="false">
          <v:textbox inset="0,0,0,0">
            <w:txbxContent>
              <w:p>
                <w:pPr>
                  <w:pStyle w:val="BodyText"/>
                  <w:spacing w:line="258" w:lineRule="exact"/>
                  <w:ind w:left="40"/>
                  <w:rPr>
                    <w:rFonts w:ascii="Times New Roman"/>
                  </w:rPr>
                </w:pPr>
                <w:r>
                  <w:rPr/>
                  <w:fldChar w:fldCharType="begin"/>
                </w:r>
                <w:r>
                  <w:rPr>
                    <w:rFonts w:ascii="Times New Roman"/>
                  </w:rPr>
                  <w:instrText> PAGE </w:instrText>
                </w:r>
                <w:r>
                  <w:rPr/>
                  <w:fldChar w:fldCharType="separate"/>
                </w:r>
                <w:r>
                  <w:rPr/>
                  <w:t>191</w:t>
                </w:r>
                <w:r>
                  <w:rPr/>
                  <w:fldChar w:fldCharType="end"/>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4.359985pt;margin-top:758.082214pt;width:19.55pt;height:13.7pt;mso-position-horizontal-relative:page;mso-position-vertical-relative:page;z-index:-209656" type="#_x0000_t202" filled="false" stroked="false">
          <v:textbox inset="0,0,0,0">
            <w:txbxContent>
              <w:p>
                <w:pPr>
                  <w:pStyle w:val="BodyText"/>
                  <w:spacing w:line="258" w:lineRule="exact"/>
                  <w:ind w:left="20"/>
                  <w:rPr>
                    <w:rFonts w:ascii="Times New Roman"/>
                  </w:rPr>
                </w:pPr>
                <w:r>
                  <w:rPr>
                    <w:rFonts w:ascii="Times New Roman"/>
                  </w:rPr>
                  <w:t>200</w:t>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3.359985pt;margin-top:758.082214pt;width:21.55pt;height:13.7pt;mso-position-horizontal-relative:page;mso-position-vertical-relative:page;z-index:-209632" type="#_x0000_t202" filled="false" stroked="false">
          <v:textbox inset="0,0,0,0">
            <w:txbxContent>
              <w:p>
                <w:pPr>
                  <w:pStyle w:val="BodyText"/>
                  <w:spacing w:line="258" w:lineRule="exact"/>
                  <w:ind w:left="40"/>
                  <w:rPr>
                    <w:rFonts w:ascii="Times New Roman"/>
                  </w:rPr>
                </w:pPr>
                <w:r>
                  <w:rPr/>
                  <w:fldChar w:fldCharType="begin"/>
                </w:r>
                <w:r>
                  <w:rPr>
                    <w:rFonts w:ascii="Times New Roman"/>
                  </w:rPr>
                  <w:instrText> PAGE </w:instrText>
                </w:r>
                <w:r>
                  <w:rPr/>
                  <w:fldChar w:fldCharType="separate"/>
                </w:r>
                <w:r>
                  <w:rPr/>
                  <w:t>201</w:t>
                </w:r>
                <w:r>
                  <w:rPr/>
                  <w:fldChar w:fldCharType="end"/>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4.359985pt;margin-top:758.082214pt;width:19.55pt;height:13.7pt;mso-position-horizontal-relative:page;mso-position-vertical-relative:page;z-index:-209608" type="#_x0000_t202" filled="false" stroked="false">
          <v:textbox inset="0,0,0,0">
            <w:txbxContent>
              <w:p>
                <w:pPr>
                  <w:pStyle w:val="BodyText"/>
                  <w:spacing w:line="258" w:lineRule="exact"/>
                  <w:ind w:left="20"/>
                  <w:rPr>
                    <w:rFonts w:ascii="Times New Roman"/>
                  </w:rPr>
                </w:pPr>
                <w:r>
                  <w:rPr>
                    <w:rFonts w:ascii="Times New Roman"/>
                  </w:rPr>
                  <w:t>210</w:t>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3.359985pt;margin-top:758.082214pt;width:21.55pt;height:13.7pt;mso-position-horizontal-relative:page;mso-position-vertical-relative:page;z-index:-209584" type="#_x0000_t202" filled="false" stroked="false">
          <v:textbox inset="0,0,0,0">
            <w:txbxContent>
              <w:p>
                <w:pPr>
                  <w:pStyle w:val="BodyText"/>
                  <w:spacing w:line="258" w:lineRule="exact"/>
                  <w:ind w:left="40"/>
                  <w:rPr>
                    <w:rFonts w:ascii="Times New Roman"/>
                  </w:rPr>
                </w:pPr>
                <w:r>
                  <w:rPr/>
                  <w:fldChar w:fldCharType="begin"/>
                </w:r>
                <w:r>
                  <w:rPr>
                    <w:rFonts w:ascii="Times New Roman"/>
                  </w:rPr>
                  <w:instrText> PAGE </w:instrText>
                </w:r>
                <w:r>
                  <w:rPr/>
                  <w:fldChar w:fldCharType="separate"/>
                </w:r>
                <w:r>
                  <w:rPr/>
                  <w:t>211</w:t>
                </w:r>
                <w:r>
                  <w:rPr/>
                  <w:fldChar w:fldCharType="end"/>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4.359985pt;margin-top:758.082214pt;width:19.55pt;height:13.7pt;mso-position-horizontal-relative:page;mso-position-vertical-relative:page;z-index:-209560" type="#_x0000_t202" filled="false" stroked="false">
          <v:textbox inset="0,0,0,0">
            <w:txbxContent>
              <w:p>
                <w:pPr>
                  <w:pStyle w:val="BodyText"/>
                  <w:spacing w:line="258" w:lineRule="exact"/>
                  <w:ind w:left="20"/>
                  <w:rPr>
                    <w:rFonts w:ascii="Times New Roman"/>
                  </w:rPr>
                </w:pPr>
                <w:r>
                  <w:rPr>
                    <w:rFonts w:ascii="Times New Roman"/>
                  </w:rPr>
                  <w:t>220</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3.359985pt;margin-top:758.082214pt;width:21.55pt;height:13.7pt;mso-position-horizontal-relative:page;mso-position-vertical-relative:page;z-index:-209536" type="#_x0000_t202" filled="false" stroked="false">
          <v:textbox inset="0,0,0,0">
            <w:txbxContent>
              <w:p>
                <w:pPr>
                  <w:pStyle w:val="BodyText"/>
                  <w:spacing w:line="258" w:lineRule="exact"/>
                  <w:ind w:left="40"/>
                  <w:rPr>
                    <w:rFonts w:ascii="Times New Roman"/>
                  </w:rPr>
                </w:pPr>
                <w:r>
                  <w:rPr/>
                  <w:fldChar w:fldCharType="begin"/>
                </w:r>
                <w:r>
                  <w:rPr>
                    <w:rFonts w:ascii="Times New Roman"/>
                  </w:rPr>
                  <w:instrText> PAGE </w:instrText>
                </w:r>
                <w:r>
                  <w:rPr/>
                  <w:fldChar w:fldCharType="separate"/>
                </w:r>
                <w:r>
                  <w:rPr/>
                  <w:t>221</w:t>
                </w:r>
                <w:r>
                  <w:rPr/>
                  <w:fldChar w:fldCharType="end"/>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4.359985pt;margin-top:758.082214pt;width:19.55pt;height:13.7pt;mso-position-horizontal-relative:page;mso-position-vertical-relative:page;z-index:-209512" type="#_x0000_t202" filled="false" stroked="false">
          <v:textbox inset="0,0,0,0">
            <w:txbxContent>
              <w:p>
                <w:pPr>
                  <w:pStyle w:val="BodyText"/>
                  <w:spacing w:line="258" w:lineRule="exact"/>
                  <w:ind w:left="20"/>
                  <w:rPr>
                    <w:rFonts w:ascii="Times New Roman"/>
                  </w:rPr>
                </w:pPr>
                <w:r>
                  <w:rPr>
                    <w:rFonts w:ascii="Times New Roman"/>
                  </w:rPr>
                  <w:t>230</w:t>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3.359985pt;margin-top:758.082214pt;width:21.55pt;height:13.7pt;mso-position-horizontal-relative:page;mso-position-vertical-relative:page;z-index:-209488" type="#_x0000_t202" filled="false" stroked="false">
          <v:textbox inset="0,0,0,0">
            <w:txbxContent>
              <w:p>
                <w:pPr>
                  <w:pStyle w:val="BodyText"/>
                  <w:spacing w:line="258" w:lineRule="exact"/>
                  <w:ind w:left="40"/>
                  <w:rPr>
                    <w:rFonts w:ascii="Times New Roman"/>
                  </w:rPr>
                </w:pPr>
                <w:r>
                  <w:rPr/>
                  <w:fldChar w:fldCharType="begin"/>
                </w:r>
                <w:r>
                  <w:rPr>
                    <w:rFonts w:ascii="Times New Roman"/>
                  </w:rPr>
                  <w:instrText> PAGE </w:instrText>
                </w:r>
                <w:r>
                  <w:rPr/>
                  <w:fldChar w:fldCharType="separate"/>
                </w:r>
                <w:r>
                  <w:rPr/>
                  <w:t>231</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9.359985pt;margin-top:758.082214pt;width:15.55pt;height:13.7pt;mso-position-horizontal-relative:page;mso-position-vertical-relative:page;z-index:-210664" type="#_x0000_t202" filled="false" stroked="false">
          <v:textbox inset="0,0,0,0">
            <w:txbxContent>
              <w:p>
                <w:pPr>
                  <w:pStyle w:val="BodyText"/>
                  <w:spacing w:line="258" w:lineRule="exact"/>
                  <w:ind w:left="40"/>
                  <w:rPr>
                    <w:rFonts w:ascii="Times New Roman"/>
                  </w:rPr>
                </w:pPr>
                <w:r>
                  <w:rPr/>
                  <w:fldChar w:fldCharType="begin"/>
                </w:r>
                <w:r>
                  <w:rPr>
                    <w:rFonts w:ascii="Times New Roman"/>
                  </w:rPr>
                  <w:instrText> PAGE </w:instrText>
                </w:r>
                <w:r>
                  <w:rPr/>
                  <w:fldChar w:fldCharType="separate"/>
                </w:r>
                <w:r>
                  <w:rPr/>
                  <w:t>21</w:t>
                </w:r>
                <w:r>
                  <w:rPr/>
                  <w:fldChar w:fldCharType="end"/>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4.359985pt;margin-top:758.082214pt;width:19.55pt;height:13.7pt;mso-position-horizontal-relative:page;mso-position-vertical-relative:page;z-index:-209464" type="#_x0000_t202" filled="false" stroked="false">
          <v:textbox inset="0,0,0,0">
            <w:txbxContent>
              <w:p>
                <w:pPr>
                  <w:pStyle w:val="BodyText"/>
                  <w:spacing w:line="258" w:lineRule="exact"/>
                  <w:ind w:left="20"/>
                  <w:rPr>
                    <w:rFonts w:ascii="Times New Roman"/>
                  </w:rPr>
                </w:pPr>
                <w:r>
                  <w:rPr>
                    <w:rFonts w:ascii="Times New Roman"/>
                  </w:rPr>
                  <w:t>240</w:t>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3.359985pt;margin-top:758.082214pt;width:21.55pt;height:13.7pt;mso-position-horizontal-relative:page;mso-position-vertical-relative:page;z-index:-209440" type="#_x0000_t202" filled="false" stroked="false">
          <v:textbox inset="0,0,0,0">
            <w:txbxContent>
              <w:p>
                <w:pPr>
                  <w:pStyle w:val="BodyText"/>
                  <w:spacing w:line="258" w:lineRule="exact"/>
                  <w:ind w:left="40"/>
                  <w:rPr>
                    <w:rFonts w:ascii="Times New Roman"/>
                  </w:rPr>
                </w:pPr>
                <w:r>
                  <w:rPr/>
                  <w:fldChar w:fldCharType="begin"/>
                </w:r>
                <w:r>
                  <w:rPr>
                    <w:rFonts w:ascii="Times New Roman"/>
                  </w:rPr>
                  <w:instrText> PAGE </w:instrText>
                </w:r>
                <w:r>
                  <w:rPr/>
                  <w:fldChar w:fldCharType="separate"/>
                </w:r>
                <w:r>
                  <w:rPr/>
                  <w:t>241</w:t>
                </w:r>
                <w:r>
                  <w:rPr/>
                  <w:fldChar w:fldCharType="end"/>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4.359985pt;margin-top:758.082214pt;width:19.55pt;height:13.7pt;mso-position-horizontal-relative:page;mso-position-vertical-relative:page;z-index:-209416" type="#_x0000_t202" filled="false" stroked="false">
          <v:textbox inset="0,0,0,0">
            <w:txbxContent>
              <w:p>
                <w:pPr>
                  <w:pStyle w:val="BodyText"/>
                  <w:spacing w:line="258" w:lineRule="exact"/>
                  <w:ind w:left="20"/>
                  <w:rPr>
                    <w:rFonts w:ascii="Times New Roman"/>
                  </w:rPr>
                </w:pPr>
                <w:r>
                  <w:rPr>
                    <w:rFonts w:ascii="Times New Roman"/>
                  </w:rPr>
                  <w:t>250</w:t>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3.359985pt;margin-top:758.082214pt;width:21.55pt;height:13.7pt;mso-position-horizontal-relative:page;mso-position-vertical-relative:page;z-index:-209392" type="#_x0000_t202" filled="false" stroked="false">
          <v:textbox inset="0,0,0,0">
            <w:txbxContent>
              <w:p>
                <w:pPr>
                  <w:pStyle w:val="BodyText"/>
                  <w:spacing w:line="258" w:lineRule="exact"/>
                  <w:ind w:left="40"/>
                  <w:rPr>
                    <w:rFonts w:ascii="Times New Roman"/>
                  </w:rPr>
                </w:pPr>
                <w:r>
                  <w:rPr/>
                  <w:fldChar w:fldCharType="begin"/>
                </w:r>
                <w:r>
                  <w:rPr>
                    <w:rFonts w:ascii="Times New Roman"/>
                  </w:rPr>
                  <w:instrText> PAGE </w:instrText>
                </w:r>
                <w:r>
                  <w:rPr/>
                  <w:fldChar w:fldCharType="separate"/>
                </w:r>
                <w:r>
                  <w:rPr/>
                  <w:t>251</w:t>
                </w:r>
                <w:r>
                  <w:rPr/>
                  <w:fldChar w:fldCharType="end"/>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4.359985pt;margin-top:758.082214pt;width:19.55pt;height:13.7pt;mso-position-horizontal-relative:page;mso-position-vertical-relative:page;z-index:-209368" type="#_x0000_t202" filled="false" stroked="false">
          <v:textbox inset="0,0,0,0">
            <w:txbxContent>
              <w:p>
                <w:pPr>
                  <w:pStyle w:val="BodyText"/>
                  <w:spacing w:line="258" w:lineRule="exact"/>
                  <w:ind w:left="20"/>
                  <w:rPr>
                    <w:rFonts w:ascii="Times New Roman"/>
                  </w:rPr>
                </w:pPr>
                <w:r>
                  <w:rPr>
                    <w:rFonts w:ascii="Times New Roman"/>
                  </w:rPr>
                  <w:t>260</w:t>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3.359985pt;margin-top:758.082214pt;width:21.55pt;height:13.7pt;mso-position-horizontal-relative:page;mso-position-vertical-relative:page;z-index:-209344" type="#_x0000_t202" filled="false" stroked="false">
          <v:textbox inset="0,0,0,0">
            <w:txbxContent>
              <w:p>
                <w:pPr>
                  <w:pStyle w:val="BodyText"/>
                  <w:spacing w:line="258" w:lineRule="exact"/>
                  <w:ind w:left="40"/>
                  <w:rPr>
                    <w:rFonts w:ascii="Times New Roman"/>
                  </w:rPr>
                </w:pPr>
                <w:r>
                  <w:rPr/>
                  <w:fldChar w:fldCharType="begin"/>
                </w:r>
                <w:r>
                  <w:rPr>
                    <w:rFonts w:ascii="Times New Roman"/>
                  </w:rPr>
                  <w:instrText> PAGE </w:instrText>
                </w:r>
                <w:r>
                  <w:rPr/>
                  <w:fldChar w:fldCharType="separate"/>
                </w:r>
                <w:r>
                  <w:rPr/>
                  <w:t>261</w:t>
                </w:r>
                <w:r>
                  <w:rPr/>
                  <w:fldChar w:fldCharType="end"/>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4.359985pt;margin-top:758.082214pt;width:19.55pt;height:13.7pt;mso-position-horizontal-relative:page;mso-position-vertical-relative:page;z-index:-209320" type="#_x0000_t202" filled="false" stroked="false">
          <v:textbox inset="0,0,0,0">
            <w:txbxContent>
              <w:p>
                <w:pPr>
                  <w:pStyle w:val="BodyText"/>
                  <w:spacing w:line="258" w:lineRule="exact"/>
                  <w:ind w:left="20"/>
                  <w:rPr>
                    <w:rFonts w:ascii="Times New Roman"/>
                  </w:rPr>
                </w:pPr>
                <w:r>
                  <w:rPr>
                    <w:rFonts w:ascii="Times New Roman"/>
                  </w:rPr>
                  <w:t>270</w:t>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3.359985pt;margin-top:758.082214pt;width:21.55pt;height:13.7pt;mso-position-horizontal-relative:page;mso-position-vertical-relative:page;z-index:-209296" type="#_x0000_t202" filled="false" stroked="false">
          <v:textbox inset="0,0,0,0">
            <w:txbxContent>
              <w:p>
                <w:pPr>
                  <w:pStyle w:val="BodyText"/>
                  <w:spacing w:line="258" w:lineRule="exact"/>
                  <w:ind w:left="40"/>
                  <w:rPr>
                    <w:rFonts w:ascii="Times New Roman"/>
                  </w:rPr>
                </w:pPr>
                <w:r>
                  <w:rPr/>
                  <w:fldChar w:fldCharType="begin"/>
                </w:r>
                <w:r>
                  <w:rPr>
                    <w:rFonts w:ascii="Times New Roman"/>
                  </w:rPr>
                  <w:instrText> PAGE </w:instrText>
                </w:r>
                <w:r>
                  <w:rPr/>
                  <w:fldChar w:fldCharType="separate"/>
                </w:r>
                <w:r>
                  <w:rPr/>
                  <w:t>271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0.359985pt;margin-top:758.082214pt;width:13.55pt;height:13.7pt;mso-position-horizontal-relative:page;mso-position-vertical-relative:page;z-index:-210640" type="#_x0000_t202" filled="false" stroked="false">
          <v:textbox inset="0,0,0,0">
            <w:txbxContent>
              <w:p>
                <w:pPr>
                  <w:pStyle w:val="BodyText"/>
                  <w:spacing w:line="258" w:lineRule="exact"/>
                  <w:ind w:left="20"/>
                  <w:rPr>
                    <w:rFonts w:ascii="Times New Roman"/>
                  </w:rPr>
                </w:pPr>
                <w:r>
                  <w:rPr>
                    <w:rFonts w:ascii="Times New Roman"/>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9.359985pt;margin-top:758.082214pt;width:15.55pt;height:13.7pt;mso-position-horizontal-relative:page;mso-position-vertical-relative:page;z-index:-210616" type="#_x0000_t202" filled="false" stroked="false">
          <v:textbox inset="0,0,0,0">
            <w:txbxContent>
              <w:p>
                <w:pPr>
                  <w:pStyle w:val="BodyText"/>
                  <w:spacing w:line="258" w:lineRule="exact"/>
                  <w:ind w:left="40"/>
                  <w:rPr>
                    <w:rFonts w:ascii="Times New Roman"/>
                  </w:rPr>
                </w:pPr>
                <w:r>
                  <w:rPr/>
                  <w:fldChar w:fldCharType="begin"/>
                </w:r>
                <w:r>
                  <w:rPr>
                    <w:rFonts w:ascii="Times New Roman"/>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0.359985pt;margin-top:758.082214pt;width:13.55pt;height:13.7pt;mso-position-horizontal-relative:page;mso-position-vertical-relative:page;z-index:-210592" type="#_x0000_t202" filled="false" stroked="false">
          <v:textbox inset="0,0,0,0">
            <w:txbxContent>
              <w:p>
                <w:pPr>
                  <w:pStyle w:val="BodyText"/>
                  <w:spacing w:line="258" w:lineRule="exact"/>
                  <w:ind w:left="20"/>
                  <w:rPr>
                    <w:rFonts w:ascii="Times New Roman"/>
                  </w:rPr>
                </w:pPr>
                <w:r>
                  <w:rPr>
                    <w:rFonts w:ascii="Times New Roman"/>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9.359985pt;margin-top:758.082214pt;width:15.55pt;height:13.7pt;mso-position-horizontal-relative:page;mso-position-vertical-relative:page;z-index:-210568" type="#_x0000_t202" filled="false" stroked="false">
          <v:textbox inset="0,0,0,0">
            <w:txbxContent>
              <w:p>
                <w:pPr>
                  <w:pStyle w:val="BodyText"/>
                  <w:spacing w:line="258" w:lineRule="exact"/>
                  <w:ind w:left="40"/>
                  <w:rPr>
                    <w:rFonts w:ascii="Times New Roman"/>
                  </w:rPr>
                </w:pPr>
                <w:r>
                  <w:rPr/>
                  <w:fldChar w:fldCharType="begin"/>
                </w:r>
                <w:r>
                  <w:rPr>
                    <w:rFonts w:ascii="Times New Roman"/>
                  </w:rPr>
                  <w:instrText> PAGE </w:instrText>
                </w:r>
                <w:r>
                  <w:rPr/>
                  <w:fldChar w:fldCharType="separate"/>
                </w:r>
                <w:r>
                  <w:rPr/>
                  <w:t>41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1">
    <w:multiLevelType w:val="hybridMultilevel"/>
    <w:lvl w:ilvl="0">
      <w:start w:val="13"/>
      <w:numFmt w:val="upperRoman"/>
      <w:lvlText w:val="%1"/>
      <w:lvlJc w:val="left"/>
      <w:pPr>
        <w:ind w:left="116" w:hanging="343"/>
        <w:jc w:val="left"/>
      </w:pPr>
      <w:rPr>
        <w:rFonts w:hint="default"/>
        <w:spacing w:val="-5"/>
        <w:w w:val="103"/>
        <w:u w:val="single" w:color="0000FF"/>
      </w:rPr>
    </w:lvl>
    <w:lvl w:ilvl="1">
      <w:start w:val="1"/>
      <w:numFmt w:val="bullet"/>
      <w:lvlText w:val="•"/>
      <w:lvlJc w:val="left"/>
      <w:pPr>
        <w:ind w:left="992" w:hanging="343"/>
      </w:pPr>
      <w:rPr>
        <w:rFonts w:hint="default"/>
      </w:rPr>
    </w:lvl>
    <w:lvl w:ilvl="2">
      <w:start w:val="1"/>
      <w:numFmt w:val="bullet"/>
      <w:lvlText w:val="•"/>
      <w:lvlJc w:val="left"/>
      <w:pPr>
        <w:ind w:left="1864" w:hanging="343"/>
      </w:pPr>
      <w:rPr>
        <w:rFonts w:hint="default"/>
      </w:rPr>
    </w:lvl>
    <w:lvl w:ilvl="3">
      <w:start w:val="1"/>
      <w:numFmt w:val="bullet"/>
      <w:lvlText w:val="•"/>
      <w:lvlJc w:val="left"/>
      <w:pPr>
        <w:ind w:left="2737" w:hanging="343"/>
      </w:pPr>
      <w:rPr>
        <w:rFonts w:hint="default"/>
      </w:rPr>
    </w:lvl>
    <w:lvl w:ilvl="4">
      <w:start w:val="1"/>
      <w:numFmt w:val="bullet"/>
      <w:lvlText w:val="•"/>
      <w:lvlJc w:val="left"/>
      <w:pPr>
        <w:ind w:left="3609" w:hanging="343"/>
      </w:pPr>
      <w:rPr>
        <w:rFonts w:hint="default"/>
      </w:rPr>
    </w:lvl>
    <w:lvl w:ilvl="5">
      <w:start w:val="1"/>
      <w:numFmt w:val="bullet"/>
      <w:lvlText w:val="•"/>
      <w:lvlJc w:val="left"/>
      <w:pPr>
        <w:ind w:left="4482" w:hanging="343"/>
      </w:pPr>
      <w:rPr>
        <w:rFonts w:hint="default"/>
      </w:rPr>
    </w:lvl>
    <w:lvl w:ilvl="6">
      <w:start w:val="1"/>
      <w:numFmt w:val="bullet"/>
      <w:lvlText w:val="•"/>
      <w:lvlJc w:val="left"/>
      <w:pPr>
        <w:ind w:left="5354" w:hanging="343"/>
      </w:pPr>
      <w:rPr>
        <w:rFonts w:hint="default"/>
      </w:rPr>
    </w:lvl>
    <w:lvl w:ilvl="7">
      <w:start w:val="1"/>
      <w:numFmt w:val="bullet"/>
      <w:lvlText w:val="•"/>
      <w:lvlJc w:val="left"/>
      <w:pPr>
        <w:ind w:left="6226" w:hanging="343"/>
      </w:pPr>
      <w:rPr>
        <w:rFonts w:hint="default"/>
      </w:rPr>
    </w:lvl>
    <w:lvl w:ilvl="8">
      <w:start w:val="1"/>
      <w:numFmt w:val="bullet"/>
      <w:lvlText w:val="•"/>
      <w:lvlJc w:val="left"/>
      <w:pPr>
        <w:ind w:left="7099" w:hanging="343"/>
      </w:pPr>
      <w:rPr>
        <w:rFonts w:hint="default"/>
      </w:rPr>
    </w:lvl>
  </w:abstractNum>
  <w:abstractNum w:abstractNumId="20">
    <w:multiLevelType w:val="hybridMultilevel"/>
    <w:lvl w:ilvl="0">
      <w:start w:val="6"/>
      <w:numFmt w:val="upperRoman"/>
      <w:lvlText w:val="%1"/>
      <w:lvlJc w:val="left"/>
      <w:pPr>
        <w:ind w:left="116" w:hanging="245"/>
        <w:jc w:val="left"/>
      </w:pPr>
      <w:rPr>
        <w:rFonts w:hint="default"/>
        <w:spacing w:val="0"/>
        <w:w w:val="103"/>
        <w:u w:val="single" w:color="0000FF"/>
      </w:rPr>
    </w:lvl>
    <w:lvl w:ilvl="1">
      <w:start w:val="1"/>
      <w:numFmt w:val="bullet"/>
      <w:lvlText w:val="•"/>
      <w:lvlJc w:val="left"/>
      <w:pPr>
        <w:ind w:left="990" w:hanging="245"/>
      </w:pPr>
      <w:rPr>
        <w:rFonts w:hint="default"/>
      </w:rPr>
    </w:lvl>
    <w:lvl w:ilvl="2">
      <w:start w:val="1"/>
      <w:numFmt w:val="bullet"/>
      <w:lvlText w:val="•"/>
      <w:lvlJc w:val="left"/>
      <w:pPr>
        <w:ind w:left="1860" w:hanging="245"/>
      </w:pPr>
      <w:rPr>
        <w:rFonts w:hint="default"/>
      </w:rPr>
    </w:lvl>
    <w:lvl w:ilvl="3">
      <w:start w:val="1"/>
      <w:numFmt w:val="bullet"/>
      <w:lvlText w:val="•"/>
      <w:lvlJc w:val="left"/>
      <w:pPr>
        <w:ind w:left="2731" w:hanging="245"/>
      </w:pPr>
      <w:rPr>
        <w:rFonts w:hint="default"/>
      </w:rPr>
    </w:lvl>
    <w:lvl w:ilvl="4">
      <w:start w:val="1"/>
      <w:numFmt w:val="bullet"/>
      <w:lvlText w:val="•"/>
      <w:lvlJc w:val="left"/>
      <w:pPr>
        <w:ind w:left="3601" w:hanging="245"/>
      </w:pPr>
      <w:rPr>
        <w:rFonts w:hint="default"/>
      </w:rPr>
    </w:lvl>
    <w:lvl w:ilvl="5">
      <w:start w:val="1"/>
      <w:numFmt w:val="bullet"/>
      <w:lvlText w:val="•"/>
      <w:lvlJc w:val="left"/>
      <w:pPr>
        <w:ind w:left="4472" w:hanging="245"/>
      </w:pPr>
      <w:rPr>
        <w:rFonts w:hint="default"/>
      </w:rPr>
    </w:lvl>
    <w:lvl w:ilvl="6">
      <w:start w:val="1"/>
      <w:numFmt w:val="bullet"/>
      <w:lvlText w:val="•"/>
      <w:lvlJc w:val="left"/>
      <w:pPr>
        <w:ind w:left="5342" w:hanging="245"/>
      </w:pPr>
      <w:rPr>
        <w:rFonts w:hint="default"/>
      </w:rPr>
    </w:lvl>
    <w:lvl w:ilvl="7">
      <w:start w:val="1"/>
      <w:numFmt w:val="bullet"/>
      <w:lvlText w:val="•"/>
      <w:lvlJc w:val="left"/>
      <w:pPr>
        <w:ind w:left="6212" w:hanging="245"/>
      </w:pPr>
      <w:rPr>
        <w:rFonts w:hint="default"/>
      </w:rPr>
    </w:lvl>
    <w:lvl w:ilvl="8">
      <w:start w:val="1"/>
      <w:numFmt w:val="bullet"/>
      <w:lvlText w:val="•"/>
      <w:lvlJc w:val="left"/>
      <w:pPr>
        <w:ind w:left="7083" w:hanging="245"/>
      </w:pPr>
      <w:rPr>
        <w:rFonts w:hint="default"/>
      </w:rPr>
    </w:lvl>
  </w:abstractNum>
  <w:abstractNum w:abstractNumId="19">
    <w:multiLevelType w:val="hybridMultilevel"/>
    <w:lvl w:ilvl="0">
      <w:start w:val="5"/>
      <w:numFmt w:val="upperRoman"/>
      <w:lvlText w:val="%1"/>
      <w:lvlJc w:val="left"/>
      <w:pPr>
        <w:ind w:left="116" w:hanging="212"/>
        <w:jc w:val="left"/>
      </w:pPr>
      <w:rPr>
        <w:rFonts w:hint="default"/>
        <w:w w:val="103"/>
        <w:u w:val="single" w:color="0000FF"/>
      </w:rPr>
    </w:lvl>
    <w:lvl w:ilvl="1">
      <w:start w:val="1"/>
      <w:numFmt w:val="bullet"/>
      <w:lvlText w:val="•"/>
      <w:lvlJc w:val="left"/>
      <w:pPr>
        <w:ind w:left="990" w:hanging="212"/>
      </w:pPr>
      <w:rPr>
        <w:rFonts w:hint="default"/>
      </w:rPr>
    </w:lvl>
    <w:lvl w:ilvl="2">
      <w:start w:val="1"/>
      <w:numFmt w:val="bullet"/>
      <w:lvlText w:val="•"/>
      <w:lvlJc w:val="left"/>
      <w:pPr>
        <w:ind w:left="1860" w:hanging="212"/>
      </w:pPr>
      <w:rPr>
        <w:rFonts w:hint="default"/>
      </w:rPr>
    </w:lvl>
    <w:lvl w:ilvl="3">
      <w:start w:val="1"/>
      <w:numFmt w:val="bullet"/>
      <w:lvlText w:val="•"/>
      <w:lvlJc w:val="left"/>
      <w:pPr>
        <w:ind w:left="2731" w:hanging="212"/>
      </w:pPr>
      <w:rPr>
        <w:rFonts w:hint="default"/>
      </w:rPr>
    </w:lvl>
    <w:lvl w:ilvl="4">
      <w:start w:val="1"/>
      <w:numFmt w:val="bullet"/>
      <w:lvlText w:val="•"/>
      <w:lvlJc w:val="left"/>
      <w:pPr>
        <w:ind w:left="3601" w:hanging="212"/>
      </w:pPr>
      <w:rPr>
        <w:rFonts w:hint="default"/>
      </w:rPr>
    </w:lvl>
    <w:lvl w:ilvl="5">
      <w:start w:val="1"/>
      <w:numFmt w:val="bullet"/>
      <w:lvlText w:val="•"/>
      <w:lvlJc w:val="left"/>
      <w:pPr>
        <w:ind w:left="4472" w:hanging="212"/>
      </w:pPr>
      <w:rPr>
        <w:rFonts w:hint="default"/>
      </w:rPr>
    </w:lvl>
    <w:lvl w:ilvl="6">
      <w:start w:val="1"/>
      <w:numFmt w:val="bullet"/>
      <w:lvlText w:val="•"/>
      <w:lvlJc w:val="left"/>
      <w:pPr>
        <w:ind w:left="5342" w:hanging="212"/>
      </w:pPr>
      <w:rPr>
        <w:rFonts w:hint="default"/>
      </w:rPr>
    </w:lvl>
    <w:lvl w:ilvl="7">
      <w:start w:val="1"/>
      <w:numFmt w:val="bullet"/>
      <w:lvlText w:val="•"/>
      <w:lvlJc w:val="left"/>
      <w:pPr>
        <w:ind w:left="6212" w:hanging="212"/>
      </w:pPr>
      <w:rPr>
        <w:rFonts w:hint="default"/>
      </w:rPr>
    </w:lvl>
    <w:lvl w:ilvl="8">
      <w:start w:val="1"/>
      <w:numFmt w:val="bullet"/>
      <w:lvlText w:val="•"/>
      <w:lvlJc w:val="left"/>
      <w:pPr>
        <w:ind w:left="7083" w:hanging="212"/>
      </w:pPr>
      <w:rPr>
        <w:rFonts w:hint="default"/>
      </w:rPr>
    </w:lvl>
  </w:abstractNum>
  <w:abstractNum w:abstractNumId="18">
    <w:multiLevelType w:val="hybridMultilevel"/>
    <w:lvl w:ilvl="0">
      <w:start w:val="4"/>
      <w:numFmt w:val="decimal"/>
      <w:lvlText w:val="%1"/>
      <w:lvlJc w:val="left"/>
      <w:pPr>
        <w:ind w:left="115" w:hanging="420"/>
        <w:jc w:val="left"/>
      </w:pPr>
      <w:rPr>
        <w:rFonts w:hint="default"/>
      </w:rPr>
    </w:lvl>
    <w:lvl w:ilvl="1">
      <w:start w:val="8"/>
      <w:numFmt w:val="decimal"/>
      <w:lvlText w:val="%1.%2"/>
      <w:lvlJc w:val="left"/>
      <w:pPr>
        <w:ind w:left="115" w:hanging="420"/>
        <w:jc w:val="left"/>
      </w:pPr>
      <w:rPr>
        <w:rFonts w:hint="default" w:ascii="Arial" w:hAnsi="Arial" w:eastAsia="Arial" w:cs="Arial"/>
        <w:b/>
        <w:bCs/>
        <w:spacing w:val="-1"/>
        <w:w w:val="101"/>
        <w:sz w:val="23"/>
        <w:szCs w:val="23"/>
      </w:rPr>
    </w:lvl>
    <w:lvl w:ilvl="2">
      <w:start w:val="1"/>
      <w:numFmt w:val="bullet"/>
      <w:lvlText w:val="•"/>
      <w:lvlJc w:val="left"/>
      <w:pPr>
        <w:ind w:left="1727" w:hanging="420"/>
      </w:pPr>
      <w:rPr>
        <w:rFonts w:hint="default"/>
      </w:rPr>
    </w:lvl>
    <w:lvl w:ilvl="3">
      <w:start w:val="1"/>
      <w:numFmt w:val="bullet"/>
      <w:lvlText w:val="•"/>
      <w:lvlJc w:val="left"/>
      <w:pPr>
        <w:ind w:left="2614" w:hanging="420"/>
      </w:pPr>
      <w:rPr>
        <w:rFonts w:hint="default"/>
      </w:rPr>
    </w:lvl>
    <w:lvl w:ilvl="4">
      <w:start w:val="1"/>
      <w:numFmt w:val="bullet"/>
      <w:lvlText w:val="•"/>
      <w:lvlJc w:val="left"/>
      <w:pPr>
        <w:ind w:left="3501" w:hanging="420"/>
      </w:pPr>
      <w:rPr>
        <w:rFonts w:hint="default"/>
      </w:rPr>
    </w:lvl>
    <w:lvl w:ilvl="5">
      <w:start w:val="1"/>
      <w:numFmt w:val="bullet"/>
      <w:lvlText w:val="•"/>
      <w:lvlJc w:val="left"/>
      <w:pPr>
        <w:ind w:left="4388" w:hanging="420"/>
      </w:pPr>
      <w:rPr>
        <w:rFonts w:hint="default"/>
      </w:rPr>
    </w:lvl>
    <w:lvl w:ilvl="6">
      <w:start w:val="1"/>
      <w:numFmt w:val="bullet"/>
      <w:lvlText w:val="•"/>
      <w:lvlJc w:val="left"/>
      <w:pPr>
        <w:ind w:left="5275" w:hanging="420"/>
      </w:pPr>
      <w:rPr>
        <w:rFonts w:hint="default"/>
      </w:rPr>
    </w:lvl>
    <w:lvl w:ilvl="7">
      <w:start w:val="1"/>
      <w:numFmt w:val="bullet"/>
      <w:lvlText w:val="•"/>
      <w:lvlJc w:val="left"/>
      <w:pPr>
        <w:ind w:left="6162" w:hanging="420"/>
      </w:pPr>
      <w:rPr>
        <w:rFonts w:hint="default"/>
      </w:rPr>
    </w:lvl>
    <w:lvl w:ilvl="8">
      <w:start w:val="1"/>
      <w:numFmt w:val="bullet"/>
      <w:lvlText w:val="•"/>
      <w:lvlJc w:val="left"/>
      <w:pPr>
        <w:ind w:left="7049" w:hanging="420"/>
      </w:pPr>
      <w:rPr>
        <w:rFonts w:hint="default"/>
      </w:rPr>
    </w:lvl>
  </w:abstractNum>
  <w:abstractNum w:abstractNumId="17">
    <w:multiLevelType w:val="hybridMultilevel"/>
    <w:lvl w:ilvl="0">
      <w:start w:val="1"/>
      <w:numFmt w:val="lowerLetter"/>
      <w:lvlText w:val="%1."/>
      <w:lvlJc w:val="left"/>
      <w:pPr>
        <w:ind w:left="816" w:hanging="351"/>
        <w:jc w:val="left"/>
      </w:pPr>
      <w:rPr>
        <w:rFonts w:hint="default" w:ascii="Arial" w:hAnsi="Arial" w:eastAsia="Arial" w:cs="Arial"/>
        <w:spacing w:val="-1"/>
        <w:w w:val="101"/>
        <w:sz w:val="23"/>
        <w:szCs w:val="23"/>
      </w:rPr>
    </w:lvl>
    <w:lvl w:ilvl="1">
      <w:start w:val="1"/>
      <w:numFmt w:val="bullet"/>
      <w:lvlText w:val="•"/>
      <w:lvlJc w:val="left"/>
      <w:pPr>
        <w:ind w:left="1690" w:hanging="351"/>
      </w:pPr>
      <w:rPr>
        <w:rFonts w:hint="default"/>
      </w:rPr>
    </w:lvl>
    <w:lvl w:ilvl="2">
      <w:start w:val="1"/>
      <w:numFmt w:val="bullet"/>
      <w:lvlText w:val="•"/>
      <w:lvlJc w:val="left"/>
      <w:pPr>
        <w:ind w:left="2560" w:hanging="351"/>
      </w:pPr>
      <w:rPr>
        <w:rFonts w:hint="default"/>
      </w:rPr>
    </w:lvl>
    <w:lvl w:ilvl="3">
      <w:start w:val="1"/>
      <w:numFmt w:val="bullet"/>
      <w:lvlText w:val="•"/>
      <w:lvlJc w:val="left"/>
      <w:pPr>
        <w:ind w:left="3431" w:hanging="351"/>
      </w:pPr>
      <w:rPr>
        <w:rFonts w:hint="default"/>
      </w:rPr>
    </w:lvl>
    <w:lvl w:ilvl="4">
      <w:start w:val="1"/>
      <w:numFmt w:val="bullet"/>
      <w:lvlText w:val="•"/>
      <w:lvlJc w:val="left"/>
      <w:pPr>
        <w:ind w:left="4301" w:hanging="351"/>
      </w:pPr>
      <w:rPr>
        <w:rFonts w:hint="default"/>
      </w:rPr>
    </w:lvl>
    <w:lvl w:ilvl="5">
      <w:start w:val="1"/>
      <w:numFmt w:val="bullet"/>
      <w:lvlText w:val="•"/>
      <w:lvlJc w:val="left"/>
      <w:pPr>
        <w:ind w:left="5172" w:hanging="351"/>
      </w:pPr>
      <w:rPr>
        <w:rFonts w:hint="default"/>
      </w:rPr>
    </w:lvl>
    <w:lvl w:ilvl="6">
      <w:start w:val="1"/>
      <w:numFmt w:val="bullet"/>
      <w:lvlText w:val="•"/>
      <w:lvlJc w:val="left"/>
      <w:pPr>
        <w:ind w:left="6042" w:hanging="351"/>
      </w:pPr>
      <w:rPr>
        <w:rFonts w:hint="default"/>
      </w:rPr>
    </w:lvl>
    <w:lvl w:ilvl="7">
      <w:start w:val="1"/>
      <w:numFmt w:val="bullet"/>
      <w:lvlText w:val="•"/>
      <w:lvlJc w:val="left"/>
      <w:pPr>
        <w:ind w:left="6912" w:hanging="351"/>
      </w:pPr>
      <w:rPr>
        <w:rFonts w:hint="default"/>
      </w:rPr>
    </w:lvl>
    <w:lvl w:ilvl="8">
      <w:start w:val="1"/>
      <w:numFmt w:val="bullet"/>
      <w:lvlText w:val="•"/>
      <w:lvlJc w:val="left"/>
      <w:pPr>
        <w:ind w:left="7783" w:hanging="351"/>
      </w:pPr>
      <w:rPr>
        <w:rFonts w:hint="default"/>
      </w:rPr>
    </w:lvl>
  </w:abstractNum>
  <w:abstractNum w:abstractNumId="16">
    <w:multiLevelType w:val="hybridMultilevel"/>
    <w:lvl w:ilvl="0">
      <w:start w:val="4"/>
      <w:numFmt w:val="decimal"/>
      <w:lvlText w:val="%1"/>
      <w:lvlJc w:val="left"/>
      <w:pPr>
        <w:ind w:left="116" w:hanging="389"/>
        <w:jc w:val="left"/>
      </w:pPr>
      <w:rPr>
        <w:rFonts w:hint="default"/>
      </w:rPr>
    </w:lvl>
    <w:lvl w:ilvl="1">
      <w:start w:val="6"/>
      <w:numFmt w:val="decimal"/>
      <w:lvlText w:val="%1.%2"/>
      <w:lvlJc w:val="left"/>
      <w:pPr>
        <w:ind w:left="116" w:hanging="389"/>
        <w:jc w:val="left"/>
      </w:pPr>
      <w:rPr>
        <w:rFonts w:hint="default" w:ascii="Arial" w:hAnsi="Arial" w:eastAsia="Arial" w:cs="Arial"/>
        <w:b/>
        <w:bCs/>
        <w:spacing w:val="-1"/>
        <w:w w:val="101"/>
        <w:sz w:val="23"/>
        <w:szCs w:val="23"/>
      </w:rPr>
    </w:lvl>
    <w:lvl w:ilvl="2">
      <w:start w:val="1"/>
      <w:numFmt w:val="decimal"/>
      <w:lvlText w:val="%1.%2.%3"/>
      <w:lvlJc w:val="left"/>
      <w:pPr>
        <w:ind w:left="115" w:hanging="584"/>
        <w:jc w:val="left"/>
      </w:pPr>
      <w:rPr>
        <w:rFonts w:hint="default" w:ascii="Arial" w:hAnsi="Arial" w:eastAsia="Arial" w:cs="Arial"/>
        <w:b/>
        <w:bCs/>
        <w:spacing w:val="-5"/>
        <w:w w:val="101"/>
        <w:sz w:val="23"/>
        <w:szCs w:val="23"/>
      </w:rPr>
    </w:lvl>
    <w:lvl w:ilvl="3">
      <w:start w:val="1"/>
      <w:numFmt w:val="upperLetter"/>
      <w:lvlText w:val="%4)"/>
      <w:lvlJc w:val="left"/>
      <w:pPr>
        <w:ind w:left="494" w:hanging="279"/>
        <w:jc w:val="left"/>
      </w:pPr>
      <w:rPr>
        <w:rFonts w:hint="default" w:ascii="Arial" w:hAnsi="Arial" w:eastAsia="Arial" w:cs="Arial"/>
        <w:b/>
        <w:bCs/>
        <w:spacing w:val="-7"/>
        <w:w w:val="102"/>
        <w:sz w:val="21"/>
        <w:szCs w:val="21"/>
      </w:rPr>
    </w:lvl>
    <w:lvl w:ilvl="4">
      <w:start w:val="1"/>
      <w:numFmt w:val="bullet"/>
      <w:lvlText w:val="•"/>
      <w:lvlJc w:val="left"/>
      <w:pPr>
        <w:ind w:left="3274" w:hanging="279"/>
      </w:pPr>
      <w:rPr>
        <w:rFonts w:hint="default"/>
      </w:rPr>
    </w:lvl>
    <w:lvl w:ilvl="5">
      <w:start w:val="1"/>
      <w:numFmt w:val="bullet"/>
      <w:lvlText w:val="•"/>
      <w:lvlJc w:val="left"/>
      <w:pPr>
        <w:ind w:left="4199" w:hanging="279"/>
      </w:pPr>
      <w:rPr>
        <w:rFonts w:hint="default"/>
      </w:rPr>
    </w:lvl>
    <w:lvl w:ilvl="6">
      <w:start w:val="1"/>
      <w:numFmt w:val="bullet"/>
      <w:lvlText w:val="•"/>
      <w:lvlJc w:val="left"/>
      <w:pPr>
        <w:ind w:left="5124" w:hanging="279"/>
      </w:pPr>
      <w:rPr>
        <w:rFonts w:hint="default"/>
      </w:rPr>
    </w:lvl>
    <w:lvl w:ilvl="7">
      <w:start w:val="1"/>
      <w:numFmt w:val="bullet"/>
      <w:lvlText w:val="•"/>
      <w:lvlJc w:val="left"/>
      <w:pPr>
        <w:ind w:left="6049" w:hanging="279"/>
      </w:pPr>
      <w:rPr>
        <w:rFonts w:hint="default"/>
      </w:rPr>
    </w:lvl>
    <w:lvl w:ilvl="8">
      <w:start w:val="1"/>
      <w:numFmt w:val="bullet"/>
      <w:lvlText w:val="•"/>
      <w:lvlJc w:val="left"/>
      <w:pPr>
        <w:ind w:left="6974" w:hanging="279"/>
      </w:pPr>
      <w:rPr>
        <w:rFonts w:hint="default"/>
      </w:rPr>
    </w:lvl>
  </w:abstractNum>
  <w:abstractNum w:abstractNumId="15">
    <w:multiLevelType w:val="hybridMultilevel"/>
    <w:lvl w:ilvl="0">
      <w:start w:val="1"/>
      <w:numFmt w:val="bullet"/>
      <w:lvlText w:val="●"/>
      <w:lvlJc w:val="left"/>
      <w:pPr>
        <w:ind w:left="802" w:hanging="336"/>
      </w:pPr>
      <w:rPr>
        <w:rFonts w:hint="default" w:ascii="Symbol" w:hAnsi="Symbol" w:eastAsia="Symbol" w:cs="Symbol"/>
        <w:w w:val="46"/>
        <w:sz w:val="23"/>
        <w:szCs w:val="23"/>
      </w:rPr>
    </w:lvl>
    <w:lvl w:ilvl="1">
      <w:start w:val="1"/>
      <w:numFmt w:val="bullet"/>
      <w:lvlText w:val="•"/>
      <w:lvlJc w:val="left"/>
      <w:pPr>
        <w:ind w:left="1602" w:hanging="336"/>
      </w:pPr>
      <w:rPr>
        <w:rFonts w:hint="default"/>
      </w:rPr>
    </w:lvl>
    <w:lvl w:ilvl="2">
      <w:start w:val="1"/>
      <w:numFmt w:val="bullet"/>
      <w:lvlText w:val="•"/>
      <w:lvlJc w:val="left"/>
      <w:pPr>
        <w:ind w:left="2404" w:hanging="336"/>
      </w:pPr>
      <w:rPr>
        <w:rFonts w:hint="default"/>
      </w:rPr>
    </w:lvl>
    <w:lvl w:ilvl="3">
      <w:start w:val="1"/>
      <w:numFmt w:val="bullet"/>
      <w:lvlText w:val="•"/>
      <w:lvlJc w:val="left"/>
      <w:pPr>
        <w:ind w:left="3207" w:hanging="336"/>
      </w:pPr>
      <w:rPr>
        <w:rFonts w:hint="default"/>
      </w:rPr>
    </w:lvl>
    <w:lvl w:ilvl="4">
      <w:start w:val="1"/>
      <w:numFmt w:val="bullet"/>
      <w:lvlText w:val="•"/>
      <w:lvlJc w:val="left"/>
      <w:pPr>
        <w:ind w:left="4009" w:hanging="336"/>
      </w:pPr>
      <w:rPr>
        <w:rFonts w:hint="default"/>
      </w:rPr>
    </w:lvl>
    <w:lvl w:ilvl="5">
      <w:start w:val="1"/>
      <w:numFmt w:val="bullet"/>
      <w:lvlText w:val="•"/>
      <w:lvlJc w:val="left"/>
      <w:pPr>
        <w:ind w:left="4812" w:hanging="336"/>
      </w:pPr>
      <w:rPr>
        <w:rFonts w:hint="default"/>
      </w:rPr>
    </w:lvl>
    <w:lvl w:ilvl="6">
      <w:start w:val="1"/>
      <w:numFmt w:val="bullet"/>
      <w:lvlText w:val="•"/>
      <w:lvlJc w:val="left"/>
      <w:pPr>
        <w:ind w:left="5614" w:hanging="336"/>
      </w:pPr>
      <w:rPr>
        <w:rFonts w:hint="default"/>
      </w:rPr>
    </w:lvl>
    <w:lvl w:ilvl="7">
      <w:start w:val="1"/>
      <w:numFmt w:val="bullet"/>
      <w:lvlText w:val="•"/>
      <w:lvlJc w:val="left"/>
      <w:pPr>
        <w:ind w:left="6416" w:hanging="336"/>
      </w:pPr>
      <w:rPr>
        <w:rFonts w:hint="default"/>
      </w:rPr>
    </w:lvl>
    <w:lvl w:ilvl="8">
      <w:start w:val="1"/>
      <w:numFmt w:val="bullet"/>
      <w:lvlText w:val="•"/>
      <w:lvlJc w:val="left"/>
      <w:pPr>
        <w:ind w:left="7219" w:hanging="336"/>
      </w:pPr>
      <w:rPr>
        <w:rFonts w:hint="default"/>
      </w:rPr>
    </w:lvl>
  </w:abstractNum>
  <w:abstractNum w:abstractNumId="14">
    <w:multiLevelType w:val="hybridMultilevel"/>
    <w:lvl w:ilvl="0">
      <w:start w:val="4"/>
      <w:numFmt w:val="decimal"/>
      <w:lvlText w:val="%1"/>
      <w:lvlJc w:val="left"/>
      <w:pPr>
        <w:ind w:left="504" w:hanging="389"/>
        <w:jc w:val="left"/>
      </w:pPr>
      <w:rPr>
        <w:rFonts w:hint="default"/>
      </w:rPr>
    </w:lvl>
    <w:lvl w:ilvl="1">
      <w:start w:val="2"/>
      <w:numFmt w:val="decimal"/>
      <w:lvlText w:val="%1.%2"/>
      <w:lvlJc w:val="left"/>
      <w:pPr>
        <w:ind w:left="504" w:hanging="389"/>
        <w:jc w:val="left"/>
      </w:pPr>
      <w:rPr>
        <w:rFonts w:hint="default" w:ascii="Arial" w:hAnsi="Arial" w:eastAsia="Arial" w:cs="Arial"/>
        <w:b/>
        <w:bCs/>
        <w:spacing w:val="-3"/>
        <w:w w:val="101"/>
        <w:sz w:val="23"/>
        <w:szCs w:val="23"/>
      </w:rPr>
    </w:lvl>
    <w:lvl w:ilvl="2">
      <w:start w:val="1"/>
      <w:numFmt w:val="decimal"/>
      <w:lvlText w:val="%3)"/>
      <w:lvlJc w:val="left"/>
      <w:pPr>
        <w:ind w:left="116" w:hanging="309"/>
        <w:jc w:val="left"/>
      </w:pPr>
      <w:rPr>
        <w:rFonts w:hint="default" w:ascii="Arial" w:hAnsi="Arial" w:eastAsia="Arial" w:cs="Arial"/>
        <w:spacing w:val="-1"/>
        <w:w w:val="101"/>
        <w:sz w:val="23"/>
        <w:szCs w:val="23"/>
      </w:rPr>
    </w:lvl>
    <w:lvl w:ilvl="3">
      <w:start w:val="1"/>
      <w:numFmt w:val="bullet"/>
      <w:lvlText w:val="•"/>
      <w:lvlJc w:val="left"/>
      <w:pPr>
        <w:ind w:left="2349" w:hanging="309"/>
      </w:pPr>
      <w:rPr>
        <w:rFonts w:hint="default"/>
      </w:rPr>
    </w:lvl>
    <w:lvl w:ilvl="4">
      <w:start w:val="1"/>
      <w:numFmt w:val="bullet"/>
      <w:lvlText w:val="•"/>
      <w:lvlJc w:val="left"/>
      <w:pPr>
        <w:ind w:left="3274" w:hanging="309"/>
      </w:pPr>
      <w:rPr>
        <w:rFonts w:hint="default"/>
      </w:rPr>
    </w:lvl>
    <w:lvl w:ilvl="5">
      <w:start w:val="1"/>
      <w:numFmt w:val="bullet"/>
      <w:lvlText w:val="•"/>
      <w:lvlJc w:val="left"/>
      <w:pPr>
        <w:ind w:left="4199" w:hanging="309"/>
      </w:pPr>
      <w:rPr>
        <w:rFonts w:hint="default"/>
      </w:rPr>
    </w:lvl>
    <w:lvl w:ilvl="6">
      <w:start w:val="1"/>
      <w:numFmt w:val="bullet"/>
      <w:lvlText w:val="•"/>
      <w:lvlJc w:val="left"/>
      <w:pPr>
        <w:ind w:left="5124" w:hanging="309"/>
      </w:pPr>
      <w:rPr>
        <w:rFonts w:hint="default"/>
      </w:rPr>
    </w:lvl>
    <w:lvl w:ilvl="7">
      <w:start w:val="1"/>
      <w:numFmt w:val="bullet"/>
      <w:lvlText w:val="•"/>
      <w:lvlJc w:val="left"/>
      <w:pPr>
        <w:ind w:left="6049" w:hanging="309"/>
      </w:pPr>
      <w:rPr>
        <w:rFonts w:hint="default"/>
      </w:rPr>
    </w:lvl>
    <w:lvl w:ilvl="8">
      <w:start w:val="1"/>
      <w:numFmt w:val="bullet"/>
      <w:lvlText w:val="•"/>
      <w:lvlJc w:val="left"/>
      <w:pPr>
        <w:ind w:left="6974" w:hanging="309"/>
      </w:pPr>
      <w:rPr>
        <w:rFonts w:hint="default"/>
      </w:rPr>
    </w:lvl>
  </w:abstractNum>
  <w:abstractNum w:abstractNumId="13">
    <w:multiLevelType w:val="hybridMultilevel"/>
    <w:lvl w:ilvl="0">
      <w:start w:val="4"/>
      <w:numFmt w:val="decimal"/>
      <w:lvlText w:val="%1"/>
      <w:lvlJc w:val="left"/>
      <w:pPr>
        <w:ind w:left="501" w:hanging="386"/>
        <w:jc w:val="left"/>
      </w:pPr>
      <w:rPr>
        <w:rFonts w:hint="default"/>
      </w:rPr>
    </w:lvl>
    <w:lvl w:ilvl="1">
      <w:start w:val="1"/>
      <w:numFmt w:val="decimal"/>
      <w:lvlText w:val="%1.%2"/>
      <w:lvlJc w:val="left"/>
      <w:pPr>
        <w:ind w:left="501" w:hanging="386"/>
        <w:jc w:val="left"/>
      </w:pPr>
      <w:rPr>
        <w:rFonts w:hint="default" w:ascii="Arial" w:hAnsi="Arial" w:eastAsia="Arial" w:cs="Arial"/>
        <w:b/>
        <w:bCs/>
        <w:spacing w:val="-1"/>
        <w:w w:val="101"/>
        <w:sz w:val="23"/>
        <w:szCs w:val="23"/>
      </w:rPr>
    </w:lvl>
    <w:lvl w:ilvl="2">
      <w:start w:val="1"/>
      <w:numFmt w:val="decimal"/>
      <w:lvlText w:val="%1.%2.%3"/>
      <w:lvlJc w:val="left"/>
      <w:pPr>
        <w:ind w:left="696" w:hanging="581"/>
        <w:jc w:val="left"/>
      </w:pPr>
      <w:rPr>
        <w:rFonts w:hint="default" w:ascii="Arial" w:hAnsi="Arial" w:eastAsia="Arial" w:cs="Arial"/>
        <w:b/>
        <w:bCs/>
        <w:spacing w:val="-3"/>
        <w:w w:val="101"/>
        <w:sz w:val="23"/>
        <w:szCs w:val="23"/>
      </w:rPr>
    </w:lvl>
    <w:lvl w:ilvl="3">
      <w:start w:val="1"/>
      <w:numFmt w:val="bullet"/>
      <w:lvlText w:val="•"/>
      <w:lvlJc w:val="left"/>
      <w:pPr>
        <w:ind w:left="2505" w:hanging="581"/>
      </w:pPr>
      <w:rPr>
        <w:rFonts w:hint="default"/>
      </w:rPr>
    </w:lvl>
    <w:lvl w:ilvl="4">
      <w:start w:val="1"/>
      <w:numFmt w:val="bullet"/>
      <w:lvlText w:val="•"/>
      <w:lvlJc w:val="left"/>
      <w:pPr>
        <w:ind w:left="3408" w:hanging="581"/>
      </w:pPr>
      <w:rPr>
        <w:rFonts w:hint="default"/>
      </w:rPr>
    </w:lvl>
    <w:lvl w:ilvl="5">
      <w:start w:val="1"/>
      <w:numFmt w:val="bullet"/>
      <w:lvlText w:val="•"/>
      <w:lvlJc w:val="left"/>
      <w:pPr>
        <w:ind w:left="4310" w:hanging="581"/>
      </w:pPr>
      <w:rPr>
        <w:rFonts w:hint="default"/>
      </w:rPr>
    </w:lvl>
    <w:lvl w:ilvl="6">
      <w:start w:val="1"/>
      <w:numFmt w:val="bullet"/>
      <w:lvlText w:val="•"/>
      <w:lvlJc w:val="left"/>
      <w:pPr>
        <w:ind w:left="5213" w:hanging="581"/>
      </w:pPr>
      <w:rPr>
        <w:rFonts w:hint="default"/>
      </w:rPr>
    </w:lvl>
    <w:lvl w:ilvl="7">
      <w:start w:val="1"/>
      <w:numFmt w:val="bullet"/>
      <w:lvlText w:val="•"/>
      <w:lvlJc w:val="left"/>
      <w:pPr>
        <w:ind w:left="6116" w:hanging="581"/>
      </w:pPr>
      <w:rPr>
        <w:rFonts w:hint="default"/>
      </w:rPr>
    </w:lvl>
    <w:lvl w:ilvl="8">
      <w:start w:val="1"/>
      <w:numFmt w:val="bullet"/>
      <w:lvlText w:val="•"/>
      <w:lvlJc w:val="left"/>
      <w:pPr>
        <w:ind w:left="7018" w:hanging="581"/>
      </w:pPr>
      <w:rPr>
        <w:rFonts w:hint="default"/>
      </w:rPr>
    </w:lvl>
  </w:abstractNum>
  <w:abstractNum w:abstractNumId="12">
    <w:multiLevelType w:val="hybridMultilevel"/>
    <w:lvl w:ilvl="0">
      <w:start w:val="1"/>
      <w:numFmt w:val="lowerLetter"/>
      <w:lvlText w:val="%1)"/>
      <w:lvlJc w:val="left"/>
      <w:pPr>
        <w:ind w:left="116" w:hanging="281"/>
        <w:jc w:val="left"/>
      </w:pPr>
      <w:rPr>
        <w:rFonts w:hint="default" w:ascii="Arial" w:hAnsi="Arial" w:eastAsia="Arial" w:cs="Arial"/>
        <w:spacing w:val="-1"/>
        <w:w w:val="101"/>
        <w:sz w:val="23"/>
        <w:szCs w:val="23"/>
      </w:rPr>
    </w:lvl>
    <w:lvl w:ilvl="1">
      <w:start w:val="1"/>
      <w:numFmt w:val="bullet"/>
      <w:lvlText w:val="•"/>
      <w:lvlJc w:val="left"/>
      <w:pPr>
        <w:ind w:left="990" w:hanging="281"/>
      </w:pPr>
      <w:rPr>
        <w:rFonts w:hint="default"/>
      </w:rPr>
    </w:lvl>
    <w:lvl w:ilvl="2">
      <w:start w:val="1"/>
      <w:numFmt w:val="bullet"/>
      <w:lvlText w:val="•"/>
      <w:lvlJc w:val="left"/>
      <w:pPr>
        <w:ind w:left="1860" w:hanging="281"/>
      </w:pPr>
      <w:rPr>
        <w:rFonts w:hint="default"/>
      </w:rPr>
    </w:lvl>
    <w:lvl w:ilvl="3">
      <w:start w:val="1"/>
      <w:numFmt w:val="bullet"/>
      <w:lvlText w:val="•"/>
      <w:lvlJc w:val="left"/>
      <w:pPr>
        <w:ind w:left="2731" w:hanging="281"/>
      </w:pPr>
      <w:rPr>
        <w:rFonts w:hint="default"/>
      </w:rPr>
    </w:lvl>
    <w:lvl w:ilvl="4">
      <w:start w:val="1"/>
      <w:numFmt w:val="bullet"/>
      <w:lvlText w:val="•"/>
      <w:lvlJc w:val="left"/>
      <w:pPr>
        <w:ind w:left="3601" w:hanging="281"/>
      </w:pPr>
      <w:rPr>
        <w:rFonts w:hint="default"/>
      </w:rPr>
    </w:lvl>
    <w:lvl w:ilvl="5">
      <w:start w:val="1"/>
      <w:numFmt w:val="bullet"/>
      <w:lvlText w:val="•"/>
      <w:lvlJc w:val="left"/>
      <w:pPr>
        <w:ind w:left="4472" w:hanging="281"/>
      </w:pPr>
      <w:rPr>
        <w:rFonts w:hint="default"/>
      </w:rPr>
    </w:lvl>
    <w:lvl w:ilvl="6">
      <w:start w:val="1"/>
      <w:numFmt w:val="bullet"/>
      <w:lvlText w:val="•"/>
      <w:lvlJc w:val="left"/>
      <w:pPr>
        <w:ind w:left="5342" w:hanging="281"/>
      </w:pPr>
      <w:rPr>
        <w:rFonts w:hint="default"/>
      </w:rPr>
    </w:lvl>
    <w:lvl w:ilvl="7">
      <w:start w:val="1"/>
      <w:numFmt w:val="bullet"/>
      <w:lvlText w:val="•"/>
      <w:lvlJc w:val="left"/>
      <w:pPr>
        <w:ind w:left="6212" w:hanging="281"/>
      </w:pPr>
      <w:rPr>
        <w:rFonts w:hint="default"/>
      </w:rPr>
    </w:lvl>
    <w:lvl w:ilvl="8">
      <w:start w:val="1"/>
      <w:numFmt w:val="bullet"/>
      <w:lvlText w:val="•"/>
      <w:lvlJc w:val="left"/>
      <w:pPr>
        <w:ind w:left="7083" w:hanging="281"/>
      </w:pPr>
      <w:rPr>
        <w:rFonts w:hint="default"/>
      </w:rPr>
    </w:lvl>
  </w:abstractNum>
  <w:abstractNum w:abstractNumId="11">
    <w:multiLevelType w:val="hybridMultilevel"/>
    <w:lvl w:ilvl="0">
      <w:start w:val="2"/>
      <w:numFmt w:val="decimal"/>
      <w:lvlText w:val="%1"/>
      <w:lvlJc w:val="left"/>
      <w:pPr>
        <w:ind w:left="696" w:hanging="581"/>
        <w:jc w:val="left"/>
      </w:pPr>
      <w:rPr>
        <w:rFonts w:hint="default"/>
      </w:rPr>
    </w:lvl>
    <w:lvl w:ilvl="1">
      <w:start w:val="3"/>
      <w:numFmt w:val="decimal"/>
      <w:lvlText w:val="%1.%2"/>
      <w:lvlJc w:val="left"/>
      <w:pPr>
        <w:ind w:left="696" w:hanging="581"/>
        <w:jc w:val="left"/>
      </w:pPr>
      <w:rPr>
        <w:rFonts w:hint="default"/>
      </w:rPr>
    </w:lvl>
    <w:lvl w:ilvl="2">
      <w:start w:val="1"/>
      <w:numFmt w:val="decimal"/>
      <w:lvlText w:val="%1.%2.%3"/>
      <w:lvlJc w:val="left"/>
      <w:pPr>
        <w:ind w:left="696" w:hanging="581"/>
        <w:jc w:val="left"/>
      </w:pPr>
      <w:rPr>
        <w:rFonts w:hint="default" w:ascii="Arial" w:hAnsi="Arial" w:eastAsia="Arial" w:cs="Arial"/>
        <w:b/>
        <w:bCs/>
        <w:spacing w:val="-5"/>
        <w:w w:val="101"/>
        <w:sz w:val="23"/>
        <w:szCs w:val="23"/>
      </w:rPr>
    </w:lvl>
    <w:lvl w:ilvl="3">
      <w:start w:val="1"/>
      <w:numFmt w:val="bullet"/>
      <w:lvlText w:val="•"/>
      <w:lvlJc w:val="left"/>
      <w:pPr>
        <w:ind w:left="2505" w:hanging="581"/>
      </w:pPr>
      <w:rPr>
        <w:rFonts w:hint="default"/>
      </w:rPr>
    </w:lvl>
    <w:lvl w:ilvl="4">
      <w:start w:val="1"/>
      <w:numFmt w:val="bullet"/>
      <w:lvlText w:val="•"/>
      <w:lvlJc w:val="left"/>
      <w:pPr>
        <w:ind w:left="3408" w:hanging="581"/>
      </w:pPr>
      <w:rPr>
        <w:rFonts w:hint="default"/>
      </w:rPr>
    </w:lvl>
    <w:lvl w:ilvl="5">
      <w:start w:val="1"/>
      <w:numFmt w:val="bullet"/>
      <w:lvlText w:val="•"/>
      <w:lvlJc w:val="left"/>
      <w:pPr>
        <w:ind w:left="4310" w:hanging="581"/>
      </w:pPr>
      <w:rPr>
        <w:rFonts w:hint="default"/>
      </w:rPr>
    </w:lvl>
    <w:lvl w:ilvl="6">
      <w:start w:val="1"/>
      <w:numFmt w:val="bullet"/>
      <w:lvlText w:val="•"/>
      <w:lvlJc w:val="left"/>
      <w:pPr>
        <w:ind w:left="5213" w:hanging="581"/>
      </w:pPr>
      <w:rPr>
        <w:rFonts w:hint="default"/>
      </w:rPr>
    </w:lvl>
    <w:lvl w:ilvl="7">
      <w:start w:val="1"/>
      <w:numFmt w:val="bullet"/>
      <w:lvlText w:val="•"/>
      <w:lvlJc w:val="left"/>
      <w:pPr>
        <w:ind w:left="6116" w:hanging="581"/>
      </w:pPr>
      <w:rPr>
        <w:rFonts w:hint="default"/>
      </w:rPr>
    </w:lvl>
    <w:lvl w:ilvl="8">
      <w:start w:val="1"/>
      <w:numFmt w:val="bullet"/>
      <w:lvlText w:val="•"/>
      <w:lvlJc w:val="left"/>
      <w:pPr>
        <w:ind w:left="7018" w:hanging="581"/>
      </w:pPr>
      <w:rPr>
        <w:rFonts w:hint="default"/>
      </w:rPr>
    </w:lvl>
  </w:abstractNum>
  <w:abstractNum w:abstractNumId="10">
    <w:multiLevelType w:val="hybridMultilevel"/>
    <w:lvl w:ilvl="0">
      <w:start w:val="2"/>
      <w:numFmt w:val="decimal"/>
      <w:lvlText w:val="%1"/>
      <w:lvlJc w:val="left"/>
      <w:pPr>
        <w:ind w:left="116" w:hanging="584"/>
        <w:jc w:val="left"/>
      </w:pPr>
      <w:rPr>
        <w:rFonts w:hint="default"/>
      </w:rPr>
    </w:lvl>
    <w:lvl w:ilvl="1">
      <w:start w:val="2"/>
      <w:numFmt w:val="decimal"/>
      <w:lvlText w:val="%1.%2"/>
      <w:lvlJc w:val="left"/>
      <w:pPr>
        <w:ind w:left="116" w:hanging="584"/>
        <w:jc w:val="left"/>
      </w:pPr>
      <w:rPr>
        <w:rFonts w:hint="default"/>
      </w:rPr>
    </w:lvl>
    <w:lvl w:ilvl="2">
      <w:start w:val="1"/>
      <w:numFmt w:val="decimal"/>
      <w:lvlText w:val="%1.%2.%3"/>
      <w:lvlJc w:val="left"/>
      <w:pPr>
        <w:ind w:left="116" w:hanging="584"/>
        <w:jc w:val="left"/>
      </w:pPr>
      <w:rPr>
        <w:rFonts w:hint="default" w:ascii="Arial" w:hAnsi="Arial" w:eastAsia="Arial" w:cs="Arial"/>
        <w:b/>
        <w:bCs/>
        <w:spacing w:val="-1"/>
        <w:w w:val="101"/>
        <w:sz w:val="23"/>
        <w:szCs w:val="23"/>
      </w:rPr>
    </w:lvl>
    <w:lvl w:ilvl="3">
      <w:start w:val="1"/>
      <w:numFmt w:val="bullet"/>
      <w:lvlText w:val="•"/>
      <w:lvlJc w:val="left"/>
      <w:pPr>
        <w:ind w:left="2731" w:hanging="584"/>
      </w:pPr>
      <w:rPr>
        <w:rFonts w:hint="default"/>
      </w:rPr>
    </w:lvl>
    <w:lvl w:ilvl="4">
      <w:start w:val="1"/>
      <w:numFmt w:val="bullet"/>
      <w:lvlText w:val="•"/>
      <w:lvlJc w:val="left"/>
      <w:pPr>
        <w:ind w:left="3601" w:hanging="584"/>
      </w:pPr>
      <w:rPr>
        <w:rFonts w:hint="default"/>
      </w:rPr>
    </w:lvl>
    <w:lvl w:ilvl="5">
      <w:start w:val="1"/>
      <w:numFmt w:val="bullet"/>
      <w:lvlText w:val="•"/>
      <w:lvlJc w:val="left"/>
      <w:pPr>
        <w:ind w:left="4472" w:hanging="584"/>
      </w:pPr>
      <w:rPr>
        <w:rFonts w:hint="default"/>
      </w:rPr>
    </w:lvl>
    <w:lvl w:ilvl="6">
      <w:start w:val="1"/>
      <w:numFmt w:val="bullet"/>
      <w:lvlText w:val="•"/>
      <w:lvlJc w:val="left"/>
      <w:pPr>
        <w:ind w:left="5342" w:hanging="584"/>
      </w:pPr>
      <w:rPr>
        <w:rFonts w:hint="default"/>
      </w:rPr>
    </w:lvl>
    <w:lvl w:ilvl="7">
      <w:start w:val="1"/>
      <w:numFmt w:val="bullet"/>
      <w:lvlText w:val="•"/>
      <w:lvlJc w:val="left"/>
      <w:pPr>
        <w:ind w:left="6212" w:hanging="584"/>
      </w:pPr>
      <w:rPr>
        <w:rFonts w:hint="default"/>
      </w:rPr>
    </w:lvl>
    <w:lvl w:ilvl="8">
      <w:start w:val="1"/>
      <w:numFmt w:val="bullet"/>
      <w:lvlText w:val="•"/>
      <w:lvlJc w:val="left"/>
      <w:pPr>
        <w:ind w:left="7083" w:hanging="584"/>
      </w:pPr>
      <w:rPr>
        <w:rFonts w:hint="default"/>
      </w:rPr>
    </w:lvl>
  </w:abstractNum>
  <w:abstractNum w:abstractNumId="9">
    <w:multiLevelType w:val="hybridMultilevel"/>
    <w:lvl w:ilvl="0">
      <w:start w:val="13"/>
      <w:numFmt w:val="decimal"/>
      <w:lvlText w:val="%1"/>
      <w:lvlJc w:val="left"/>
      <w:pPr>
        <w:ind w:left="116" w:hanging="264"/>
        <w:jc w:val="left"/>
      </w:pPr>
      <w:rPr>
        <w:rFonts w:hint="default" w:ascii="Arial" w:hAnsi="Arial" w:eastAsia="Arial" w:cs="Arial"/>
        <w:spacing w:val="-5"/>
        <w:w w:val="102"/>
        <w:position w:val="11"/>
        <w:sz w:val="15"/>
        <w:szCs w:val="15"/>
      </w:rPr>
    </w:lvl>
    <w:lvl w:ilvl="1">
      <w:start w:val="1"/>
      <w:numFmt w:val="bullet"/>
      <w:lvlText w:val="•"/>
      <w:lvlJc w:val="left"/>
      <w:pPr>
        <w:ind w:left="990" w:hanging="264"/>
      </w:pPr>
      <w:rPr>
        <w:rFonts w:hint="default"/>
      </w:rPr>
    </w:lvl>
    <w:lvl w:ilvl="2">
      <w:start w:val="1"/>
      <w:numFmt w:val="bullet"/>
      <w:lvlText w:val="•"/>
      <w:lvlJc w:val="left"/>
      <w:pPr>
        <w:ind w:left="1860" w:hanging="264"/>
      </w:pPr>
      <w:rPr>
        <w:rFonts w:hint="default"/>
      </w:rPr>
    </w:lvl>
    <w:lvl w:ilvl="3">
      <w:start w:val="1"/>
      <w:numFmt w:val="bullet"/>
      <w:lvlText w:val="•"/>
      <w:lvlJc w:val="left"/>
      <w:pPr>
        <w:ind w:left="2731" w:hanging="264"/>
      </w:pPr>
      <w:rPr>
        <w:rFonts w:hint="default"/>
      </w:rPr>
    </w:lvl>
    <w:lvl w:ilvl="4">
      <w:start w:val="1"/>
      <w:numFmt w:val="bullet"/>
      <w:lvlText w:val="•"/>
      <w:lvlJc w:val="left"/>
      <w:pPr>
        <w:ind w:left="3601" w:hanging="264"/>
      </w:pPr>
      <w:rPr>
        <w:rFonts w:hint="default"/>
      </w:rPr>
    </w:lvl>
    <w:lvl w:ilvl="5">
      <w:start w:val="1"/>
      <w:numFmt w:val="bullet"/>
      <w:lvlText w:val="•"/>
      <w:lvlJc w:val="left"/>
      <w:pPr>
        <w:ind w:left="4472" w:hanging="264"/>
      </w:pPr>
      <w:rPr>
        <w:rFonts w:hint="default"/>
      </w:rPr>
    </w:lvl>
    <w:lvl w:ilvl="6">
      <w:start w:val="1"/>
      <w:numFmt w:val="bullet"/>
      <w:lvlText w:val="•"/>
      <w:lvlJc w:val="left"/>
      <w:pPr>
        <w:ind w:left="5342" w:hanging="264"/>
      </w:pPr>
      <w:rPr>
        <w:rFonts w:hint="default"/>
      </w:rPr>
    </w:lvl>
    <w:lvl w:ilvl="7">
      <w:start w:val="1"/>
      <w:numFmt w:val="bullet"/>
      <w:lvlText w:val="•"/>
      <w:lvlJc w:val="left"/>
      <w:pPr>
        <w:ind w:left="6212" w:hanging="264"/>
      </w:pPr>
      <w:rPr>
        <w:rFonts w:hint="default"/>
      </w:rPr>
    </w:lvl>
    <w:lvl w:ilvl="8">
      <w:start w:val="1"/>
      <w:numFmt w:val="bullet"/>
      <w:lvlText w:val="•"/>
      <w:lvlJc w:val="left"/>
      <w:pPr>
        <w:ind w:left="7083" w:hanging="264"/>
      </w:pPr>
      <w:rPr>
        <w:rFonts w:hint="default"/>
      </w:rPr>
    </w:lvl>
  </w:abstractNum>
  <w:abstractNum w:abstractNumId="8">
    <w:multiLevelType w:val="hybridMultilevel"/>
    <w:lvl w:ilvl="0">
      <w:start w:val="2"/>
      <w:numFmt w:val="decimal"/>
      <w:lvlText w:val="%1"/>
      <w:lvlJc w:val="left"/>
      <w:pPr>
        <w:ind w:left="504" w:hanging="389"/>
        <w:jc w:val="left"/>
      </w:pPr>
      <w:rPr>
        <w:rFonts w:hint="default"/>
      </w:rPr>
    </w:lvl>
    <w:lvl w:ilvl="1">
      <w:start w:val="1"/>
      <w:numFmt w:val="decimal"/>
      <w:lvlText w:val="%1.%2"/>
      <w:lvlJc w:val="left"/>
      <w:pPr>
        <w:ind w:left="504" w:hanging="389"/>
        <w:jc w:val="left"/>
      </w:pPr>
      <w:rPr>
        <w:rFonts w:hint="default" w:ascii="Arial" w:hAnsi="Arial" w:eastAsia="Arial" w:cs="Arial"/>
        <w:b/>
        <w:bCs/>
        <w:spacing w:val="-3"/>
        <w:w w:val="101"/>
        <w:sz w:val="23"/>
        <w:szCs w:val="23"/>
      </w:rPr>
    </w:lvl>
    <w:lvl w:ilvl="2">
      <w:start w:val="1"/>
      <w:numFmt w:val="decimal"/>
      <w:lvlText w:val="%1.%2.%3"/>
      <w:lvlJc w:val="left"/>
      <w:pPr>
        <w:ind w:left="116" w:hanging="581"/>
        <w:jc w:val="left"/>
      </w:pPr>
      <w:rPr>
        <w:rFonts w:hint="default" w:ascii="Arial" w:hAnsi="Arial" w:eastAsia="Arial" w:cs="Arial"/>
        <w:b/>
        <w:bCs/>
        <w:spacing w:val="-1"/>
        <w:w w:val="101"/>
        <w:sz w:val="23"/>
        <w:szCs w:val="23"/>
      </w:rPr>
    </w:lvl>
    <w:lvl w:ilvl="3">
      <w:start w:val="1"/>
      <w:numFmt w:val="bullet"/>
      <w:lvlText w:val="•"/>
      <w:lvlJc w:val="left"/>
      <w:pPr>
        <w:ind w:left="2349" w:hanging="581"/>
      </w:pPr>
      <w:rPr>
        <w:rFonts w:hint="default"/>
      </w:rPr>
    </w:lvl>
    <w:lvl w:ilvl="4">
      <w:start w:val="1"/>
      <w:numFmt w:val="bullet"/>
      <w:lvlText w:val="•"/>
      <w:lvlJc w:val="left"/>
      <w:pPr>
        <w:ind w:left="3274" w:hanging="581"/>
      </w:pPr>
      <w:rPr>
        <w:rFonts w:hint="default"/>
      </w:rPr>
    </w:lvl>
    <w:lvl w:ilvl="5">
      <w:start w:val="1"/>
      <w:numFmt w:val="bullet"/>
      <w:lvlText w:val="•"/>
      <w:lvlJc w:val="left"/>
      <w:pPr>
        <w:ind w:left="4199" w:hanging="581"/>
      </w:pPr>
      <w:rPr>
        <w:rFonts w:hint="default"/>
      </w:rPr>
    </w:lvl>
    <w:lvl w:ilvl="6">
      <w:start w:val="1"/>
      <w:numFmt w:val="bullet"/>
      <w:lvlText w:val="•"/>
      <w:lvlJc w:val="left"/>
      <w:pPr>
        <w:ind w:left="5124" w:hanging="581"/>
      </w:pPr>
      <w:rPr>
        <w:rFonts w:hint="default"/>
      </w:rPr>
    </w:lvl>
    <w:lvl w:ilvl="7">
      <w:start w:val="1"/>
      <w:numFmt w:val="bullet"/>
      <w:lvlText w:val="•"/>
      <w:lvlJc w:val="left"/>
      <w:pPr>
        <w:ind w:left="6049" w:hanging="581"/>
      </w:pPr>
      <w:rPr>
        <w:rFonts w:hint="default"/>
      </w:rPr>
    </w:lvl>
    <w:lvl w:ilvl="8">
      <w:start w:val="1"/>
      <w:numFmt w:val="bullet"/>
      <w:lvlText w:val="•"/>
      <w:lvlJc w:val="left"/>
      <w:pPr>
        <w:ind w:left="6974" w:hanging="581"/>
      </w:pPr>
      <w:rPr>
        <w:rFonts w:hint="default"/>
      </w:rPr>
    </w:lvl>
  </w:abstractNum>
  <w:abstractNum w:abstractNumId="7">
    <w:multiLevelType w:val="hybridMultilevel"/>
    <w:lvl w:ilvl="0">
      <w:start w:val="1"/>
      <w:numFmt w:val="decimal"/>
      <w:lvlText w:val="%1"/>
      <w:lvlJc w:val="left"/>
      <w:pPr>
        <w:ind w:left="701" w:hanging="586"/>
        <w:jc w:val="left"/>
      </w:pPr>
      <w:rPr>
        <w:rFonts w:hint="default"/>
      </w:rPr>
    </w:lvl>
    <w:lvl w:ilvl="1">
      <w:start w:val="2"/>
      <w:numFmt w:val="decimal"/>
      <w:lvlText w:val="%1.%2"/>
      <w:lvlJc w:val="left"/>
      <w:pPr>
        <w:ind w:left="701" w:hanging="586"/>
        <w:jc w:val="left"/>
      </w:pPr>
      <w:rPr>
        <w:rFonts w:hint="default"/>
      </w:rPr>
    </w:lvl>
    <w:lvl w:ilvl="2">
      <w:start w:val="1"/>
      <w:numFmt w:val="decimal"/>
      <w:lvlText w:val="%1.%2.%3"/>
      <w:lvlJc w:val="left"/>
      <w:pPr>
        <w:ind w:left="116" w:hanging="586"/>
        <w:jc w:val="left"/>
      </w:pPr>
      <w:rPr>
        <w:rFonts w:hint="default" w:ascii="Arial" w:hAnsi="Arial" w:eastAsia="Arial" w:cs="Arial"/>
        <w:b/>
        <w:bCs/>
        <w:spacing w:val="-3"/>
        <w:w w:val="101"/>
        <w:sz w:val="23"/>
        <w:szCs w:val="23"/>
      </w:rPr>
    </w:lvl>
    <w:lvl w:ilvl="3">
      <w:start w:val="1"/>
      <w:numFmt w:val="bullet"/>
      <w:lvlText w:val="•"/>
      <w:lvlJc w:val="left"/>
      <w:pPr>
        <w:ind w:left="2505" w:hanging="586"/>
      </w:pPr>
      <w:rPr>
        <w:rFonts w:hint="default"/>
      </w:rPr>
    </w:lvl>
    <w:lvl w:ilvl="4">
      <w:start w:val="1"/>
      <w:numFmt w:val="bullet"/>
      <w:lvlText w:val="•"/>
      <w:lvlJc w:val="left"/>
      <w:pPr>
        <w:ind w:left="3408" w:hanging="586"/>
      </w:pPr>
      <w:rPr>
        <w:rFonts w:hint="default"/>
      </w:rPr>
    </w:lvl>
    <w:lvl w:ilvl="5">
      <w:start w:val="1"/>
      <w:numFmt w:val="bullet"/>
      <w:lvlText w:val="•"/>
      <w:lvlJc w:val="left"/>
      <w:pPr>
        <w:ind w:left="4310" w:hanging="586"/>
      </w:pPr>
      <w:rPr>
        <w:rFonts w:hint="default"/>
      </w:rPr>
    </w:lvl>
    <w:lvl w:ilvl="6">
      <w:start w:val="1"/>
      <w:numFmt w:val="bullet"/>
      <w:lvlText w:val="•"/>
      <w:lvlJc w:val="left"/>
      <w:pPr>
        <w:ind w:left="5213" w:hanging="586"/>
      </w:pPr>
      <w:rPr>
        <w:rFonts w:hint="default"/>
      </w:rPr>
    </w:lvl>
    <w:lvl w:ilvl="7">
      <w:start w:val="1"/>
      <w:numFmt w:val="bullet"/>
      <w:lvlText w:val="•"/>
      <w:lvlJc w:val="left"/>
      <w:pPr>
        <w:ind w:left="6116" w:hanging="586"/>
      </w:pPr>
      <w:rPr>
        <w:rFonts w:hint="default"/>
      </w:rPr>
    </w:lvl>
    <w:lvl w:ilvl="8">
      <w:start w:val="1"/>
      <w:numFmt w:val="bullet"/>
      <w:lvlText w:val="•"/>
      <w:lvlJc w:val="left"/>
      <w:pPr>
        <w:ind w:left="7018" w:hanging="586"/>
      </w:pPr>
      <w:rPr>
        <w:rFonts w:hint="default"/>
      </w:rPr>
    </w:lvl>
  </w:abstractNum>
  <w:abstractNum w:abstractNumId="6">
    <w:multiLevelType w:val="hybridMultilevel"/>
    <w:lvl w:ilvl="0">
      <w:start w:val="1"/>
      <w:numFmt w:val="decimal"/>
      <w:lvlText w:val="%1."/>
      <w:lvlJc w:val="left"/>
      <w:pPr>
        <w:ind w:left="116" w:hanging="283"/>
        <w:jc w:val="right"/>
      </w:pPr>
      <w:rPr>
        <w:rFonts w:hint="default"/>
        <w:spacing w:val="-1"/>
        <w:w w:val="101"/>
      </w:rPr>
    </w:lvl>
    <w:lvl w:ilvl="1">
      <w:start w:val="1"/>
      <w:numFmt w:val="bullet"/>
      <w:lvlText w:val="•"/>
      <w:lvlJc w:val="left"/>
      <w:pPr>
        <w:ind w:left="990" w:hanging="283"/>
      </w:pPr>
      <w:rPr>
        <w:rFonts w:hint="default"/>
      </w:rPr>
    </w:lvl>
    <w:lvl w:ilvl="2">
      <w:start w:val="1"/>
      <w:numFmt w:val="bullet"/>
      <w:lvlText w:val="•"/>
      <w:lvlJc w:val="left"/>
      <w:pPr>
        <w:ind w:left="1860" w:hanging="283"/>
      </w:pPr>
      <w:rPr>
        <w:rFonts w:hint="default"/>
      </w:rPr>
    </w:lvl>
    <w:lvl w:ilvl="3">
      <w:start w:val="1"/>
      <w:numFmt w:val="bullet"/>
      <w:lvlText w:val="•"/>
      <w:lvlJc w:val="left"/>
      <w:pPr>
        <w:ind w:left="2731" w:hanging="283"/>
      </w:pPr>
      <w:rPr>
        <w:rFonts w:hint="default"/>
      </w:rPr>
    </w:lvl>
    <w:lvl w:ilvl="4">
      <w:start w:val="1"/>
      <w:numFmt w:val="bullet"/>
      <w:lvlText w:val="•"/>
      <w:lvlJc w:val="left"/>
      <w:pPr>
        <w:ind w:left="3601" w:hanging="283"/>
      </w:pPr>
      <w:rPr>
        <w:rFonts w:hint="default"/>
      </w:rPr>
    </w:lvl>
    <w:lvl w:ilvl="5">
      <w:start w:val="1"/>
      <w:numFmt w:val="bullet"/>
      <w:lvlText w:val="•"/>
      <w:lvlJc w:val="left"/>
      <w:pPr>
        <w:ind w:left="4472" w:hanging="283"/>
      </w:pPr>
      <w:rPr>
        <w:rFonts w:hint="default"/>
      </w:rPr>
    </w:lvl>
    <w:lvl w:ilvl="6">
      <w:start w:val="1"/>
      <w:numFmt w:val="bullet"/>
      <w:lvlText w:val="•"/>
      <w:lvlJc w:val="left"/>
      <w:pPr>
        <w:ind w:left="5342" w:hanging="283"/>
      </w:pPr>
      <w:rPr>
        <w:rFonts w:hint="default"/>
      </w:rPr>
    </w:lvl>
    <w:lvl w:ilvl="7">
      <w:start w:val="1"/>
      <w:numFmt w:val="bullet"/>
      <w:lvlText w:val="•"/>
      <w:lvlJc w:val="left"/>
      <w:pPr>
        <w:ind w:left="6212" w:hanging="283"/>
      </w:pPr>
      <w:rPr>
        <w:rFonts w:hint="default"/>
      </w:rPr>
    </w:lvl>
    <w:lvl w:ilvl="8">
      <w:start w:val="1"/>
      <w:numFmt w:val="bullet"/>
      <w:lvlText w:val="•"/>
      <w:lvlJc w:val="left"/>
      <w:pPr>
        <w:ind w:left="7083" w:hanging="283"/>
      </w:pPr>
      <w:rPr>
        <w:rFonts w:hint="default"/>
      </w:rPr>
    </w:lvl>
  </w:abstractNum>
  <w:abstractNum w:abstractNumId="5">
    <w:multiLevelType w:val="hybridMultilevel"/>
    <w:lvl w:ilvl="0">
      <w:start w:val="1"/>
      <w:numFmt w:val="decimal"/>
      <w:lvlText w:val="%1"/>
      <w:lvlJc w:val="left"/>
      <w:pPr>
        <w:ind w:left="502" w:hanging="387"/>
        <w:jc w:val="left"/>
      </w:pPr>
      <w:rPr>
        <w:rFonts w:hint="default"/>
      </w:rPr>
    </w:lvl>
    <w:lvl w:ilvl="1">
      <w:start w:val="1"/>
      <w:numFmt w:val="decimal"/>
      <w:lvlText w:val="%1.%2"/>
      <w:lvlJc w:val="left"/>
      <w:pPr>
        <w:ind w:left="502" w:hanging="387"/>
        <w:jc w:val="left"/>
      </w:pPr>
      <w:rPr>
        <w:rFonts w:hint="default" w:ascii="Arial" w:hAnsi="Arial" w:eastAsia="Arial" w:cs="Arial"/>
        <w:b/>
        <w:bCs/>
        <w:spacing w:val="-1"/>
        <w:w w:val="101"/>
        <w:sz w:val="23"/>
        <w:szCs w:val="23"/>
      </w:rPr>
    </w:lvl>
    <w:lvl w:ilvl="2">
      <w:start w:val="1"/>
      <w:numFmt w:val="decimal"/>
      <w:lvlText w:val="%1.%2.%3"/>
      <w:lvlJc w:val="left"/>
      <w:pPr>
        <w:ind w:left="116" w:hanging="585"/>
        <w:jc w:val="left"/>
      </w:pPr>
      <w:rPr>
        <w:rFonts w:hint="default" w:ascii="Arial" w:hAnsi="Arial" w:eastAsia="Arial" w:cs="Arial"/>
        <w:b/>
        <w:bCs/>
        <w:spacing w:val="-1"/>
        <w:w w:val="101"/>
        <w:sz w:val="23"/>
        <w:szCs w:val="23"/>
      </w:rPr>
    </w:lvl>
    <w:lvl w:ilvl="3">
      <w:start w:val="1"/>
      <w:numFmt w:val="bullet"/>
      <w:lvlText w:val="•"/>
      <w:lvlJc w:val="left"/>
      <w:pPr>
        <w:ind w:left="2349" w:hanging="585"/>
      </w:pPr>
      <w:rPr>
        <w:rFonts w:hint="default"/>
      </w:rPr>
    </w:lvl>
    <w:lvl w:ilvl="4">
      <w:start w:val="1"/>
      <w:numFmt w:val="bullet"/>
      <w:lvlText w:val="•"/>
      <w:lvlJc w:val="left"/>
      <w:pPr>
        <w:ind w:left="3274" w:hanging="585"/>
      </w:pPr>
      <w:rPr>
        <w:rFonts w:hint="default"/>
      </w:rPr>
    </w:lvl>
    <w:lvl w:ilvl="5">
      <w:start w:val="1"/>
      <w:numFmt w:val="bullet"/>
      <w:lvlText w:val="•"/>
      <w:lvlJc w:val="left"/>
      <w:pPr>
        <w:ind w:left="4199" w:hanging="585"/>
      </w:pPr>
      <w:rPr>
        <w:rFonts w:hint="default"/>
      </w:rPr>
    </w:lvl>
    <w:lvl w:ilvl="6">
      <w:start w:val="1"/>
      <w:numFmt w:val="bullet"/>
      <w:lvlText w:val="•"/>
      <w:lvlJc w:val="left"/>
      <w:pPr>
        <w:ind w:left="5124" w:hanging="585"/>
      </w:pPr>
      <w:rPr>
        <w:rFonts w:hint="default"/>
      </w:rPr>
    </w:lvl>
    <w:lvl w:ilvl="7">
      <w:start w:val="1"/>
      <w:numFmt w:val="bullet"/>
      <w:lvlText w:val="•"/>
      <w:lvlJc w:val="left"/>
      <w:pPr>
        <w:ind w:left="6049" w:hanging="585"/>
      </w:pPr>
      <w:rPr>
        <w:rFonts w:hint="default"/>
      </w:rPr>
    </w:lvl>
    <w:lvl w:ilvl="8">
      <w:start w:val="1"/>
      <w:numFmt w:val="bullet"/>
      <w:lvlText w:val="•"/>
      <w:lvlJc w:val="left"/>
      <w:pPr>
        <w:ind w:left="6974" w:hanging="585"/>
      </w:pPr>
      <w:rPr>
        <w:rFonts w:hint="default"/>
      </w:rPr>
    </w:lvl>
  </w:abstractNum>
  <w:abstractNum w:abstractNumId="4">
    <w:multiLevelType w:val="hybridMultilevel"/>
    <w:lvl w:ilvl="0">
      <w:start w:val="4"/>
      <w:numFmt w:val="decimal"/>
      <w:lvlText w:val="%1"/>
      <w:lvlJc w:val="left"/>
      <w:pPr>
        <w:ind w:left="1493" w:hanging="541"/>
        <w:jc w:val="left"/>
      </w:pPr>
      <w:rPr>
        <w:rFonts w:hint="default"/>
      </w:rPr>
    </w:lvl>
    <w:lvl w:ilvl="1">
      <w:start w:val="6"/>
      <w:numFmt w:val="decimal"/>
      <w:lvlText w:val="%1.%2"/>
      <w:lvlJc w:val="left"/>
      <w:pPr>
        <w:ind w:left="1493" w:hanging="541"/>
        <w:jc w:val="left"/>
      </w:pPr>
      <w:rPr>
        <w:rFonts w:hint="default"/>
      </w:rPr>
    </w:lvl>
    <w:lvl w:ilvl="2">
      <w:start w:val="3"/>
      <w:numFmt w:val="decimal"/>
      <w:lvlText w:val="%1.%2.%3"/>
      <w:lvlJc w:val="left"/>
      <w:pPr>
        <w:ind w:left="1493" w:hanging="541"/>
        <w:jc w:val="left"/>
      </w:pPr>
      <w:rPr>
        <w:rFonts w:hint="default" w:ascii="Arial" w:hAnsi="Arial" w:eastAsia="Arial" w:cs="Arial"/>
        <w:w w:val="102"/>
        <w:sz w:val="21"/>
        <w:szCs w:val="21"/>
      </w:rPr>
    </w:lvl>
    <w:lvl w:ilvl="3">
      <w:start w:val="1"/>
      <w:numFmt w:val="bullet"/>
      <w:lvlText w:val="•"/>
      <w:lvlJc w:val="left"/>
      <w:pPr>
        <w:ind w:left="3859" w:hanging="541"/>
      </w:pPr>
      <w:rPr>
        <w:rFonts w:hint="default"/>
      </w:rPr>
    </w:lvl>
    <w:lvl w:ilvl="4">
      <w:start w:val="1"/>
      <w:numFmt w:val="bullet"/>
      <w:lvlText w:val="•"/>
      <w:lvlJc w:val="left"/>
      <w:pPr>
        <w:ind w:left="4645" w:hanging="541"/>
      </w:pPr>
      <w:rPr>
        <w:rFonts w:hint="default"/>
      </w:rPr>
    </w:lvl>
    <w:lvl w:ilvl="5">
      <w:start w:val="1"/>
      <w:numFmt w:val="bullet"/>
      <w:lvlText w:val="•"/>
      <w:lvlJc w:val="left"/>
      <w:pPr>
        <w:ind w:left="5432" w:hanging="541"/>
      </w:pPr>
      <w:rPr>
        <w:rFonts w:hint="default"/>
      </w:rPr>
    </w:lvl>
    <w:lvl w:ilvl="6">
      <w:start w:val="1"/>
      <w:numFmt w:val="bullet"/>
      <w:lvlText w:val="•"/>
      <w:lvlJc w:val="left"/>
      <w:pPr>
        <w:ind w:left="6218" w:hanging="541"/>
      </w:pPr>
      <w:rPr>
        <w:rFonts w:hint="default"/>
      </w:rPr>
    </w:lvl>
    <w:lvl w:ilvl="7">
      <w:start w:val="1"/>
      <w:numFmt w:val="bullet"/>
      <w:lvlText w:val="•"/>
      <w:lvlJc w:val="left"/>
      <w:pPr>
        <w:ind w:left="7004" w:hanging="541"/>
      </w:pPr>
      <w:rPr>
        <w:rFonts w:hint="default"/>
      </w:rPr>
    </w:lvl>
    <w:lvl w:ilvl="8">
      <w:start w:val="1"/>
      <w:numFmt w:val="bullet"/>
      <w:lvlText w:val="•"/>
      <w:lvlJc w:val="left"/>
      <w:pPr>
        <w:ind w:left="7791" w:hanging="541"/>
      </w:pPr>
      <w:rPr>
        <w:rFonts w:hint="default"/>
      </w:rPr>
    </w:lvl>
  </w:abstractNum>
  <w:abstractNum w:abstractNumId="3">
    <w:multiLevelType w:val="hybridMultilevel"/>
    <w:lvl w:ilvl="0">
      <w:start w:val="4"/>
      <w:numFmt w:val="decimal"/>
      <w:lvlText w:val="%1"/>
      <w:lvlJc w:val="left"/>
      <w:pPr>
        <w:ind w:left="1161" w:hanging="359"/>
        <w:jc w:val="left"/>
      </w:pPr>
      <w:rPr>
        <w:rFonts w:hint="default"/>
      </w:rPr>
    </w:lvl>
    <w:lvl w:ilvl="1">
      <w:start w:val="1"/>
      <w:numFmt w:val="decimal"/>
      <w:lvlText w:val="%1.%2"/>
      <w:lvlJc w:val="left"/>
      <w:pPr>
        <w:ind w:left="802" w:hanging="359"/>
        <w:jc w:val="left"/>
      </w:pPr>
      <w:rPr>
        <w:rFonts w:hint="default" w:ascii="Arial" w:hAnsi="Arial" w:eastAsia="Arial" w:cs="Arial"/>
        <w:w w:val="102"/>
        <w:sz w:val="21"/>
        <w:szCs w:val="21"/>
      </w:rPr>
    </w:lvl>
    <w:lvl w:ilvl="2">
      <w:start w:val="1"/>
      <w:numFmt w:val="decimal"/>
      <w:lvlText w:val="%1.%2.%3"/>
      <w:lvlJc w:val="left"/>
      <w:pPr>
        <w:ind w:left="2031" w:hanging="539"/>
        <w:jc w:val="left"/>
      </w:pPr>
      <w:rPr>
        <w:rFonts w:hint="default" w:ascii="Arial" w:hAnsi="Arial" w:eastAsia="Arial" w:cs="Arial"/>
        <w:w w:val="102"/>
        <w:sz w:val="21"/>
        <w:szCs w:val="21"/>
      </w:rPr>
    </w:lvl>
    <w:lvl w:ilvl="3">
      <w:start w:val="1"/>
      <w:numFmt w:val="bullet"/>
      <w:lvlText w:val="•"/>
      <w:lvlJc w:val="left"/>
      <w:pPr>
        <w:ind w:left="2040" w:hanging="539"/>
      </w:pPr>
      <w:rPr>
        <w:rFonts w:hint="default"/>
      </w:rPr>
    </w:lvl>
    <w:lvl w:ilvl="4">
      <w:start w:val="1"/>
      <w:numFmt w:val="bullet"/>
      <w:lvlText w:val="•"/>
      <w:lvlJc w:val="left"/>
      <w:pPr>
        <w:ind w:left="2140" w:hanging="539"/>
      </w:pPr>
      <w:rPr>
        <w:rFonts w:hint="default"/>
      </w:rPr>
    </w:lvl>
    <w:lvl w:ilvl="5">
      <w:start w:val="1"/>
      <w:numFmt w:val="bullet"/>
      <w:lvlText w:val="•"/>
      <w:lvlJc w:val="left"/>
      <w:pPr>
        <w:ind w:left="3344" w:hanging="539"/>
      </w:pPr>
      <w:rPr>
        <w:rFonts w:hint="default"/>
      </w:rPr>
    </w:lvl>
    <w:lvl w:ilvl="6">
      <w:start w:val="1"/>
      <w:numFmt w:val="bullet"/>
      <w:lvlText w:val="•"/>
      <w:lvlJc w:val="left"/>
      <w:pPr>
        <w:ind w:left="4548" w:hanging="539"/>
      </w:pPr>
      <w:rPr>
        <w:rFonts w:hint="default"/>
      </w:rPr>
    </w:lvl>
    <w:lvl w:ilvl="7">
      <w:start w:val="1"/>
      <w:numFmt w:val="bullet"/>
      <w:lvlText w:val="•"/>
      <w:lvlJc w:val="left"/>
      <w:pPr>
        <w:ind w:left="5752" w:hanging="539"/>
      </w:pPr>
      <w:rPr>
        <w:rFonts w:hint="default"/>
      </w:rPr>
    </w:lvl>
    <w:lvl w:ilvl="8">
      <w:start w:val="1"/>
      <w:numFmt w:val="bullet"/>
      <w:lvlText w:val="•"/>
      <w:lvlJc w:val="left"/>
      <w:pPr>
        <w:ind w:left="6956" w:hanging="539"/>
      </w:pPr>
      <w:rPr>
        <w:rFonts w:hint="default"/>
      </w:rPr>
    </w:lvl>
  </w:abstractNum>
  <w:abstractNum w:abstractNumId="2">
    <w:multiLevelType w:val="hybridMultilevel"/>
    <w:lvl w:ilvl="0">
      <w:start w:val="2"/>
      <w:numFmt w:val="decimal"/>
      <w:lvlText w:val="%1"/>
      <w:lvlJc w:val="left"/>
      <w:pPr>
        <w:ind w:left="2033" w:hanging="540"/>
        <w:jc w:val="left"/>
      </w:pPr>
      <w:rPr>
        <w:rFonts w:hint="default"/>
      </w:rPr>
    </w:lvl>
    <w:lvl w:ilvl="1">
      <w:start w:val="4"/>
      <w:numFmt w:val="decimal"/>
      <w:lvlText w:val="%1.%2"/>
      <w:lvlJc w:val="left"/>
      <w:pPr>
        <w:ind w:left="2033" w:hanging="540"/>
        <w:jc w:val="left"/>
      </w:pPr>
      <w:rPr>
        <w:rFonts w:hint="default"/>
      </w:rPr>
    </w:lvl>
    <w:lvl w:ilvl="2">
      <w:start w:val="2"/>
      <w:numFmt w:val="decimal"/>
      <w:lvlText w:val="%1.%2.%3"/>
      <w:lvlJc w:val="left"/>
      <w:pPr>
        <w:ind w:left="2033" w:hanging="540"/>
        <w:jc w:val="left"/>
      </w:pPr>
      <w:rPr>
        <w:rFonts w:hint="default" w:ascii="Arial" w:hAnsi="Arial" w:eastAsia="Arial" w:cs="Arial"/>
        <w:w w:val="102"/>
        <w:sz w:val="21"/>
        <w:szCs w:val="21"/>
      </w:rPr>
    </w:lvl>
    <w:lvl w:ilvl="3">
      <w:start w:val="1"/>
      <w:numFmt w:val="bullet"/>
      <w:lvlText w:val="•"/>
      <w:lvlJc w:val="left"/>
      <w:pPr>
        <w:ind w:left="4237" w:hanging="540"/>
      </w:pPr>
      <w:rPr>
        <w:rFonts w:hint="default"/>
      </w:rPr>
    </w:lvl>
    <w:lvl w:ilvl="4">
      <w:start w:val="1"/>
      <w:numFmt w:val="bullet"/>
      <w:lvlText w:val="•"/>
      <w:lvlJc w:val="left"/>
      <w:pPr>
        <w:ind w:left="4969" w:hanging="540"/>
      </w:pPr>
      <w:rPr>
        <w:rFonts w:hint="default"/>
      </w:rPr>
    </w:lvl>
    <w:lvl w:ilvl="5">
      <w:start w:val="1"/>
      <w:numFmt w:val="bullet"/>
      <w:lvlText w:val="•"/>
      <w:lvlJc w:val="left"/>
      <w:pPr>
        <w:ind w:left="5702" w:hanging="540"/>
      </w:pPr>
      <w:rPr>
        <w:rFonts w:hint="default"/>
      </w:rPr>
    </w:lvl>
    <w:lvl w:ilvl="6">
      <w:start w:val="1"/>
      <w:numFmt w:val="bullet"/>
      <w:lvlText w:val="•"/>
      <w:lvlJc w:val="left"/>
      <w:pPr>
        <w:ind w:left="6434" w:hanging="540"/>
      </w:pPr>
      <w:rPr>
        <w:rFonts w:hint="default"/>
      </w:rPr>
    </w:lvl>
    <w:lvl w:ilvl="7">
      <w:start w:val="1"/>
      <w:numFmt w:val="bullet"/>
      <w:lvlText w:val="•"/>
      <w:lvlJc w:val="left"/>
      <w:pPr>
        <w:ind w:left="7166" w:hanging="540"/>
      </w:pPr>
      <w:rPr>
        <w:rFonts w:hint="default"/>
      </w:rPr>
    </w:lvl>
    <w:lvl w:ilvl="8">
      <w:start w:val="1"/>
      <w:numFmt w:val="bullet"/>
      <w:lvlText w:val="•"/>
      <w:lvlJc w:val="left"/>
      <w:pPr>
        <w:ind w:left="7899" w:hanging="540"/>
      </w:pPr>
      <w:rPr>
        <w:rFonts w:hint="default"/>
      </w:rPr>
    </w:lvl>
  </w:abstractNum>
  <w:abstractNum w:abstractNumId="1">
    <w:multiLevelType w:val="hybridMultilevel"/>
    <w:lvl w:ilvl="0">
      <w:start w:val="2"/>
      <w:numFmt w:val="decimal"/>
      <w:lvlText w:val="%1"/>
      <w:lvlJc w:val="left"/>
      <w:pPr>
        <w:ind w:left="1159" w:hanging="358"/>
        <w:jc w:val="left"/>
      </w:pPr>
      <w:rPr>
        <w:rFonts w:hint="default"/>
      </w:rPr>
    </w:lvl>
    <w:lvl w:ilvl="1">
      <w:start w:val="1"/>
      <w:numFmt w:val="decimal"/>
      <w:lvlText w:val="%1.%2"/>
      <w:lvlJc w:val="left"/>
      <w:pPr>
        <w:ind w:left="1159" w:hanging="358"/>
        <w:jc w:val="left"/>
      </w:pPr>
      <w:rPr>
        <w:rFonts w:hint="default" w:ascii="Arial" w:hAnsi="Arial" w:eastAsia="Arial" w:cs="Arial"/>
        <w:w w:val="102"/>
        <w:sz w:val="21"/>
        <w:szCs w:val="21"/>
      </w:rPr>
    </w:lvl>
    <w:lvl w:ilvl="2">
      <w:start w:val="1"/>
      <w:numFmt w:val="decimal"/>
      <w:lvlText w:val="%1.%2.%3"/>
      <w:lvlJc w:val="left"/>
      <w:pPr>
        <w:ind w:left="2031" w:hanging="539"/>
        <w:jc w:val="left"/>
      </w:pPr>
      <w:rPr>
        <w:rFonts w:hint="default" w:ascii="Arial" w:hAnsi="Arial" w:eastAsia="Arial" w:cs="Arial"/>
        <w:w w:val="102"/>
        <w:sz w:val="21"/>
        <w:szCs w:val="21"/>
      </w:rPr>
    </w:lvl>
    <w:lvl w:ilvl="3">
      <w:start w:val="1"/>
      <w:numFmt w:val="bullet"/>
      <w:lvlText w:val="•"/>
      <w:lvlJc w:val="left"/>
      <w:pPr>
        <w:ind w:left="2647" w:hanging="539"/>
      </w:pPr>
      <w:rPr>
        <w:rFonts w:hint="default"/>
      </w:rPr>
    </w:lvl>
    <w:lvl w:ilvl="4">
      <w:start w:val="1"/>
      <w:numFmt w:val="bullet"/>
      <w:lvlText w:val="•"/>
      <w:lvlJc w:val="left"/>
      <w:pPr>
        <w:ind w:left="3255" w:hanging="539"/>
      </w:pPr>
      <w:rPr>
        <w:rFonts w:hint="default"/>
      </w:rPr>
    </w:lvl>
    <w:lvl w:ilvl="5">
      <w:start w:val="1"/>
      <w:numFmt w:val="bullet"/>
      <w:lvlText w:val="•"/>
      <w:lvlJc w:val="left"/>
      <w:pPr>
        <w:ind w:left="3863" w:hanging="539"/>
      </w:pPr>
      <w:rPr>
        <w:rFonts w:hint="default"/>
      </w:rPr>
    </w:lvl>
    <w:lvl w:ilvl="6">
      <w:start w:val="1"/>
      <w:numFmt w:val="bullet"/>
      <w:lvlText w:val="•"/>
      <w:lvlJc w:val="left"/>
      <w:pPr>
        <w:ind w:left="4470" w:hanging="539"/>
      </w:pPr>
      <w:rPr>
        <w:rFonts w:hint="default"/>
      </w:rPr>
    </w:lvl>
    <w:lvl w:ilvl="7">
      <w:start w:val="1"/>
      <w:numFmt w:val="bullet"/>
      <w:lvlText w:val="•"/>
      <w:lvlJc w:val="left"/>
      <w:pPr>
        <w:ind w:left="5078" w:hanging="539"/>
      </w:pPr>
      <w:rPr>
        <w:rFonts w:hint="default"/>
      </w:rPr>
    </w:lvl>
    <w:lvl w:ilvl="8">
      <w:start w:val="1"/>
      <w:numFmt w:val="bullet"/>
      <w:lvlText w:val="•"/>
      <w:lvlJc w:val="left"/>
      <w:pPr>
        <w:ind w:left="5686" w:hanging="539"/>
      </w:pPr>
      <w:rPr>
        <w:rFonts w:hint="default"/>
      </w:rPr>
    </w:lvl>
  </w:abstractNum>
  <w:abstractNum w:abstractNumId="0">
    <w:multiLevelType w:val="hybridMultilevel"/>
    <w:lvl w:ilvl="0">
      <w:start w:val="1"/>
      <w:numFmt w:val="decimal"/>
      <w:lvlText w:val="%1"/>
      <w:lvlJc w:val="left"/>
      <w:pPr>
        <w:ind w:left="1195" w:hanging="394"/>
        <w:jc w:val="left"/>
      </w:pPr>
      <w:rPr>
        <w:rFonts w:hint="default"/>
      </w:rPr>
    </w:lvl>
    <w:lvl w:ilvl="1">
      <w:start w:val="1"/>
      <w:numFmt w:val="decimal"/>
      <w:lvlText w:val="%1.%2"/>
      <w:lvlJc w:val="left"/>
      <w:pPr>
        <w:ind w:left="1195" w:hanging="394"/>
        <w:jc w:val="left"/>
      </w:pPr>
      <w:rPr>
        <w:rFonts w:hint="default" w:ascii="Arial" w:hAnsi="Arial" w:eastAsia="Arial" w:cs="Arial"/>
        <w:w w:val="102"/>
        <w:sz w:val="21"/>
        <w:szCs w:val="21"/>
      </w:rPr>
    </w:lvl>
    <w:lvl w:ilvl="2">
      <w:start w:val="1"/>
      <w:numFmt w:val="decimal"/>
      <w:lvlText w:val="%1.%2.%3"/>
      <w:lvlJc w:val="left"/>
      <w:pPr>
        <w:ind w:left="2035" w:hanging="542"/>
        <w:jc w:val="left"/>
      </w:pPr>
      <w:rPr>
        <w:rFonts w:hint="default" w:ascii="Arial" w:hAnsi="Arial" w:eastAsia="Arial" w:cs="Arial"/>
        <w:w w:val="102"/>
        <w:sz w:val="21"/>
        <w:szCs w:val="21"/>
      </w:rPr>
    </w:lvl>
    <w:lvl w:ilvl="3">
      <w:start w:val="1"/>
      <w:numFmt w:val="bullet"/>
      <w:lvlText w:val="•"/>
      <w:lvlJc w:val="left"/>
      <w:pPr>
        <w:ind w:left="2955" w:hanging="542"/>
      </w:pPr>
      <w:rPr>
        <w:rFonts w:hint="default"/>
      </w:rPr>
    </w:lvl>
    <w:lvl w:ilvl="4">
      <w:start w:val="1"/>
      <w:numFmt w:val="bullet"/>
      <w:lvlText w:val="•"/>
      <w:lvlJc w:val="left"/>
      <w:pPr>
        <w:ind w:left="3871" w:hanging="542"/>
      </w:pPr>
      <w:rPr>
        <w:rFonts w:hint="default"/>
      </w:rPr>
    </w:lvl>
    <w:lvl w:ilvl="5">
      <w:start w:val="1"/>
      <w:numFmt w:val="bullet"/>
      <w:lvlText w:val="•"/>
      <w:lvlJc w:val="left"/>
      <w:pPr>
        <w:ind w:left="4786" w:hanging="542"/>
      </w:pPr>
      <w:rPr>
        <w:rFonts w:hint="default"/>
      </w:rPr>
    </w:lvl>
    <w:lvl w:ilvl="6">
      <w:start w:val="1"/>
      <w:numFmt w:val="bullet"/>
      <w:lvlText w:val="•"/>
      <w:lvlJc w:val="left"/>
      <w:pPr>
        <w:ind w:left="5702" w:hanging="542"/>
      </w:pPr>
      <w:rPr>
        <w:rFonts w:hint="default"/>
      </w:rPr>
    </w:lvl>
    <w:lvl w:ilvl="7">
      <w:start w:val="1"/>
      <w:numFmt w:val="bullet"/>
      <w:lvlText w:val="•"/>
      <w:lvlJc w:val="left"/>
      <w:pPr>
        <w:ind w:left="6617" w:hanging="542"/>
      </w:pPr>
      <w:rPr>
        <w:rFonts w:hint="default"/>
      </w:rPr>
    </w:lvl>
    <w:lvl w:ilvl="8">
      <w:start w:val="1"/>
      <w:numFmt w:val="bullet"/>
      <w:lvlText w:val="•"/>
      <w:lvlJc w:val="left"/>
      <w:pPr>
        <w:ind w:left="7533" w:hanging="542"/>
      </w:pPr>
      <w:rPr>
        <w:rFonts w:hint="default"/>
      </w:rPr>
    </w:lvl>
  </w:abstract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ind w:left="115"/>
    </w:pPr>
    <w:rPr>
      <w:rFonts w:ascii="Arial" w:hAnsi="Arial" w:eastAsia="Arial" w:cs="Arial"/>
      <w:b/>
      <w:bCs/>
      <w:sz w:val="21"/>
      <w:szCs w:val="21"/>
    </w:rPr>
  </w:style>
  <w:style w:styleId="TOC2" w:type="paragraph">
    <w:name w:val="TOC 2"/>
    <w:basedOn w:val="Normal"/>
    <w:uiPriority w:val="1"/>
    <w:qFormat/>
    <w:pPr>
      <w:spacing w:before="253"/>
      <w:ind w:left="115"/>
    </w:pPr>
    <w:rPr>
      <w:rFonts w:ascii="Arial" w:hAnsi="Arial" w:eastAsia="Arial" w:cs="Arial"/>
      <w:sz w:val="21"/>
      <w:szCs w:val="21"/>
    </w:rPr>
  </w:style>
  <w:style w:styleId="TOC3" w:type="paragraph">
    <w:name w:val="TOC 3"/>
    <w:basedOn w:val="Normal"/>
    <w:uiPriority w:val="1"/>
    <w:qFormat/>
    <w:pPr>
      <w:spacing w:before="128"/>
      <w:ind w:left="1159" w:hanging="357"/>
    </w:pPr>
    <w:rPr>
      <w:rFonts w:ascii="Arial" w:hAnsi="Arial" w:eastAsia="Arial" w:cs="Arial"/>
      <w:sz w:val="21"/>
      <w:szCs w:val="21"/>
    </w:rPr>
  </w:style>
  <w:style w:styleId="TOC4" w:type="paragraph">
    <w:name w:val="TOC 4"/>
    <w:basedOn w:val="Normal"/>
    <w:uiPriority w:val="1"/>
    <w:qFormat/>
    <w:pPr>
      <w:spacing w:before="128"/>
      <w:ind w:left="1493"/>
    </w:pPr>
    <w:rPr>
      <w:rFonts w:ascii="Arial" w:hAnsi="Arial" w:eastAsia="Arial" w:cs="Arial"/>
      <w:sz w:val="21"/>
      <w:szCs w:val="21"/>
    </w:rPr>
  </w:style>
  <w:style w:styleId="TOC5" w:type="paragraph">
    <w:name w:val="TOC 5"/>
    <w:basedOn w:val="Normal"/>
    <w:uiPriority w:val="1"/>
    <w:qFormat/>
    <w:pPr>
      <w:spacing w:before="8"/>
      <w:ind w:left="2140" w:hanging="657"/>
    </w:pPr>
    <w:rPr>
      <w:rFonts w:ascii="Arial" w:hAnsi="Arial" w:eastAsia="Arial" w:cs="Arial"/>
      <w:b/>
      <w:bCs/>
      <w:i/>
    </w:rPr>
  </w:style>
  <w:style w:styleId="BodyText" w:type="paragraph">
    <w:name w:val="Body Text"/>
    <w:basedOn w:val="Normal"/>
    <w:uiPriority w:val="1"/>
    <w:qFormat/>
    <w:pPr/>
    <w:rPr>
      <w:rFonts w:ascii="Arial" w:hAnsi="Arial" w:eastAsia="Arial" w:cs="Arial"/>
      <w:sz w:val="23"/>
      <w:szCs w:val="23"/>
    </w:rPr>
  </w:style>
  <w:style w:styleId="Heading1" w:type="paragraph">
    <w:name w:val="Heading 1"/>
    <w:basedOn w:val="Normal"/>
    <w:uiPriority w:val="1"/>
    <w:qFormat/>
    <w:pPr>
      <w:spacing w:before="37" w:line="621" w:lineRule="exact"/>
      <w:ind w:left="2491" w:right="2622"/>
      <w:jc w:val="center"/>
      <w:outlineLvl w:val="1"/>
    </w:pPr>
    <w:rPr>
      <w:rFonts w:ascii="Arial" w:hAnsi="Arial" w:eastAsia="Arial" w:cs="Arial"/>
      <w:b/>
      <w:bCs/>
      <w:sz w:val="54"/>
      <w:szCs w:val="54"/>
    </w:rPr>
  </w:style>
  <w:style w:styleId="Heading2" w:type="paragraph">
    <w:name w:val="Heading 2"/>
    <w:basedOn w:val="Normal"/>
    <w:uiPriority w:val="1"/>
    <w:qFormat/>
    <w:pPr>
      <w:ind w:left="636" w:right="770"/>
      <w:jc w:val="center"/>
      <w:outlineLvl w:val="2"/>
    </w:pPr>
    <w:rPr>
      <w:rFonts w:ascii="Arial" w:hAnsi="Arial" w:eastAsia="Arial" w:cs="Arial"/>
      <w:b/>
      <w:bCs/>
      <w:sz w:val="38"/>
      <w:szCs w:val="38"/>
    </w:rPr>
  </w:style>
  <w:style w:styleId="Heading3" w:type="paragraph">
    <w:name w:val="Heading 3"/>
    <w:basedOn w:val="Normal"/>
    <w:uiPriority w:val="1"/>
    <w:qFormat/>
    <w:pPr>
      <w:spacing w:before="155"/>
      <w:ind w:left="115"/>
      <w:jc w:val="both"/>
      <w:outlineLvl w:val="3"/>
    </w:pPr>
    <w:rPr>
      <w:rFonts w:ascii="Arial" w:hAnsi="Arial" w:eastAsia="Arial" w:cs="Arial"/>
      <w:b/>
      <w:bCs/>
      <w:sz w:val="23"/>
      <w:szCs w:val="23"/>
    </w:rPr>
  </w:style>
  <w:style w:styleId="ListParagraph" w:type="paragraph">
    <w:name w:val="List Paragraph"/>
    <w:basedOn w:val="Normal"/>
    <w:uiPriority w:val="1"/>
    <w:qFormat/>
    <w:pPr>
      <w:spacing w:before="128"/>
      <w:ind w:left="116"/>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footer" Target="footer6.xml"/><Relationship Id="rId13" Type="http://schemas.openxmlformats.org/officeDocument/2006/relationships/footer" Target="footer7.xml"/><Relationship Id="rId14" Type="http://schemas.openxmlformats.org/officeDocument/2006/relationships/footer" Target="footer8.xml"/><Relationship Id="rId15" Type="http://schemas.openxmlformats.org/officeDocument/2006/relationships/footer" Target="footer9.xml"/><Relationship Id="rId16" Type="http://schemas.openxmlformats.org/officeDocument/2006/relationships/footer" Target="footer10.xml"/><Relationship Id="rId17" Type="http://schemas.openxmlformats.org/officeDocument/2006/relationships/footer" Target="footer11.xml"/><Relationship Id="rId18" Type="http://schemas.openxmlformats.org/officeDocument/2006/relationships/footer" Target="footer12.xml"/><Relationship Id="rId19" Type="http://schemas.openxmlformats.org/officeDocument/2006/relationships/footer" Target="footer13.xml"/><Relationship Id="rId20" Type="http://schemas.openxmlformats.org/officeDocument/2006/relationships/footer" Target="footer14.xml"/><Relationship Id="rId21" Type="http://schemas.openxmlformats.org/officeDocument/2006/relationships/footer" Target="footer15.xml"/><Relationship Id="rId22" Type="http://schemas.openxmlformats.org/officeDocument/2006/relationships/footer" Target="footer16.xml"/><Relationship Id="rId23" Type="http://schemas.openxmlformats.org/officeDocument/2006/relationships/footer" Target="footer17.xml"/><Relationship Id="rId24" Type="http://schemas.openxmlformats.org/officeDocument/2006/relationships/footer" Target="footer18.xml"/><Relationship Id="rId25" Type="http://schemas.openxmlformats.org/officeDocument/2006/relationships/footer" Target="footer19.xml"/><Relationship Id="rId26" Type="http://schemas.openxmlformats.org/officeDocument/2006/relationships/footer" Target="footer20.xml"/><Relationship Id="rId27" Type="http://schemas.openxmlformats.org/officeDocument/2006/relationships/footer" Target="footer21.xml"/><Relationship Id="rId28" Type="http://schemas.openxmlformats.org/officeDocument/2006/relationships/footer" Target="footer22.xml"/><Relationship Id="rId29" Type="http://schemas.openxmlformats.org/officeDocument/2006/relationships/footer" Target="footer23.xml"/><Relationship Id="rId30" Type="http://schemas.openxmlformats.org/officeDocument/2006/relationships/footer" Target="footer24.xml"/><Relationship Id="rId31" Type="http://schemas.openxmlformats.org/officeDocument/2006/relationships/footer" Target="footer25.xml"/><Relationship Id="rId32" Type="http://schemas.openxmlformats.org/officeDocument/2006/relationships/footer" Target="footer26.xml"/><Relationship Id="rId33" Type="http://schemas.openxmlformats.org/officeDocument/2006/relationships/hyperlink" Target="http://www.sil.gobernacion.gob.mx/" TargetMode="External"/><Relationship Id="rId34" Type="http://schemas.openxmlformats.org/officeDocument/2006/relationships/footer" Target="footer27.xml"/><Relationship Id="rId35" Type="http://schemas.openxmlformats.org/officeDocument/2006/relationships/footer" Target="footer28.xml"/><Relationship Id="rId36" Type="http://schemas.openxmlformats.org/officeDocument/2006/relationships/footer" Target="footer29.xml"/><Relationship Id="rId37" Type="http://schemas.openxmlformats.org/officeDocument/2006/relationships/footer" Target="footer30.xml"/><Relationship Id="rId38" Type="http://schemas.openxmlformats.org/officeDocument/2006/relationships/footer" Target="footer31.xml"/><Relationship Id="rId39" Type="http://schemas.openxmlformats.org/officeDocument/2006/relationships/footer" Target="footer32.xml"/><Relationship Id="rId40" Type="http://schemas.openxmlformats.org/officeDocument/2006/relationships/footer" Target="footer33.xml"/><Relationship Id="rId41" Type="http://schemas.openxmlformats.org/officeDocument/2006/relationships/footer" Target="footer34.xml"/><Relationship Id="rId42" Type="http://schemas.openxmlformats.org/officeDocument/2006/relationships/footer" Target="footer35.xml"/><Relationship Id="rId43" Type="http://schemas.openxmlformats.org/officeDocument/2006/relationships/hyperlink" Target="http://www.inee.edu.mx/index.php/servicios/pisa)" TargetMode="External"/><Relationship Id="rId44" Type="http://schemas.openxmlformats.org/officeDocument/2006/relationships/image" Target="media/image3.png"/><Relationship Id="rId45" Type="http://schemas.openxmlformats.org/officeDocument/2006/relationships/image" Target="media/image4.png"/><Relationship Id="rId46" Type="http://schemas.openxmlformats.org/officeDocument/2006/relationships/image" Target="media/image5.png"/><Relationship Id="rId47" Type="http://schemas.openxmlformats.org/officeDocument/2006/relationships/image" Target="media/image6.png"/><Relationship Id="rId48" Type="http://schemas.openxmlformats.org/officeDocument/2006/relationships/image" Target="media/image7.png"/><Relationship Id="rId49" Type="http://schemas.openxmlformats.org/officeDocument/2006/relationships/image" Target="media/image8.png"/><Relationship Id="rId50" Type="http://schemas.openxmlformats.org/officeDocument/2006/relationships/image" Target="media/image9.png"/><Relationship Id="rId51" Type="http://schemas.openxmlformats.org/officeDocument/2006/relationships/image" Target="media/image10.png"/><Relationship Id="rId52" Type="http://schemas.openxmlformats.org/officeDocument/2006/relationships/image" Target="media/image11.png"/><Relationship Id="rId53" Type="http://schemas.openxmlformats.org/officeDocument/2006/relationships/image" Target="media/image12.png"/><Relationship Id="rId54" Type="http://schemas.openxmlformats.org/officeDocument/2006/relationships/image" Target="media/image13.png"/><Relationship Id="rId55" Type="http://schemas.openxmlformats.org/officeDocument/2006/relationships/image" Target="media/image14.png"/><Relationship Id="rId56" Type="http://schemas.openxmlformats.org/officeDocument/2006/relationships/image" Target="media/image15.png"/><Relationship Id="rId57" Type="http://schemas.openxmlformats.org/officeDocument/2006/relationships/image" Target="media/image16.png"/><Relationship Id="rId58" Type="http://schemas.openxmlformats.org/officeDocument/2006/relationships/image" Target="media/image17.png"/><Relationship Id="rId59" Type="http://schemas.openxmlformats.org/officeDocument/2006/relationships/image" Target="media/image18.png"/><Relationship Id="rId60" Type="http://schemas.openxmlformats.org/officeDocument/2006/relationships/image" Target="media/image19.png"/><Relationship Id="rId61" Type="http://schemas.openxmlformats.org/officeDocument/2006/relationships/image" Target="media/image20.png"/><Relationship Id="rId62" Type="http://schemas.openxmlformats.org/officeDocument/2006/relationships/footer" Target="footer36.xml"/><Relationship Id="rId63" Type="http://schemas.openxmlformats.org/officeDocument/2006/relationships/footer" Target="footer37.xml"/><Relationship Id="rId64" Type="http://schemas.openxmlformats.org/officeDocument/2006/relationships/image" Target="media/image21.png"/><Relationship Id="rId65" Type="http://schemas.openxmlformats.org/officeDocument/2006/relationships/image" Target="media/image22.png"/><Relationship Id="rId66" Type="http://schemas.openxmlformats.org/officeDocument/2006/relationships/image" Target="media/image23.png"/><Relationship Id="rId67" Type="http://schemas.openxmlformats.org/officeDocument/2006/relationships/image" Target="media/image24.png"/><Relationship Id="rId68" Type="http://schemas.openxmlformats.org/officeDocument/2006/relationships/image" Target="media/image25.png"/><Relationship Id="rId69" Type="http://schemas.openxmlformats.org/officeDocument/2006/relationships/footer" Target="footer38.xml"/><Relationship Id="rId70" Type="http://schemas.openxmlformats.org/officeDocument/2006/relationships/footer" Target="footer39.xml"/><Relationship Id="rId71" Type="http://schemas.openxmlformats.org/officeDocument/2006/relationships/footer" Target="footer40.xml"/><Relationship Id="rId72" Type="http://schemas.openxmlformats.org/officeDocument/2006/relationships/footer" Target="footer41.xml"/><Relationship Id="rId73" Type="http://schemas.openxmlformats.org/officeDocument/2006/relationships/footer" Target="footer42.xml"/><Relationship Id="rId74" Type="http://schemas.openxmlformats.org/officeDocument/2006/relationships/footer" Target="footer43.xml"/><Relationship Id="rId75" Type="http://schemas.openxmlformats.org/officeDocument/2006/relationships/footer" Target="footer44.xml"/><Relationship Id="rId76" Type="http://schemas.openxmlformats.org/officeDocument/2006/relationships/footer" Target="footer45.xml"/><Relationship Id="rId77" Type="http://schemas.openxmlformats.org/officeDocument/2006/relationships/footer" Target="footer46.xml"/><Relationship Id="rId78" Type="http://schemas.openxmlformats.org/officeDocument/2006/relationships/footer" Target="footer47.xml"/><Relationship Id="rId79" Type="http://schemas.openxmlformats.org/officeDocument/2006/relationships/image" Target="media/image26.png"/><Relationship Id="rId80" Type="http://schemas.openxmlformats.org/officeDocument/2006/relationships/image" Target="media/image27.png"/><Relationship Id="rId81" Type="http://schemas.openxmlformats.org/officeDocument/2006/relationships/image" Target="media/image28.png"/><Relationship Id="rId82" Type="http://schemas.openxmlformats.org/officeDocument/2006/relationships/image" Target="media/image29.png"/><Relationship Id="rId83" Type="http://schemas.openxmlformats.org/officeDocument/2006/relationships/image" Target="media/image30.png"/><Relationship Id="rId84" Type="http://schemas.openxmlformats.org/officeDocument/2006/relationships/image" Target="media/image31.png"/><Relationship Id="rId85" Type="http://schemas.openxmlformats.org/officeDocument/2006/relationships/image" Target="media/image32.png"/><Relationship Id="rId86" Type="http://schemas.openxmlformats.org/officeDocument/2006/relationships/image" Target="media/image33.png"/><Relationship Id="rId87" Type="http://schemas.openxmlformats.org/officeDocument/2006/relationships/image" Target="media/image34.png"/><Relationship Id="rId88" Type="http://schemas.openxmlformats.org/officeDocument/2006/relationships/image" Target="media/image35.png"/><Relationship Id="rId89" Type="http://schemas.openxmlformats.org/officeDocument/2006/relationships/image" Target="media/image36.png"/><Relationship Id="rId90" Type="http://schemas.openxmlformats.org/officeDocument/2006/relationships/image" Target="media/image37.png"/><Relationship Id="rId91" Type="http://schemas.openxmlformats.org/officeDocument/2006/relationships/image" Target="media/image38.png"/><Relationship Id="rId92" Type="http://schemas.openxmlformats.org/officeDocument/2006/relationships/image" Target="media/image39.png"/><Relationship Id="rId93" Type="http://schemas.openxmlformats.org/officeDocument/2006/relationships/image" Target="media/image40.png"/><Relationship Id="rId94" Type="http://schemas.openxmlformats.org/officeDocument/2006/relationships/image" Target="media/image41.png"/><Relationship Id="rId95" Type="http://schemas.openxmlformats.org/officeDocument/2006/relationships/image" Target="media/image42.png"/><Relationship Id="rId96" Type="http://schemas.openxmlformats.org/officeDocument/2006/relationships/image" Target="media/image43.png"/><Relationship Id="rId97" Type="http://schemas.openxmlformats.org/officeDocument/2006/relationships/image" Target="media/image44.png"/><Relationship Id="rId98" Type="http://schemas.openxmlformats.org/officeDocument/2006/relationships/image" Target="media/image45.png"/><Relationship Id="rId99" Type="http://schemas.openxmlformats.org/officeDocument/2006/relationships/image" Target="media/image46.png"/><Relationship Id="rId100" Type="http://schemas.openxmlformats.org/officeDocument/2006/relationships/image" Target="media/image47.png"/><Relationship Id="rId101" Type="http://schemas.openxmlformats.org/officeDocument/2006/relationships/image" Target="media/image48.png"/><Relationship Id="rId102" Type="http://schemas.openxmlformats.org/officeDocument/2006/relationships/image" Target="media/image49.png"/><Relationship Id="rId103" Type="http://schemas.openxmlformats.org/officeDocument/2006/relationships/image" Target="media/image50.png"/><Relationship Id="rId104" Type="http://schemas.openxmlformats.org/officeDocument/2006/relationships/image" Target="media/image51.png"/><Relationship Id="rId105" Type="http://schemas.openxmlformats.org/officeDocument/2006/relationships/image" Target="media/image52.png"/><Relationship Id="rId106" Type="http://schemas.openxmlformats.org/officeDocument/2006/relationships/image" Target="media/image53.png"/><Relationship Id="rId107" Type="http://schemas.openxmlformats.org/officeDocument/2006/relationships/image" Target="media/image54.png"/><Relationship Id="rId108" Type="http://schemas.openxmlformats.org/officeDocument/2006/relationships/image" Target="media/image55.png"/><Relationship Id="rId109" Type="http://schemas.openxmlformats.org/officeDocument/2006/relationships/image" Target="media/image56.png"/><Relationship Id="rId110" Type="http://schemas.openxmlformats.org/officeDocument/2006/relationships/image" Target="media/image57.png"/><Relationship Id="rId111" Type="http://schemas.openxmlformats.org/officeDocument/2006/relationships/image" Target="media/image58.png"/><Relationship Id="rId112" Type="http://schemas.openxmlformats.org/officeDocument/2006/relationships/image" Target="media/image59.png"/><Relationship Id="rId113" Type="http://schemas.openxmlformats.org/officeDocument/2006/relationships/image" Target="media/image60.png"/><Relationship Id="rId114" Type="http://schemas.openxmlformats.org/officeDocument/2006/relationships/image" Target="media/image61.png"/><Relationship Id="rId115" Type="http://schemas.openxmlformats.org/officeDocument/2006/relationships/image" Target="media/image62.png"/><Relationship Id="rId116" Type="http://schemas.openxmlformats.org/officeDocument/2006/relationships/hyperlink" Target="http://alianza.sep.gob.mx/i2.html)63" TargetMode="External"/><Relationship Id="rId117" Type="http://schemas.openxmlformats.org/officeDocument/2006/relationships/footer" Target="footer48.xml"/><Relationship Id="rId118" Type="http://schemas.openxmlformats.org/officeDocument/2006/relationships/footer" Target="footer49.xml"/><Relationship Id="rId119" Type="http://schemas.openxmlformats.org/officeDocument/2006/relationships/footer" Target="footer50.xml"/><Relationship Id="rId120" Type="http://schemas.openxmlformats.org/officeDocument/2006/relationships/footer" Target="footer51.xml"/><Relationship Id="rId121" Type="http://schemas.openxmlformats.org/officeDocument/2006/relationships/footer" Target="footer52.xml"/><Relationship Id="rId122" Type="http://schemas.openxmlformats.org/officeDocument/2006/relationships/footer" Target="footer53.xml"/><Relationship Id="rId123" Type="http://schemas.openxmlformats.org/officeDocument/2006/relationships/footer" Target="footer54.xml"/><Relationship Id="rId124" Type="http://schemas.openxmlformats.org/officeDocument/2006/relationships/footer" Target="footer55.xml"/><Relationship Id="rId125" Type="http://schemas.openxmlformats.org/officeDocument/2006/relationships/hyperlink" Target="http://www.campus-oei.org/administracion/aguerrondo.htm" TargetMode="External"/><Relationship Id="rId126" Type="http://schemas.openxmlformats.org/officeDocument/2006/relationships/hyperlink" Target="http://www.campus-oei.org/calidad/aguerrondo.htm" TargetMode="External"/><Relationship Id="rId127" Type="http://schemas.openxmlformats.org/officeDocument/2006/relationships/hyperlink" Target="http://redalyc.uaemex.mx/redalyc/src/inicio/ArtPdfRed.jsp?iCve=15002905&amp;amp;iCveNum=14" TargetMode="External"/><Relationship Id="rId128" Type="http://schemas.openxmlformats.org/officeDocument/2006/relationships/hyperlink" Target="http://www.campus-oei.org/oeivirt/rie14a05.pdf" TargetMode="External"/><Relationship Id="rId129" Type="http://schemas.openxmlformats.org/officeDocument/2006/relationships/hyperlink" Target="http://portal.iteso.mx/portal/page/portal/Sinectica/Politicas_educativas/Resenas/22%20Arias-" TargetMode="External"/><Relationship Id="rId130" Type="http://schemas.openxmlformats.org/officeDocument/2006/relationships/hyperlink" Target="http://www.oei.es/evaluacioneducativa/pruebas_internacionales_aprendizaje_AL_arregui_ferrer.pdf" TargetMode="External"/><Relationship Id="rId131" Type="http://schemas.openxmlformats.org/officeDocument/2006/relationships/hyperlink" Target="http://www.saber.ula.ve/accionpe/" TargetMode="External"/><Relationship Id="rId132" Type="http://schemas.openxmlformats.org/officeDocument/2006/relationships/hyperlink" Target="http://www.scielo.org.ve/pdf/edu/v11n39/art05.pdf" TargetMode="External"/><Relationship Id="rId133" Type="http://schemas.openxmlformats.org/officeDocument/2006/relationships/hyperlink" Target="http://www.ceneval.edu.mx/portalceneval/docs/0/boletin2.pdf" TargetMode="External"/><Relationship Id="rId134" Type="http://schemas.openxmlformats.org/officeDocument/2006/relationships/hyperlink" Target="http://www.mexicanosprimero.org/images/stories/Brechas_2010_-_Datos_de_impacto_-" TargetMode="External"/><Relationship Id="rId135" Type="http://schemas.openxmlformats.org/officeDocument/2006/relationships/hyperlink" Target="http://basica.sep.gob.mx/dgdgie/escuelasdecalidad/pdfs/CIDE2003.pdf" TargetMode="External"/><Relationship Id="rId136" Type="http://schemas.openxmlformats.org/officeDocument/2006/relationships/hyperlink" Target="http://www.eclac.cl/publicaciones/SecretariaEjecutiva/4/LCG2249SES3014/DGE-2249-SES30-" TargetMode="External"/><Relationship Id="rId137" Type="http://schemas.openxmlformats.org/officeDocument/2006/relationships/hyperlink" Target="http://www.reduc.cl/raes.nsf/4211b585503d5ece04256843007c08e2/6d0515b9b10a439d04256839" TargetMode="External"/><Relationship Id="rId138" Type="http://schemas.openxmlformats.org/officeDocument/2006/relationships/hyperlink" Target="http://www.mexicanosprimero.org/images/stories/1-8.pdf" TargetMode="External"/><Relationship Id="rId139" Type="http://schemas.openxmlformats.org/officeDocument/2006/relationships/hyperlink" Target="http://www.mexicanosprimero.org/images/stories/9-16.pdf" TargetMode="External"/><Relationship Id="rId140" Type="http://schemas.openxmlformats.org/officeDocument/2006/relationships/hyperlink" Target="http://www.mexicanosprimero.org/images/stories/Contra_la_pared_datos_de_impacto.pdf" TargetMode="External"/><Relationship Id="rId141" Type="http://schemas.openxmlformats.org/officeDocument/2006/relationships/hyperlink" Target="http://www.calidadeducativa.edusanluis.com.ar/2008/10/calidad-de-la-educacion-y-gestion.html" TargetMode="External"/><Relationship Id="rId142" Type="http://schemas.openxmlformats.org/officeDocument/2006/relationships/hyperlink" Target="http://www.campus-oei.org/revista/rie22f.htm" TargetMode="External"/><Relationship Id="rId143" Type="http://schemas.openxmlformats.org/officeDocument/2006/relationships/hyperlink" Target="http://www.grade.org.pe/download/docs/JF-pruebas%20internacionales.PDF" TargetMode="External"/><Relationship Id="rId144" Type="http://schemas.openxmlformats.org/officeDocument/2006/relationships/hyperlink" Target="http://www.sep.gob.mx/work/resources/LocalContent/9209/1/apuntes.pdf" TargetMode="External"/><Relationship Id="rId145" Type="http://schemas.openxmlformats.org/officeDocument/2006/relationships/hyperlink" Target="http://www.campus-oei.org/revista/rie21f.htm" TargetMode="External"/><Relationship Id="rId146" Type="http://schemas.openxmlformats.org/officeDocument/2006/relationships/hyperlink" Target="http://www.ceneval.edu.mx/portalceneval/docs/0/boletin1.pdf" TargetMode="External"/><Relationship Id="rId147" Type="http://schemas.openxmlformats.org/officeDocument/2006/relationships/hyperlink" Target="http://www.ifie.edu.mx/sistemas_nacionales_de_evaluacion_educativa.htm" TargetMode="External"/><Relationship Id="rId148" Type="http://schemas.openxmlformats.org/officeDocument/2006/relationships/hyperlink" Target="http://www.ifie.edu.mx/propuesta_del_ifie_para_la_creacion_inee.htm" TargetMode="External"/><Relationship Id="rId149" Type="http://schemas.openxmlformats.org/officeDocument/2006/relationships/hyperlink" Target="http://www.oecd.org/dataoecd/59/1/39732493.pdf" TargetMode="External"/><Relationship Id="rId150" Type="http://schemas.openxmlformats.org/officeDocument/2006/relationships/footer" Target="footer56.xml"/><Relationship Id="rId151" Type="http://schemas.openxmlformats.org/officeDocument/2006/relationships/hyperlink" Target="http://www.inee.edu.mx/images/stories/documentos_pdf/que_es_el_inee.pdf" TargetMode="External"/><Relationship Id="rId152" Type="http://schemas.openxmlformats.org/officeDocument/2006/relationships/hyperlink" Target="http://multimedia.ilce.edu.mx/inee/pdf/publicaciones/Folleto6.pdf" TargetMode="External"/><Relationship Id="rId153" Type="http://schemas.openxmlformats.org/officeDocument/2006/relationships/hyperlink" Target="http://www.sec-sonora.gob.mx/ve/ve4/indexve.html" TargetMode="External"/><Relationship Id="rId154" Type="http://schemas.openxmlformats.org/officeDocument/2006/relationships/hyperlink" Target="http://redalyc.uaemex.mx/redalyc/src/inicio/ArtPdfRed.jsp?iCve=15506208&amp;amp;iCveNum=1238" TargetMode="External"/><Relationship Id="rId155" Type="http://schemas.openxmlformats.org/officeDocument/2006/relationships/hyperlink" Target="http://www.campus-oei.org/revista/rie35a01.pdf" TargetMode="External"/><Relationship Id="rId156" Type="http://schemas.openxmlformats.org/officeDocument/2006/relationships/footer" Target="footer57.xml"/><Relationship Id="rId157" Type="http://schemas.openxmlformats.org/officeDocument/2006/relationships/hyperlink" Target="http://redalyc.uaemex.mx/redalyc/src/inicio/ArtPdfRed.jsp?iCve=15002907&amp;amp;iCveNum=1417" TargetMode="External"/><Relationship Id="rId158" Type="http://schemas.openxmlformats.org/officeDocument/2006/relationships/hyperlink" Target="http://redalyc.uaemex.mx/redalyc/src/inicio/ArtPdfRed.jsp?iCve=13208704&amp;amp;iCveNum=199" TargetMode="External"/><Relationship Id="rId159" Type="http://schemas.openxmlformats.org/officeDocument/2006/relationships/hyperlink" Target="http://www.ceneval.edu.mx/portalceneval/docs/100/numero8.pdf" TargetMode="External"/><Relationship Id="rId160" Type="http://schemas.openxmlformats.org/officeDocument/2006/relationships/hyperlink" Target="http://www.redalyc.org/src/inicio/ArtPdfRed.jsp?iCve=32519319009" TargetMode="External"/><Relationship Id="rId161" Type="http://schemas.openxmlformats.org/officeDocument/2006/relationships/hyperlink" Target="http://www.mexicanosprimero.org/images/stories/Brechas_2010_-" TargetMode="External"/><Relationship Id="rId162" Type="http://schemas.openxmlformats.org/officeDocument/2006/relationships/hyperlink" Target="http://www.scielo.cl/scielo.php?script=sci_arttext&amp;amp;pid=S071807052003002900002&amp;amp;lng=es&amp;amp;nrm=is" TargetMode="External"/><Relationship Id="rId163" Type="http://schemas.openxmlformats.org/officeDocument/2006/relationships/hyperlink" Target="http://servicio.cid.uc.edu.ve/educacion/revista/" TargetMode="External"/><Relationship Id="rId164" Type="http://schemas.openxmlformats.org/officeDocument/2006/relationships/hyperlink" Target="http://redalyc.uaemex.mx/redalyc/pdf/551/55114080015.pdf" TargetMode="External"/><Relationship Id="rId165" Type="http://schemas.openxmlformats.org/officeDocument/2006/relationships/hyperlink" Target="http://www.ice.deusto.es/RINACE/reice/vol1n1/Murillo.pdf" TargetMode="External"/><Relationship Id="rId166" Type="http://schemas.openxmlformats.org/officeDocument/2006/relationships/hyperlink" Target="http://dx.doi.org/10.1787/9789264087682-es" TargetMode="External"/><Relationship Id="rId167" Type="http://schemas.openxmlformats.org/officeDocument/2006/relationships/hyperlink" Target="http://www.sec-sonora.gob.mx/ve/ve3/indexve.html" TargetMode="External"/><Relationship Id="rId168" Type="http://schemas.openxmlformats.org/officeDocument/2006/relationships/hyperlink" Target="http://redalyc.uaemex.mx/redalyc/src/inicio/ArtPdfRed.jsp?iCve=27033205&amp;amp;iCveNum=1008" TargetMode="External"/><Relationship Id="rId169" Type="http://schemas.openxmlformats.org/officeDocument/2006/relationships/hyperlink" Target="http://bibliotecadigital.conevyt.org.mx/colecciones/conevyt/educa.pdf" TargetMode="External"/><Relationship Id="rId170" Type="http://schemas.openxmlformats.org/officeDocument/2006/relationships/hyperlink" Target="http://www.diputados.gob.mx/LeyesBiblio/pdf/59.pdf" TargetMode="External"/><Relationship Id="rId171" Type="http://schemas.openxmlformats.org/officeDocument/2006/relationships/hyperlink" Target="http://gaceta.diputados.gob.mx/Gaceta/58/2001/jun/PND.html#4" TargetMode="External"/><Relationship Id="rId172" Type="http://schemas.openxmlformats.org/officeDocument/2006/relationships/hyperlink" Target="http://www.preal.cl/ravitch.pdf" TargetMode="External"/><Relationship Id="rId173" Type="http://schemas.openxmlformats.org/officeDocument/2006/relationships/hyperlink" Target="http://www.rendiciondecuentas.org.mx/articulo.php?id=576&amp;amp;pag=0" TargetMode="External"/><Relationship Id="rId174" Type="http://schemas.openxmlformats.org/officeDocument/2006/relationships/hyperlink" Target="http://www.observatorio.org/comunicados/comun111.html" TargetMode="External"/><Relationship Id="rId175" Type="http://schemas.openxmlformats.org/officeDocument/2006/relationships/hyperlink" Target="http://www.ctascon.com/Hacia%20una%20mejor%20calidad%20de%20las%20Escuelas.pdf" TargetMode="External"/><Relationship Id="rId176" Type="http://schemas.openxmlformats.org/officeDocument/2006/relationships/hyperlink" Target="http://PAREonline.net/getvn.asp?v=2&amp;amp;n=12" TargetMode="External"/><Relationship Id="rId177" Type="http://schemas.openxmlformats.org/officeDocument/2006/relationships/hyperlink" Target="http://www.snte.org/" TargetMode="External"/><Relationship Id="rId178" Type="http://schemas.openxmlformats.org/officeDocument/2006/relationships/hyperlink" Target="http://redalyc.uaemex.mx/redalyc/pdf/270/27033404.pdf" TargetMode="External"/><Relationship Id="rId179" Type="http://schemas.openxmlformats.org/officeDocument/2006/relationships/hyperlink" Target="http://www.campus-oei.org/oeivirt/rie10a02.ht" TargetMode="External"/><Relationship Id="rId180" Type="http://schemas.openxmlformats.org/officeDocument/2006/relationships/hyperlink" Target="http://www.campus-oei.org/revista/rie28a06.PDF" TargetMode="External"/><Relationship Id="rId181" Type="http://schemas.openxmlformats.org/officeDocument/2006/relationships/hyperlink" Target="http://www.observatorio.org/documental/participa.pdf" TargetMode="External"/><Relationship Id="rId182" Type="http://schemas.openxmlformats.org/officeDocument/2006/relationships/hyperlink" Target="http://www.unicef.org/spanish/publications/files/pub_Investmentgirlsirlsed_sp.pdf" TargetMode="External"/><Relationship Id="rId183" Type="http://schemas.openxmlformats.org/officeDocument/2006/relationships/hyperlink" Target="http://www.unicef.org/spanish/sowc04/files/SOWC_04_SP.pdf" TargetMode="External"/><Relationship Id="rId184" Type="http://schemas.openxmlformats.org/officeDocument/2006/relationships/hyperlink" Target="http://www.unesco.org/education/efa/global_co/global_initiative/strategy_summary_spa.pdf" TargetMode="External"/><Relationship Id="rId185" Type="http://schemas.openxmlformats.org/officeDocument/2006/relationships/hyperlink" Target="http://www.educatio.ugto.mx/PDFs/educatio7/Van.pdf" TargetMode="External"/><Relationship Id="rId186" Type="http://schemas.openxmlformats.org/officeDocument/2006/relationships/hyperlink" Target="http://www.observatorio.org/comunicados/comun063.html" TargetMode="External"/><Relationship Id="rId187" Type="http://schemas.openxmlformats.org/officeDocument/2006/relationships/hyperlink" Target="http://www.observatorio.org/comunicados/comun114.html" TargetMode="External"/><Relationship Id="rId188" Type="http://schemas.openxmlformats.org/officeDocument/2006/relationships/hyperlink" Target="http://www.observatorio.org/comunicados/comun001.html" TargetMode="External"/><Relationship Id="rId189" Type="http://schemas.openxmlformats.org/officeDocument/2006/relationships/hyperlink" Target="http://www.galeon.com/aprenderaaprender/general/Zilberstein1.htm" TargetMode="External"/><Relationship Id="rId190" Type="http://schemas.openxmlformats.org/officeDocument/2006/relationships/hyperlink" Target="http://www.observatorio.org/comunicados/comun093.html" TargetMode="External"/><Relationship Id="rId191" Type="http://schemas.openxmlformats.org/officeDocument/2006/relationships/hyperlink" Target="http://www.oem.com.mx/elsoldemexico/notas/n1135806.htm" TargetMode="External"/><Relationship Id="rId192" Type="http://schemas.openxmlformats.org/officeDocument/2006/relationships/hyperlink" Target="http://www.oem.com.mx/elsoldetoluca/notas/n986354.htm" TargetMode="External"/><Relationship Id="rId193" Type="http://schemas.openxmlformats.org/officeDocument/2006/relationships/hyperlink" Target="http://www.inee.edu.mx/index.php/servicios/pisa" TargetMode="External"/><Relationship Id="rId194" Type="http://schemas.openxmlformats.org/officeDocument/2006/relationships/hyperlink" Target="http://www.educacionbc.edu.mx/departamentos/evaluacion/evaluaciones/ebasica/excale.php" TargetMode="External"/><Relationship Id="rId195" Type="http://schemas.openxmlformats.org/officeDocument/2006/relationships/hyperlink" Target="http://www.oecd.org/education/school/oecdteachingandlearninginternationalsurveytalishome.htm" TargetMode="External"/><Relationship Id="rId196" Type="http://schemas.openxmlformats.org/officeDocument/2006/relationships/hyperlink" Target="http://alianza.sep.gob.mx/i2.html)" TargetMode="External"/><Relationship Id="rId197" Type="http://schemas.openxmlformats.org/officeDocument/2006/relationships/hyperlink" Target="http://alianza.sep.gob.mx/" TargetMode="External"/><Relationship Id="rId198" Type="http://schemas.openxmlformats.org/officeDocument/2006/relationships/hyperlink" Target="http://alianza.sep.gob.mx/pdf/alianzabreve.pdf" TargetMode="External"/><Relationship Id="rId199" Type="http://schemas.openxmlformats.org/officeDocument/2006/relationships/hyperlink" Target="http://alianza.sep.gob.mx/organizacion1.html" TargetMode="External"/><Relationship Id="rId20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2017-05-27T03:01:52Z</dcterms:created>
  <dcterms:modified xsi:type="dcterms:W3CDTF">2017-05-27T03:01:52Z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2017-05-27T00:00:00Z</vt:filetime>
  </property>
</Properties>
</file>